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en-NZ"/>
        </w:rPr>
        <w:id w:val="797177477"/>
        <w:docPartObj>
          <w:docPartGallery w:val="Cover Pages"/>
          <w:docPartUnique/>
        </w:docPartObj>
      </w:sdtPr>
      <w:sdtContent>
        <w:p w14:paraId="485AD620" w14:textId="175F4EC0" w:rsidR="00EB3422" w:rsidRPr="003067B9" w:rsidRDefault="00315CFC" w:rsidP="00EB3422">
          <w:pPr>
            <w:rPr>
              <w:lang w:val="en-NZ"/>
            </w:rPr>
          </w:pPr>
          <w:r w:rsidRPr="003067B9">
            <w:rPr>
              <w:noProof/>
              <w:lang w:val="en-NZ"/>
            </w:rPr>
            <w:drawing>
              <wp:anchor distT="0" distB="0" distL="114300" distR="114300" simplePos="0" relativeHeight="251658241" behindDoc="1" locked="0" layoutInCell="1" allowOverlap="1" wp14:anchorId="3E5CE4BB" wp14:editId="3FFFE160">
                <wp:simplePos x="0" y="0"/>
                <wp:positionH relativeFrom="page">
                  <wp:align>left</wp:align>
                </wp:positionH>
                <wp:positionV relativeFrom="paragraph">
                  <wp:posOffset>-1093339</wp:posOffset>
                </wp:positionV>
                <wp:extent cx="7613650" cy="10802490"/>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613650" cy="10802490"/>
                        </a:xfrm>
                        <a:prstGeom prst="rect">
                          <a:avLst/>
                        </a:prstGeom>
                      </pic:spPr>
                    </pic:pic>
                  </a:graphicData>
                </a:graphic>
                <wp14:sizeRelH relativeFrom="margin">
                  <wp14:pctWidth>0</wp14:pctWidth>
                </wp14:sizeRelH>
                <wp14:sizeRelV relativeFrom="margin">
                  <wp14:pctHeight>0</wp14:pctHeight>
                </wp14:sizeRelV>
              </wp:anchor>
            </w:drawing>
          </w:r>
        </w:p>
        <w:p w14:paraId="3847CA0A" w14:textId="67189A59" w:rsidR="00EB3422" w:rsidRPr="003067B9" w:rsidRDefault="00EB3422" w:rsidP="00EB3422">
          <w:pPr>
            <w:rPr>
              <w:lang w:val="en-NZ"/>
            </w:rPr>
          </w:pPr>
          <w:r w:rsidRPr="003067B9">
            <w:rPr>
              <w:lang w:val="en-NZ"/>
            </w:rPr>
            <w:br w:type="page"/>
          </w:r>
          <w:r w:rsidRPr="003067B9">
            <w:rPr>
              <w:noProof/>
              <w:lang w:val="en-NZ"/>
            </w:rPr>
            <mc:AlternateContent>
              <mc:Choice Requires="wps">
                <w:drawing>
                  <wp:anchor distT="45720" distB="45720" distL="114300" distR="114300" simplePos="0" relativeHeight="251658240" behindDoc="0" locked="1" layoutInCell="1" allowOverlap="1" wp14:anchorId="3A4AC54B" wp14:editId="7BF3F840">
                    <wp:simplePos x="0" y="0"/>
                    <wp:positionH relativeFrom="margin">
                      <wp:posOffset>-247650</wp:posOffset>
                    </wp:positionH>
                    <wp:positionV relativeFrom="paragraph">
                      <wp:posOffset>1179195</wp:posOffset>
                    </wp:positionV>
                    <wp:extent cx="6124575" cy="604837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6048375"/>
                            </a:xfrm>
                            <a:prstGeom prst="rect">
                              <a:avLst/>
                            </a:prstGeom>
                            <a:noFill/>
                            <a:ln w="9525">
                              <a:noFill/>
                              <a:miter lim="800000"/>
                              <a:headEnd/>
                              <a:tailEnd/>
                            </a:ln>
                          </wps:spPr>
                          <wps:txbx>
                            <w:txbxContent>
                              <w:p w14:paraId="4C770578" w14:textId="77777777" w:rsidR="00CD5281" w:rsidRDefault="002A5870" w:rsidP="000E0804">
                                <w:pPr>
                                  <w:pStyle w:val="Title"/>
                                </w:pPr>
                                <w:bookmarkStart w:id="0" w:name="_Hlk153265899"/>
                                <w:bookmarkEnd w:id="0"/>
                                <w:r w:rsidRPr="00305E5C">
                                  <w:t xml:space="preserve">Quarterly Performance Report </w:t>
                                </w:r>
                              </w:p>
                              <w:p w14:paraId="5B969870" w14:textId="2D9872C0" w:rsidR="002A5870" w:rsidRPr="00305E5C" w:rsidRDefault="002A5870" w:rsidP="000E0804">
                                <w:pPr>
                                  <w:pStyle w:val="Title"/>
                                </w:pPr>
                                <w:r w:rsidRPr="00305E5C">
                                  <w:t xml:space="preserve"> </w:t>
                                </w:r>
                              </w:p>
                              <w:p w14:paraId="55E3ED00" w14:textId="73F3A6C3" w:rsidR="00EB3422" w:rsidRPr="008136AB" w:rsidRDefault="000E0804" w:rsidP="008136AB">
                                <w:pPr>
                                  <w:pStyle w:val="Provider"/>
                                  <w:rPr>
                                    <w:rFonts w:ascii="Arial" w:eastAsia="+mn-ea" w:hAnsi="Arial" w:cs="Arial"/>
                                    <w:color w:val="F6F4EC" w:themeColor="background1"/>
                                  </w:rPr>
                                </w:pPr>
                                <w:r w:rsidRPr="008136AB">
                                  <w:rPr>
                                    <w:rFonts w:ascii="Arial" w:eastAsia="+mn-ea" w:hAnsi="Arial" w:cs="Arial"/>
                                    <w:color w:val="F6F4EC" w:themeColor="background1"/>
                                  </w:rPr>
                                  <w:t>Quarter ending 31 March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4AC54B" id="_x0000_t202" coordsize="21600,21600" o:spt="202" path="m,l,21600r21600,l21600,xe">
                    <v:stroke joinstyle="miter"/>
                    <v:path gradientshapeok="t" o:connecttype="rect"/>
                  </v:shapetype>
                  <v:shape id="Text Box 217" o:spid="_x0000_s1026" type="#_x0000_t202" style="position:absolute;margin-left:-19.5pt;margin-top:92.85pt;width:482.25pt;height:476.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" filled="f" stroked="f">
                    <v:textbox>
                      <w:txbxContent>
                        <w:p w14:paraId="4C770578" w14:textId="77777777" w:rsidR="00CD5281" w:rsidRDefault="002A5870" w:rsidP="000E0804">
                          <w:pPr>
                            <w:pStyle w:val="Title"/>
                          </w:pPr>
                          <w:bookmarkStart w:id="1" w:name="_Hlk153265899"/>
                          <w:bookmarkEnd w:id="1"/>
                          <w:r w:rsidRPr="00305E5C">
                            <w:t xml:space="preserve">Quarterly Performance Report </w:t>
                          </w:r>
                        </w:p>
                        <w:p w14:paraId="5B969870" w14:textId="2D9872C0" w:rsidR="002A5870" w:rsidRPr="00305E5C" w:rsidRDefault="002A5870" w:rsidP="000E0804">
                          <w:pPr>
                            <w:pStyle w:val="Title"/>
                          </w:pPr>
                          <w:r w:rsidRPr="00305E5C">
                            <w:t xml:space="preserve"> </w:t>
                          </w:r>
                        </w:p>
                        <w:p w14:paraId="55E3ED00" w14:textId="73F3A6C3" w:rsidR="00EB3422" w:rsidRPr="008136AB" w:rsidRDefault="000E0804" w:rsidP="008136AB">
                          <w:pPr>
                            <w:pStyle w:val="Provider"/>
                            <w:rPr>
                              <w:rFonts w:ascii="Arial" w:eastAsia="+mn-ea" w:hAnsi="Arial" w:cs="Arial"/>
                              <w:color w:val="F6F4EC" w:themeColor="background1"/>
                            </w:rPr>
                          </w:pPr>
                          <w:r w:rsidRPr="008136AB">
                            <w:rPr>
                              <w:rFonts w:ascii="Arial" w:eastAsia="+mn-ea" w:hAnsi="Arial" w:cs="Arial"/>
                              <w:color w:val="F6F4EC" w:themeColor="background1"/>
                            </w:rPr>
                            <w:t>Quarter ending 31 March 2024</w:t>
                          </w:r>
                        </w:p>
                      </w:txbxContent>
                    </v:textbox>
                    <w10:wrap type="square" anchorx="margin"/>
                    <w10:anchorlock/>
                  </v:shape>
                </w:pict>
              </mc:Fallback>
            </mc:AlternateContent>
          </w:r>
        </w:p>
      </w:sdtContent>
    </w:sdt>
    <w:p w14:paraId="5CD00CC7" w14:textId="40D25A41" w:rsidR="00DC3E88" w:rsidRPr="003067B9" w:rsidRDefault="00DC3E88" w:rsidP="00DC3E88">
      <w:pPr>
        <w:rPr>
          <w:lang w:val="en-NZ"/>
        </w:rPr>
      </w:pPr>
      <w:r w:rsidRPr="003067B9">
        <w:rPr>
          <w:lang w:val="en-NZ"/>
        </w:rPr>
        <w:lastRenderedPageBreak/>
        <w:t xml:space="preserve">Citation: Health New Zealand | Te Whatu Ora. </w:t>
      </w:r>
      <w:r w:rsidRPr="003067B9">
        <w:rPr>
          <w:i/>
          <w:lang w:val="en-NZ"/>
        </w:rPr>
        <w:t>Quarterly Performance Report: Quarter ending 31 March 2024</w:t>
      </w:r>
      <w:r w:rsidRPr="003067B9">
        <w:rPr>
          <w:lang w:val="en-NZ"/>
        </w:rPr>
        <w:t>. Wellington: Health New Zealand | Te Whatu Ora.</w:t>
      </w:r>
    </w:p>
    <w:p w14:paraId="34870E34" w14:textId="5D778A76" w:rsidR="00DC3E88" w:rsidRPr="005A1E6A" w:rsidRDefault="00DC3E88" w:rsidP="00DC3E88">
      <w:pPr>
        <w:rPr>
          <w:color w:val="000000"/>
          <w:lang w:val="en-NZ"/>
        </w:rPr>
      </w:pPr>
      <w:r w:rsidRPr="005A1E6A">
        <w:rPr>
          <w:color w:val="000000"/>
          <w:lang w:val="en-NZ"/>
        </w:rPr>
        <w:t xml:space="preserve">Published in </w:t>
      </w:r>
      <w:r w:rsidR="001D6EAA" w:rsidRPr="005A1E6A">
        <w:rPr>
          <w:color w:val="000000"/>
          <w:lang w:val="en-NZ"/>
        </w:rPr>
        <w:t>July</w:t>
      </w:r>
      <w:r w:rsidRPr="005A1E6A">
        <w:rPr>
          <w:color w:val="000000"/>
          <w:lang w:val="en-NZ"/>
        </w:rPr>
        <w:t xml:space="preserve"> 2024 by Health New Zealand | Te Whatu Ora</w:t>
      </w:r>
      <w:r w:rsidRPr="005A1E6A">
        <w:rPr>
          <w:color w:val="000000"/>
          <w:lang w:val="en-NZ"/>
        </w:rPr>
        <w:br/>
        <w:t>PO Box 793, Wellington 6140, New Zealand</w:t>
      </w:r>
    </w:p>
    <w:p w14:paraId="3C38A78C" w14:textId="2DB00ED8" w:rsidR="00DC3E88" w:rsidRPr="003067B9" w:rsidRDefault="00DC3E88" w:rsidP="00DC3E88">
      <w:pPr>
        <w:rPr>
          <w:lang w:val="en-NZ"/>
        </w:rPr>
      </w:pPr>
      <w:r w:rsidRPr="00A97976">
        <w:rPr>
          <w:lang w:val="en-NZ"/>
        </w:rPr>
        <w:t>IS</w:t>
      </w:r>
      <w:r w:rsidR="006A7D89">
        <w:rPr>
          <w:lang w:val="en-NZ"/>
        </w:rPr>
        <w:t>S</w:t>
      </w:r>
      <w:r w:rsidRPr="00A97976">
        <w:rPr>
          <w:lang w:val="en-NZ"/>
        </w:rPr>
        <w:t>N 2816-1823 (online)</w:t>
      </w:r>
    </w:p>
    <w:p w14:paraId="64808AB6" w14:textId="77777777" w:rsidR="00DC3E88" w:rsidRPr="003067B9" w:rsidRDefault="00DC3E88" w:rsidP="00DC3E88">
      <w:pPr>
        <w:rPr>
          <w:lang w:val="en-NZ"/>
        </w:rPr>
      </w:pPr>
      <w:r w:rsidRPr="003067B9">
        <w:rPr>
          <w:noProof/>
          <w:lang w:val="en-NZ" w:eastAsia="en-NZ"/>
        </w:rPr>
        <w:drawing>
          <wp:inline distT="0" distB="0" distL="0" distR="0" wp14:anchorId="0D0A476F" wp14:editId="5E632FC9">
            <wp:extent cx="1413017" cy="253368"/>
            <wp:effectExtent l="0" t="0" r="0" b="0"/>
            <wp:docPr id="53894788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bwMode="auto">
                    <a:xfrm>
                      <a:off x="0" y="0"/>
                      <a:ext cx="1413017" cy="253368"/>
                    </a:xfrm>
                    <a:prstGeom prst="rect">
                      <a:avLst/>
                    </a:prstGeom>
                  </pic:spPr>
                </pic:pic>
              </a:graphicData>
            </a:graphic>
          </wp:inline>
        </w:drawing>
      </w:r>
    </w:p>
    <w:p w14:paraId="325654B0" w14:textId="74F05E3A" w:rsidR="00DC3E88" w:rsidRPr="003067B9" w:rsidRDefault="00DC3E88" w:rsidP="00DC3E88">
      <w:pPr>
        <w:rPr>
          <w:lang w:val="en-NZ"/>
        </w:rPr>
      </w:pPr>
      <w:r w:rsidRPr="003067B9">
        <w:rPr>
          <w:lang w:val="en-NZ"/>
        </w:rPr>
        <w:t xml:space="preserve">This document is </w:t>
      </w:r>
      <w:r w:rsidRPr="00246E5D">
        <w:rPr>
          <w:lang w:val="en-NZ"/>
        </w:rPr>
        <w:t xml:space="preserve">available at </w:t>
      </w:r>
      <w:hyperlink r:id="rId11" w:history="1">
        <w:r w:rsidRPr="00246E5D">
          <w:rPr>
            <w:rStyle w:val="Hyperlink"/>
            <w:b/>
            <w:bCs/>
            <w:color w:val="auto"/>
            <w:lang w:val="en-NZ"/>
          </w:rPr>
          <w:t>tewhatuora.govt.nz</w:t>
        </w:r>
      </w:hyperlink>
      <w:r w:rsidRPr="00246E5D">
        <w:rPr>
          <w:lang w:val="en-NZ"/>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69"/>
        <w:gridCol w:w="7523"/>
      </w:tblGrid>
      <w:tr w:rsidR="00DC3E88" w:rsidRPr="00D4706E" w14:paraId="46D94014" w14:textId="77777777" w:rsidTr="00246E5D">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auto"/>
          </w:tcPr>
          <w:p w14:paraId="34FBC558" w14:textId="77777777" w:rsidR="00DC3E88" w:rsidRPr="00246E5D" w:rsidRDefault="00DC3E88">
            <w:pPr>
              <w:rPr>
                <w:b w:val="0"/>
                <w:bCs/>
                <w:lang w:val="en-NZ"/>
              </w:rPr>
            </w:pPr>
            <w:r w:rsidRPr="00246E5D">
              <w:rPr>
                <w:rFonts w:cs="Segoe UI"/>
                <w:b w:val="0"/>
                <w:bCs/>
                <w:noProof/>
                <w:sz w:val="15"/>
                <w:szCs w:val="15"/>
                <w:lang w:val="en-NZ" w:eastAsia="en-NZ"/>
              </w:rPr>
              <w:drawing>
                <wp:inline distT="0" distB="0" distL="0" distR="0" wp14:anchorId="1E2D1048" wp14:editId="41D660F7">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shd w:val="clear" w:color="auto" w:fill="auto"/>
          </w:tcPr>
          <w:p w14:paraId="39CE9FE7" w14:textId="12C239F6" w:rsidR="00DC3E88" w:rsidRPr="00246E5D" w:rsidRDefault="00246E5D">
            <w:pPr>
              <w:rPr>
                <w:b w:val="0"/>
                <w:bCs/>
                <w:lang w:val="en-NZ"/>
              </w:rPr>
            </w:pPr>
            <w:r>
              <w:rPr>
                <w:b w:val="0"/>
                <w:bCs/>
                <w:lang w:val="en-NZ"/>
              </w:rPr>
              <w:t xml:space="preserve">      </w:t>
            </w:r>
            <w:r w:rsidR="00DC3E88" w:rsidRPr="00246E5D">
              <w:rPr>
                <w:b w:val="0"/>
                <w:bCs/>
                <w:lang w:val="en-NZ"/>
              </w:rP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01F890A0" w14:textId="5893C97F" w:rsidR="00332A33" w:rsidRPr="003067B9" w:rsidRDefault="00332A33" w:rsidP="00DC3E88">
      <w:pPr>
        <w:rPr>
          <w:lang w:val="en-NZ"/>
        </w:rPr>
      </w:pPr>
    </w:p>
    <w:p w14:paraId="4A8BE99F" w14:textId="7F096504" w:rsidR="00332A33" w:rsidRPr="003067B9" w:rsidRDefault="00332A33" w:rsidP="00DC3E88">
      <w:pPr>
        <w:rPr>
          <w:b/>
          <w:color w:val="FF0000"/>
          <w:sz w:val="48"/>
          <w:szCs w:val="48"/>
          <w:lang w:val="en-NZ"/>
        </w:rPr>
      </w:pPr>
    </w:p>
    <w:p w14:paraId="177C0CF8" w14:textId="07038371" w:rsidR="00DC3E88" w:rsidRPr="003067B9" w:rsidRDefault="00DC3E88" w:rsidP="00DC3E88">
      <w:pPr>
        <w:rPr>
          <w:lang w:val="en-NZ"/>
        </w:rPr>
      </w:pPr>
      <w:r w:rsidRPr="003067B9">
        <w:rPr>
          <w:lang w:val="en-NZ"/>
        </w:rPr>
        <w:br w:type="page"/>
      </w:r>
    </w:p>
    <w:p w14:paraId="7EC998EE" w14:textId="4C0C7879" w:rsidR="00AF0DE7" w:rsidRPr="00D4706E" w:rsidRDefault="00E672BE" w:rsidP="000E0804">
      <w:pPr>
        <w:pStyle w:val="Heading1"/>
        <w:rPr>
          <w:color w:val="1C2549"/>
          <w:sz w:val="72"/>
          <w:szCs w:val="72"/>
        </w:rPr>
      </w:pPr>
      <w:bookmarkStart w:id="2" w:name="_Toc162008434"/>
      <w:bookmarkStart w:id="3" w:name="_Toc163580391"/>
      <w:bookmarkStart w:id="4" w:name="_Toc170199138"/>
      <w:r w:rsidRPr="00D4706E">
        <w:rPr>
          <w:color w:val="1C2549"/>
          <w:sz w:val="72"/>
          <w:szCs w:val="72"/>
        </w:rPr>
        <w:lastRenderedPageBreak/>
        <w:t xml:space="preserve">Summary </w:t>
      </w:r>
      <w:r w:rsidR="00AF0DE7" w:rsidRPr="00D4706E">
        <w:rPr>
          <w:color w:val="1C2549"/>
          <w:sz w:val="72"/>
          <w:szCs w:val="72"/>
        </w:rPr>
        <w:t>from our CE</w:t>
      </w:r>
      <w:bookmarkEnd w:id="2"/>
      <w:bookmarkEnd w:id="3"/>
      <w:bookmarkEnd w:id="4"/>
    </w:p>
    <w:p w14:paraId="1962D16F" w14:textId="23A35BEE" w:rsidR="009E2778" w:rsidRPr="0006465A" w:rsidRDefault="009E2778" w:rsidP="000E0804">
      <w:pPr>
        <w:rPr>
          <w:lang w:val="en-NZ"/>
        </w:rPr>
      </w:pPr>
      <w:r w:rsidRPr="0006465A">
        <w:rPr>
          <w:lang w:val="en-NZ"/>
        </w:rPr>
        <w:t xml:space="preserve">This report summarises our work during quarter three (1 January – 31 March 2024) and presents our progress against expectations set out in Te Pae Tata | the interim New Zealand Health Plan and the Statement of Performance Expectations.  Highlights you will see expanded in this quarterly report </w:t>
      </w:r>
      <w:r w:rsidR="00391991" w:rsidRPr="0006465A">
        <w:rPr>
          <w:lang w:val="en-NZ"/>
        </w:rPr>
        <w:t>are set out below.</w:t>
      </w:r>
      <w:r w:rsidRPr="0006465A">
        <w:rPr>
          <w:lang w:val="en-NZ"/>
        </w:rPr>
        <w:t xml:space="preserve"> </w:t>
      </w:r>
    </w:p>
    <w:p w14:paraId="7424CDBF" w14:textId="4A904899" w:rsidR="00255B4B" w:rsidRPr="0006465A" w:rsidRDefault="00255B4B" w:rsidP="000E0804">
      <w:pPr>
        <w:pStyle w:val="Bulletpoints"/>
        <w:rPr>
          <w:lang w:val="en-NZ"/>
        </w:rPr>
      </w:pPr>
      <w:r w:rsidRPr="0006465A">
        <w:rPr>
          <w:lang w:val="en-NZ"/>
        </w:rPr>
        <w:t xml:space="preserve">This quarter, the extension of breast cancer screening to women aged 70-74 was announced. </w:t>
      </w:r>
      <w:r w:rsidR="00A066D4" w:rsidRPr="0006465A">
        <w:rPr>
          <w:lang w:val="en-NZ"/>
        </w:rPr>
        <w:t>This will begin in Nelson-Marlborough at the end of 2024.</w:t>
      </w:r>
    </w:p>
    <w:p w14:paraId="41D33848" w14:textId="77777777" w:rsidR="00E672BE" w:rsidRPr="0006465A" w:rsidRDefault="002F4A90" w:rsidP="000E0804">
      <w:pPr>
        <w:pStyle w:val="Bulletpoints"/>
        <w:rPr>
          <w:lang w:val="en-NZ"/>
        </w:rPr>
      </w:pPr>
      <w:r w:rsidRPr="0006465A">
        <w:rPr>
          <w:lang w:val="en-NZ"/>
        </w:rPr>
        <w:t>To increase childhood immunisation rates, we</w:t>
      </w:r>
      <w:r w:rsidR="00554D2C" w:rsidRPr="0006465A">
        <w:rPr>
          <w:lang w:val="en-NZ"/>
        </w:rPr>
        <w:t xml:space="preserve"> began expanding </w:t>
      </w:r>
      <w:r w:rsidR="005F1DEF" w:rsidRPr="0006465A">
        <w:rPr>
          <w:lang w:val="en-NZ"/>
        </w:rPr>
        <w:t xml:space="preserve">vaccinator eligibility, with </w:t>
      </w:r>
      <w:r w:rsidRPr="0006465A">
        <w:rPr>
          <w:lang w:val="en-NZ"/>
        </w:rPr>
        <w:t xml:space="preserve">training </w:t>
      </w:r>
      <w:r w:rsidR="005F1DEF" w:rsidRPr="0006465A">
        <w:rPr>
          <w:lang w:val="en-NZ"/>
        </w:rPr>
        <w:t xml:space="preserve">for </w:t>
      </w:r>
      <w:r w:rsidRPr="0006465A">
        <w:rPr>
          <w:lang w:val="en-NZ"/>
        </w:rPr>
        <w:t>pharmacists as vaccinators</w:t>
      </w:r>
      <w:r w:rsidR="005F1DEF" w:rsidRPr="0006465A">
        <w:rPr>
          <w:lang w:val="en-NZ"/>
        </w:rPr>
        <w:t xml:space="preserve"> starting in</w:t>
      </w:r>
      <w:r w:rsidRPr="0006465A">
        <w:rPr>
          <w:lang w:val="en-NZ"/>
        </w:rPr>
        <w:t xml:space="preserve"> April.</w:t>
      </w:r>
      <w:r w:rsidR="00E672BE" w:rsidRPr="0006465A">
        <w:rPr>
          <w:lang w:val="en-NZ"/>
        </w:rPr>
        <w:t xml:space="preserve"> </w:t>
      </w:r>
    </w:p>
    <w:p w14:paraId="214DA0EE" w14:textId="731C30B6" w:rsidR="00B974E7" w:rsidRPr="0006465A" w:rsidRDefault="00630489" w:rsidP="000E0804">
      <w:pPr>
        <w:pStyle w:val="Bulletpoints"/>
        <w:rPr>
          <w:lang w:val="en-NZ"/>
        </w:rPr>
      </w:pPr>
      <w:r w:rsidRPr="0006465A">
        <w:rPr>
          <w:lang w:val="en-NZ"/>
        </w:rPr>
        <w:t xml:space="preserve">Planned care productivity was affected in the first month of the quarter due to annual seasonal factors (eg public holidays). </w:t>
      </w:r>
      <w:r w:rsidR="00FF4E69" w:rsidRPr="0006465A">
        <w:rPr>
          <w:lang w:val="en-NZ"/>
        </w:rPr>
        <w:t>B</w:t>
      </w:r>
      <w:r w:rsidR="00B974E7" w:rsidRPr="0006465A">
        <w:rPr>
          <w:lang w:val="en-NZ"/>
        </w:rPr>
        <w:t xml:space="preserve">y the end of quarter three, </w:t>
      </w:r>
      <w:r w:rsidRPr="0006465A">
        <w:rPr>
          <w:lang w:val="en-NZ"/>
        </w:rPr>
        <w:t>this</w:t>
      </w:r>
      <w:r w:rsidR="00B974E7" w:rsidRPr="0006465A">
        <w:rPr>
          <w:lang w:val="en-NZ"/>
        </w:rPr>
        <w:t xml:space="preserve"> was ahead of schedule. Increased investment and outsourcing in planned care have led to more elective surgeries (eg orthopaedics, cataracts) delivered, resulting in a sustained reduction in the number of patients waiting longer than 365 days for treatment.</w:t>
      </w:r>
    </w:p>
    <w:p w14:paraId="3A66970C" w14:textId="2D3EB948" w:rsidR="00286A39" w:rsidRPr="0006465A" w:rsidRDefault="007157EF" w:rsidP="000E0804">
      <w:pPr>
        <w:pStyle w:val="Bulletpoints"/>
        <w:rPr>
          <w:lang w:val="en-NZ"/>
        </w:rPr>
      </w:pPr>
      <w:r w:rsidRPr="0006465A">
        <w:rPr>
          <w:lang w:val="en-NZ"/>
        </w:rPr>
        <w:t>Work progressed on the implementation plan</w:t>
      </w:r>
      <w:r w:rsidR="006E25C1" w:rsidRPr="0006465A">
        <w:rPr>
          <w:lang w:val="en-NZ"/>
        </w:rPr>
        <w:t>s</w:t>
      </w:r>
      <w:r w:rsidRPr="0006465A">
        <w:rPr>
          <w:lang w:val="en-NZ"/>
        </w:rPr>
        <w:t xml:space="preserve"> to monitor</w:t>
      </w:r>
      <w:r w:rsidR="00112622" w:rsidRPr="0006465A">
        <w:rPr>
          <w:lang w:val="en-NZ"/>
        </w:rPr>
        <w:t xml:space="preserve"> the five </w:t>
      </w:r>
      <w:r w:rsidR="006E25C1" w:rsidRPr="0006465A">
        <w:rPr>
          <w:lang w:val="en-NZ"/>
        </w:rPr>
        <w:t>National H</w:t>
      </w:r>
      <w:r w:rsidR="005B7B4B" w:rsidRPr="0006465A">
        <w:rPr>
          <w:lang w:val="en-NZ"/>
        </w:rPr>
        <w:t>ealth</w:t>
      </w:r>
      <w:r w:rsidR="00112622" w:rsidRPr="0006465A">
        <w:rPr>
          <w:lang w:val="en-NZ"/>
        </w:rPr>
        <w:t xml:space="preserve"> </w:t>
      </w:r>
      <w:r w:rsidR="006E25C1" w:rsidRPr="0006465A">
        <w:rPr>
          <w:lang w:val="en-NZ"/>
        </w:rPr>
        <w:t>T</w:t>
      </w:r>
      <w:r w:rsidR="00112622" w:rsidRPr="0006465A">
        <w:rPr>
          <w:lang w:val="en-NZ"/>
        </w:rPr>
        <w:t xml:space="preserve">argets, </w:t>
      </w:r>
      <w:r w:rsidRPr="0006465A">
        <w:rPr>
          <w:lang w:val="en-NZ"/>
        </w:rPr>
        <w:t>which</w:t>
      </w:r>
      <w:r w:rsidR="00112622" w:rsidRPr="0006465A">
        <w:rPr>
          <w:lang w:val="en-NZ"/>
        </w:rPr>
        <w:t xml:space="preserve"> come into effect on 1 July 2024. We will publish results on each of the five targets every quarter, starting with quarter one 2024/25 (July – September 2024).</w:t>
      </w:r>
    </w:p>
    <w:p w14:paraId="7F4FACCE" w14:textId="0E9BEE7E" w:rsidR="007A0B30" w:rsidRPr="0006465A" w:rsidRDefault="006A1AD1" w:rsidP="000E0804">
      <w:pPr>
        <w:pStyle w:val="Bulletpoints"/>
        <w:rPr>
          <w:lang w:val="en-NZ"/>
        </w:rPr>
      </w:pPr>
      <w:r w:rsidRPr="0006465A">
        <w:rPr>
          <w:lang w:val="en-NZ"/>
        </w:rPr>
        <w:t>We r</w:t>
      </w:r>
      <w:r w:rsidR="002B0B7E" w:rsidRPr="0006465A">
        <w:rPr>
          <w:lang w:val="en-NZ"/>
        </w:rPr>
        <w:t>eleased</w:t>
      </w:r>
      <w:r w:rsidR="00EE7199" w:rsidRPr="0006465A">
        <w:rPr>
          <w:lang w:val="en-NZ"/>
        </w:rPr>
        <w:t xml:space="preserve"> the</w:t>
      </w:r>
      <w:r w:rsidR="002B0B7E" w:rsidRPr="0006465A">
        <w:rPr>
          <w:lang w:val="en-NZ"/>
        </w:rPr>
        <w:t xml:space="preserve"> </w:t>
      </w:r>
      <w:hyperlink r:id="rId13" w:history="1">
        <w:r w:rsidR="002B0B7E" w:rsidRPr="0006465A">
          <w:rPr>
            <w:rStyle w:val="Hyperlink"/>
            <w:color w:val="auto"/>
            <w:lang w:val="en-NZ"/>
          </w:rPr>
          <w:t>Aotearoa New Zealand Health Status Report 2023</w:t>
        </w:r>
      </w:hyperlink>
      <w:r w:rsidR="002B0B7E" w:rsidRPr="0006465A">
        <w:rPr>
          <w:lang w:val="en-NZ"/>
        </w:rPr>
        <w:t>, which provides</w:t>
      </w:r>
      <w:r w:rsidRPr="0006465A">
        <w:rPr>
          <w:lang w:val="en-NZ"/>
        </w:rPr>
        <w:t xml:space="preserve"> </w:t>
      </w:r>
      <w:r w:rsidR="002B0B7E" w:rsidRPr="0006465A">
        <w:rPr>
          <w:lang w:val="en-NZ"/>
        </w:rPr>
        <w:t>a nationwide picture of the population’s health. The report highlights challenges</w:t>
      </w:r>
      <w:r w:rsidR="00B05EB0" w:rsidRPr="0006465A">
        <w:rPr>
          <w:lang w:val="en-NZ"/>
        </w:rPr>
        <w:t xml:space="preserve"> </w:t>
      </w:r>
      <w:r w:rsidR="002B0B7E" w:rsidRPr="0006465A">
        <w:rPr>
          <w:lang w:val="en-NZ"/>
        </w:rPr>
        <w:t>such as the country’s ageing population and gaps in health outcomes for some population groups.</w:t>
      </w:r>
    </w:p>
    <w:p w14:paraId="68AC5CD4" w14:textId="2EA55E69" w:rsidR="007A0B30" w:rsidRPr="0006465A" w:rsidRDefault="007A0B30" w:rsidP="000E0804">
      <w:pPr>
        <w:pStyle w:val="Bulletpoints"/>
        <w:rPr>
          <w:lang w:val="en-NZ"/>
        </w:rPr>
      </w:pPr>
      <w:r w:rsidRPr="0006465A">
        <w:rPr>
          <w:lang w:val="en-NZ"/>
        </w:rPr>
        <w:t>As part of delivering on the Health Workforce Plan 2023/24, we re-launched the Midwifery Return to Practice fund to attract more midwives back into the profession. The funding available has increased to reflect actual costs incurred for the programme and offers additional support for transport, family care and other costs.</w:t>
      </w:r>
    </w:p>
    <w:p w14:paraId="5C3C9C99" w14:textId="12B925F3" w:rsidR="00D548BD" w:rsidRPr="0006465A" w:rsidRDefault="00A425E4" w:rsidP="000E0804">
      <w:pPr>
        <w:pStyle w:val="Bulletpoints"/>
        <w:rPr>
          <w:lang w:val="en-NZ"/>
        </w:rPr>
      </w:pPr>
      <w:r w:rsidRPr="0006465A">
        <w:rPr>
          <w:lang w:val="en-NZ"/>
        </w:rPr>
        <w:t>W</w:t>
      </w:r>
      <w:r w:rsidR="00D548BD" w:rsidRPr="0006465A">
        <w:rPr>
          <w:lang w:val="en-NZ"/>
        </w:rPr>
        <w:t xml:space="preserve">e recruited </w:t>
      </w:r>
      <w:r w:rsidR="000B4141">
        <w:rPr>
          <w:lang w:val="en-NZ"/>
        </w:rPr>
        <w:t>more than</w:t>
      </w:r>
      <w:r w:rsidR="000B4141" w:rsidRPr="0006465A">
        <w:rPr>
          <w:lang w:val="en-NZ"/>
        </w:rPr>
        <w:t xml:space="preserve"> </w:t>
      </w:r>
      <w:r w:rsidR="00D548BD" w:rsidRPr="0006465A">
        <w:rPr>
          <w:lang w:val="en-NZ"/>
        </w:rPr>
        <w:t>2,432 nurses</w:t>
      </w:r>
      <w:r w:rsidRPr="0006465A">
        <w:rPr>
          <w:lang w:val="en-NZ"/>
        </w:rPr>
        <w:t xml:space="preserve"> in February</w:t>
      </w:r>
      <w:r w:rsidR="00D548BD" w:rsidRPr="0006465A">
        <w:rPr>
          <w:lang w:val="en-NZ"/>
        </w:rPr>
        <w:t xml:space="preserve">, bringing the year-to-date total to 38,915 </w:t>
      </w:r>
      <w:r w:rsidR="00A07272">
        <w:rPr>
          <w:lang w:val="en-NZ"/>
        </w:rPr>
        <w:t>Full Time Employees (</w:t>
      </w:r>
      <w:r w:rsidR="00D548BD" w:rsidRPr="0006465A">
        <w:rPr>
          <w:lang w:val="en-NZ"/>
        </w:rPr>
        <w:t>FTEs</w:t>
      </w:r>
      <w:r w:rsidR="00A07272">
        <w:rPr>
          <w:lang w:val="en-NZ"/>
        </w:rPr>
        <w:t>)</w:t>
      </w:r>
      <w:r w:rsidR="00D548BD" w:rsidRPr="0006465A">
        <w:rPr>
          <w:lang w:val="en-NZ"/>
        </w:rPr>
        <w:t xml:space="preserve"> compared to a budgeted 36,483. The increase in nursing staff is partly due to the employment of more than 1</w:t>
      </w:r>
      <w:r w:rsidR="00EB49D4" w:rsidRPr="0006465A">
        <w:rPr>
          <w:lang w:val="en-NZ"/>
        </w:rPr>
        <w:t>,</w:t>
      </w:r>
      <w:r w:rsidR="00D548BD" w:rsidRPr="0006465A">
        <w:rPr>
          <w:lang w:val="en-NZ"/>
        </w:rPr>
        <w:t xml:space="preserve">200 new graduate nurses in December and January. </w:t>
      </w:r>
    </w:p>
    <w:p w14:paraId="2F723F90" w14:textId="16F993A0" w:rsidR="00936F6F" w:rsidRPr="0006465A" w:rsidRDefault="00936F6F" w:rsidP="000E0804">
      <w:pPr>
        <w:pStyle w:val="Bulletpoints"/>
        <w:rPr>
          <w:lang w:val="en-NZ"/>
        </w:rPr>
      </w:pPr>
      <w:r w:rsidRPr="0006465A">
        <w:rPr>
          <w:lang w:val="en-NZ"/>
        </w:rPr>
        <w:t xml:space="preserve">The Aotearoa Immunisation Register (launched in December) can take vaccination data from </w:t>
      </w:r>
      <w:r w:rsidR="0084487D">
        <w:rPr>
          <w:lang w:val="en-NZ"/>
        </w:rPr>
        <w:t>more than</w:t>
      </w:r>
      <w:r w:rsidRPr="003067B9">
        <w:rPr>
          <w:lang w:val="en-NZ"/>
        </w:rPr>
        <w:t xml:space="preserve"> 8,000 providers including </w:t>
      </w:r>
      <w:r w:rsidR="0084487D">
        <w:rPr>
          <w:lang w:val="en-NZ"/>
        </w:rPr>
        <w:t>nearly</w:t>
      </w:r>
      <w:r w:rsidRPr="003067B9">
        <w:rPr>
          <w:lang w:val="en-NZ"/>
        </w:rPr>
        <w:t xml:space="preserve"> </w:t>
      </w:r>
      <w:r w:rsidRPr="0006465A">
        <w:rPr>
          <w:lang w:val="en-NZ"/>
        </w:rPr>
        <w:t>1,000 general practices.  More than 200,000 vaccination</w:t>
      </w:r>
      <w:r w:rsidR="00132217" w:rsidRPr="0006465A">
        <w:rPr>
          <w:lang w:val="en-NZ"/>
        </w:rPr>
        <w:t>s</w:t>
      </w:r>
      <w:r w:rsidRPr="0006465A">
        <w:rPr>
          <w:lang w:val="en-NZ"/>
        </w:rPr>
        <w:t xml:space="preserve"> were recorded this quarter.</w:t>
      </w:r>
    </w:p>
    <w:p w14:paraId="6387CC4D" w14:textId="4AAD4BA4" w:rsidR="00C22A17" w:rsidRPr="0006465A" w:rsidRDefault="00EE7199" w:rsidP="000E0804">
      <w:pPr>
        <w:pStyle w:val="Bulletpoints"/>
        <w:rPr>
          <w:lang w:val="en-NZ"/>
        </w:rPr>
      </w:pPr>
      <w:r w:rsidRPr="0006465A">
        <w:rPr>
          <w:lang w:val="en-NZ"/>
        </w:rPr>
        <w:t>W</w:t>
      </w:r>
      <w:r w:rsidR="00F8021E" w:rsidRPr="0006465A">
        <w:rPr>
          <w:lang w:val="en-NZ"/>
        </w:rPr>
        <w:t xml:space="preserve">e worked alongside Te Aka Whai Ora and the Ministry </w:t>
      </w:r>
      <w:r w:rsidR="00BA31E7" w:rsidRPr="0006465A">
        <w:rPr>
          <w:lang w:val="en-NZ"/>
        </w:rPr>
        <w:t xml:space="preserve">of Health </w:t>
      </w:r>
      <w:r w:rsidR="00F8021E" w:rsidRPr="0006465A">
        <w:rPr>
          <w:lang w:val="en-NZ"/>
        </w:rPr>
        <w:t xml:space="preserve">to support the transition of </w:t>
      </w:r>
      <w:r w:rsidRPr="0006465A">
        <w:rPr>
          <w:lang w:val="en-NZ"/>
        </w:rPr>
        <w:t>Te Aka Whai Ora</w:t>
      </w:r>
      <w:r w:rsidR="00F8021E" w:rsidRPr="0006465A">
        <w:rPr>
          <w:lang w:val="en-NZ"/>
        </w:rPr>
        <w:t> kaimahi to Health NZ </w:t>
      </w:r>
      <w:r w:rsidRPr="0006465A">
        <w:rPr>
          <w:lang w:val="en-NZ"/>
        </w:rPr>
        <w:t>into a new</w:t>
      </w:r>
      <w:r w:rsidR="00F8021E" w:rsidRPr="0006465A">
        <w:rPr>
          <w:lang w:val="en-NZ"/>
        </w:rPr>
        <w:t xml:space="preserve"> Hauora Māori </w:t>
      </w:r>
      <w:r w:rsidR="00F8021E" w:rsidRPr="0006465A">
        <w:rPr>
          <w:lang w:val="en-NZ"/>
        </w:rPr>
        <w:lastRenderedPageBreak/>
        <w:t>Services group</w:t>
      </w:r>
      <w:r w:rsidRPr="0006465A">
        <w:rPr>
          <w:lang w:val="en-NZ"/>
        </w:rPr>
        <w:t xml:space="preserve"> from 1 April</w:t>
      </w:r>
      <w:r w:rsidR="00F8021E" w:rsidRPr="0006465A">
        <w:rPr>
          <w:lang w:val="en-NZ"/>
        </w:rPr>
        <w:t xml:space="preserve">. Additional connections were made with </w:t>
      </w:r>
      <w:r w:rsidR="004550FC" w:rsidRPr="0006465A">
        <w:rPr>
          <w:lang w:val="en-NZ"/>
        </w:rPr>
        <w:t xml:space="preserve">the </w:t>
      </w:r>
      <w:r w:rsidR="00F8021E" w:rsidRPr="0006465A">
        <w:rPr>
          <w:lang w:val="en-NZ"/>
        </w:rPr>
        <w:t>Iwi Māori Partnership Boards and the Hauora Māori Advisory Committee</w:t>
      </w:r>
      <w:r w:rsidR="000B4817" w:rsidRPr="0006465A" w:rsidDel="000A4AD9">
        <w:rPr>
          <w:lang w:val="en-NZ"/>
        </w:rPr>
        <w:t>.</w:t>
      </w:r>
    </w:p>
    <w:p w14:paraId="5FF0DE0D" w14:textId="4750AB8B" w:rsidR="00B701FB" w:rsidRPr="0006465A" w:rsidRDefault="00C22A17" w:rsidP="000E0804">
      <w:pPr>
        <w:rPr>
          <w:lang w:val="en-NZ"/>
        </w:rPr>
      </w:pPr>
      <w:r w:rsidRPr="0006465A">
        <w:rPr>
          <w:lang w:val="en-NZ"/>
        </w:rPr>
        <w:t xml:space="preserve">During the quarter we also faced </w:t>
      </w:r>
      <w:r w:rsidR="00F73306" w:rsidRPr="0006465A">
        <w:rPr>
          <w:lang w:val="en-NZ"/>
        </w:rPr>
        <w:t>several</w:t>
      </w:r>
      <w:r w:rsidRPr="0006465A">
        <w:rPr>
          <w:lang w:val="en-NZ"/>
        </w:rPr>
        <w:t xml:space="preserve"> challenges</w:t>
      </w:r>
      <w:r w:rsidR="00B701FB" w:rsidRPr="0006465A">
        <w:rPr>
          <w:lang w:val="en-NZ"/>
        </w:rPr>
        <w:t>.</w:t>
      </w:r>
      <w:r w:rsidRPr="0006465A">
        <w:rPr>
          <w:lang w:val="en-NZ"/>
        </w:rPr>
        <w:t xml:space="preserve"> In particular: </w:t>
      </w:r>
    </w:p>
    <w:p w14:paraId="42220611" w14:textId="729D2E65" w:rsidR="00FF35D2" w:rsidRPr="0006465A" w:rsidRDefault="00C22A17" w:rsidP="000E0804">
      <w:pPr>
        <w:pStyle w:val="Bulletpoints"/>
        <w:rPr>
          <w:lang w:val="en-NZ"/>
        </w:rPr>
      </w:pPr>
      <w:r w:rsidRPr="0006465A">
        <w:rPr>
          <w:lang w:val="en-NZ"/>
        </w:rPr>
        <w:t>First Specialist A</w:t>
      </w:r>
      <w:r w:rsidR="001F34CD" w:rsidRPr="0006465A">
        <w:rPr>
          <w:lang w:val="en-NZ"/>
        </w:rPr>
        <w:t>ssessment</w:t>
      </w:r>
      <w:r w:rsidR="00F01952" w:rsidRPr="0006465A">
        <w:rPr>
          <w:lang w:val="en-NZ"/>
        </w:rPr>
        <w:t xml:space="preserve"> (FSA)</w:t>
      </w:r>
      <w:r w:rsidR="001F34CD" w:rsidRPr="0006465A">
        <w:rPr>
          <w:lang w:val="en-NZ"/>
        </w:rPr>
        <w:t xml:space="preserve"> waitlist</w:t>
      </w:r>
      <w:r w:rsidR="006B1786" w:rsidRPr="0006465A">
        <w:rPr>
          <w:lang w:val="en-NZ"/>
        </w:rPr>
        <w:t xml:space="preserve"> increased</w:t>
      </w:r>
      <w:r w:rsidR="004658C1" w:rsidRPr="0006465A">
        <w:rPr>
          <w:lang w:val="en-NZ"/>
        </w:rPr>
        <w:t xml:space="preserve"> (waiting more than four months)</w:t>
      </w:r>
      <w:r w:rsidR="002C4011" w:rsidRPr="0006465A">
        <w:rPr>
          <w:lang w:val="en-NZ"/>
        </w:rPr>
        <w:t xml:space="preserve">. </w:t>
      </w:r>
      <w:r w:rsidR="002D094A" w:rsidRPr="0006465A">
        <w:rPr>
          <w:lang w:val="en-NZ"/>
        </w:rPr>
        <w:t xml:space="preserve">We are </w:t>
      </w:r>
      <w:r w:rsidR="00ED7225" w:rsidRPr="0006465A">
        <w:rPr>
          <w:lang w:val="en-NZ"/>
        </w:rPr>
        <w:t>work</w:t>
      </w:r>
      <w:r w:rsidR="002D094A" w:rsidRPr="0006465A">
        <w:rPr>
          <w:lang w:val="en-NZ"/>
        </w:rPr>
        <w:t>ing</w:t>
      </w:r>
      <w:r w:rsidR="00ED7225" w:rsidRPr="0006465A">
        <w:rPr>
          <w:lang w:val="en-NZ"/>
        </w:rPr>
        <w:t xml:space="preserve"> on phase one of our patient communications (contact) project</w:t>
      </w:r>
      <w:r w:rsidR="00AD37DF" w:rsidRPr="0006465A">
        <w:rPr>
          <w:lang w:val="en-NZ"/>
        </w:rPr>
        <w:t xml:space="preserve">, starting with </w:t>
      </w:r>
      <w:r w:rsidR="00CE5572" w:rsidRPr="0006465A">
        <w:rPr>
          <w:lang w:val="en-NZ"/>
        </w:rPr>
        <w:t>those</w:t>
      </w:r>
      <w:r w:rsidR="00ED7225" w:rsidRPr="0006465A">
        <w:rPr>
          <w:lang w:val="en-NZ"/>
        </w:rPr>
        <w:t xml:space="preserve"> waiting </w:t>
      </w:r>
      <w:r w:rsidR="00CE5572" w:rsidRPr="0006465A">
        <w:rPr>
          <w:lang w:val="en-NZ"/>
        </w:rPr>
        <w:t>over</w:t>
      </w:r>
      <w:r w:rsidR="00ED7225" w:rsidRPr="0006465A">
        <w:rPr>
          <w:lang w:val="en-NZ"/>
        </w:rPr>
        <w:t xml:space="preserve"> four months for FSA in General Surgery, Ophthalmology, Gynaecology, and Orthopaedics. </w:t>
      </w:r>
      <w:r w:rsidR="00FF35D2" w:rsidRPr="0006465A">
        <w:rPr>
          <w:lang w:val="en-NZ"/>
        </w:rPr>
        <w:t xml:space="preserve">The purpose is to contact patients to apologise for delays, verify their information, and inform </w:t>
      </w:r>
      <w:r w:rsidR="00132217" w:rsidRPr="0006465A">
        <w:rPr>
          <w:lang w:val="en-NZ"/>
        </w:rPr>
        <w:t xml:space="preserve">about </w:t>
      </w:r>
      <w:r w:rsidR="00FF35D2" w:rsidRPr="0006465A">
        <w:rPr>
          <w:lang w:val="en-NZ"/>
        </w:rPr>
        <w:t>what to do if their condition changes or they want to discuss options.</w:t>
      </w:r>
    </w:p>
    <w:p w14:paraId="2A352B48" w14:textId="68849FEF" w:rsidR="00F01952" w:rsidRPr="0006465A" w:rsidRDefault="008274C0" w:rsidP="000E0804">
      <w:pPr>
        <w:pStyle w:val="Bulletpoints"/>
        <w:rPr>
          <w:lang w:val="en-NZ"/>
        </w:rPr>
      </w:pPr>
      <w:r w:rsidRPr="0006465A">
        <w:rPr>
          <w:lang w:val="en-NZ"/>
        </w:rPr>
        <w:t>Planned care waitlist (p</w:t>
      </w:r>
      <w:r w:rsidR="00547B49" w:rsidRPr="0006465A">
        <w:rPr>
          <w:lang w:val="en-NZ"/>
        </w:rPr>
        <w:t>eople waiting more than four months for a procedure</w:t>
      </w:r>
      <w:r w:rsidRPr="0006465A">
        <w:rPr>
          <w:lang w:val="en-NZ"/>
        </w:rPr>
        <w:t>)</w:t>
      </w:r>
      <w:r w:rsidR="00544C81" w:rsidRPr="0006465A">
        <w:rPr>
          <w:lang w:val="en-NZ"/>
        </w:rPr>
        <w:t xml:space="preserve"> increased</w:t>
      </w:r>
      <w:r w:rsidR="00547B49" w:rsidRPr="0006465A">
        <w:rPr>
          <w:lang w:val="en-NZ"/>
        </w:rPr>
        <w:t xml:space="preserve">. </w:t>
      </w:r>
      <w:r w:rsidR="00F840AB" w:rsidRPr="0006465A">
        <w:rPr>
          <w:lang w:val="en-NZ"/>
        </w:rPr>
        <w:t>A national performance monitoring framework is now operational, providing insights for improvement plans. An intensive support team will work with underperforming areas</w:t>
      </w:r>
      <w:r w:rsidR="000B6F87" w:rsidRPr="0006465A">
        <w:rPr>
          <w:lang w:val="en-NZ"/>
        </w:rPr>
        <w:t xml:space="preserve">, </w:t>
      </w:r>
      <w:r w:rsidR="00CF4D53" w:rsidRPr="0006465A">
        <w:rPr>
          <w:lang w:val="en-NZ"/>
        </w:rPr>
        <w:t>with specific attention given to Canterbury, Southern, Bay of Plenty, Taranaki, and Midcentral due to performance challenges.</w:t>
      </w:r>
    </w:p>
    <w:p w14:paraId="34FDFE98" w14:textId="7118D045" w:rsidR="00BC43B4" w:rsidRPr="0006465A" w:rsidRDefault="008274C0" w:rsidP="000E0804">
      <w:pPr>
        <w:pStyle w:val="Bulletpoints"/>
        <w:rPr>
          <w:lang w:val="en-NZ"/>
        </w:rPr>
      </w:pPr>
      <w:r w:rsidRPr="0006465A">
        <w:rPr>
          <w:lang w:val="en-NZ"/>
        </w:rPr>
        <w:t>E</w:t>
      </w:r>
      <w:r w:rsidR="00111655" w:rsidRPr="0006465A">
        <w:rPr>
          <w:lang w:val="en-NZ"/>
        </w:rPr>
        <w:t>ligible cancer patients receiving their first treatment within 31 days decreased</w:t>
      </w:r>
      <w:r w:rsidR="00A60A36" w:rsidRPr="0006465A">
        <w:rPr>
          <w:lang w:val="en-NZ"/>
        </w:rPr>
        <w:t xml:space="preserve">. We are committed to improving cancer treatment by focusing on </w:t>
      </w:r>
      <w:r w:rsidR="001770A9" w:rsidRPr="0006465A">
        <w:rPr>
          <w:lang w:val="en-NZ"/>
        </w:rPr>
        <w:t xml:space="preserve">improving </w:t>
      </w:r>
      <w:r w:rsidR="00A60A36" w:rsidRPr="0006465A">
        <w:rPr>
          <w:lang w:val="en-NZ"/>
        </w:rPr>
        <w:t>access to diagnostic equipment, and international recruitment for radiation therapists and oncologists.</w:t>
      </w:r>
    </w:p>
    <w:p w14:paraId="48A9827F" w14:textId="77777777" w:rsidR="00146314" w:rsidRPr="0006465A" w:rsidRDefault="00146314" w:rsidP="00146314">
      <w:pPr>
        <w:pStyle w:val="ListParagraph"/>
        <w:spacing w:before="120" w:after="120"/>
        <w:ind w:left="714"/>
        <w:contextualSpacing w:val="0"/>
        <w:rPr>
          <w:szCs w:val="24"/>
          <w:lang w:val="en-NZ"/>
        </w:rPr>
      </w:pPr>
    </w:p>
    <w:p w14:paraId="23F19205" w14:textId="260677BF" w:rsidR="00C44A14" w:rsidRPr="0006465A" w:rsidRDefault="00C44A14" w:rsidP="00C44A14">
      <w:pPr>
        <w:rPr>
          <w:b/>
          <w:szCs w:val="24"/>
          <w:lang w:val="en-NZ"/>
        </w:rPr>
      </w:pPr>
      <w:r w:rsidRPr="0006465A">
        <w:rPr>
          <w:b/>
          <w:szCs w:val="24"/>
          <w:lang w:val="en-NZ"/>
        </w:rPr>
        <w:t xml:space="preserve">Fepulea’i Margie Apa </w:t>
      </w:r>
      <w:r w:rsidRPr="0006465A">
        <w:rPr>
          <w:b/>
          <w:szCs w:val="24"/>
          <w:lang w:val="en-NZ"/>
        </w:rPr>
        <w:br/>
        <w:t xml:space="preserve">Chief Executive </w:t>
      </w:r>
      <w:r w:rsidRPr="0006465A">
        <w:rPr>
          <w:b/>
          <w:szCs w:val="24"/>
          <w:lang w:val="en-NZ"/>
        </w:rPr>
        <w:br/>
        <w:t xml:space="preserve">Health New Zealand | Te Whatu Ora  </w:t>
      </w:r>
      <w:r w:rsidRPr="0006465A">
        <w:rPr>
          <w:szCs w:val="24"/>
          <w:lang w:val="en-NZ"/>
        </w:rPr>
        <w:br w:type="page"/>
      </w:r>
    </w:p>
    <w:p w14:paraId="06E95AC4" w14:textId="679D0FD7" w:rsidR="005B2AC8" w:rsidRPr="00D4706E" w:rsidRDefault="0074721C" w:rsidP="0074721C">
      <w:pPr>
        <w:pStyle w:val="TOCHeading"/>
        <w:rPr>
          <w:color w:val="15284C"/>
          <w:sz w:val="72"/>
          <w:szCs w:val="72"/>
        </w:rPr>
      </w:pPr>
      <w:r w:rsidRPr="00D4706E">
        <w:rPr>
          <w:color w:val="15284C"/>
          <w:sz w:val="72"/>
          <w:szCs w:val="72"/>
        </w:rPr>
        <w:lastRenderedPageBreak/>
        <w:t>Contents</w:t>
      </w:r>
    </w:p>
    <w:p w14:paraId="56501DD7" w14:textId="6C7BC0C0" w:rsidR="007E7E0E" w:rsidRPr="00D4706E" w:rsidRDefault="007E7E0E" w:rsidP="00801165">
      <w:pPr>
        <w:pStyle w:val="TOC1"/>
        <w:rPr>
          <w:rFonts w:asciiTheme="minorHAnsi" w:eastAsiaTheme="minorEastAsia" w:hAnsiTheme="minorHAnsi" w:cstheme="minorBidi"/>
          <w:kern w:val="2"/>
          <w:szCs w:val="24"/>
          <w:lang w:val="en-NZ" w:eastAsia="en-NZ"/>
          <w14:ligatures w14:val="standardContextual"/>
        </w:rPr>
      </w:pPr>
      <w:r w:rsidRPr="00D4706E">
        <w:rPr>
          <w:lang w:val="en-NZ"/>
        </w:rPr>
        <w:fldChar w:fldCharType="begin"/>
      </w:r>
      <w:r w:rsidRPr="003067B9">
        <w:rPr>
          <w:lang w:val="en-NZ"/>
        </w:rPr>
        <w:instrText xml:space="preserve"> TOC \o "2-2" \h \z \t "Heading 1,1,Numbered Heading 1,1" </w:instrText>
      </w:r>
      <w:r w:rsidRPr="00D4706E">
        <w:rPr>
          <w:lang w:val="en-NZ"/>
        </w:rPr>
        <w:fldChar w:fldCharType="separate"/>
      </w:r>
      <w:hyperlink w:anchor="_Toc170199138" w:history="1">
        <w:r w:rsidRPr="003067B9">
          <w:rPr>
            <w:rStyle w:val="Hyperlink"/>
            <w:b/>
            <w:bCs/>
            <w:lang w:val="en-NZ"/>
          </w:rPr>
          <w:t xml:space="preserve">Summary </w:t>
        </w:r>
        <w:r w:rsidR="00026E05">
          <w:rPr>
            <w:rStyle w:val="Hyperlink"/>
            <w:b/>
            <w:bCs/>
            <w:lang w:val="en-NZ"/>
          </w:rPr>
          <w:t>f</w:t>
        </w:r>
        <w:r w:rsidRPr="003067B9">
          <w:rPr>
            <w:rStyle w:val="Hyperlink"/>
            <w:b/>
            <w:bCs/>
            <w:lang w:val="en-NZ"/>
          </w:rPr>
          <w:t>rom our CE</w:t>
        </w:r>
        <w:r w:rsidRPr="003067B9">
          <w:rPr>
            <w:webHidden/>
            <w:lang w:val="en-NZ"/>
          </w:rPr>
          <w:tab/>
        </w:r>
        <w:r w:rsidRPr="003067B9">
          <w:rPr>
            <w:webHidden/>
            <w:lang w:val="en-NZ"/>
          </w:rPr>
          <w:fldChar w:fldCharType="begin"/>
        </w:r>
        <w:r w:rsidRPr="003067B9">
          <w:rPr>
            <w:webHidden/>
            <w:lang w:val="en-NZ"/>
          </w:rPr>
          <w:instrText xml:space="preserve"> PAGEREF _Toc170199138 \h </w:instrText>
        </w:r>
        <w:r w:rsidRPr="003067B9">
          <w:rPr>
            <w:webHidden/>
            <w:lang w:val="en-NZ"/>
          </w:rPr>
        </w:r>
        <w:r w:rsidRPr="003067B9">
          <w:rPr>
            <w:webHidden/>
            <w:lang w:val="en-NZ"/>
          </w:rPr>
          <w:fldChar w:fldCharType="separate"/>
        </w:r>
        <w:r w:rsidR="003F5ECC">
          <w:rPr>
            <w:webHidden/>
            <w:lang w:val="en-NZ"/>
          </w:rPr>
          <w:t>2</w:t>
        </w:r>
        <w:r w:rsidRPr="003067B9">
          <w:rPr>
            <w:webHidden/>
            <w:lang w:val="en-NZ"/>
          </w:rPr>
          <w:fldChar w:fldCharType="end"/>
        </w:r>
      </w:hyperlink>
    </w:p>
    <w:p w14:paraId="5A95ABE1" w14:textId="24AB8995" w:rsidR="007E7E0E" w:rsidRPr="00D4706E" w:rsidRDefault="00000000" w:rsidP="00801165">
      <w:pPr>
        <w:pStyle w:val="TOC1"/>
        <w:rPr>
          <w:rFonts w:asciiTheme="minorHAnsi" w:eastAsiaTheme="minorEastAsia" w:hAnsiTheme="minorHAnsi" w:cstheme="minorBidi"/>
          <w:kern w:val="2"/>
          <w:szCs w:val="24"/>
          <w:lang w:val="en-NZ" w:eastAsia="en-NZ"/>
          <w14:ligatures w14:val="standardContextual"/>
        </w:rPr>
      </w:pPr>
      <w:hyperlink w:anchor="_Toc170199139" w:history="1">
        <w:r w:rsidR="007E7E0E" w:rsidRPr="003067B9">
          <w:rPr>
            <w:rStyle w:val="Hyperlink"/>
            <w:b/>
            <w:bCs/>
            <w:lang w:val="en-NZ"/>
          </w:rPr>
          <w:t>1.</w:t>
        </w:r>
        <w:r w:rsidR="007E7E0E" w:rsidRPr="00D4706E">
          <w:rPr>
            <w:rFonts w:asciiTheme="minorHAnsi" w:eastAsiaTheme="minorEastAsia" w:hAnsiTheme="minorHAnsi" w:cstheme="minorBidi"/>
            <w:kern w:val="2"/>
            <w:szCs w:val="24"/>
            <w:lang w:val="en-NZ" w:eastAsia="en-NZ"/>
            <w14:ligatures w14:val="standardContextual"/>
          </w:rPr>
          <w:tab/>
        </w:r>
        <w:r w:rsidR="007E7E0E" w:rsidRPr="003067B9">
          <w:rPr>
            <w:rStyle w:val="Hyperlink"/>
            <w:b/>
            <w:bCs/>
            <w:lang w:val="en-NZ"/>
          </w:rPr>
          <w:t xml:space="preserve">Snapshot for the </w:t>
        </w:r>
        <w:r w:rsidR="00DC62ED">
          <w:rPr>
            <w:rStyle w:val="Hyperlink"/>
            <w:b/>
            <w:bCs/>
            <w:lang w:val="en-NZ"/>
          </w:rPr>
          <w:t>q</w:t>
        </w:r>
        <w:r w:rsidR="007E7E0E" w:rsidRPr="003067B9">
          <w:rPr>
            <w:rStyle w:val="Hyperlink"/>
            <w:b/>
            <w:bCs/>
            <w:lang w:val="en-NZ"/>
          </w:rPr>
          <w:t>uarter</w:t>
        </w:r>
        <w:r w:rsidR="007E7E0E" w:rsidRPr="003067B9">
          <w:rPr>
            <w:webHidden/>
            <w:lang w:val="en-NZ"/>
          </w:rPr>
          <w:tab/>
        </w:r>
        <w:r w:rsidR="00D4268E">
          <w:rPr>
            <w:webHidden/>
            <w:lang w:val="en-NZ"/>
          </w:rPr>
          <w:t>5</w:t>
        </w:r>
      </w:hyperlink>
    </w:p>
    <w:p w14:paraId="17675A2D" w14:textId="3629A0D0" w:rsidR="007E7E0E" w:rsidRPr="00D4706E" w:rsidRDefault="00000000" w:rsidP="00801165">
      <w:pPr>
        <w:pStyle w:val="TOC1"/>
        <w:rPr>
          <w:rFonts w:asciiTheme="minorHAnsi" w:eastAsiaTheme="minorEastAsia" w:hAnsiTheme="minorHAnsi" w:cstheme="minorBidi"/>
          <w:kern w:val="2"/>
          <w:szCs w:val="24"/>
          <w:lang w:val="en-NZ" w:eastAsia="en-NZ"/>
          <w14:ligatures w14:val="standardContextual"/>
        </w:rPr>
      </w:pPr>
      <w:hyperlink w:anchor="_Toc170199141" w:history="1">
        <w:r w:rsidR="007E7E0E" w:rsidRPr="003067B9">
          <w:rPr>
            <w:rStyle w:val="Hyperlink"/>
            <w:b/>
            <w:bCs/>
            <w:lang w:val="en-NZ"/>
          </w:rPr>
          <w:t>2.</w:t>
        </w:r>
        <w:r w:rsidR="007E7E0E" w:rsidRPr="00D4706E">
          <w:rPr>
            <w:rFonts w:asciiTheme="minorHAnsi" w:eastAsiaTheme="minorEastAsia" w:hAnsiTheme="minorHAnsi" w:cstheme="minorBidi"/>
            <w:b/>
            <w:bCs/>
            <w:kern w:val="2"/>
            <w:szCs w:val="24"/>
            <w:lang w:val="en-NZ" w:eastAsia="en-NZ"/>
            <w14:ligatures w14:val="standardContextual"/>
          </w:rPr>
          <w:tab/>
        </w:r>
        <w:r w:rsidR="007E7E0E" w:rsidRPr="003067B9">
          <w:rPr>
            <w:rStyle w:val="Hyperlink"/>
            <w:b/>
            <w:bCs/>
            <w:lang w:val="en-NZ"/>
          </w:rPr>
          <w:t>Delivering the Interim New Zealand Health Plan</w:t>
        </w:r>
        <w:r w:rsidR="007E7E0E" w:rsidRPr="003067B9">
          <w:rPr>
            <w:webHidden/>
            <w:lang w:val="en-NZ"/>
          </w:rPr>
          <w:tab/>
        </w:r>
        <w:r w:rsidR="007E7E0E" w:rsidRPr="003067B9">
          <w:rPr>
            <w:webHidden/>
            <w:lang w:val="en-NZ"/>
          </w:rPr>
          <w:fldChar w:fldCharType="begin"/>
        </w:r>
        <w:r w:rsidR="007E7E0E" w:rsidRPr="003067B9">
          <w:rPr>
            <w:webHidden/>
            <w:lang w:val="en-NZ"/>
          </w:rPr>
          <w:instrText xml:space="preserve"> PAGEREF _Toc170199141 \h </w:instrText>
        </w:r>
        <w:r w:rsidR="007E7E0E" w:rsidRPr="003067B9">
          <w:rPr>
            <w:webHidden/>
            <w:lang w:val="en-NZ"/>
          </w:rPr>
        </w:r>
        <w:r w:rsidR="007E7E0E" w:rsidRPr="003067B9">
          <w:rPr>
            <w:webHidden/>
            <w:lang w:val="en-NZ"/>
          </w:rPr>
          <w:fldChar w:fldCharType="separate"/>
        </w:r>
        <w:r w:rsidR="003F5ECC">
          <w:rPr>
            <w:webHidden/>
            <w:lang w:val="en-NZ"/>
          </w:rPr>
          <w:t>8</w:t>
        </w:r>
        <w:r w:rsidR="007E7E0E" w:rsidRPr="003067B9">
          <w:rPr>
            <w:webHidden/>
            <w:lang w:val="en-NZ"/>
          </w:rPr>
          <w:fldChar w:fldCharType="end"/>
        </w:r>
      </w:hyperlink>
    </w:p>
    <w:p w14:paraId="677E6463" w14:textId="21201AB3" w:rsidR="007E7E0E" w:rsidRPr="00D4706E" w:rsidRDefault="00000000" w:rsidP="00801165">
      <w:pPr>
        <w:pStyle w:val="TOC1"/>
        <w:rPr>
          <w:rFonts w:asciiTheme="minorHAnsi" w:eastAsiaTheme="minorEastAsia" w:hAnsiTheme="minorHAnsi" w:cstheme="minorBidi"/>
          <w:kern w:val="2"/>
          <w:szCs w:val="24"/>
          <w:lang w:val="en-NZ" w:eastAsia="en-NZ"/>
          <w14:ligatures w14:val="standardContextual"/>
        </w:rPr>
      </w:pPr>
      <w:hyperlink w:anchor="_Toc170199149" w:history="1">
        <w:r w:rsidR="007E7E0E" w:rsidRPr="003067B9">
          <w:rPr>
            <w:rStyle w:val="Hyperlink"/>
            <w:b/>
            <w:bCs/>
            <w:lang w:val="en-NZ"/>
          </w:rPr>
          <w:t>3.</w:t>
        </w:r>
        <w:r w:rsidR="007E7E0E" w:rsidRPr="00D4706E">
          <w:rPr>
            <w:rFonts w:asciiTheme="minorHAnsi" w:eastAsiaTheme="minorEastAsia" w:hAnsiTheme="minorHAnsi" w:cstheme="minorBidi"/>
            <w:kern w:val="2"/>
            <w:szCs w:val="24"/>
            <w:lang w:val="en-NZ" w:eastAsia="en-NZ"/>
            <w14:ligatures w14:val="standardContextual"/>
          </w:rPr>
          <w:tab/>
        </w:r>
        <w:r w:rsidR="007E7E0E" w:rsidRPr="003067B9">
          <w:rPr>
            <w:rStyle w:val="Hyperlink"/>
            <w:b/>
            <w:bCs/>
            <w:lang w:val="en-NZ"/>
          </w:rPr>
          <w:t xml:space="preserve">Achieving </w:t>
        </w:r>
        <w:r w:rsidR="00EA291F">
          <w:rPr>
            <w:rStyle w:val="Hyperlink"/>
            <w:b/>
            <w:bCs/>
            <w:lang w:val="en-NZ"/>
          </w:rPr>
          <w:t>e</w:t>
        </w:r>
        <w:r w:rsidR="007E7E0E" w:rsidRPr="003067B9">
          <w:rPr>
            <w:rStyle w:val="Hyperlink"/>
            <w:b/>
            <w:bCs/>
            <w:lang w:val="en-NZ"/>
          </w:rPr>
          <w:t>quity</w:t>
        </w:r>
        <w:r w:rsidR="007E7E0E" w:rsidRPr="003067B9">
          <w:rPr>
            <w:webHidden/>
            <w:lang w:val="en-NZ"/>
          </w:rPr>
          <w:tab/>
        </w:r>
        <w:r w:rsidR="007E7E0E" w:rsidRPr="003067B9">
          <w:rPr>
            <w:webHidden/>
            <w:lang w:val="en-NZ"/>
          </w:rPr>
          <w:fldChar w:fldCharType="begin"/>
        </w:r>
        <w:r w:rsidR="007E7E0E" w:rsidRPr="003067B9">
          <w:rPr>
            <w:webHidden/>
            <w:lang w:val="en-NZ"/>
          </w:rPr>
          <w:instrText xml:space="preserve"> PAGEREF _Toc170199149 \h </w:instrText>
        </w:r>
        <w:r w:rsidR="007E7E0E" w:rsidRPr="003067B9">
          <w:rPr>
            <w:webHidden/>
            <w:lang w:val="en-NZ"/>
          </w:rPr>
        </w:r>
        <w:r w:rsidR="007E7E0E" w:rsidRPr="003067B9">
          <w:rPr>
            <w:webHidden/>
            <w:lang w:val="en-NZ"/>
          </w:rPr>
          <w:fldChar w:fldCharType="separate"/>
        </w:r>
        <w:r w:rsidR="003F5ECC">
          <w:rPr>
            <w:webHidden/>
            <w:lang w:val="en-NZ"/>
          </w:rPr>
          <w:t>14</w:t>
        </w:r>
        <w:r w:rsidR="007E7E0E" w:rsidRPr="003067B9">
          <w:rPr>
            <w:webHidden/>
            <w:lang w:val="en-NZ"/>
          </w:rPr>
          <w:fldChar w:fldCharType="end"/>
        </w:r>
      </w:hyperlink>
    </w:p>
    <w:p w14:paraId="174EF407" w14:textId="75E80EF1" w:rsidR="007E7E0E" w:rsidRPr="00D4706E" w:rsidRDefault="00000000" w:rsidP="00801165">
      <w:pPr>
        <w:pStyle w:val="TOC1"/>
        <w:rPr>
          <w:rFonts w:asciiTheme="minorHAnsi" w:eastAsiaTheme="minorEastAsia" w:hAnsiTheme="minorHAnsi" w:cstheme="minorBidi"/>
          <w:kern w:val="2"/>
          <w:szCs w:val="24"/>
          <w:lang w:val="en-NZ" w:eastAsia="en-NZ"/>
          <w14:ligatures w14:val="standardContextual"/>
        </w:rPr>
      </w:pPr>
      <w:hyperlink w:anchor="_Toc170199154" w:history="1">
        <w:r w:rsidR="007E7E0E" w:rsidRPr="003067B9">
          <w:rPr>
            <w:rStyle w:val="Hyperlink"/>
            <w:b/>
            <w:bCs/>
            <w:lang w:val="en-NZ"/>
          </w:rPr>
          <w:t>4.</w:t>
        </w:r>
        <w:r w:rsidR="007E7E0E" w:rsidRPr="00D4706E">
          <w:rPr>
            <w:rFonts w:asciiTheme="minorHAnsi" w:eastAsiaTheme="minorEastAsia" w:hAnsiTheme="minorHAnsi" w:cstheme="minorBidi"/>
            <w:kern w:val="2"/>
            <w:szCs w:val="24"/>
            <w:lang w:val="en-NZ" w:eastAsia="en-NZ"/>
            <w14:ligatures w14:val="standardContextual"/>
          </w:rPr>
          <w:tab/>
        </w:r>
        <w:r w:rsidR="007E7E0E" w:rsidRPr="003067B9">
          <w:rPr>
            <w:rStyle w:val="Hyperlink"/>
            <w:b/>
            <w:bCs/>
            <w:lang w:val="en-NZ"/>
          </w:rPr>
          <w:t>Delivering Ola Manuia Pacific Health and Wellbeing Action Plan</w:t>
        </w:r>
        <w:r w:rsidR="007E7E0E" w:rsidRPr="003067B9">
          <w:rPr>
            <w:webHidden/>
            <w:lang w:val="en-NZ"/>
          </w:rPr>
          <w:tab/>
        </w:r>
        <w:r w:rsidR="007E7E0E" w:rsidRPr="003067B9">
          <w:rPr>
            <w:webHidden/>
            <w:lang w:val="en-NZ"/>
          </w:rPr>
          <w:fldChar w:fldCharType="begin"/>
        </w:r>
        <w:r w:rsidR="007E7E0E" w:rsidRPr="003067B9">
          <w:rPr>
            <w:webHidden/>
            <w:lang w:val="en-NZ"/>
          </w:rPr>
          <w:instrText xml:space="preserve"> PAGEREF _Toc170199154 \h </w:instrText>
        </w:r>
        <w:r w:rsidR="007E7E0E" w:rsidRPr="003067B9">
          <w:rPr>
            <w:webHidden/>
            <w:lang w:val="en-NZ"/>
          </w:rPr>
        </w:r>
        <w:r w:rsidR="007E7E0E" w:rsidRPr="003067B9">
          <w:rPr>
            <w:webHidden/>
            <w:lang w:val="en-NZ"/>
          </w:rPr>
          <w:fldChar w:fldCharType="separate"/>
        </w:r>
        <w:r w:rsidR="003F5ECC">
          <w:rPr>
            <w:webHidden/>
            <w:lang w:val="en-NZ"/>
          </w:rPr>
          <w:t>17</w:t>
        </w:r>
        <w:r w:rsidR="007E7E0E" w:rsidRPr="003067B9">
          <w:rPr>
            <w:webHidden/>
            <w:lang w:val="en-NZ"/>
          </w:rPr>
          <w:fldChar w:fldCharType="end"/>
        </w:r>
      </w:hyperlink>
    </w:p>
    <w:p w14:paraId="205CA24D" w14:textId="1AB928D1" w:rsidR="007E7E0E" w:rsidRPr="00D4706E" w:rsidRDefault="00000000" w:rsidP="00801165">
      <w:pPr>
        <w:pStyle w:val="TOC1"/>
        <w:rPr>
          <w:rFonts w:asciiTheme="minorHAnsi" w:eastAsiaTheme="minorEastAsia" w:hAnsiTheme="minorHAnsi" w:cstheme="minorBidi"/>
          <w:kern w:val="2"/>
          <w:szCs w:val="24"/>
          <w:lang w:val="en-NZ" w:eastAsia="en-NZ"/>
          <w14:ligatures w14:val="standardContextual"/>
        </w:rPr>
      </w:pPr>
      <w:hyperlink w:anchor="_Toc170199158" w:history="1">
        <w:r w:rsidR="007E7E0E" w:rsidRPr="003067B9">
          <w:rPr>
            <w:rStyle w:val="Hyperlink"/>
            <w:b/>
            <w:bCs/>
            <w:lang w:val="en-NZ"/>
          </w:rPr>
          <w:t>5.</w:t>
        </w:r>
        <w:r w:rsidR="007E7E0E" w:rsidRPr="00D4706E">
          <w:rPr>
            <w:rFonts w:asciiTheme="minorHAnsi" w:eastAsiaTheme="minorEastAsia" w:hAnsiTheme="minorHAnsi" w:cstheme="minorBidi"/>
            <w:kern w:val="2"/>
            <w:szCs w:val="24"/>
            <w:lang w:val="en-NZ" w:eastAsia="en-NZ"/>
            <w14:ligatures w14:val="standardContextual"/>
          </w:rPr>
          <w:tab/>
        </w:r>
        <w:r w:rsidR="007E7E0E" w:rsidRPr="003067B9">
          <w:rPr>
            <w:rStyle w:val="Hyperlink"/>
            <w:b/>
            <w:bCs/>
            <w:lang w:val="en-NZ"/>
          </w:rPr>
          <w:t>Non-</w:t>
        </w:r>
        <w:r w:rsidR="007C4F5C">
          <w:rPr>
            <w:rStyle w:val="Hyperlink"/>
            <w:b/>
            <w:bCs/>
            <w:lang w:val="en-NZ"/>
          </w:rPr>
          <w:t>f</w:t>
        </w:r>
        <w:r w:rsidR="007E7E0E" w:rsidRPr="003067B9">
          <w:rPr>
            <w:rStyle w:val="Hyperlink"/>
            <w:b/>
            <w:bCs/>
            <w:lang w:val="en-NZ"/>
          </w:rPr>
          <w:t xml:space="preserve">inancial </w:t>
        </w:r>
        <w:r w:rsidR="007C4F5C">
          <w:rPr>
            <w:rStyle w:val="Hyperlink"/>
            <w:b/>
            <w:bCs/>
            <w:lang w:val="en-NZ"/>
          </w:rPr>
          <w:t>p</w:t>
        </w:r>
        <w:r w:rsidR="007E7E0E" w:rsidRPr="003067B9">
          <w:rPr>
            <w:rStyle w:val="Hyperlink"/>
            <w:b/>
            <w:bCs/>
            <w:lang w:val="en-NZ"/>
          </w:rPr>
          <w:t xml:space="preserve">erformance </w:t>
        </w:r>
        <w:r w:rsidR="007C4F5C">
          <w:rPr>
            <w:rStyle w:val="Hyperlink"/>
            <w:b/>
            <w:bCs/>
            <w:lang w:val="en-NZ"/>
          </w:rPr>
          <w:t>r</w:t>
        </w:r>
        <w:r w:rsidR="007E7E0E" w:rsidRPr="003067B9">
          <w:rPr>
            <w:rStyle w:val="Hyperlink"/>
            <w:b/>
            <w:bCs/>
            <w:lang w:val="en-NZ"/>
          </w:rPr>
          <w:t>esults</w:t>
        </w:r>
        <w:r w:rsidR="007E7E0E" w:rsidRPr="003067B9">
          <w:rPr>
            <w:webHidden/>
            <w:lang w:val="en-NZ"/>
          </w:rPr>
          <w:tab/>
        </w:r>
        <w:r w:rsidR="007E7E0E" w:rsidRPr="003067B9">
          <w:rPr>
            <w:webHidden/>
            <w:lang w:val="en-NZ"/>
          </w:rPr>
          <w:fldChar w:fldCharType="begin"/>
        </w:r>
        <w:r w:rsidR="007E7E0E" w:rsidRPr="003067B9">
          <w:rPr>
            <w:webHidden/>
            <w:lang w:val="en-NZ"/>
          </w:rPr>
          <w:instrText xml:space="preserve"> PAGEREF _Toc170199158 \h </w:instrText>
        </w:r>
        <w:r w:rsidR="007E7E0E" w:rsidRPr="003067B9">
          <w:rPr>
            <w:webHidden/>
            <w:lang w:val="en-NZ"/>
          </w:rPr>
        </w:r>
        <w:r w:rsidR="007E7E0E" w:rsidRPr="003067B9">
          <w:rPr>
            <w:webHidden/>
            <w:lang w:val="en-NZ"/>
          </w:rPr>
          <w:fldChar w:fldCharType="separate"/>
        </w:r>
        <w:r w:rsidR="003F5ECC">
          <w:rPr>
            <w:webHidden/>
            <w:lang w:val="en-NZ"/>
          </w:rPr>
          <w:t>18</w:t>
        </w:r>
        <w:r w:rsidR="007E7E0E" w:rsidRPr="003067B9">
          <w:rPr>
            <w:webHidden/>
            <w:lang w:val="en-NZ"/>
          </w:rPr>
          <w:fldChar w:fldCharType="end"/>
        </w:r>
      </w:hyperlink>
    </w:p>
    <w:p w14:paraId="1CCB1B6C" w14:textId="58157B7A"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59" w:history="1">
        <w:r w:rsidR="007E7E0E" w:rsidRPr="003067B9">
          <w:rPr>
            <w:rStyle w:val="Hyperlink"/>
            <w:iCs/>
            <w:noProof/>
            <w:lang w:val="en-NZ"/>
          </w:rPr>
          <w:t>1</w:t>
        </w:r>
        <w:r w:rsidR="001038D8" w:rsidRPr="00D4706E">
          <w:rPr>
            <w:rFonts w:asciiTheme="minorHAnsi" w:eastAsiaTheme="minorEastAsia" w:hAnsiTheme="minorHAnsi" w:cstheme="minorBidi"/>
            <w:noProof/>
            <w:kern w:val="2"/>
            <w:szCs w:val="24"/>
            <w:lang w:val="en-NZ" w:eastAsia="en-NZ"/>
            <w14:ligatures w14:val="standardContextual"/>
          </w:rPr>
          <w:t xml:space="preserve"> </w:t>
        </w:r>
        <w:r w:rsidR="007E7E0E" w:rsidRPr="003067B9">
          <w:rPr>
            <w:rStyle w:val="Hyperlink"/>
            <w:noProof/>
            <w:lang w:val="en-NZ"/>
          </w:rPr>
          <w:t>Immunisation coverage for age at 24 months</w:t>
        </w:r>
        <w:r w:rsidR="007E7E0E" w:rsidRPr="003067B9">
          <w:rPr>
            <w:noProof/>
            <w:webHidden/>
            <w:lang w:val="en-NZ"/>
          </w:rPr>
          <w:tab/>
        </w:r>
        <w:r w:rsidR="003F6AFA">
          <w:rPr>
            <w:noProof/>
            <w:webHidden/>
            <w:lang w:val="en-NZ"/>
          </w:rPr>
          <w:t>20</w:t>
        </w:r>
      </w:hyperlink>
    </w:p>
    <w:p w14:paraId="36E7C199" w14:textId="08F157E5"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0" w:history="1">
        <w:r w:rsidR="007E7E0E" w:rsidRPr="003067B9">
          <w:rPr>
            <w:rStyle w:val="Hyperlink"/>
            <w:iCs/>
            <w:noProof/>
            <w:lang w:val="en-NZ"/>
          </w:rPr>
          <w:t>2</w:t>
        </w:r>
        <w:r w:rsidR="001038D8" w:rsidRPr="00D4706E">
          <w:rPr>
            <w:rFonts w:asciiTheme="minorHAnsi" w:eastAsiaTheme="minorEastAsia" w:hAnsiTheme="minorHAnsi" w:cstheme="minorBidi"/>
            <w:noProof/>
            <w:kern w:val="2"/>
            <w:szCs w:val="24"/>
            <w:lang w:val="en-NZ" w:eastAsia="en-NZ"/>
            <w14:ligatures w14:val="standardContextual"/>
          </w:rPr>
          <w:t xml:space="preserve"> </w:t>
        </w:r>
        <w:r w:rsidR="007E7E0E" w:rsidRPr="003067B9">
          <w:rPr>
            <w:rStyle w:val="Hyperlink"/>
            <w:noProof/>
            <w:lang w:val="en-NZ"/>
          </w:rPr>
          <w:t>Shorter stays in Emergency Departments</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_Toc170199160 \h </w:instrText>
        </w:r>
        <w:r w:rsidR="007E7E0E" w:rsidRPr="003067B9">
          <w:rPr>
            <w:noProof/>
            <w:webHidden/>
            <w:lang w:val="en-NZ"/>
          </w:rPr>
        </w:r>
        <w:r w:rsidR="007E7E0E" w:rsidRPr="003067B9">
          <w:rPr>
            <w:noProof/>
            <w:webHidden/>
            <w:lang w:val="en-NZ"/>
          </w:rPr>
          <w:fldChar w:fldCharType="separate"/>
        </w:r>
        <w:r w:rsidR="003F5ECC">
          <w:rPr>
            <w:noProof/>
            <w:webHidden/>
            <w:lang w:val="en-NZ"/>
          </w:rPr>
          <w:t>21</w:t>
        </w:r>
        <w:r w:rsidR="007E7E0E" w:rsidRPr="003067B9">
          <w:rPr>
            <w:noProof/>
            <w:webHidden/>
            <w:lang w:val="en-NZ"/>
          </w:rPr>
          <w:fldChar w:fldCharType="end"/>
        </w:r>
      </w:hyperlink>
    </w:p>
    <w:p w14:paraId="73FAC95E" w14:textId="1279CA10"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1" w:history="1">
        <w:r w:rsidR="007E7E0E" w:rsidRPr="003067B9">
          <w:rPr>
            <w:rStyle w:val="Hyperlink"/>
            <w:iCs/>
            <w:noProof/>
            <w:lang w:val="en-NZ"/>
          </w:rPr>
          <w:t>3</w:t>
        </w:r>
        <w:r w:rsidR="0026494F" w:rsidRPr="00D4706E">
          <w:rPr>
            <w:rFonts w:asciiTheme="minorHAnsi" w:eastAsiaTheme="minorEastAsia" w:hAnsiTheme="minorHAnsi" w:cstheme="minorBidi"/>
            <w:noProof/>
            <w:kern w:val="2"/>
            <w:szCs w:val="24"/>
            <w:lang w:val="en-NZ" w:eastAsia="en-NZ"/>
            <w14:ligatures w14:val="standardContextual"/>
          </w:rPr>
          <w:t xml:space="preserve"> </w:t>
        </w:r>
        <w:r w:rsidR="007E7E0E" w:rsidRPr="003067B9">
          <w:rPr>
            <w:rStyle w:val="Hyperlink"/>
            <w:noProof/>
            <w:lang w:val="en-NZ"/>
          </w:rPr>
          <w:t>People waiting more than four months for first specialist assessment</w:t>
        </w:r>
        <w:r w:rsidR="008113E0" w:rsidRPr="003067B9">
          <w:rPr>
            <w:rStyle w:val="Hyperlink"/>
            <w:noProof/>
            <w:lang w:val="en-NZ"/>
          </w:rPr>
          <w:t>………..</w:t>
        </w:r>
        <w:r w:rsidR="007E7E0E" w:rsidRPr="003067B9">
          <w:rPr>
            <w:noProof/>
            <w:webHidden/>
            <w:lang w:val="en-NZ"/>
          </w:rPr>
          <w:fldChar w:fldCharType="begin"/>
        </w:r>
        <w:r w:rsidR="007E7E0E" w:rsidRPr="003067B9">
          <w:rPr>
            <w:noProof/>
            <w:webHidden/>
            <w:lang w:val="en-NZ"/>
          </w:rPr>
          <w:instrText xml:space="preserve"> PAGEREF _Toc170199161 \h </w:instrText>
        </w:r>
        <w:r w:rsidR="007E7E0E" w:rsidRPr="003067B9">
          <w:rPr>
            <w:noProof/>
            <w:webHidden/>
            <w:lang w:val="en-NZ"/>
          </w:rPr>
        </w:r>
        <w:r w:rsidR="007E7E0E" w:rsidRPr="003067B9">
          <w:rPr>
            <w:noProof/>
            <w:webHidden/>
            <w:lang w:val="en-NZ"/>
          </w:rPr>
          <w:fldChar w:fldCharType="separate"/>
        </w:r>
        <w:r w:rsidR="003F5ECC">
          <w:rPr>
            <w:noProof/>
            <w:webHidden/>
            <w:lang w:val="en-NZ"/>
          </w:rPr>
          <w:t>22</w:t>
        </w:r>
        <w:r w:rsidR="007E7E0E" w:rsidRPr="003067B9">
          <w:rPr>
            <w:noProof/>
            <w:webHidden/>
            <w:lang w:val="en-NZ"/>
          </w:rPr>
          <w:fldChar w:fldCharType="end"/>
        </w:r>
      </w:hyperlink>
    </w:p>
    <w:p w14:paraId="770C2397" w14:textId="4F75F2C5"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2" w:history="1">
        <w:r w:rsidR="007E7E0E" w:rsidRPr="003067B9">
          <w:rPr>
            <w:rStyle w:val="Hyperlink"/>
            <w:iCs/>
            <w:noProof/>
            <w:lang w:val="en-NZ"/>
          </w:rPr>
          <w:t>4</w:t>
        </w:r>
        <w:r w:rsidR="0026494F" w:rsidRPr="00D4706E">
          <w:rPr>
            <w:rFonts w:asciiTheme="minorHAnsi" w:eastAsiaTheme="minorEastAsia" w:hAnsiTheme="minorHAnsi" w:cstheme="minorBidi"/>
            <w:noProof/>
            <w:kern w:val="2"/>
            <w:szCs w:val="24"/>
            <w:lang w:val="en-NZ" w:eastAsia="en-NZ"/>
            <w14:ligatures w14:val="standardContextual"/>
          </w:rPr>
          <w:t xml:space="preserve"> </w:t>
        </w:r>
        <w:r w:rsidR="007E7E0E" w:rsidRPr="003067B9">
          <w:rPr>
            <w:rStyle w:val="Hyperlink"/>
            <w:noProof/>
            <w:lang w:val="en-NZ"/>
          </w:rPr>
          <w:t>People waiting more than four months for a procedure</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_Toc170199162 \h </w:instrText>
        </w:r>
        <w:r w:rsidR="007E7E0E" w:rsidRPr="003067B9">
          <w:rPr>
            <w:noProof/>
            <w:webHidden/>
            <w:lang w:val="en-NZ"/>
          </w:rPr>
        </w:r>
        <w:r w:rsidR="007E7E0E" w:rsidRPr="003067B9">
          <w:rPr>
            <w:noProof/>
            <w:webHidden/>
            <w:lang w:val="en-NZ"/>
          </w:rPr>
          <w:fldChar w:fldCharType="separate"/>
        </w:r>
        <w:r w:rsidR="003F5ECC">
          <w:rPr>
            <w:noProof/>
            <w:webHidden/>
            <w:lang w:val="en-NZ"/>
          </w:rPr>
          <w:t>24</w:t>
        </w:r>
        <w:r w:rsidR="007E7E0E" w:rsidRPr="003067B9">
          <w:rPr>
            <w:noProof/>
            <w:webHidden/>
            <w:lang w:val="en-NZ"/>
          </w:rPr>
          <w:fldChar w:fldCharType="end"/>
        </w:r>
      </w:hyperlink>
    </w:p>
    <w:p w14:paraId="27BE4F38" w14:textId="48F40B8C"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3" w:history="1">
        <w:r w:rsidR="007E7E0E" w:rsidRPr="003067B9">
          <w:rPr>
            <w:rStyle w:val="Hyperlink"/>
            <w:iCs/>
            <w:noProof/>
            <w:lang w:val="en-NZ"/>
          </w:rPr>
          <w:t>5</w:t>
        </w:r>
        <w:r w:rsidR="0026494F" w:rsidRPr="003067B9">
          <w:rPr>
            <w:rStyle w:val="Hyperlink"/>
            <w:iCs/>
            <w:noProof/>
            <w:lang w:val="en-NZ"/>
          </w:rPr>
          <w:t xml:space="preserve"> </w:t>
        </w:r>
        <w:r w:rsidR="007E7E0E" w:rsidRPr="003067B9">
          <w:rPr>
            <w:rStyle w:val="Hyperlink"/>
            <w:noProof/>
            <w:lang w:val="en-NZ"/>
          </w:rPr>
          <w:t>Cancer patients waiting less than 31 days for first treatment</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_Toc170199163 \h </w:instrText>
        </w:r>
        <w:r w:rsidR="007E7E0E" w:rsidRPr="003067B9">
          <w:rPr>
            <w:noProof/>
            <w:webHidden/>
            <w:lang w:val="en-NZ"/>
          </w:rPr>
        </w:r>
        <w:r w:rsidR="007E7E0E" w:rsidRPr="003067B9">
          <w:rPr>
            <w:noProof/>
            <w:webHidden/>
            <w:lang w:val="en-NZ"/>
          </w:rPr>
          <w:fldChar w:fldCharType="separate"/>
        </w:r>
        <w:r w:rsidR="003F5ECC">
          <w:rPr>
            <w:noProof/>
            <w:webHidden/>
            <w:lang w:val="en-NZ"/>
          </w:rPr>
          <w:t>26</w:t>
        </w:r>
        <w:r w:rsidR="007E7E0E" w:rsidRPr="003067B9">
          <w:rPr>
            <w:noProof/>
            <w:webHidden/>
            <w:lang w:val="en-NZ"/>
          </w:rPr>
          <w:fldChar w:fldCharType="end"/>
        </w:r>
      </w:hyperlink>
    </w:p>
    <w:p w14:paraId="4AF1D875" w14:textId="2603FBEC"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4" w:history="1">
        <w:r w:rsidR="007E7E0E" w:rsidRPr="003067B9">
          <w:rPr>
            <w:rStyle w:val="Hyperlink"/>
            <w:iCs/>
            <w:noProof/>
            <w:lang w:val="en-NZ"/>
          </w:rPr>
          <w:t>6</w:t>
        </w:r>
        <w:r w:rsidR="0026494F" w:rsidRPr="003067B9">
          <w:rPr>
            <w:rStyle w:val="Hyperlink"/>
            <w:iCs/>
            <w:noProof/>
            <w:lang w:val="en-NZ"/>
          </w:rPr>
          <w:t xml:space="preserve"> </w:t>
        </w:r>
        <w:r w:rsidR="007E7E0E" w:rsidRPr="003067B9">
          <w:rPr>
            <w:rStyle w:val="Hyperlink"/>
            <w:noProof/>
            <w:lang w:val="en-NZ"/>
          </w:rPr>
          <w:t>Primary care enrolment</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_Toc170199164 \h </w:instrText>
        </w:r>
        <w:r w:rsidR="007E7E0E" w:rsidRPr="003067B9">
          <w:rPr>
            <w:noProof/>
            <w:webHidden/>
            <w:lang w:val="en-NZ"/>
          </w:rPr>
        </w:r>
        <w:r w:rsidR="007E7E0E" w:rsidRPr="003067B9">
          <w:rPr>
            <w:noProof/>
            <w:webHidden/>
            <w:lang w:val="en-NZ"/>
          </w:rPr>
          <w:fldChar w:fldCharType="separate"/>
        </w:r>
        <w:r w:rsidR="003F5ECC">
          <w:rPr>
            <w:noProof/>
            <w:webHidden/>
            <w:lang w:val="en-NZ"/>
          </w:rPr>
          <w:t>28</w:t>
        </w:r>
        <w:r w:rsidR="007E7E0E" w:rsidRPr="003067B9">
          <w:rPr>
            <w:noProof/>
            <w:webHidden/>
            <w:lang w:val="en-NZ"/>
          </w:rPr>
          <w:fldChar w:fldCharType="end"/>
        </w:r>
      </w:hyperlink>
    </w:p>
    <w:p w14:paraId="3B09D46D" w14:textId="31936ED6"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5" w:history="1">
        <w:r w:rsidR="007E7E0E" w:rsidRPr="003067B9">
          <w:rPr>
            <w:rStyle w:val="Hyperlink"/>
            <w:iCs/>
            <w:noProof/>
            <w:lang w:val="en-NZ"/>
          </w:rPr>
          <w:t>7</w:t>
        </w:r>
        <w:r w:rsidR="0026494F" w:rsidRPr="003067B9">
          <w:rPr>
            <w:rStyle w:val="Hyperlink"/>
            <w:iCs/>
            <w:noProof/>
            <w:lang w:val="en-NZ"/>
          </w:rPr>
          <w:t xml:space="preserve"> </w:t>
        </w:r>
        <w:r w:rsidR="007E7E0E" w:rsidRPr="003067B9">
          <w:rPr>
            <w:rStyle w:val="Hyperlink"/>
            <w:noProof/>
            <w:lang w:val="en-NZ"/>
          </w:rPr>
          <w:t>Involvement in care decisions – primary care</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_Toc170199165 \h </w:instrText>
        </w:r>
        <w:r w:rsidR="007E7E0E" w:rsidRPr="003067B9">
          <w:rPr>
            <w:noProof/>
            <w:webHidden/>
            <w:lang w:val="en-NZ"/>
          </w:rPr>
        </w:r>
        <w:r w:rsidR="007E7E0E" w:rsidRPr="003067B9">
          <w:rPr>
            <w:noProof/>
            <w:webHidden/>
            <w:lang w:val="en-NZ"/>
          </w:rPr>
          <w:fldChar w:fldCharType="separate"/>
        </w:r>
        <w:r w:rsidR="003F5ECC">
          <w:rPr>
            <w:noProof/>
            <w:webHidden/>
            <w:lang w:val="en-NZ"/>
          </w:rPr>
          <w:t>29</w:t>
        </w:r>
        <w:r w:rsidR="007E7E0E" w:rsidRPr="003067B9">
          <w:rPr>
            <w:noProof/>
            <w:webHidden/>
            <w:lang w:val="en-NZ"/>
          </w:rPr>
          <w:fldChar w:fldCharType="end"/>
        </w:r>
      </w:hyperlink>
    </w:p>
    <w:p w14:paraId="03271DDD" w14:textId="44CF65C7"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6" w:history="1">
        <w:r w:rsidR="007E7E0E" w:rsidRPr="003067B9">
          <w:rPr>
            <w:rStyle w:val="Hyperlink"/>
            <w:iCs/>
            <w:noProof/>
            <w:lang w:val="en-NZ"/>
          </w:rPr>
          <w:t>8</w:t>
        </w:r>
        <w:r w:rsidR="008113E0" w:rsidRPr="003067B9">
          <w:rPr>
            <w:rStyle w:val="Hyperlink"/>
            <w:iCs/>
            <w:noProof/>
            <w:lang w:val="en-NZ"/>
          </w:rPr>
          <w:t xml:space="preserve"> </w:t>
        </w:r>
        <w:r w:rsidR="007E7E0E" w:rsidRPr="003067B9">
          <w:rPr>
            <w:rStyle w:val="Hyperlink"/>
            <w:noProof/>
            <w:lang w:val="en-NZ"/>
          </w:rPr>
          <w:t>Ambulatory sensitive hospitalisations 0-4 years</w:t>
        </w:r>
        <w:r w:rsidR="007E7E0E" w:rsidRPr="003067B9">
          <w:rPr>
            <w:noProof/>
            <w:webHidden/>
            <w:lang w:val="en-NZ"/>
          </w:rPr>
          <w:tab/>
        </w:r>
        <w:r w:rsidR="00D4268E">
          <w:rPr>
            <w:noProof/>
            <w:webHidden/>
            <w:lang w:val="en-NZ"/>
          </w:rPr>
          <w:t>30</w:t>
        </w:r>
      </w:hyperlink>
    </w:p>
    <w:p w14:paraId="0EB1469C" w14:textId="50A3DA73"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7" w:history="1">
        <w:r w:rsidR="007E7E0E" w:rsidRPr="003067B9">
          <w:rPr>
            <w:rStyle w:val="Hyperlink"/>
            <w:iCs/>
            <w:noProof/>
            <w:lang w:val="en-NZ"/>
          </w:rPr>
          <w:t>9</w:t>
        </w:r>
        <w:r w:rsidR="008113E0" w:rsidRPr="003067B9">
          <w:rPr>
            <w:rStyle w:val="Hyperlink"/>
            <w:iCs/>
            <w:noProof/>
            <w:lang w:val="en-NZ"/>
          </w:rPr>
          <w:t xml:space="preserve"> </w:t>
        </w:r>
        <w:r w:rsidR="007E7E0E" w:rsidRPr="003067B9">
          <w:rPr>
            <w:rStyle w:val="Hyperlink"/>
            <w:noProof/>
            <w:lang w:val="en-NZ"/>
          </w:rPr>
          <w:t>Ambulatory sensitive hospitalisations 45-64 years</w:t>
        </w:r>
        <w:r w:rsidR="007E7E0E" w:rsidRPr="003067B9">
          <w:rPr>
            <w:noProof/>
            <w:webHidden/>
            <w:lang w:val="en-NZ"/>
          </w:rPr>
          <w:tab/>
        </w:r>
        <w:r w:rsidR="00D4268E">
          <w:rPr>
            <w:noProof/>
            <w:webHidden/>
            <w:lang w:val="en-NZ"/>
          </w:rPr>
          <w:t>31</w:t>
        </w:r>
      </w:hyperlink>
    </w:p>
    <w:p w14:paraId="41EE7F4E" w14:textId="5E1B23CA"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8" w:history="1">
        <w:r w:rsidR="007E7E0E" w:rsidRPr="003067B9">
          <w:rPr>
            <w:rStyle w:val="Hyperlink"/>
            <w:iCs/>
            <w:noProof/>
            <w:lang w:val="en-NZ"/>
          </w:rPr>
          <w:t>10</w:t>
        </w:r>
        <w:r w:rsidR="008113E0" w:rsidRPr="003067B9">
          <w:rPr>
            <w:rStyle w:val="Hyperlink"/>
            <w:iCs/>
            <w:noProof/>
            <w:lang w:val="en-NZ"/>
          </w:rPr>
          <w:t xml:space="preserve"> </w:t>
        </w:r>
        <w:r w:rsidR="007E7E0E" w:rsidRPr="003067B9">
          <w:rPr>
            <w:rStyle w:val="Hyperlink"/>
            <w:noProof/>
            <w:lang w:val="en-NZ"/>
          </w:rPr>
          <w:t>Access to primary mental health and addiction services</w:t>
        </w:r>
        <w:r w:rsidR="007E7E0E" w:rsidRPr="003067B9">
          <w:rPr>
            <w:noProof/>
            <w:webHidden/>
            <w:lang w:val="en-NZ"/>
          </w:rPr>
          <w:tab/>
        </w:r>
        <w:r w:rsidR="00D4268E">
          <w:rPr>
            <w:noProof/>
            <w:webHidden/>
            <w:lang w:val="en-NZ"/>
          </w:rPr>
          <w:t>32</w:t>
        </w:r>
      </w:hyperlink>
    </w:p>
    <w:p w14:paraId="75969964" w14:textId="790C5F4E"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9" w:history="1">
        <w:r w:rsidR="007E7E0E" w:rsidRPr="003067B9">
          <w:rPr>
            <w:rStyle w:val="Hyperlink"/>
            <w:iCs/>
            <w:noProof/>
            <w:lang w:val="en-NZ"/>
          </w:rPr>
          <w:t>11</w:t>
        </w:r>
        <w:r w:rsidR="008113E0" w:rsidRPr="003067B9">
          <w:rPr>
            <w:rStyle w:val="Hyperlink"/>
            <w:iCs/>
            <w:noProof/>
            <w:lang w:val="en-NZ"/>
          </w:rPr>
          <w:t xml:space="preserve"> </w:t>
        </w:r>
        <w:r w:rsidR="007E7E0E" w:rsidRPr="003067B9">
          <w:rPr>
            <w:rStyle w:val="Hyperlink"/>
            <w:noProof/>
            <w:lang w:val="en-NZ"/>
          </w:rPr>
          <w:t>Access rates for specialist mental health services</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_Toc170199169 \h </w:instrText>
        </w:r>
        <w:r w:rsidR="007E7E0E" w:rsidRPr="003067B9">
          <w:rPr>
            <w:noProof/>
            <w:webHidden/>
            <w:lang w:val="en-NZ"/>
          </w:rPr>
        </w:r>
        <w:r w:rsidR="007E7E0E" w:rsidRPr="003067B9">
          <w:rPr>
            <w:noProof/>
            <w:webHidden/>
            <w:lang w:val="en-NZ"/>
          </w:rPr>
          <w:fldChar w:fldCharType="separate"/>
        </w:r>
        <w:r w:rsidR="003F5ECC">
          <w:rPr>
            <w:noProof/>
            <w:webHidden/>
            <w:lang w:val="en-NZ"/>
          </w:rPr>
          <w:t>33</w:t>
        </w:r>
        <w:r w:rsidR="007E7E0E" w:rsidRPr="003067B9">
          <w:rPr>
            <w:noProof/>
            <w:webHidden/>
            <w:lang w:val="en-NZ"/>
          </w:rPr>
          <w:fldChar w:fldCharType="end"/>
        </w:r>
      </w:hyperlink>
    </w:p>
    <w:p w14:paraId="2D878B2A" w14:textId="2A863AEE"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0" w:history="1">
        <w:r w:rsidR="007E7E0E" w:rsidRPr="003067B9">
          <w:rPr>
            <w:rStyle w:val="Hyperlink"/>
            <w:iCs/>
            <w:noProof/>
            <w:lang w:val="en-NZ"/>
          </w:rPr>
          <w:t>12</w:t>
        </w:r>
        <w:r w:rsidR="008113E0" w:rsidRPr="003067B9">
          <w:rPr>
            <w:rStyle w:val="Hyperlink"/>
            <w:iCs/>
            <w:noProof/>
            <w:lang w:val="en-NZ"/>
          </w:rPr>
          <w:t xml:space="preserve"> </w:t>
        </w:r>
        <w:r w:rsidR="007E7E0E" w:rsidRPr="003067B9">
          <w:rPr>
            <w:rStyle w:val="Hyperlink"/>
            <w:noProof/>
            <w:lang w:val="en-NZ"/>
          </w:rPr>
          <w:t>Mental health wait times for under 25-year-olds</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_Toc170199170 \h </w:instrText>
        </w:r>
        <w:r w:rsidR="007E7E0E" w:rsidRPr="003067B9">
          <w:rPr>
            <w:noProof/>
            <w:webHidden/>
            <w:lang w:val="en-NZ"/>
          </w:rPr>
        </w:r>
        <w:r w:rsidR="007E7E0E" w:rsidRPr="003067B9">
          <w:rPr>
            <w:noProof/>
            <w:webHidden/>
            <w:lang w:val="en-NZ"/>
          </w:rPr>
          <w:fldChar w:fldCharType="separate"/>
        </w:r>
        <w:r w:rsidR="003F5ECC">
          <w:rPr>
            <w:noProof/>
            <w:webHidden/>
            <w:lang w:val="en-NZ"/>
          </w:rPr>
          <w:t>34</w:t>
        </w:r>
        <w:r w:rsidR="007E7E0E" w:rsidRPr="003067B9">
          <w:rPr>
            <w:noProof/>
            <w:webHidden/>
            <w:lang w:val="en-NZ"/>
          </w:rPr>
          <w:fldChar w:fldCharType="end"/>
        </w:r>
      </w:hyperlink>
    </w:p>
    <w:p w14:paraId="43F28B39" w14:textId="6FA5CF3D"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1" w:history="1">
        <w:r w:rsidR="007E7E0E" w:rsidRPr="003067B9">
          <w:rPr>
            <w:rStyle w:val="Hyperlink"/>
            <w:iCs/>
            <w:noProof/>
            <w:lang w:val="en-NZ" w:eastAsia="en-NZ"/>
          </w:rPr>
          <w:t>13</w:t>
        </w:r>
        <w:r w:rsidR="008113E0" w:rsidRPr="003067B9">
          <w:rPr>
            <w:rStyle w:val="Hyperlink"/>
            <w:iCs/>
            <w:noProof/>
            <w:lang w:val="en-NZ" w:eastAsia="en-NZ"/>
          </w:rPr>
          <w:t xml:space="preserve"> </w:t>
        </w:r>
        <w:r w:rsidR="007E7E0E" w:rsidRPr="003067B9">
          <w:rPr>
            <w:rStyle w:val="Hyperlink"/>
            <w:noProof/>
            <w:lang w:val="en-NZ" w:eastAsia="en-NZ"/>
          </w:rPr>
          <w:t>Emergency Department presentations</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_Toc170199171 \h </w:instrText>
        </w:r>
        <w:r w:rsidR="007E7E0E" w:rsidRPr="003067B9">
          <w:rPr>
            <w:noProof/>
            <w:webHidden/>
            <w:lang w:val="en-NZ"/>
          </w:rPr>
        </w:r>
        <w:r w:rsidR="007E7E0E" w:rsidRPr="003067B9">
          <w:rPr>
            <w:noProof/>
            <w:webHidden/>
            <w:lang w:val="en-NZ"/>
          </w:rPr>
          <w:fldChar w:fldCharType="separate"/>
        </w:r>
        <w:r w:rsidR="003F5ECC">
          <w:rPr>
            <w:noProof/>
            <w:webHidden/>
            <w:lang w:val="en-NZ"/>
          </w:rPr>
          <w:t>35</w:t>
        </w:r>
        <w:r w:rsidR="007E7E0E" w:rsidRPr="003067B9">
          <w:rPr>
            <w:noProof/>
            <w:webHidden/>
            <w:lang w:val="en-NZ"/>
          </w:rPr>
          <w:fldChar w:fldCharType="end"/>
        </w:r>
      </w:hyperlink>
    </w:p>
    <w:p w14:paraId="4AD3CFB1" w14:textId="3F18E130"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2" w:history="1">
        <w:r w:rsidR="007E7E0E" w:rsidRPr="003067B9">
          <w:rPr>
            <w:rStyle w:val="Hyperlink"/>
            <w:iCs/>
            <w:noProof/>
            <w:lang w:val="en-NZ"/>
          </w:rPr>
          <w:t>14</w:t>
        </w:r>
        <w:r w:rsidR="008113E0" w:rsidRPr="003067B9">
          <w:rPr>
            <w:rStyle w:val="Hyperlink"/>
            <w:iCs/>
            <w:noProof/>
            <w:lang w:val="en-NZ"/>
          </w:rPr>
          <w:t xml:space="preserve"> </w:t>
        </w:r>
        <w:r w:rsidR="007E7E0E" w:rsidRPr="003067B9">
          <w:rPr>
            <w:rStyle w:val="Hyperlink"/>
            <w:noProof/>
            <w:lang w:val="en-NZ"/>
          </w:rPr>
          <w:t>Admissions from Emergency Departments</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_Toc170199172 \h </w:instrText>
        </w:r>
        <w:r w:rsidR="007E7E0E" w:rsidRPr="003067B9">
          <w:rPr>
            <w:noProof/>
            <w:webHidden/>
            <w:lang w:val="en-NZ"/>
          </w:rPr>
        </w:r>
        <w:r w:rsidR="007E7E0E" w:rsidRPr="003067B9">
          <w:rPr>
            <w:noProof/>
            <w:webHidden/>
            <w:lang w:val="en-NZ"/>
          </w:rPr>
          <w:fldChar w:fldCharType="separate"/>
        </w:r>
        <w:r w:rsidR="003F5ECC">
          <w:rPr>
            <w:noProof/>
            <w:webHidden/>
            <w:lang w:val="en-NZ"/>
          </w:rPr>
          <w:t>36</w:t>
        </w:r>
        <w:r w:rsidR="007E7E0E" w:rsidRPr="003067B9">
          <w:rPr>
            <w:noProof/>
            <w:webHidden/>
            <w:lang w:val="en-NZ"/>
          </w:rPr>
          <w:fldChar w:fldCharType="end"/>
        </w:r>
      </w:hyperlink>
    </w:p>
    <w:p w14:paraId="3AD385CE" w14:textId="32DDBB02"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3" w:history="1">
        <w:r w:rsidR="007E7E0E" w:rsidRPr="003067B9">
          <w:rPr>
            <w:rStyle w:val="Hyperlink"/>
            <w:iCs/>
            <w:noProof/>
            <w:lang w:val="en-NZ"/>
          </w:rPr>
          <w:t>15</w:t>
        </w:r>
        <w:r w:rsidR="008113E0" w:rsidRPr="003067B9">
          <w:rPr>
            <w:rStyle w:val="Hyperlink"/>
            <w:iCs/>
            <w:noProof/>
            <w:lang w:val="en-NZ"/>
          </w:rPr>
          <w:t xml:space="preserve"> </w:t>
        </w:r>
        <w:r w:rsidR="007E7E0E" w:rsidRPr="003067B9">
          <w:rPr>
            <w:rStyle w:val="Hyperlink"/>
            <w:noProof/>
            <w:lang w:val="en-NZ"/>
          </w:rPr>
          <w:t>Acute bed days per capita</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_Toc170199173 \h </w:instrText>
        </w:r>
        <w:r w:rsidR="007E7E0E" w:rsidRPr="003067B9">
          <w:rPr>
            <w:noProof/>
            <w:webHidden/>
            <w:lang w:val="en-NZ"/>
          </w:rPr>
        </w:r>
        <w:r w:rsidR="007E7E0E" w:rsidRPr="003067B9">
          <w:rPr>
            <w:noProof/>
            <w:webHidden/>
            <w:lang w:val="en-NZ"/>
          </w:rPr>
          <w:fldChar w:fldCharType="separate"/>
        </w:r>
        <w:r w:rsidR="003F5ECC">
          <w:rPr>
            <w:noProof/>
            <w:webHidden/>
            <w:lang w:val="en-NZ"/>
          </w:rPr>
          <w:t>37</w:t>
        </w:r>
        <w:r w:rsidR="007E7E0E" w:rsidRPr="003067B9">
          <w:rPr>
            <w:noProof/>
            <w:webHidden/>
            <w:lang w:val="en-NZ"/>
          </w:rPr>
          <w:fldChar w:fldCharType="end"/>
        </w:r>
      </w:hyperlink>
    </w:p>
    <w:p w14:paraId="5FC0F4C5" w14:textId="0A6690D8"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4" w:history="1">
        <w:r w:rsidR="007E7E0E" w:rsidRPr="003067B9">
          <w:rPr>
            <w:rStyle w:val="Hyperlink"/>
            <w:iCs/>
            <w:noProof/>
            <w:lang w:val="en-NZ"/>
          </w:rPr>
          <w:t>16</w:t>
        </w:r>
        <w:r w:rsidR="002C25F4" w:rsidRPr="003067B9">
          <w:rPr>
            <w:rStyle w:val="Hyperlink"/>
            <w:iCs/>
            <w:noProof/>
            <w:lang w:val="en-NZ"/>
          </w:rPr>
          <w:t xml:space="preserve"> </w:t>
        </w:r>
        <w:r w:rsidR="007E7E0E" w:rsidRPr="003067B9">
          <w:rPr>
            <w:rStyle w:val="Hyperlink"/>
            <w:noProof/>
            <w:lang w:val="en-NZ"/>
          </w:rPr>
          <w:t>Inpatient length of stay &gt;7 days</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_Toc170199174 \h </w:instrText>
        </w:r>
        <w:r w:rsidR="007E7E0E" w:rsidRPr="003067B9">
          <w:rPr>
            <w:noProof/>
            <w:webHidden/>
            <w:lang w:val="en-NZ"/>
          </w:rPr>
        </w:r>
        <w:r w:rsidR="007E7E0E" w:rsidRPr="003067B9">
          <w:rPr>
            <w:noProof/>
            <w:webHidden/>
            <w:lang w:val="en-NZ"/>
          </w:rPr>
          <w:fldChar w:fldCharType="separate"/>
        </w:r>
        <w:r w:rsidR="003F5ECC">
          <w:rPr>
            <w:noProof/>
            <w:webHidden/>
            <w:lang w:val="en-NZ"/>
          </w:rPr>
          <w:t>38</w:t>
        </w:r>
        <w:r w:rsidR="007E7E0E" w:rsidRPr="003067B9">
          <w:rPr>
            <w:noProof/>
            <w:webHidden/>
            <w:lang w:val="en-NZ"/>
          </w:rPr>
          <w:fldChar w:fldCharType="end"/>
        </w:r>
      </w:hyperlink>
    </w:p>
    <w:p w14:paraId="087B079B" w14:textId="7D4C59D3"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5" w:history="1">
        <w:r w:rsidR="007E7E0E" w:rsidRPr="003067B9">
          <w:rPr>
            <w:rStyle w:val="Hyperlink"/>
            <w:iCs/>
            <w:noProof/>
            <w:lang w:val="en-NZ"/>
          </w:rPr>
          <w:t>17</w:t>
        </w:r>
        <w:r w:rsidR="002C25F4" w:rsidRPr="003067B9">
          <w:rPr>
            <w:rStyle w:val="Hyperlink"/>
            <w:iCs/>
            <w:noProof/>
            <w:lang w:val="en-NZ"/>
          </w:rPr>
          <w:t xml:space="preserve"> </w:t>
        </w:r>
        <w:r w:rsidR="007E7E0E" w:rsidRPr="003067B9">
          <w:rPr>
            <w:rStyle w:val="Hyperlink"/>
            <w:noProof/>
            <w:lang w:val="en-NZ"/>
          </w:rPr>
          <w:t>Involvement in care decisions – in hospital</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_Toc170199175 \h </w:instrText>
        </w:r>
        <w:r w:rsidR="007E7E0E" w:rsidRPr="003067B9">
          <w:rPr>
            <w:noProof/>
            <w:webHidden/>
            <w:lang w:val="en-NZ"/>
          </w:rPr>
        </w:r>
        <w:r w:rsidR="007E7E0E" w:rsidRPr="003067B9">
          <w:rPr>
            <w:noProof/>
            <w:webHidden/>
            <w:lang w:val="en-NZ"/>
          </w:rPr>
          <w:fldChar w:fldCharType="separate"/>
        </w:r>
        <w:r w:rsidR="003F5ECC">
          <w:rPr>
            <w:noProof/>
            <w:webHidden/>
            <w:lang w:val="en-NZ"/>
          </w:rPr>
          <w:t>39</w:t>
        </w:r>
        <w:r w:rsidR="007E7E0E" w:rsidRPr="003067B9">
          <w:rPr>
            <w:noProof/>
            <w:webHidden/>
            <w:lang w:val="en-NZ"/>
          </w:rPr>
          <w:fldChar w:fldCharType="end"/>
        </w:r>
      </w:hyperlink>
    </w:p>
    <w:p w14:paraId="72DF7735" w14:textId="1EC289F4"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6" w:history="1">
        <w:r w:rsidR="007E7E0E" w:rsidRPr="003067B9">
          <w:rPr>
            <w:rStyle w:val="Hyperlink"/>
            <w:iCs/>
            <w:noProof/>
            <w:lang w:val="en-NZ"/>
          </w:rPr>
          <w:t>18</w:t>
        </w:r>
        <w:r w:rsidR="002C25F4" w:rsidRPr="003067B9">
          <w:rPr>
            <w:rStyle w:val="Hyperlink"/>
            <w:iCs/>
            <w:noProof/>
            <w:lang w:val="en-NZ"/>
          </w:rPr>
          <w:t xml:space="preserve"> </w:t>
        </w:r>
        <w:r w:rsidR="007E7E0E" w:rsidRPr="003067B9">
          <w:rPr>
            <w:rStyle w:val="Hyperlink"/>
            <w:noProof/>
            <w:lang w:val="en-NZ"/>
          </w:rPr>
          <w:t>People waiting more than 365 days for a procedure</w:t>
        </w:r>
        <w:r w:rsidR="007E7E0E" w:rsidRPr="003067B9">
          <w:rPr>
            <w:noProof/>
            <w:webHidden/>
            <w:lang w:val="en-NZ"/>
          </w:rPr>
          <w:tab/>
        </w:r>
        <w:r w:rsidR="00D4268E">
          <w:rPr>
            <w:noProof/>
            <w:webHidden/>
            <w:lang w:val="en-NZ"/>
          </w:rPr>
          <w:t>40</w:t>
        </w:r>
      </w:hyperlink>
    </w:p>
    <w:p w14:paraId="01ED2B69" w14:textId="48D4D6DD"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7" w:history="1">
        <w:r w:rsidR="007E7E0E" w:rsidRPr="003067B9">
          <w:rPr>
            <w:rStyle w:val="Hyperlink"/>
            <w:iCs/>
            <w:noProof/>
            <w:lang w:val="en-NZ"/>
          </w:rPr>
          <w:t>19</w:t>
        </w:r>
        <w:r w:rsidR="002C25F4" w:rsidRPr="003067B9">
          <w:rPr>
            <w:rStyle w:val="Hyperlink"/>
            <w:iCs/>
            <w:noProof/>
            <w:lang w:val="en-NZ"/>
          </w:rPr>
          <w:t xml:space="preserve"> </w:t>
        </w:r>
        <w:r w:rsidR="007E7E0E" w:rsidRPr="003067B9">
          <w:rPr>
            <w:rStyle w:val="Hyperlink"/>
            <w:noProof/>
            <w:lang w:val="en-NZ"/>
          </w:rPr>
          <w:t>Medical appointments through digital channels</w:t>
        </w:r>
        <w:r w:rsidR="007E7E0E" w:rsidRPr="003067B9">
          <w:rPr>
            <w:noProof/>
            <w:webHidden/>
            <w:lang w:val="en-NZ"/>
          </w:rPr>
          <w:tab/>
        </w:r>
        <w:r w:rsidR="00D4268E">
          <w:rPr>
            <w:noProof/>
            <w:webHidden/>
            <w:lang w:val="en-NZ"/>
          </w:rPr>
          <w:t>41</w:t>
        </w:r>
      </w:hyperlink>
    </w:p>
    <w:p w14:paraId="02A71811" w14:textId="490AB728"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8" w:history="1">
        <w:r w:rsidR="007E7E0E" w:rsidRPr="003067B9">
          <w:rPr>
            <w:rStyle w:val="Hyperlink"/>
            <w:iCs/>
            <w:noProof/>
            <w:lang w:val="en-NZ"/>
          </w:rPr>
          <w:t>20</w:t>
        </w:r>
        <w:r w:rsidR="002C25F4" w:rsidRPr="003067B9">
          <w:rPr>
            <w:rStyle w:val="Hyperlink"/>
            <w:iCs/>
            <w:noProof/>
            <w:lang w:val="en-NZ"/>
          </w:rPr>
          <w:t xml:space="preserve"> </w:t>
        </w:r>
        <w:r w:rsidR="007E7E0E" w:rsidRPr="003067B9">
          <w:rPr>
            <w:rStyle w:val="Hyperlink"/>
            <w:noProof/>
            <w:lang w:val="en-NZ"/>
          </w:rPr>
          <w:t>Missed appointments</w:t>
        </w:r>
        <w:r w:rsidR="007E7E0E" w:rsidRPr="003067B9">
          <w:rPr>
            <w:noProof/>
            <w:webHidden/>
            <w:lang w:val="en-NZ"/>
          </w:rPr>
          <w:tab/>
        </w:r>
        <w:r w:rsidR="00D4268E">
          <w:rPr>
            <w:noProof/>
            <w:webHidden/>
            <w:lang w:val="en-NZ"/>
          </w:rPr>
          <w:t>42</w:t>
        </w:r>
      </w:hyperlink>
    </w:p>
    <w:p w14:paraId="5F52EB24" w14:textId="3F83AA0C"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9" w:history="1">
        <w:r w:rsidR="007E7E0E" w:rsidRPr="003067B9">
          <w:rPr>
            <w:rStyle w:val="Hyperlink"/>
            <w:iCs/>
            <w:noProof/>
            <w:lang w:val="en-NZ"/>
          </w:rPr>
          <w:t>21</w:t>
        </w:r>
        <w:r w:rsidR="002C25F4" w:rsidRPr="003067B9">
          <w:rPr>
            <w:rStyle w:val="Hyperlink"/>
            <w:iCs/>
            <w:noProof/>
            <w:lang w:val="en-NZ"/>
          </w:rPr>
          <w:t xml:space="preserve"> </w:t>
        </w:r>
        <w:r w:rsidR="007E7E0E" w:rsidRPr="003067B9">
          <w:rPr>
            <w:rStyle w:val="Hyperlink"/>
            <w:noProof/>
            <w:lang w:val="en-NZ"/>
          </w:rPr>
          <w:t>Delivery of planned care interventions</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_Toc170199179 \h </w:instrText>
        </w:r>
        <w:r w:rsidR="007E7E0E" w:rsidRPr="003067B9">
          <w:rPr>
            <w:noProof/>
            <w:webHidden/>
            <w:lang w:val="en-NZ"/>
          </w:rPr>
        </w:r>
        <w:r w:rsidR="007E7E0E" w:rsidRPr="003067B9">
          <w:rPr>
            <w:noProof/>
            <w:webHidden/>
            <w:lang w:val="en-NZ"/>
          </w:rPr>
          <w:fldChar w:fldCharType="separate"/>
        </w:r>
        <w:r w:rsidR="003F5ECC">
          <w:rPr>
            <w:noProof/>
            <w:webHidden/>
            <w:lang w:val="en-NZ"/>
          </w:rPr>
          <w:t>43</w:t>
        </w:r>
        <w:r w:rsidR="007E7E0E" w:rsidRPr="003067B9">
          <w:rPr>
            <w:noProof/>
            <w:webHidden/>
            <w:lang w:val="en-NZ"/>
          </w:rPr>
          <w:fldChar w:fldCharType="end"/>
        </w:r>
      </w:hyperlink>
    </w:p>
    <w:p w14:paraId="0B139FF0" w14:textId="04AE010C"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80" w:history="1">
        <w:r w:rsidR="007E7E0E" w:rsidRPr="003067B9">
          <w:rPr>
            <w:rStyle w:val="Hyperlink"/>
            <w:iCs/>
            <w:noProof/>
            <w:lang w:val="en-NZ"/>
          </w:rPr>
          <w:t>22</w:t>
        </w:r>
        <w:r w:rsidR="002C25F4" w:rsidRPr="003067B9">
          <w:rPr>
            <w:rStyle w:val="Hyperlink"/>
            <w:iCs/>
            <w:noProof/>
            <w:lang w:val="en-NZ"/>
          </w:rPr>
          <w:t xml:space="preserve"> </w:t>
        </w:r>
        <w:r w:rsidR="007E7E0E" w:rsidRPr="003067B9">
          <w:rPr>
            <w:rStyle w:val="Hyperlink"/>
            <w:noProof/>
            <w:lang w:val="en-NZ"/>
          </w:rPr>
          <w:t>Acute readmissions within 28 days of discharge</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_Toc170199180 \h </w:instrText>
        </w:r>
        <w:r w:rsidR="007E7E0E" w:rsidRPr="003067B9">
          <w:rPr>
            <w:noProof/>
            <w:webHidden/>
            <w:lang w:val="en-NZ"/>
          </w:rPr>
        </w:r>
        <w:r w:rsidR="007E7E0E" w:rsidRPr="003067B9">
          <w:rPr>
            <w:noProof/>
            <w:webHidden/>
            <w:lang w:val="en-NZ"/>
          </w:rPr>
          <w:fldChar w:fldCharType="separate"/>
        </w:r>
        <w:r w:rsidR="003F5ECC">
          <w:rPr>
            <w:noProof/>
            <w:webHidden/>
            <w:lang w:val="en-NZ"/>
          </w:rPr>
          <w:t>44</w:t>
        </w:r>
        <w:r w:rsidR="007E7E0E" w:rsidRPr="003067B9">
          <w:rPr>
            <w:noProof/>
            <w:webHidden/>
            <w:lang w:val="en-NZ"/>
          </w:rPr>
          <w:fldChar w:fldCharType="end"/>
        </w:r>
      </w:hyperlink>
    </w:p>
    <w:p w14:paraId="0AEB808C" w14:textId="7AAC3822"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81" w:history="1">
        <w:r w:rsidR="007E7E0E" w:rsidRPr="003067B9">
          <w:rPr>
            <w:rStyle w:val="Hyperlink"/>
            <w:noProof/>
            <w:lang w:val="en-NZ"/>
          </w:rPr>
          <w:t>Our milestones</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_Toc170199181 \h </w:instrText>
        </w:r>
        <w:r w:rsidR="007E7E0E" w:rsidRPr="003067B9">
          <w:rPr>
            <w:noProof/>
            <w:webHidden/>
            <w:lang w:val="en-NZ"/>
          </w:rPr>
        </w:r>
        <w:r w:rsidR="007E7E0E" w:rsidRPr="003067B9">
          <w:rPr>
            <w:noProof/>
            <w:webHidden/>
            <w:lang w:val="en-NZ"/>
          </w:rPr>
          <w:fldChar w:fldCharType="separate"/>
        </w:r>
        <w:r w:rsidR="003F5ECC">
          <w:rPr>
            <w:noProof/>
            <w:webHidden/>
            <w:lang w:val="en-NZ"/>
          </w:rPr>
          <w:t>45</w:t>
        </w:r>
        <w:r w:rsidR="007E7E0E" w:rsidRPr="003067B9">
          <w:rPr>
            <w:noProof/>
            <w:webHidden/>
            <w:lang w:val="en-NZ"/>
          </w:rPr>
          <w:fldChar w:fldCharType="end"/>
        </w:r>
      </w:hyperlink>
    </w:p>
    <w:p w14:paraId="07AF43D8" w14:textId="5CD5205A" w:rsidR="007E7E0E" w:rsidRPr="00D4706E" w:rsidRDefault="00000000" w:rsidP="00801165">
      <w:pPr>
        <w:pStyle w:val="TOC1"/>
        <w:rPr>
          <w:rFonts w:asciiTheme="minorHAnsi" w:eastAsiaTheme="minorEastAsia" w:hAnsiTheme="minorHAnsi" w:cstheme="minorBidi"/>
          <w:kern w:val="2"/>
          <w:szCs w:val="24"/>
          <w:lang w:val="en-NZ" w:eastAsia="en-NZ"/>
          <w14:ligatures w14:val="standardContextual"/>
        </w:rPr>
      </w:pPr>
      <w:hyperlink w:anchor="_Toc170199182" w:history="1">
        <w:r w:rsidR="007E7E0E" w:rsidRPr="003067B9">
          <w:rPr>
            <w:rStyle w:val="Hyperlink"/>
            <w:b/>
            <w:bCs/>
            <w:lang w:val="en-NZ"/>
          </w:rPr>
          <w:t>6.</w:t>
        </w:r>
        <w:r w:rsidR="007E7E0E" w:rsidRPr="00D4706E">
          <w:rPr>
            <w:rFonts w:asciiTheme="minorHAnsi" w:eastAsiaTheme="minorEastAsia" w:hAnsiTheme="minorHAnsi" w:cstheme="minorBidi"/>
            <w:kern w:val="2"/>
            <w:szCs w:val="24"/>
            <w:lang w:val="en-NZ" w:eastAsia="en-NZ"/>
            <w14:ligatures w14:val="standardContextual"/>
          </w:rPr>
          <w:tab/>
        </w:r>
        <w:r w:rsidR="007E7E0E" w:rsidRPr="003067B9">
          <w:rPr>
            <w:rStyle w:val="Hyperlink"/>
            <w:b/>
            <w:bCs/>
            <w:lang w:val="en-NZ"/>
          </w:rPr>
          <w:t xml:space="preserve">Financial </w:t>
        </w:r>
        <w:r w:rsidR="007C4F5C">
          <w:rPr>
            <w:rStyle w:val="Hyperlink"/>
            <w:b/>
            <w:bCs/>
            <w:lang w:val="en-NZ"/>
          </w:rPr>
          <w:t>p</w:t>
        </w:r>
        <w:r w:rsidR="007E7E0E" w:rsidRPr="003067B9">
          <w:rPr>
            <w:rStyle w:val="Hyperlink"/>
            <w:b/>
            <w:bCs/>
            <w:lang w:val="en-NZ"/>
          </w:rPr>
          <w:t>erformance</w:t>
        </w:r>
        <w:r w:rsidR="007E7E0E" w:rsidRPr="003067B9">
          <w:rPr>
            <w:webHidden/>
            <w:lang w:val="en-NZ"/>
          </w:rPr>
          <w:tab/>
        </w:r>
        <w:r w:rsidR="007E7E0E" w:rsidRPr="003067B9">
          <w:rPr>
            <w:webHidden/>
            <w:lang w:val="en-NZ"/>
          </w:rPr>
          <w:fldChar w:fldCharType="begin"/>
        </w:r>
        <w:r w:rsidR="007E7E0E" w:rsidRPr="003067B9">
          <w:rPr>
            <w:webHidden/>
            <w:lang w:val="en-NZ"/>
          </w:rPr>
          <w:instrText xml:space="preserve"> PAGEREF _Toc170199182 \h </w:instrText>
        </w:r>
        <w:r w:rsidR="007E7E0E" w:rsidRPr="003067B9">
          <w:rPr>
            <w:webHidden/>
            <w:lang w:val="en-NZ"/>
          </w:rPr>
        </w:r>
        <w:r w:rsidR="007E7E0E" w:rsidRPr="003067B9">
          <w:rPr>
            <w:webHidden/>
            <w:lang w:val="en-NZ"/>
          </w:rPr>
          <w:fldChar w:fldCharType="separate"/>
        </w:r>
        <w:r w:rsidR="003F5ECC">
          <w:rPr>
            <w:webHidden/>
            <w:lang w:val="en-NZ"/>
          </w:rPr>
          <w:t>47</w:t>
        </w:r>
        <w:r w:rsidR="007E7E0E" w:rsidRPr="003067B9">
          <w:rPr>
            <w:webHidden/>
            <w:lang w:val="en-NZ"/>
          </w:rPr>
          <w:fldChar w:fldCharType="end"/>
        </w:r>
      </w:hyperlink>
    </w:p>
    <w:p w14:paraId="418971D6" w14:textId="7A19042B" w:rsidR="007E7E0E" w:rsidRPr="00D4706E" w:rsidRDefault="00000000" w:rsidP="00801165">
      <w:pPr>
        <w:pStyle w:val="TOC1"/>
        <w:rPr>
          <w:rFonts w:asciiTheme="minorHAnsi" w:eastAsiaTheme="minorEastAsia" w:hAnsiTheme="minorHAnsi" w:cstheme="minorBidi"/>
          <w:kern w:val="2"/>
          <w:szCs w:val="24"/>
          <w:lang w:val="en-NZ" w:eastAsia="en-NZ"/>
          <w14:ligatures w14:val="standardContextual"/>
        </w:rPr>
      </w:pPr>
      <w:hyperlink w:anchor="_Toc170199193" w:history="1">
        <w:r w:rsidR="007E7E0E" w:rsidRPr="003067B9">
          <w:rPr>
            <w:rStyle w:val="Hyperlink"/>
            <w:b/>
            <w:bCs/>
            <w:lang w:val="en-NZ"/>
          </w:rPr>
          <w:t xml:space="preserve">Appendix 1: Measure </w:t>
        </w:r>
        <w:r w:rsidR="00FF3BFB">
          <w:rPr>
            <w:rStyle w:val="Hyperlink"/>
            <w:b/>
            <w:bCs/>
            <w:lang w:val="en-NZ"/>
          </w:rPr>
          <w:t>d</w:t>
        </w:r>
        <w:r w:rsidR="007E7E0E" w:rsidRPr="003067B9">
          <w:rPr>
            <w:rStyle w:val="Hyperlink"/>
            <w:b/>
            <w:bCs/>
            <w:lang w:val="en-NZ"/>
          </w:rPr>
          <w:t>efinitions</w:t>
        </w:r>
        <w:r w:rsidR="007E7E0E" w:rsidRPr="003067B9">
          <w:rPr>
            <w:webHidden/>
            <w:lang w:val="en-NZ"/>
          </w:rPr>
          <w:tab/>
        </w:r>
        <w:r w:rsidR="007E7E0E" w:rsidRPr="003067B9">
          <w:rPr>
            <w:webHidden/>
            <w:lang w:val="en-NZ"/>
          </w:rPr>
          <w:fldChar w:fldCharType="begin"/>
        </w:r>
        <w:r w:rsidR="007E7E0E" w:rsidRPr="003067B9">
          <w:rPr>
            <w:webHidden/>
            <w:lang w:val="en-NZ"/>
          </w:rPr>
          <w:instrText xml:space="preserve"> PAGEREF _Toc170199193 \h </w:instrText>
        </w:r>
        <w:r w:rsidR="007E7E0E" w:rsidRPr="003067B9">
          <w:rPr>
            <w:webHidden/>
            <w:lang w:val="en-NZ"/>
          </w:rPr>
        </w:r>
        <w:r w:rsidR="007E7E0E" w:rsidRPr="003067B9">
          <w:rPr>
            <w:webHidden/>
            <w:lang w:val="en-NZ"/>
          </w:rPr>
          <w:fldChar w:fldCharType="separate"/>
        </w:r>
        <w:r w:rsidR="003F5ECC">
          <w:rPr>
            <w:webHidden/>
            <w:lang w:val="en-NZ"/>
          </w:rPr>
          <w:t>56</w:t>
        </w:r>
        <w:r w:rsidR="007E7E0E" w:rsidRPr="003067B9">
          <w:rPr>
            <w:webHidden/>
            <w:lang w:val="en-NZ"/>
          </w:rPr>
          <w:fldChar w:fldCharType="end"/>
        </w:r>
      </w:hyperlink>
    </w:p>
    <w:p w14:paraId="50E0FD00" w14:textId="2583A270" w:rsidR="007E7E0E" w:rsidRPr="00D4706E" w:rsidRDefault="00000000" w:rsidP="00801165">
      <w:pPr>
        <w:pStyle w:val="TOC1"/>
        <w:rPr>
          <w:rFonts w:asciiTheme="minorHAnsi" w:eastAsiaTheme="minorEastAsia" w:hAnsiTheme="minorHAnsi" w:cstheme="minorBidi"/>
          <w:kern w:val="2"/>
          <w:szCs w:val="24"/>
          <w:lang w:val="en-NZ" w:eastAsia="en-NZ"/>
          <w14:ligatures w14:val="standardContextual"/>
        </w:rPr>
      </w:pPr>
      <w:hyperlink w:anchor="_Toc170199194" w:history="1">
        <w:r w:rsidR="007E7E0E" w:rsidRPr="003067B9">
          <w:rPr>
            <w:rStyle w:val="Hyperlink"/>
            <w:b/>
            <w:bCs/>
            <w:lang w:val="en-NZ"/>
          </w:rPr>
          <w:t>Appendix 2: Local trends</w:t>
        </w:r>
        <w:r w:rsidR="007E7E0E" w:rsidRPr="003067B9">
          <w:rPr>
            <w:webHidden/>
            <w:lang w:val="en-NZ"/>
          </w:rPr>
          <w:tab/>
        </w:r>
        <w:r w:rsidR="007E7E0E" w:rsidRPr="003067B9">
          <w:rPr>
            <w:webHidden/>
            <w:lang w:val="en-NZ"/>
          </w:rPr>
          <w:fldChar w:fldCharType="begin"/>
        </w:r>
        <w:r w:rsidR="007E7E0E" w:rsidRPr="003067B9">
          <w:rPr>
            <w:webHidden/>
            <w:lang w:val="en-NZ"/>
          </w:rPr>
          <w:instrText xml:space="preserve"> PAGEREF _Toc170199194 \h </w:instrText>
        </w:r>
        <w:r w:rsidR="007E7E0E" w:rsidRPr="003067B9">
          <w:rPr>
            <w:webHidden/>
            <w:lang w:val="en-NZ"/>
          </w:rPr>
        </w:r>
        <w:r w:rsidR="007E7E0E" w:rsidRPr="003067B9">
          <w:rPr>
            <w:webHidden/>
            <w:lang w:val="en-NZ"/>
          </w:rPr>
          <w:fldChar w:fldCharType="separate"/>
        </w:r>
        <w:r w:rsidR="003F5ECC">
          <w:rPr>
            <w:webHidden/>
            <w:lang w:val="en-NZ"/>
          </w:rPr>
          <w:t>62</w:t>
        </w:r>
        <w:r w:rsidR="007E7E0E" w:rsidRPr="003067B9">
          <w:rPr>
            <w:webHidden/>
            <w:lang w:val="en-NZ"/>
          </w:rPr>
          <w:fldChar w:fldCharType="end"/>
        </w:r>
      </w:hyperlink>
    </w:p>
    <w:p w14:paraId="0834D61E" w14:textId="54E7B6C8" w:rsidR="007E7E0E" w:rsidRPr="00D4706E" w:rsidRDefault="007E7E0E">
      <w:pPr>
        <w:pStyle w:val="TOC2"/>
        <w:rPr>
          <w:rFonts w:asciiTheme="minorHAnsi" w:eastAsiaTheme="minorEastAsia" w:hAnsiTheme="minorHAnsi" w:cstheme="minorBidi"/>
          <w:noProof/>
          <w:kern w:val="2"/>
          <w:szCs w:val="24"/>
          <w:lang w:val="en-NZ" w:eastAsia="en-NZ"/>
          <w14:ligatures w14:val="standardContextual"/>
        </w:rPr>
      </w:pPr>
    </w:p>
    <w:p w14:paraId="1F34F930" w14:textId="0DE1E5AE" w:rsidR="007B5AB3" w:rsidRPr="00D4706E" w:rsidRDefault="007E7E0E" w:rsidP="002B16E8">
      <w:pPr>
        <w:pStyle w:val="NumberedHeading1"/>
        <w:tabs>
          <w:tab w:val="left" w:pos="1021"/>
        </w:tabs>
        <w:spacing w:before="480" w:after="120" w:line="288" w:lineRule="auto"/>
        <w:ind w:left="1021" w:hanging="1021"/>
        <w:rPr>
          <w:bCs w:val="0"/>
          <w:noProof w:val="0"/>
          <w:color w:val="15284C"/>
          <w:sz w:val="72"/>
          <w:szCs w:val="72"/>
        </w:rPr>
      </w:pPr>
      <w:r w:rsidRPr="00D4706E">
        <w:lastRenderedPageBreak/>
        <w:fldChar w:fldCharType="end"/>
      </w:r>
      <w:bookmarkStart w:id="5" w:name="_Toc162008435"/>
      <w:bookmarkStart w:id="6" w:name="_Toc163580392"/>
      <w:bookmarkStart w:id="7" w:name="_Toc170199139"/>
      <w:r w:rsidR="002B16E8" w:rsidRPr="00D4706E">
        <w:rPr>
          <w:color w:val="15284C"/>
          <w:sz w:val="72"/>
          <w:szCs w:val="72"/>
        </w:rPr>
        <w:t xml:space="preserve">1 </w:t>
      </w:r>
      <w:r w:rsidR="007B5AB3" w:rsidRPr="00D4706E">
        <w:rPr>
          <w:bCs w:val="0"/>
          <w:noProof w:val="0"/>
          <w:color w:val="15284C"/>
          <w:sz w:val="72"/>
          <w:szCs w:val="72"/>
        </w:rPr>
        <w:t xml:space="preserve">Snapshot for the </w:t>
      </w:r>
      <w:r w:rsidR="00BB024B">
        <w:rPr>
          <w:bCs w:val="0"/>
          <w:noProof w:val="0"/>
          <w:color w:val="15284C"/>
          <w:sz w:val="72"/>
          <w:szCs w:val="72"/>
        </w:rPr>
        <w:t>q</w:t>
      </w:r>
      <w:r w:rsidR="007B5AB3" w:rsidRPr="00D4706E">
        <w:rPr>
          <w:bCs w:val="0"/>
          <w:noProof w:val="0"/>
          <w:color w:val="15284C"/>
          <w:sz w:val="72"/>
          <w:szCs w:val="72"/>
        </w:rPr>
        <w:t>uarter</w:t>
      </w:r>
      <w:bookmarkEnd w:id="5"/>
      <w:bookmarkEnd w:id="6"/>
      <w:bookmarkEnd w:id="7"/>
    </w:p>
    <w:p w14:paraId="2991FAA1" w14:textId="35EE0B33" w:rsidR="00334CDB" w:rsidRPr="00D4706E" w:rsidRDefault="00334CDB" w:rsidP="00C8108F">
      <w:pPr>
        <w:pStyle w:val="Heading2"/>
        <w:rPr>
          <w:i/>
          <w:color w:val="15284C"/>
          <w:sz w:val="36"/>
          <w:szCs w:val="36"/>
        </w:rPr>
      </w:pPr>
      <w:bookmarkStart w:id="8" w:name="_Toc163580393"/>
      <w:bookmarkStart w:id="9" w:name="_Toc170199140"/>
      <w:r w:rsidRPr="00D4706E">
        <w:rPr>
          <w:color w:val="15284C"/>
          <w:sz w:val="36"/>
          <w:szCs w:val="36"/>
        </w:rPr>
        <w:t>Immunisation</w:t>
      </w:r>
      <w:bookmarkEnd w:id="8"/>
      <w:bookmarkEnd w:id="9"/>
    </w:p>
    <w:p w14:paraId="17D0B0A4" w14:textId="5E69182D" w:rsidR="008B2FEF" w:rsidRPr="003067B9" w:rsidRDefault="002333DD" w:rsidP="009F0A5B">
      <w:pPr>
        <w:pStyle w:val="Bulletpoints"/>
        <w:rPr>
          <w:lang w:val="en-NZ" w:eastAsia="en-NZ"/>
        </w:rPr>
      </w:pPr>
      <w:r w:rsidRPr="0006465A">
        <w:rPr>
          <w:lang w:val="en-NZ" w:eastAsia="en-NZ"/>
        </w:rPr>
        <w:t xml:space="preserve">During the quarter, we supported pharmacists to become 'authorised vaccinators' by offering a free </w:t>
      </w:r>
      <w:r w:rsidR="003C3B43">
        <w:rPr>
          <w:lang w:val="en-NZ" w:eastAsia="en-NZ"/>
        </w:rPr>
        <w:t xml:space="preserve">three </w:t>
      </w:r>
      <w:r w:rsidRPr="003067B9">
        <w:rPr>
          <w:lang w:val="en-NZ" w:eastAsia="en-NZ"/>
        </w:rPr>
        <w:t xml:space="preserve">hour training package. Beginning 1 April, </w:t>
      </w:r>
      <w:r w:rsidR="00492A4C" w:rsidRPr="003067B9">
        <w:rPr>
          <w:szCs w:val="24"/>
          <w:lang w:val="en-NZ"/>
        </w:rPr>
        <w:t xml:space="preserve">pharmacists </w:t>
      </w:r>
      <w:r w:rsidR="00E240F8" w:rsidRPr="003067B9">
        <w:rPr>
          <w:lang w:val="en-NZ" w:eastAsia="en-NZ"/>
        </w:rPr>
        <w:t xml:space="preserve">who  </w:t>
      </w:r>
      <w:r w:rsidRPr="003067B9">
        <w:rPr>
          <w:lang w:val="en-NZ" w:eastAsia="en-NZ"/>
        </w:rPr>
        <w:t xml:space="preserve">have completed this training and choose to offer childhood immunisations will be able to </w:t>
      </w:r>
      <w:r w:rsidR="00E35C5F" w:rsidRPr="003067B9">
        <w:rPr>
          <w:lang w:val="en-NZ" w:eastAsia="en-NZ"/>
        </w:rPr>
        <w:t>vaccinate</w:t>
      </w:r>
      <w:r w:rsidRPr="003067B9">
        <w:rPr>
          <w:lang w:val="en-NZ" w:eastAsia="en-NZ"/>
        </w:rPr>
        <w:t xml:space="preserve"> children aged 6 weeks and older. This offers families another option to access free vaccines in their communities, particularly if they are not enrolled</w:t>
      </w:r>
      <w:r w:rsidR="00C140D3" w:rsidRPr="003067B9">
        <w:rPr>
          <w:lang w:val="en-NZ" w:eastAsia="en-NZ"/>
        </w:rPr>
        <w:t xml:space="preserve"> </w:t>
      </w:r>
      <w:r w:rsidRPr="003067B9">
        <w:rPr>
          <w:lang w:val="en-NZ" w:eastAsia="en-NZ"/>
        </w:rPr>
        <w:t>with a general practice</w:t>
      </w:r>
      <w:r w:rsidRPr="0006465A">
        <w:rPr>
          <w:vertAlign w:val="superscript"/>
          <w:lang w:val="en-NZ" w:eastAsia="en-NZ"/>
        </w:rPr>
        <w:footnoteReference w:id="2"/>
      </w:r>
      <w:r w:rsidR="00BD2D68" w:rsidRPr="003067B9">
        <w:rPr>
          <w:lang w:val="en-NZ" w:eastAsia="en-NZ"/>
        </w:rPr>
        <w:t>.</w:t>
      </w:r>
      <w:r w:rsidR="009B2ED1" w:rsidRPr="003067B9">
        <w:rPr>
          <w:lang w:val="en-NZ" w:eastAsia="en-NZ"/>
        </w:rPr>
        <w:t xml:space="preserve"> </w:t>
      </w:r>
      <w:r w:rsidR="00413AE6" w:rsidRPr="003067B9">
        <w:rPr>
          <w:lang w:val="en-NZ" w:eastAsia="en-NZ"/>
        </w:rPr>
        <w:t>In some areas w</w:t>
      </w:r>
      <w:r w:rsidR="008B2FEF" w:rsidRPr="003067B9">
        <w:rPr>
          <w:lang w:val="en-NZ" w:eastAsia="en-NZ"/>
        </w:rPr>
        <w:t xml:space="preserve">e have identified pharmacists lack local support and </w:t>
      </w:r>
      <w:r w:rsidR="00CD074F" w:rsidRPr="003067B9">
        <w:rPr>
          <w:lang w:val="en-NZ" w:eastAsia="en-NZ"/>
        </w:rPr>
        <w:t xml:space="preserve">onboarding </w:t>
      </w:r>
      <w:r w:rsidR="008B2FEF" w:rsidRPr="003067B9">
        <w:rPr>
          <w:lang w:val="en-NZ" w:eastAsia="en-NZ"/>
        </w:rPr>
        <w:t>resources to confidently become whole-of-life vaccinators. We are working with the sector to identify the support</w:t>
      </w:r>
      <w:r w:rsidR="009D29AC" w:rsidRPr="003067B9">
        <w:rPr>
          <w:lang w:val="en-NZ" w:eastAsia="en-NZ"/>
        </w:rPr>
        <w:t xml:space="preserve"> needed</w:t>
      </w:r>
      <w:r w:rsidR="004F18AA" w:rsidRPr="003067B9">
        <w:rPr>
          <w:lang w:val="en-NZ" w:eastAsia="en-NZ"/>
        </w:rPr>
        <w:t>.</w:t>
      </w:r>
    </w:p>
    <w:p w14:paraId="117BE59E" w14:textId="4E6A5380" w:rsidR="0082685F" w:rsidRPr="003067B9" w:rsidRDefault="0082685F" w:rsidP="009F0A5B">
      <w:pPr>
        <w:pStyle w:val="Bulletpoints"/>
        <w:rPr>
          <w:lang w:val="en-NZ" w:eastAsia="en-NZ"/>
        </w:rPr>
      </w:pPr>
      <w:r w:rsidRPr="003067B9">
        <w:rPr>
          <w:lang w:val="en-NZ" w:eastAsia="en-NZ"/>
        </w:rPr>
        <w:t xml:space="preserve">To date, the Aotearoa Immunisation Register (AIR) (launched in December 2023) has recorded </w:t>
      </w:r>
      <w:r w:rsidR="00597408">
        <w:rPr>
          <w:lang w:val="en-NZ" w:eastAsia="en-NZ"/>
        </w:rPr>
        <w:t>more than</w:t>
      </w:r>
      <w:r w:rsidR="00597408" w:rsidRPr="003067B9">
        <w:rPr>
          <w:lang w:val="en-NZ" w:eastAsia="en-NZ"/>
        </w:rPr>
        <w:t xml:space="preserve"> </w:t>
      </w:r>
      <w:r w:rsidRPr="003067B9">
        <w:rPr>
          <w:lang w:val="en-NZ" w:eastAsia="en-NZ"/>
        </w:rPr>
        <w:t xml:space="preserve">200,000 immunisations. </w:t>
      </w:r>
      <w:r w:rsidR="5700E07D" w:rsidRPr="003067B9">
        <w:rPr>
          <w:lang w:val="en-NZ" w:eastAsia="en-NZ"/>
        </w:rPr>
        <w:t xml:space="preserve">Sixty percent </w:t>
      </w:r>
      <w:r w:rsidRPr="003067B9">
        <w:rPr>
          <w:lang w:val="en-NZ" w:eastAsia="en-NZ"/>
        </w:rPr>
        <w:t xml:space="preserve">of these were delivered in general practice, with the remainder in other care settings.  The AIR has </w:t>
      </w:r>
      <w:r w:rsidR="00597408">
        <w:rPr>
          <w:lang w:val="en-NZ" w:eastAsia="en-NZ"/>
        </w:rPr>
        <w:t>more than</w:t>
      </w:r>
      <w:r w:rsidRPr="003067B9">
        <w:rPr>
          <w:lang w:val="en-NZ" w:eastAsia="en-NZ"/>
        </w:rPr>
        <w:t xml:space="preserve"> 8,000 active users across pharmacy, </w:t>
      </w:r>
      <w:r w:rsidR="004F18AA" w:rsidRPr="003067B9">
        <w:rPr>
          <w:lang w:val="en-NZ" w:eastAsia="en-NZ"/>
        </w:rPr>
        <w:t>h</w:t>
      </w:r>
      <w:r w:rsidRPr="003067B9">
        <w:rPr>
          <w:lang w:val="en-NZ" w:eastAsia="en-NZ"/>
        </w:rPr>
        <w:t>auora Māori services, Pacific health services</w:t>
      </w:r>
      <w:r w:rsidR="00992687" w:rsidRPr="003067B9">
        <w:rPr>
          <w:lang w:val="en-NZ" w:eastAsia="en-NZ"/>
        </w:rPr>
        <w:t xml:space="preserve"> and </w:t>
      </w:r>
      <w:r w:rsidRPr="003067B9">
        <w:rPr>
          <w:lang w:val="en-NZ" w:eastAsia="en-NZ"/>
        </w:rPr>
        <w:t xml:space="preserve">occupational health, including nearly 1,000 general practices. The AIR provides information about vaccination coverage across the country by recording administered vaccinations. </w:t>
      </w:r>
    </w:p>
    <w:p w14:paraId="66ABBF09" w14:textId="2950B27A" w:rsidR="00946DF8" w:rsidRPr="003067B9" w:rsidRDefault="00946DF8" w:rsidP="009F0A5B">
      <w:pPr>
        <w:pStyle w:val="Bulletpoints"/>
        <w:rPr>
          <w:lang w:val="en-NZ"/>
        </w:rPr>
      </w:pPr>
      <w:r w:rsidRPr="003067B9">
        <w:rPr>
          <w:lang w:val="en-NZ"/>
        </w:rPr>
        <w:t>During the quarter, a social marketing campaign was launched to increase childhood immunisation rates. It feature</w:t>
      </w:r>
      <w:r w:rsidR="0046211B">
        <w:rPr>
          <w:lang w:val="en-NZ"/>
        </w:rPr>
        <w:t>d</w:t>
      </w:r>
      <w:r w:rsidRPr="003067B9">
        <w:rPr>
          <w:lang w:val="en-NZ"/>
        </w:rPr>
        <w:t> on television and social media, and in public places such as shopping malls, community centres, gyms, and bus stops, until the end of June 2024. There has been high demand for Te Whainga o te Mārama resources</w:t>
      </w:r>
      <w:r w:rsidR="0046211B">
        <w:rPr>
          <w:lang w:val="en-NZ"/>
        </w:rPr>
        <w:t>,</w:t>
      </w:r>
      <w:r w:rsidRPr="003067B9">
        <w:rPr>
          <w:lang w:val="en-NZ"/>
        </w:rPr>
        <w:t xml:space="preserve"> which focus on support</w:t>
      </w:r>
      <w:r w:rsidR="003D2232" w:rsidRPr="003067B9">
        <w:rPr>
          <w:lang w:val="en-NZ"/>
        </w:rPr>
        <w:t>ing</w:t>
      </w:r>
      <w:r w:rsidRPr="003067B9">
        <w:rPr>
          <w:lang w:val="en-NZ"/>
        </w:rPr>
        <w:t xml:space="preserve"> informed decision making </w:t>
      </w:r>
      <w:r w:rsidR="00D3749B" w:rsidRPr="003067B9">
        <w:rPr>
          <w:lang w:val="en-NZ"/>
        </w:rPr>
        <w:t xml:space="preserve">by Māori </w:t>
      </w:r>
      <w:r w:rsidRPr="003067B9">
        <w:rPr>
          <w:lang w:val="en-NZ"/>
        </w:rPr>
        <w:t xml:space="preserve">about immunising pēpi and tamariki. These resources include a book about informed consent and an indigenised view of the immunisation schedule. So far, 9,000 resources have been distributed, and the Central Region plans to distribute a further 25,000 copies in </w:t>
      </w:r>
      <w:r w:rsidR="00041A39" w:rsidRPr="003067B9">
        <w:rPr>
          <w:lang w:val="en-NZ"/>
        </w:rPr>
        <w:t>t</w:t>
      </w:r>
      <w:r w:rsidRPr="003067B9">
        <w:rPr>
          <w:lang w:val="en-NZ"/>
        </w:rPr>
        <w:t xml:space="preserve">e </w:t>
      </w:r>
      <w:r w:rsidR="00041A39" w:rsidRPr="003067B9">
        <w:rPr>
          <w:lang w:val="en-NZ"/>
        </w:rPr>
        <w:t>r</w:t>
      </w:r>
      <w:r w:rsidRPr="003067B9">
        <w:rPr>
          <w:lang w:val="en-NZ"/>
        </w:rPr>
        <w:t>eo Māori and 50,000 copies in English.</w:t>
      </w:r>
    </w:p>
    <w:p w14:paraId="34B5865E" w14:textId="7685D2EA" w:rsidR="00CB0E05" w:rsidRPr="003067B9" w:rsidRDefault="00CB0E05" w:rsidP="009F0A5B">
      <w:pPr>
        <w:pStyle w:val="Bulletpoints"/>
        <w:rPr>
          <w:lang w:val="en-NZ"/>
        </w:rPr>
      </w:pPr>
      <w:r w:rsidRPr="003067B9">
        <w:rPr>
          <w:lang w:val="en-NZ"/>
        </w:rPr>
        <w:t xml:space="preserve">The 2024 Flu vaccination season started on 2 April. </w:t>
      </w:r>
      <w:r w:rsidR="00151B5D" w:rsidRPr="003067B9">
        <w:rPr>
          <w:lang w:val="en-NZ"/>
        </w:rPr>
        <w:t>During the</w:t>
      </w:r>
      <w:r w:rsidRPr="003067B9">
        <w:rPr>
          <w:lang w:val="en-NZ"/>
        </w:rPr>
        <w:t xml:space="preserve"> quarter, vaccinating teams received resources and vaccinator information from our N</w:t>
      </w:r>
      <w:r w:rsidR="3B445CA1" w:rsidRPr="003067B9">
        <w:rPr>
          <w:lang w:val="en-NZ"/>
        </w:rPr>
        <w:t xml:space="preserve">ational Public Health </w:t>
      </w:r>
      <w:r w:rsidR="00D069DC" w:rsidRPr="003067B9">
        <w:rPr>
          <w:lang w:val="en-NZ"/>
        </w:rPr>
        <w:t>S</w:t>
      </w:r>
      <w:r w:rsidR="3B445CA1" w:rsidRPr="003067B9">
        <w:rPr>
          <w:lang w:val="en-NZ"/>
        </w:rPr>
        <w:t>ervice (</w:t>
      </w:r>
      <w:r w:rsidRPr="003067B9">
        <w:rPr>
          <w:lang w:val="en-NZ"/>
        </w:rPr>
        <w:t>NPHS</w:t>
      </w:r>
      <w:r w:rsidR="73D9D14C" w:rsidRPr="003067B9">
        <w:rPr>
          <w:lang w:val="en-NZ"/>
        </w:rPr>
        <w:t>)</w:t>
      </w:r>
      <w:r w:rsidRPr="003067B9">
        <w:rPr>
          <w:lang w:val="en-NZ"/>
        </w:rPr>
        <w:t xml:space="preserve"> Immunisation team and the Immunisation Advisory Centre (IMAC). Training was held across the country for vaccinators, including a series of</w:t>
      </w:r>
      <w:r w:rsidR="009C250D" w:rsidRPr="003067B9">
        <w:rPr>
          <w:lang w:val="en-NZ"/>
        </w:rPr>
        <w:t xml:space="preserve"> </w:t>
      </w:r>
      <w:r w:rsidRPr="003067B9">
        <w:rPr>
          <w:lang w:val="en-NZ"/>
        </w:rPr>
        <w:t xml:space="preserve">hui, webinars, and a flu booklet with essential information for health professionals, which is available </w:t>
      </w:r>
      <w:r w:rsidR="004003B9" w:rsidRPr="003067B9">
        <w:rPr>
          <w:lang w:val="en-NZ"/>
        </w:rPr>
        <w:t>to</w:t>
      </w:r>
      <w:r w:rsidRPr="003067B9">
        <w:rPr>
          <w:lang w:val="en-NZ"/>
        </w:rPr>
        <w:t xml:space="preserve"> download.</w:t>
      </w:r>
      <w:r w:rsidR="001119BF" w:rsidRPr="003067B9">
        <w:rPr>
          <w:lang w:val="en-NZ"/>
        </w:rPr>
        <w:t xml:space="preserve"> Some providers have </w:t>
      </w:r>
      <w:r w:rsidR="00A44C4B" w:rsidRPr="003067B9">
        <w:rPr>
          <w:lang w:val="en-NZ"/>
        </w:rPr>
        <w:t xml:space="preserve">taken a </w:t>
      </w:r>
      <w:r w:rsidR="00DA4BB6" w:rsidRPr="003067B9">
        <w:rPr>
          <w:lang w:val="en-NZ"/>
        </w:rPr>
        <w:t>self</w:t>
      </w:r>
      <w:r w:rsidR="00E1298D" w:rsidRPr="003067B9">
        <w:rPr>
          <w:lang w:val="en-NZ"/>
        </w:rPr>
        <w:t>-</w:t>
      </w:r>
      <w:r w:rsidR="001119BF" w:rsidRPr="003067B9">
        <w:rPr>
          <w:lang w:val="en-NZ"/>
        </w:rPr>
        <w:t xml:space="preserve">funded </w:t>
      </w:r>
      <w:r w:rsidR="00A44C4B" w:rsidRPr="003067B9">
        <w:rPr>
          <w:lang w:val="en-NZ"/>
        </w:rPr>
        <w:t xml:space="preserve">approach to </w:t>
      </w:r>
      <w:r w:rsidR="0095318F" w:rsidRPr="003067B9">
        <w:rPr>
          <w:lang w:val="en-NZ"/>
        </w:rPr>
        <w:t>meet</w:t>
      </w:r>
      <w:r w:rsidR="001119BF" w:rsidRPr="003067B9">
        <w:rPr>
          <w:lang w:val="en-NZ"/>
        </w:rPr>
        <w:t xml:space="preserve"> </w:t>
      </w:r>
      <w:r w:rsidR="00ED773D" w:rsidRPr="003067B9">
        <w:rPr>
          <w:lang w:val="en-NZ"/>
        </w:rPr>
        <w:t xml:space="preserve">the </w:t>
      </w:r>
      <w:r w:rsidR="001119BF" w:rsidRPr="003067B9">
        <w:rPr>
          <w:lang w:val="en-NZ"/>
        </w:rPr>
        <w:t>eligibility criteria</w:t>
      </w:r>
      <w:r w:rsidR="00984DDD" w:rsidRPr="003067B9">
        <w:rPr>
          <w:lang w:val="en-NZ"/>
        </w:rPr>
        <w:t>,</w:t>
      </w:r>
      <w:r w:rsidR="001119BF" w:rsidRPr="003067B9">
        <w:rPr>
          <w:lang w:val="en-NZ"/>
        </w:rPr>
        <w:t xml:space="preserve"> to provide free immunisations in their communit</w:t>
      </w:r>
      <w:r w:rsidR="00E8764A" w:rsidRPr="003067B9">
        <w:rPr>
          <w:lang w:val="en-NZ"/>
        </w:rPr>
        <w:t>y</w:t>
      </w:r>
      <w:r w:rsidR="001119BF" w:rsidRPr="003067B9">
        <w:rPr>
          <w:lang w:val="en-NZ"/>
        </w:rPr>
        <w:t xml:space="preserve">. We continue to advocate </w:t>
      </w:r>
      <w:r w:rsidR="00E064E1" w:rsidRPr="003067B9">
        <w:rPr>
          <w:lang w:val="en-NZ"/>
        </w:rPr>
        <w:t xml:space="preserve">to Pharmac that a </w:t>
      </w:r>
      <w:r w:rsidR="001119BF" w:rsidRPr="003067B9">
        <w:rPr>
          <w:lang w:val="en-NZ"/>
        </w:rPr>
        <w:t>health</w:t>
      </w:r>
      <w:r w:rsidR="00D86AB2" w:rsidRPr="003067B9">
        <w:rPr>
          <w:lang w:val="en-NZ"/>
        </w:rPr>
        <w:t>-</w:t>
      </w:r>
      <w:r w:rsidR="001119BF" w:rsidRPr="003067B9">
        <w:rPr>
          <w:lang w:val="en-NZ"/>
        </w:rPr>
        <w:t xml:space="preserve">needs approach </w:t>
      </w:r>
      <w:r w:rsidR="00E064E1" w:rsidRPr="003067B9">
        <w:rPr>
          <w:lang w:val="en-NZ"/>
        </w:rPr>
        <w:t xml:space="preserve">is </w:t>
      </w:r>
      <w:r w:rsidR="0021358B" w:rsidRPr="003067B9">
        <w:rPr>
          <w:lang w:val="en-NZ"/>
        </w:rPr>
        <w:t>fundamental</w:t>
      </w:r>
      <w:r w:rsidR="00E064E1" w:rsidRPr="003067B9">
        <w:rPr>
          <w:lang w:val="en-NZ"/>
        </w:rPr>
        <w:t xml:space="preserve"> </w:t>
      </w:r>
      <w:r w:rsidR="001119BF" w:rsidRPr="003067B9">
        <w:rPr>
          <w:lang w:val="en-NZ"/>
        </w:rPr>
        <w:t>when determining eligibility for the flu vaccine.</w:t>
      </w:r>
    </w:p>
    <w:p w14:paraId="45B3E2ED" w14:textId="79197CB8" w:rsidR="00334CDB" w:rsidRPr="00D4706E" w:rsidRDefault="00334CDB" w:rsidP="001C294F">
      <w:pPr>
        <w:pStyle w:val="Heading2"/>
        <w:rPr>
          <w:color w:val="15284C"/>
          <w:sz w:val="36"/>
          <w:szCs w:val="36"/>
        </w:rPr>
      </w:pPr>
      <w:bookmarkStart w:id="10" w:name="_Toc163580394"/>
      <w:r w:rsidRPr="00D4706E">
        <w:rPr>
          <w:color w:val="15284C"/>
          <w:sz w:val="36"/>
          <w:szCs w:val="36"/>
        </w:rPr>
        <w:lastRenderedPageBreak/>
        <w:t>Primary Care</w:t>
      </w:r>
      <w:bookmarkEnd w:id="10"/>
    </w:p>
    <w:p w14:paraId="42B0B552" w14:textId="731AE473" w:rsidR="00621A62" w:rsidRPr="003067B9" w:rsidRDefault="007263B5" w:rsidP="00C8108F">
      <w:pPr>
        <w:pStyle w:val="Bulletpoints"/>
        <w:rPr>
          <w:lang w:val="en-NZ" w:eastAsia="en-NZ"/>
        </w:rPr>
      </w:pPr>
      <w:r w:rsidRPr="003067B9">
        <w:rPr>
          <w:lang w:val="en-NZ" w:eastAsia="en-NZ"/>
        </w:rPr>
        <w:t xml:space="preserve">During the quarter, the Ka Ora Telehealth service provided 2,089 general practitioner appointments, with a total of 2,696 having been provided since the service’s inception in November 2023. </w:t>
      </w:r>
      <w:r w:rsidR="00ED24B9">
        <w:rPr>
          <w:lang w:val="en-NZ" w:eastAsia="en-NZ"/>
        </w:rPr>
        <w:t xml:space="preserve">There were </w:t>
      </w:r>
      <w:r w:rsidRPr="003067B9">
        <w:rPr>
          <w:lang w:val="en-NZ" w:eastAsia="en-NZ"/>
        </w:rPr>
        <w:t>2,899 nurse appointments in March, totalling 3,580 since the service’s establishment. Additionally, our kaiawhina answered 2,923 calls this quarter, a total of 3,571 calls since</w:t>
      </w:r>
      <w:r w:rsidR="00A736A6" w:rsidRPr="003067B9">
        <w:rPr>
          <w:lang w:val="en-NZ" w:eastAsia="en-NZ"/>
        </w:rPr>
        <w:t xml:space="preserve"> its</w:t>
      </w:r>
      <w:r w:rsidRPr="003067B9">
        <w:rPr>
          <w:lang w:val="en-NZ" w:eastAsia="en-NZ"/>
        </w:rPr>
        <w:t xml:space="preserve"> establishment. From November until 31 March, 15% of all service users identified as Māori, 55% as female, and 28% of the users related to children under 15 years</w:t>
      </w:r>
      <w:r w:rsidR="00A86323">
        <w:rPr>
          <w:lang w:val="en-NZ" w:eastAsia="en-NZ"/>
        </w:rPr>
        <w:t xml:space="preserve"> old</w:t>
      </w:r>
      <w:r w:rsidRPr="003067B9">
        <w:rPr>
          <w:lang w:val="en-NZ" w:eastAsia="en-NZ"/>
        </w:rPr>
        <w:t>.</w:t>
      </w:r>
    </w:p>
    <w:p w14:paraId="3EE28AC6" w14:textId="2AB85768" w:rsidR="00334CDB" w:rsidRPr="00D4706E" w:rsidRDefault="00334CDB" w:rsidP="001C294F">
      <w:pPr>
        <w:pStyle w:val="Heading2"/>
        <w:rPr>
          <w:color w:val="15284C"/>
          <w:sz w:val="36"/>
          <w:szCs w:val="36"/>
        </w:rPr>
      </w:pPr>
      <w:bookmarkStart w:id="11" w:name="_Toc163580395"/>
      <w:r w:rsidRPr="00D4706E">
        <w:rPr>
          <w:color w:val="15284C"/>
          <w:sz w:val="36"/>
          <w:szCs w:val="36"/>
        </w:rPr>
        <w:t xml:space="preserve">Wait </w:t>
      </w:r>
      <w:r w:rsidR="000125FC">
        <w:rPr>
          <w:color w:val="15284C"/>
          <w:sz w:val="36"/>
          <w:szCs w:val="36"/>
        </w:rPr>
        <w:t>t</w:t>
      </w:r>
      <w:r w:rsidRPr="00D4706E">
        <w:rPr>
          <w:color w:val="15284C"/>
          <w:sz w:val="36"/>
          <w:szCs w:val="36"/>
        </w:rPr>
        <w:t>imes for Planned Care</w:t>
      </w:r>
      <w:bookmarkEnd w:id="11"/>
    </w:p>
    <w:p w14:paraId="43EE09E4" w14:textId="11CDCD72" w:rsidR="009E65C0" w:rsidRPr="003067B9" w:rsidRDefault="009E65C0" w:rsidP="00C8108F">
      <w:pPr>
        <w:pStyle w:val="Bulletpoints"/>
        <w:rPr>
          <w:lang w:val="en-NZ"/>
        </w:rPr>
      </w:pPr>
      <w:r w:rsidRPr="003067B9">
        <w:rPr>
          <w:lang w:val="en-NZ"/>
        </w:rPr>
        <w:t xml:space="preserve">Planned Care </w:t>
      </w:r>
      <w:r w:rsidR="005C639F" w:rsidRPr="003067B9">
        <w:rPr>
          <w:lang w:val="en-NZ"/>
        </w:rPr>
        <w:t>productivity</w:t>
      </w:r>
      <w:r w:rsidRPr="003067B9">
        <w:rPr>
          <w:lang w:val="en-NZ"/>
        </w:rPr>
        <w:t xml:space="preserve"> was affected in the first month of the quarter due to annual seasonal factors (eg public holidays) but recovered to normal levels in the latter two months. </w:t>
      </w:r>
      <w:r w:rsidR="00943923" w:rsidRPr="003067B9">
        <w:rPr>
          <w:lang w:val="en-NZ"/>
        </w:rPr>
        <w:t>By the end of q</w:t>
      </w:r>
      <w:r w:rsidRPr="003067B9">
        <w:rPr>
          <w:lang w:val="en-NZ"/>
        </w:rPr>
        <w:t>uarter three</w:t>
      </w:r>
      <w:r w:rsidR="00943923" w:rsidRPr="003067B9">
        <w:rPr>
          <w:lang w:val="en-NZ"/>
        </w:rPr>
        <w:t>,</w:t>
      </w:r>
      <w:r w:rsidRPr="003067B9">
        <w:rPr>
          <w:lang w:val="en-NZ"/>
        </w:rPr>
        <w:t xml:space="preserve"> delivery was ahead of plan.</w:t>
      </w:r>
    </w:p>
    <w:p w14:paraId="65D8DC9A" w14:textId="06F705F7" w:rsidR="006A3BFF" w:rsidRPr="003067B9" w:rsidRDefault="006A3BFF" w:rsidP="00C8108F">
      <w:pPr>
        <w:pStyle w:val="Bulletpoints"/>
        <w:rPr>
          <w:lang w:val="en-NZ"/>
        </w:rPr>
      </w:pPr>
      <w:r w:rsidRPr="003067B9">
        <w:rPr>
          <w:lang w:val="en-NZ"/>
        </w:rPr>
        <w:t xml:space="preserve">Additional surgical elective volumes have been delivered (eg orthopaedics, cataracts) through </w:t>
      </w:r>
      <w:r w:rsidR="00A1493B" w:rsidRPr="003067B9">
        <w:rPr>
          <w:lang w:val="en-NZ"/>
        </w:rPr>
        <w:t>increased</w:t>
      </w:r>
      <w:r w:rsidRPr="003067B9">
        <w:rPr>
          <w:lang w:val="en-NZ"/>
        </w:rPr>
        <w:t xml:space="preserve"> investment in planned care and outsourcing</w:t>
      </w:r>
      <w:r w:rsidR="00DC2296" w:rsidRPr="003067B9">
        <w:rPr>
          <w:lang w:val="en-NZ"/>
        </w:rPr>
        <w:t>. T</w:t>
      </w:r>
      <w:r w:rsidR="2D556D2E" w:rsidRPr="003067B9">
        <w:rPr>
          <w:lang w:val="en-NZ"/>
        </w:rPr>
        <w:t>his has</w:t>
      </w:r>
      <w:r w:rsidRPr="003067B9">
        <w:rPr>
          <w:lang w:val="en-NZ"/>
        </w:rPr>
        <w:t xml:space="preserve"> contribut</w:t>
      </w:r>
      <w:r w:rsidR="0B225F45" w:rsidRPr="003067B9">
        <w:rPr>
          <w:lang w:val="en-NZ"/>
        </w:rPr>
        <w:t>ed</w:t>
      </w:r>
      <w:r w:rsidRPr="003067B9">
        <w:rPr>
          <w:lang w:val="en-NZ"/>
        </w:rPr>
        <w:t xml:space="preserve"> to a sustained reduction in the number of patients waiting longer than 365 </w:t>
      </w:r>
      <w:r w:rsidR="007270B1" w:rsidRPr="003067B9">
        <w:rPr>
          <w:lang w:val="en-NZ"/>
        </w:rPr>
        <w:t xml:space="preserve">days </w:t>
      </w:r>
      <w:r w:rsidRPr="003067B9">
        <w:rPr>
          <w:lang w:val="en-NZ"/>
        </w:rPr>
        <w:t>for treatment.</w:t>
      </w:r>
    </w:p>
    <w:p w14:paraId="4B93F548" w14:textId="0A8A86CE" w:rsidR="006A3BFF" w:rsidRPr="003067B9" w:rsidRDefault="006A3BFF" w:rsidP="00C8108F">
      <w:pPr>
        <w:pStyle w:val="Bulletpoints"/>
        <w:rPr>
          <w:lang w:val="en-NZ"/>
        </w:rPr>
      </w:pPr>
      <w:r w:rsidRPr="003067B9">
        <w:rPr>
          <w:lang w:val="en-NZ"/>
        </w:rPr>
        <w:t>We have developed a</w:t>
      </w:r>
      <w:r w:rsidR="45E5FCF6" w:rsidRPr="003067B9">
        <w:rPr>
          <w:lang w:val="en-NZ"/>
        </w:rPr>
        <w:t xml:space="preserve"> standardised process</w:t>
      </w:r>
      <w:r w:rsidRPr="003067B9">
        <w:rPr>
          <w:lang w:val="en-NZ"/>
        </w:rPr>
        <w:t xml:space="preserve"> with regions to ensure a sustained focus on reducing the ‘tail’ of the waitlist</w:t>
      </w:r>
      <w:r w:rsidR="60C03305" w:rsidRPr="003067B9">
        <w:rPr>
          <w:lang w:val="en-NZ"/>
        </w:rPr>
        <w:t>.</w:t>
      </w:r>
      <w:r w:rsidRPr="003067B9">
        <w:rPr>
          <w:lang w:val="en-NZ"/>
        </w:rPr>
        <w:t xml:space="preserve"> </w:t>
      </w:r>
      <w:r w:rsidR="60C03305" w:rsidRPr="003067B9">
        <w:rPr>
          <w:lang w:val="en-NZ"/>
        </w:rPr>
        <w:t>This includes</w:t>
      </w:r>
      <w:r w:rsidRPr="003067B9">
        <w:rPr>
          <w:lang w:val="en-NZ"/>
        </w:rPr>
        <w:t xml:space="preserve"> forward modelling of patients requiring treatment and oversight of patients potentially ‘tipping in’ to the &gt;365</w:t>
      </w:r>
      <w:r w:rsidR="00D6114E">
        <w:rPr>
          <w:lang w:val="en-NZ"/>
        </w:rPr>
        <w:t xml:space="preserve"> days</w:t>
      </w:r>
      <w:r w:rsidRPr="003067B9">
        <w:rPr>
          <w:lang w:val="en-NZ"/>
        </w:rPr>
        <w:t xml:space="preserve"> overdue list.</w:t>
      </w:r>
    </w:p>
    <w:p w14:paraId="50B1E689" w14:textId="77777777" w:rsidR="00A37AEF" w:rsidRDefault="005F2C92" w:rsidP="00C8108F">
      <w:pPr>
        <w:pStyle w:val="Bulletpoints"/>
        <w:rPr>
          <w:lang w:val="en-NZ"/>
        </w:rPr>
      </w:pPr>
      <w:r w:rsidRPr="003067B9">
        <w:rPr>
          <w:lang w:val="en-NZ"/>
        </w:rPr>
        <w:t xml:space="preserve">As the proportion of long-waiters reduces, the remaining long-waiters tend to: </w:t>
      </w:r>
    </w:p>
    <w:p w14:paraId="631F1016" w14:textId="6E748EFB" w:rsidR="008141F0" w:rsidRDefault="005F2C92" w:rsidP="008141F0">
      <w:pPr>
        <w:pStyle w:val="Bulletpoints2"/>
        <w:rPr>
          <w:lang w:val="en-NZ"/>
        </w:rPr>
      </w:pPr>
      <w:r w:rsidRPr="003067B9">
        <w:rPr>
          <w:lang w:val="en-NZ"/>
        </w:rPr>
        <w:t>have more complex health needs (eg multiple surgeons to be coordinated)</w:t>
      </w:r>
    </w:p>
    <w:p w14:paraId="1ECB333E" w14:textId="6AE3F0AB" w:rsidR="008141F0" w:rsidRDefault="005F2C92" w:rsidP="008141F0">
      <w:pPr>
        <w:pStyle w:val="Bulletpoints2"/>
        <w:rPr>
          <w:lang w:val="en-NZ"/>
        </w:rPr>
      </w:pPr>
      <w:r w:rsidRPr="003067B9">
        <w:rPr>
          <w:lang w:val="en-NZ"/>
        </w:rPr>
        <w:t xml:space="preserve">have cancelled planned care bookings which need to be rescheduled or </w:t>
      </w:r>
    </w:p>
    <w:p w14:paraId="16D92A8B" w14:textId="76CF70FA" w:rsidR="005F2C92" w:rsidRPr="003067B9" w:rsidRDefault="005F2C92" w:rsidP="009C462A">
      <w:pPr>
        <w:pStyle w:val="Bulletpoints2"/>
        <w:rPr>
          <w:lang w:val="en-NZ"/>
        </w:rPr>
      </w:pPr>
      <w:r w:rsidRPr="003067B9">
        <w:rPr>
          <w:lang w:val="en-NZ"/>
        </w:rPr>
        <w:t xml:space="preserve">be unable to travel to another public hospital for treatment.   </w:t>
      </w:r>
    </w:p>
    <w:p w14:paraId="6793A86F" w14:textId="6F398AF6" w:rsidR="00334CDB" w:rsidRPr="00D4706E" w:rsidRDefault="00334CDB" w:rsidP="001C294F">
      <w:pPr>
        <w:pStyle w:val="Heading2"/>
        <w:rPr>
          <w:color w:val="15284C"/>
          <w:sz w:val="36"/>
          <w:szCs w:val="36"/>
        </w:rPr>
      </w:pPr>
      <w:bookmarkStart w:id="12" w:name="_Toc163580396"/>
      <w:r w:rsidRPr="00D4706E">
        <w:rPr>
          <w:color w:val="15284C"/>
          <w:sz w:val="36"/>
          <w:szCs w:val="36"/>
        </w:rPr>
        <w:t>Workforce</w:t>
      </w:r>
      <w:bookmarkEnd w:id="12"/>
    </w:p>
    <w:p w14:paraId="6E5B71EF" w14:textId="17D2BCDC" w:rsidR="004051C5" w:rsidRPr="003067B9" w:rsidRDefault="000B460A" w:rsidP="009E6C86">
      <w:pPr>
        <w:pStyle w:val="Bulletpoints"/>
        <w:rPr>
          <w:lang w:val="en-NZ"/>
        </w:rPr>
      </w:pPr>
      <w:r w:rsidRPr="003067B9">
        <w:rPr>
          <w:lang w:val="en-NZ"/>
        </w:rPr>
        <w:t>During the</w:t>
      </w:r>
      <w:r w:rsidR="004051C5" w:rsidRPr="003067B9">
        <w:rPr>
          <w:lang w:val="en-NZ"/>
        </w:rPr>
        <w:t xml:space="preserve"> quarter, our staff provided positive feedback about the extra 200 personnel (93 FTE) employed in quarter two to provide 24</w:t>
      </w:r>
      <w:r w:rsidR="00CC5E8E">
        <w:rPr>
          <w:lang w:val="en-NZ"/>
        </w:rPr>
        <w:t xml:space="preserve"> </w:t>
      </w:r>
      <w:r w:rsidR="004051C5" w:rsidRPr="003067B9">
        <w:rPr>
          <w:lang w:val="en-NZ"/>
        </w:rPr>
        <w:t>/</w:t>
      </w:r>
      <w:r w:rsidR="00CC5E8E">
        <w:rPr>
          <w:lang w:val="en-NZ"/>
        </w:rPr>
        <w:t xml:space="preserve"> </w:t>
      </w:r>
      <w:r w:rsidR="004051C5" w:rsidRPr="003067B9">
        <w:rPr>
          <w:lang w:val="en-NZ"/>
        </w:rPr>
        <w:t>7 security across 32 Emergency Departments (EDs).</w:t>
      </w:r>
    </w:p>
    <w:p w14:paraId="666F17A8" w14:textId="217A50E6" w:rsidR="00FE5A57" w:rsidRPr="003067B9" w:rsidRDefault="00B45AD0" w:rsidP="009E6C86">
      <w:pPr>
        <w:pStyle w:val="Bulletpoints"/>
        <w:rPr>
          <w:lang w:val="en-NZ"/>
        </w:rPr>
      </w:pPr>
      <w:r w:rsidRPr="003067B9">
        <w:rPr>
          <w:lang w:val="en-NZ"/>
        </w:rPr>
        <w:t>A</w:t>
      </w:r>
      <w:r w:rsidR="007C230B" w:rsidRPr="003067B9">
        <w:rPr>
          <w:lang w:val="en-NZ"/>
        </w:rPr>
        <w:t xml:space="preserve">dditional security </w:t>
      </w:r>
      <w:r w:rsidR="00F42624" w:rsidRPr="003067B9">
        <w:rPr>
          <w:lang w:val="en-NZ"/>
        </w:rPr>
        <w:t>continues</w:t>
      </w:r>
      <w:r w:rsidR="007C230B" w:rsidRPr="003067B9">
        <w:rPr>
          <w:lang w:val="en-NZ"/>
        </w:rPr>
        <w:t xml:space="preserve"> at eight of our highest-risk EDs: Dunedin, Christchurch, Wellington, Waikato, Middlemore, Auckland, Waitakere and North Shore. </w:t>
      </w:r>
      <w:r w:rsidR="0003573F" w:rsidRPr="003067B9">
        <w:rPr>
          <w:lang w:val="en-NZ"/>
        </w:rPr>
        <w:t>Security contracts</w:t>
      </w:r>
      <w:r w:rsidR="007C230B" w:rsidRPr="003067B9">
        <w:rPr>
          <w:lang w:val="en-NZ"/>
        </w:rPr>
        <w:t xml:space="preserve"> </w:t>
      </w:r>
      <w:r w:rsidR="00A84364">
        <w:rPr>
          <w:lang w:val="en-NZ"/>
        </w:rPr>
        <w:t>were</w:t>
      </w:r>
      <w:r w:rsidR="007C230B" w:rsidRPr="003067B9">
        <w:rPr>
          <w:lang w:val="en-NZ"/>
        </w:rPr>
        <w:t xml:space="preserve"> extended to 30 June for EDs where requested. </w:t>
      </w:r>
      <w:r w:rsidR="00C01213" w:rsidRPr="003067B9">
        <w:rPr>
          <w:lang w:val="en-NZ"/>
        </w:rPr>
        <w:t>S</w:t>
      </w:r>
      <w:r w:rsidR="005F0EF1" w:rsidRPr="003067B9">
        <w:rPr>
          <w:lang w:val="en-NZ"/>
        </w:rPr>
        <w:t xml:space="preserve">upport will also be available to other EDs needing surge capacity over the </w:t>
      </w:r>
      <w:r w:rsidR="00FE715D" w:rsidRPr="003067B9">
        <w:rPr>
          <w:lang w:val="en-NZ"/>
        </w:rPr>
        <w:t>coming</w:t>
      </w:r>
      <w:r w:rsidR="005F0EF1" w:rsidRPr="003067B9">
        <w:rPr>
          <w:lang w:val="en-NZ"/>
        </w:rPr>
        <w:t xml:space="preserve"> months.</w:t>
      </w:r>
      <w:r w:rsidR="00196A5B" w:rsidRPr="003067B9">
        <w:rPr>
          <w:lang w:val="en-NZ"/>
        </w:rPr>
        <w:t xml:space="preserve"> </w:t>
      </w:r>
      <w:r w:rsidR="002942B0" w:rsidRPr="003067B9">
        <w:rPr>
          <w:lang w:val="en-NZ"/>
        </w:rPr>
        <w:t>The f</w:t>
      </w:r>
      <w:r w:rsidR="00196A5B" w:rsidRPr="003067B9">
        <w:rPr>
          <w:lang w:val="en-NZ"/>
        </w:rPr>
        <w:t>ocus remains on having integrated and appropriate security across all sites</w:t>
      </w:r>
      <w:r w:rsidR="00AD0176" w:rsidRPr="003067B9">
        <w:rPr>
          <w:lang w:val="en-NZ"/>
        </w:rPr>
        <w:t>.</w:t>
      </w:r>
    </w:p>
    <w:p w14:paraId="28FBABF3" w14:textId="5E0C830D" w:rsidR="00FE5A57" w:rsidRPr="00D4706E" w:rsidRDefault="009D718D" w:rsidP="009E6C86">
      <w:pPr>
        <w:pStyle w:val="Bulletpoints"/>
      </w:pPr>
      <w:r w:rsidRPr="483C209D">
        <w:t xml:space="preserve">Since December, </w:t>
      </w:r>
      <w:r w:rsidR="005B7585" w:rsidRPr="483C209D">
        <w:t xml:space="preserve">more than </w:t>
      </w:r>
      <w:r w:rsidRPr="483C209D">
        <w:t xml:space="preserve">15,000 frontline staff have completed </w:t>
      </w:r>
      <w:r w:rsidR="00975659" w:rsidRPr="483C209D">
        <w:t>de-escalation</w:t>
      </w:r>
      <w:r w:rsidRPr="483C209D">
        <w:t xml:space="preserve"> training</w:t>
      </w:r>
      <w:r w:rsidR="001C1416" w:rsidRPr="483C209D">
        <w:t xml:space="preserve"> </w:t>
      </w:r>
      <w:r w:rsidR="00EA1396" w:rsidRPr="483C209D">
        <w:t xml:space="preserve">to support </w:t>
      </w:r>
      <w:r w:rsidR="001C1416" w:rsidRPr="483C209D">
        <w:t xml:space="preserve">them </w:t>
      </w:r>
      <w:r w:rsidR="00330E25" w:rsidRPr="483C209D">
        <w:t xml:space="preserve">with </w:t>
      </w:r>
      <w:r w:rsidR="00716B65" w:rsidRPr="483C209D">
        <w:t xml:space="preserve">improved </w:t>
      </w:r>
      <w:r w:rsidR="00330E25" w:rsidRPr="483C209D">
        <w:t>skills</w:t>
      </w:r>
      <w:r w:rsidR="001C1416" w:rsidRPr="483C209D">
        <w:t xml:space="preserve"> to handle violent behaviour</w:t>
      </w:r>
      <w:r w:rsidRPr="483C209D">
        <w:t xml:space="preserve">.  </w:t>
      </w:r>
    </w:p>
    <w:p w14:paraId="78688ACD" w14:textId="7B6CE8F6" w:rsidR="00F861FB" w:rsidRPr="003067B9" w:rsidRDefault="00F861FB" w:rsidP="009E6C86">
      <w:pPr>
        <w:pStyle w:val="Bulletpoints"/>
        <w:rPr>
          <w:lang w:val="en-NZ"/>
        </w:rPr>
      </w:pPr>
      <w:r w:rsidRPr="003067B9">
        <w:rPr>
          <w:lang w:val="en-NZ"/>
        </w:rPr>
        <w:lastRenderedPageBreak/>
        <w:t xml:space="preserve">Our International Recruitment Centre continues to </w:t>
      </w:r>
      <w:r w:rsidR="00716B65" w:rsidRPr="003067B9">
        <w:rPr>
          <w:lang w:val="en-NZ"/>
        </w:rPr>
        <w:t xml:space="preserve">help </w:t>
      </w:r>
      <w:r w:rsidRPr="003067B9">
        <w:rPr>
          <w:lang w:val="en-NZ"/>
        </w:rPr>
        <w:t>address immediate pressures and recruit into hard-to-fill specialist roles. From November 2022</w:t>
      </w:r>
      <w:r w:rsidR="00781953" w:rsidRPr="003067B9">
        <w:rPr>
          <w:lang w:val="en-NZ"/>
        </w:rPr>
        <w:t xml:space="preserve"> (</w:t>
      </w:r>
      <w:r w:rsidRPr="003067B9">
        <w:rPr>
          <w:lang w:val="en-NZ"/>
        </w:rPr>
        <w:t>when the campaign was launched</w:t>
      </w:r>
      <w:r w:rsidR="00781953" w:rsidRPr="003067B9">
        <w:rPr>
          <w:lang w:val="en-NZ"/>
        </w:rPr>
        <w:t>)</w:t>
      </w:r>
      <w:r w:rsidRPr="003067B9">
        <w:rPr>
          <w:lang w:val="en-NZ"/>
        </w:rPr>
        <w:t xml:space="preserve"> to the end of March, we received 9,284 expressions of interest for international recruitment, with 796 health professionals employed (8.6% conversion rate). In the week of 17 March, seven health professionals were employed, including a physiotherapist, three registered medical officers and three nurses. </w:t>
      </w:r>
    </w:p>
    <w:p w14:paraId="0704A66F" w14:textId="77777777" w:rsidR="001C4947" w:rsidRPr="003067B9" w:rsidRDefault="001C4947" w:rsidP="001C4947">
      <w:pPr>
        <w:pStyle w:val="Bulletpoints"/>
        <w:numPr>
          <w:ilvl w:val="0"/>
          <w:numId w:val="0"/>
        </w:numPr>
        <w:ind w:left="397"/>
        <w:rPr>
          <w:lang w:val="en-NZ"/>
        </w:rPr>
      </w:pPr>
    </w:p>
    <w:p w14:paraId="25E9985A" w14:textId="77777777" w:rsidR="001C4947" w:rsidRPr="003067B9" w:rsidRDefault="001C4947" w:rsidP="001C4947">
      <w:pPr>
        <w:pStyle w:val="Bulletpoints"/>
        <w:numPr>
          <w:ilvl w:val="0"/>
          <w:numId w:val="0"/>
        </w:numPr>
        <w:ind w:left="397"/>
        <w:rPr>
          <w:lang w:val="en-NZ"/>
        </w:rPr>
      </w:pPr>
    </w:p>
    <w:p w14:paraId="0E3F93D5" w14:textId="77777777" w:rsidR="001C4947" w:rsidRPr="003067B9" w:rsidRDefault="001C4947" w:rsidP="001C4947">
      <w:pPr>
        <w:pStyle w:val="Bulletpoints"/>
        <w:numPr>
          <w:ilvl w:val="0"/>
          <w:numId w:val="0"/>
        </w:numPr>
        <w:ind w:left="397"/>
        <w:rPr>
          <w:lang w:val="en-NZ"/>
        </w:rPr>
      </w:pPr>
    </w:p>
    <w:p w14:paraId="2E0DD847" w14:textId="77777777" w:rsidR="001C4947" w:rsidRPr="003067B9" w:rsidRDefault="001C4947" w:rsidP="001C4947">
      <w:pPr>
        <w:pStyle w:val="Bulletpoints"/>
        <w:numPr>
          <w:ilvl w:val="0"/>
          <w:numId w:val="0"/>
        </w:numPr>
        <w:ind w:left="397"/>
        <w:rPr>
          <w:lang w:val="en-NZ"/>
        </w:rPr>
      </w:pPr>
    </w:p>
    <w:p w14:paraId="2CE1EE79" w14:textId="77777777" w:rsidR="001C4947" w:rsidRPr="003067B9" w:rsidRDefault="001C4947" w:rsidP="001C4947">
      <w:pPr>
        <w:pStyle w:val="Bulletpoints"/>
        <w:numPr>
          <w:ilvl w:val="0"/>
          <w:numId w:val="0"/>
        </w:numPr>
        <w:ind w:left="397"/>
        <w:rPr>
          <w:lang w:val="en-NZ"/>
        </w:rPr>
      </w:pPr>
    </w:p>
    <w:p w14:paraId="1EF06264" w14:textId="77777777" w:rsidR="001C4947" w:rsidRPr="003067B9" w:rsidRDefault="001C4947" w:rsidP="001C4947">
      <w:pPr>
        <w:pStyle w:val="Bulletpoints"/>
        <w:numPr>
          <w:ilvl w:val="0"/>
          <w:numId w:val="0"/>
        </w:numPr>
        <w:ind w:left="397"/>
        <w:rPr>
          <w:lang w:val="en-NZ"/>
        </w:rPr>
      </w:pPr>
    </w:p>
    <w:p w14:paraId="7FA0CA6E" w14:textId="77777777" w:rsidR="005B143F" w:rsidRDefault="005B143F">
      <w:pPr>
        <w:spacing w:line="259" w:lineRule="auto"/>
        <w:rPr>
          <w:rFonts w:eastAsiaTheme="majorEastAsia"/>
          <w:b/>
          <w:color w:val="15284C" w:themeColor="text2"/>
          <w:sz w:val="72"/>
          <w:szCs w:val="32"/>
          <w:lang w:val="en-NZ"/>
        </w:rPr>
      </w:pPr>
      <w:bookmarkStart w:id="13" w:name="_Toc162008442"/>
      <w:bookmarkStart w:id="14" w:name="_Toc163580397"/>
      <w:bookmarkStart w:id="15" w:name="_Toc170199141"/>
      <w:r>
        <w:rPr>
          <w:bCs/>
          <w:color w:val="15284C" w:themeColor="text2"/>
          <w:sz w:val="72"/>
          <w:szCs w:val="32"/>
        </w:rPr>
        <w:br w:type="page"/>
      </w:r>
    </w:p>
    <w:p w14:paraId="6B69B5AC" w14:textId="74F89609" w:rsidR="00927A7A" w:rsidRPr="00D4706E" w:rsidRDefault="00927A7A" w:rsidP="003B4595">
      <w:pPr>
        <w:pStyle w:val="NumberedHeading1"/>
        <w:numPr>
          <w:ilvl w:val="0"/>
          <w:numId w:val="7"/>
        </w:numPr>
        <w:tabs>
          <w:tab w:val="left" w:pos="1021"/>
        </w:tabs>
        <w:spacing w:before="480" w:after="120" w:line="288" w:lineRule="auto"/>
        <w:ind w:left="1021" w:hanging="1021"/>
        <w:rPr>
          <w:bCs w:val="0"/>
          <w:noProof w:val="0"/>
          <w:color w:val="15284C" w:themeColor="text2"/>
          <w:sz w:val="72"/>
          <w:szCs w:val="32"/>
        </w:rPr>
      </w:pPr>
      <w:r w:rsidRPr="00D4706E">
        <w:rPr>
          <w:bCs w:val="0"/>
          <w:noProof w:val="0"/>
          <w:color w:val="15284C" w:themeColor="text2"/>
          <w:sz w:val="72"/>
          <w:szCs w:val="32"/>
        </w:rPr>
        <w:lastRenderedPageBreak/>
        <w:t>Delivering the Interim New Zealand Health Plan</w:t>
      </w:r>
      <w:bookmarkEnd w:id="13"/>
      <w:bookmarkEnd w:id="14"/>
      <w:bookmarkEnd w:id="15"/>
    </w:p>
    <w:p w14:paraId="1E2B970B" w14:textId="176CE75A" w:rsidR="004C70B7" w:rsidRPr="003067B9" w:rsidRDefault="00A81CDA" w:rsidP="009E6C86">
      <w:pPr>
        <w:rPr>
          <w:b/>
          <w:lang w:val="en-NZ"/>
        </w:rPr>
      </w:pPr>
      <w:bookmarkStart w:id="16" w:name="_Toc163580398"/>
      <w:r w:rsidRPr="003067B9">
        <w:rPr>
          <w:lang w:val="en-NZ"/>
        </w:rPr>
        <w:t>The Interim New Zealand Health Plan | Te Pae Tata consists of 187 actions, each with milestones, summarised below</w:t>
      </w:r>
      <w:bookmarkEnd w:id="16"/>
      <w:r w:rsidR="000A2835" w:rsidRPr="003067B9">
        <w:rPr>
          <w:rStyle w:val="FootnoteReference"/>
          <w:szCs w:val="24"/>
          <w:vertAlign w:val="superscript"/>
          <w:lang w:val="en-NZ"/>
        </w:rPr>
        <w:footnoteReference w:id="3"/>
      </w:r>
      <w:r w:rsidR="005F3F33" w:rsidRPr="003067B9">
        <w:rPr>
          <w:lang w:val="en-NZ"/>
        </w:rPr>
        <w:t>:</w:t>
      </w:r>
    </w:p>
    <w:tbl>
      <w:tblPr>
        <w:tblStyle w:val="TeWhatuOra"/>
        <w:tblW w:w="9209" w:type="dxa"/>
        <w:tblLayout w:type="fixed"/>
        <w:tblLook w:val="0420" w:firstRow="1" w:lastRow="0" w:firstColumn="0" w:lastColumn="0" w:noHBand="0" w:noVBand="1"/>
      </w:tblPr>
      <w:tblGrid>
        <w:gridCol w:w="2689"/>
        <w:gridCol w:w="1417"/>
        <w:gridCol w:w="1276"/>
        <w:gridCol w:w="1134"/>
        <w:gridCol w:w="1134"/>
        <w:gridCol w:w="1559"/>
      </w:tblGrid>
      <w:tr w:rsidR="00610562" w:rsidRPr="00D4706E" w14:paraId="75DFE0D7" w14:textId="77777777" w:rsidTr="001643A2">
        <w:trPr>
          <w:cnfStyle w:val="100000000000" w:firstRow="1" w:lastRow="0" w:firstColumn="0" w:lastColumn="0" w:oddVBand="0" w:evenVBand="0" w:oddHBand="0" w:evenHBand="0" w:firstRowFirstColumn="0" w:firstRowLastColumn="0" w:lastRowFirstColumn="0" w:lastRowLastColumn="0"/>
        </w:trPr>
        <w:tc>
          <w:tcPr>
            <w:tcW w:w="2689" w:type="dxa"/>
            <w:shd w:val="clear" w:color="auto" w:fill="002060"/>
          </w:tcPr>
          <w:p w14:paraId="56F6941B" w14:textId="77777777" w:rsidR="009D4CEC" w:rsidRPr="003067B9" w:rsidRDefault="009D4CEC" w:rsidP="007F5F4B">
            <w:pPr>
              <w:spacing w:after="120"/>
              <w:jc w:val="center"/>
              <w:textAlignment w:val="baseline"/>
              <w:rPr>
                <w:rFonts w:eastAsia="Times New Roman"/>
                <w:color w:val="F6F4EC" w:themeColor="background1"/>
                <w:szCs w:val="24"/>
                <w:lang w:val="en-NZ" w:eastAsia="en-NZ"/>
              </w:rPr>
            </w:pPr>
            <w:r w:rsidRPr="003067B9">
              <w:rPr>
                <w:rFonts w:eastAsia="Times New Roman"/>
                <w:color w:val="F6F4EC" w:themeColor="background1"/>
                <w:szCs w:val="24"/>
                <w:lang w:val="en-NZ" w:eastAsia="en-NZ"/>
              </w:rPr>
              <w:t>Sections</w:t>
            </w:r>
          </w:p>
        </w:tc>
        <w:tc>
          <w:tcPr>
            <w:tcW w:w="1417" w:type="dxa"/>
            <w:shd w:val="clear" w:color="auto" w:fill="002060"/>
          </w:tcPr>
          <w:p w14:paraId="4C9CBCC1" w14:textId="77777777" w:rsidR="009D4CEC" w:rsidRPr="003067B9" w:rsidRDefault="009D4CEC" w:rsidP="007F5F4B">
            <w:pPr>
              <w:spacing w:after="120"/>
              <w:jc w:val="center"/>
              <w:textAlignment w:val="baseline"/>
              <w:rPr>
                <w:rFonts w:eastAsia="Times New Roman"/>
                <w:color w:val="F6F4EC" w:themeColor="background1"/>
                <w:szCs w:val="24"/>
                <w:lang w:val="en-NZ" w:eastAsia="en-NZ"/>
              </w:rPr>
            </w:pPr>
            <w:r w:rsidRPr="003067B9">
              <w:rPr>
                <w:rFonts w:eastAsia="Times New Roman"/>
                <w:color w:val="F6F4EC" w:themeColor="background1"/>
                <w:szCs w:val="24"/>
                <w:lang w:val="en-NZ" w:eastAsia="en-NZ"/>
              </w:rPr>
              <w:t>Total Actions</w:t>
            </w:r>
          </w:p>
        </w:tc>
        <w:tc>
          <w:tcPr>
            <w:tcW w:w="1276" w:type="dxa"/>
            <w:shd w:val="clear" w:color="auto" w:fill="002060"/>
          </w:tcPr>
          <w:p w14:paraId="34021600" w14:textId="77777777" w:rsidR="009D4CEC" w:rsidRPr="003067B9" w:rsidRDefault="009D4CEC" w:rsidP="007F5F4B">
            <w:pPr>
              <w:spacing w:after="120"/>
              <w:jc w:val="center"/>
              <w:textAlignment w:val="baseline"/>
              <w:rPr>
                <w:rFonts w:eastAsia="Times New Roman"/>
                <w:color w:val="F6F4EC" w:themeColor="background1"/>
                <w:szCs w:val="24"/>
                <w:lang w:val="en-NZ" w:eastAsia="en-NZ"/>
              </w:rPr>
            </w:pPr>
            <w:r w:rsidRPr="003067B9">
              <w:rPr>
                <w:rFonts w:eastAsia="Times New Roman"/>
                <w:color w:val="F6F4EC" w:themeColor="background1"/>
                <w:szCs w:val="24"/>
                <w:lang w:val="en-NZ" w:eastAsia="en-NZ"/>
              </w:rPr>
              <w:t>Green</w:t>
            </w:r>
          </w:p>
        </w:tc>
        <w:tc>
          <w:tcPr>
            <w:tcW w:w="1134" w:type="dxa"/>
            <w:shd w:val="clear" w:color="auto" w:fill="002060"/>
          </w:tcPr>
          <w:p w14:paraId="4F12C854" w14:textId="77777777" w:rsidR="009D4CEC" w:rsidRPr="003067B9" w:rsidRDefault="009D4CEC" w:rsidP="007F5F4B">
            <w:pPr>
              <w:spacing w:after="120"/>
              <w:jc w:val="center"/>
              <w:textAlignment w:val="baseline"/>
              <w:rPr>
                <w:rFonts w:eastAsia="Times New Roman"/>
                <w:color w:val="F6F4EC" w:themeColor="background1"/>
                <w:szCs w:val="24"/>
                <w:lang w:val="en-NZ" w:eastAsia="en-NZ"/>
              </w:rPr>
            </w:pPr>
            <w:r w:rsidRPr="003067B9">
              <w:rPr>
                <w:rFonts w:eastAsia="Times New Roman"/>
                <w:color w:val="F6F4EC" w:themeColor="background1"/>
                <w:szCs w:val="24"/>
                <w:lang w:val="en-NZ" w:eastAsia="en-NZ"/>
              </w:rPr>
              <w:t>Amber</w:t>
            </w:r>
          </w:p>
        </w:tc>
        <w:tc>
          <w:tcPr>
            <w:tcW w:w="1134" w:type="dxa"/>
            <w:shd w:val="clear" w:color="auto" w:fill="002060"/>
          </w:tcPr>
          <w:p w14:paraId="1E9C1F8D" w14:textId="77777777" w:rsidR="009D4CEC" w:rsidRPr="003067B9" w:rsidRDefault="009D4CEC" w:rsidP="007F5F4B">
            <w:pPr>
              <w:spacing w:after="120"/>
              <w:jc w:val="center"/>
              <w:textAlignment w:val="baseline"/>
              <w:rPr>
                <w:rFonts w:eastAsia="Times New Roman"/>
                <w:color w:val="F6F4EC" w:themeColor="background1"/>
                <w:szCs w:val="24"/>
                <w:lang w:val="en-NZ" w:eastAsia="en-NZ"/>
              </w:rPr>
            </w:pPr>
            <w:r w:rsidRPr="003067B9">
              <w:rPr>
                <w:rFonts w:eastAsia="Times New Roman"/>
                <w:color w:val="F6F4EC" w:themeColor="background1"/>
                <w:szCs w:val="24"/>
                <w:lang w:val="en-NZ" w:eastAsia="en-NZ"/>
              </w:rPr>
              <w:t>Red</w:t>
            </w:r>
          </w:p>
        </w:tc>
        <w:tc>
          <w:tcPr>
            <w:tcW w:w="1559" w:type="dxa"/>
            <w:shd w:val="clear" w:color="auto" w:fill="002060"/>
          </w:tcPr>
          <w:p w14:paraId="69AB90D3" w14:textId="77777777" w:rsidR="009D4CEC" w:rsidRPr="003067B9" w:rsidRDefault="009D4CEC" w:rsidP="007F5F4B">
            <w:pPr>
              <w:spacing w:after="120"/>
              <w:jc w:val="center"/>
              <w:textAlignment w:val="baseline"/>
              <w:rPr>
                <w:rFonts w:eastAsia="Times New Roman"/>
                <w:color w:val="F6F4EC" w:themeColor="background1"/>
                <w:szCs w:val="24"/>
                <w:lang w:val="en-NZ" w:eastAsia="en-NZ"/>
              </w:rPr>
            </w:pPr>
            <w:r w:rsidRPr="003067B9">
              <w:rPr>
                <w:rFonts w:eastAsia="Times New Roman"/>
                <w:color w:val="F6F4EC" w:themeColor="background1"/>
                <w:szCs w:val="24"/>
                <w:lang w:val="en-NZ" w:eastAsia="en-NZ"/>
              </w:rPr>
              <w:t>Still Assessing</w:t>
            </w:r>
            <w:r w:rsidRPr="003067B9">
              <w:rPr>
                <w:rFonts w:eastAsia="Times New Roman"/>
                <w:color w:val="F6F4EC" w:themeColor="background1"/>
                <w:szCs w:val="24"/>
                <w:vertAlign w:val="superscript"/>
                <w:lang w:val="en-NZ" w:eastAsia="en-NZ"/>
              </w:rPr>
              <w:footnoteReference w:id="4"/>
            </w:r>
          </w:p>
        </w:tc>
      </w:tr>
      <w:tr w:rsidR="0072264A" w:rsidRPr="00D4706E" w14:paraId="3FC4A81E" w14:textId="77777777" w:rsidTr="001643A2">
        <w:tc>
          <w:tcPr>
            <w:tcW w:w="2689" w:type="dxa"/>
          </w:tcPr>
          <w:p w14:paraId="28C1916B" w14:textId="7979B51A" w:rsidR="009D4CEC" w:rsidRPr="003067B9" w:rsidRDefault="009D4CEC">
            <w:pPr>
              <w:pStyle w:val="TableText"/>
              <w:rPr>
                <w:rFonts w:cs="Arial"/>
                <w:sz w:val="24"/>
                <w:szCs w:val="22"/>
                <w:lang w:val="en-NZ"/>
              </w:rPr>
            </w:pPr>
            <w:r w:rsidRPr="003067B9">
              <w:rPr>
                <w:rFonts w:cs="Arial"/>
                <w:sz w:val="24"/>
                <w:szCs w:val="22"/>
                <w:lang w:val="en-NZ"/>
              </w:rPr>
              <w:t xml:space="preserve">People and </w:t>
            </w:r>
            <w:r w:rsidR="00353F4B">
              <w:rPr>
                <w:rFonts w:cs="Arial"/>
                <w:sz w:val="24"/>
                <w:szCs w:val="22"/>
                <w:lang w:val="en-NZ"/>
              </w:rPr>
              <w:t>w</w:t>
            </w:r>
            <w:r w:rsidRPr="003067B9">
              <w:rPr>
                <w:rFonts w:cs="Arial"/>
                <w:sz w:val="24"/>
                <w:szCs w:val="22"/>
                <w:lang w:val="en-NZ"/>
              </w:rPr>
              <w:t>hānau at the heart of health</w:t>
            </w:r>
          </w:p>
        </w:tc>
        <w:tc>
          <w:tcPr>
            <w:tcW w:w="1417" w:type="dxa"/>
          </w:tcPr>
          <w:p w14:paraId="24F46C59" w14:textId="031D0170" w:rsidR="009D4CEC" w:rsidRPr="003067B9" w:rsidRDefault="009D4CEC">
            <w:pPr>
              <w:pStyle w:val="TableText"/>
              <w:jc w:val="center"/>
              <w:rPr>
                <w:rFonts w:cs="Arial"/>
                <w:sz w:val="24"/>
                <w:szCs w:val="22"/>
                <w:lang w:val="en-NZ"/>
              </w:rPr>
            </w:pPr>
            <w:r w:rsidRPr="003067B9">
              <w:rPr>
                <w:rFonts w:cs="Arial"/>
                <w:sz w:val="24"/>
                <w:szCs w:val="22"/>
                <w:lang w:val="en-NZ"/>
              </w:rPr>
              <w:t>24</w:t>
            </w:r>
          </w:p>
        </w:tc>
        <w:tc>
          <w:tcPr>
            <w:tcW w:w="1276" w:type="dxa"/>
            <w:shd w:val="clear" w:color="auto" w:fill="92D050"/>
          </w:tcPr>
          <w:p w14:paraId="4FED47D5" w14:textId="6AFFAA6C" w:rsidR="009D4CEC" w:rsidRPr="003067B9" w:rsidRDefault="009D4CEC">
            <w:pPr>
              <w:pStyle w:val="TableText"/>
              <w:jc w:val="center"/>
              <w:rPr>
                <w:rFonts w:cs="Arial"/>
                <w:sz w:val="24"/>
                <w:szCs w:val="22"/>
                <w:lang w:val="en-NZ"/>
              </w:rPr>
            </w:pPr>
            <w:r w:rsidRPr="003067B9">
              <w:rPr>
                <w:rFonts w:cs="Arial"/>
                <w:sz w:val="24"/>
                <w:szCs w:val="22"/>
                <w:lang w:val="en-NZ"/>
              </w:rPr>
              <w:t>19</w:t>
            </w:r>
          </w:p>
        </w:tc>
        <w:tc>
          <w:tcPr>
            <w:tcW w:w="1134" w:type="dxa"/>
            <w:shd w:val="clear" w:color="auto" w:fill="FFC000"/>
          </w:tcPr>
          <w:p w14:paraId="5CE98461" w14:textId="5A1EC79D" w:rsidR="009D4CEC" w:rsidRPr="003067B9" w:rsidRDefault="009D4CEC">
            <w:pPr>
              <w:pStyle w:val="TableText"/>
              <w:jc w:val="center"/>
              <w:rPr>
                <w:rFonts w:cs="Arial"/>
                <w:sz w:val="24"/>
                <w:szCs w:val="22"/>
                <w:lang w:val="en-NZ"/>
              </w:rPr>
            </w:pPr>
            <w:r w:rsidRPr="003067B9">
              <w:rPr>
                <w:rFonts w:cs="Arial"/>
                <w:sz w:val="24"/>
                <w:szCs w:val="22"/>
                <w:lang w:val="en-NZ"/>
              </w:rPr>
              <w:t>5</w:t>
            </w:r>
          </w:p>
        </w:tc>
        <w:tc>
          <w:tcPr>
            <w:tcW w:w="1134" w:type="dxa"/>
            <w:shd w:val="clear" w:color="auto" w:fill="FF0000"/>
          </w:tcPr>
          <w:p w14:paraId="05885A74" w14:textId="77777777" w:rsidR="009D4CEC" w:rsidRPr="003067B9" w:rsidRDefault="009D4CEC">
            <w:pPr>
              <w:pStyle w:val="TableText"/>
              <w:jc w:val="center"/>
              <w:rPr>
                <w:rFonts w:cs="Arial"/>
                <w:sz w:val="24"/>
                <w:szCs w:val="22"/>
                <w:lang w:val="en-NZ"/>
              </w:rPr>
            </w:pPr>
          </w:p>
        </w:tc>
        <w:tc>
          <w:tcPr>
            <w:tcW w:w="1559" w:type="dxa"/>
          </w:tcPr>
          <w:p w14:paraId="14774CA9" w14:textId="77777777" w:rsidR="009D4CEC" w:rsidRPr="003067B9" w:rsidRDefault="009D4CEC">
            <w:pPr>
              <w:pStyle w:val="TableText"/>
              <w:jc w:val="center"/>
              <w:rPr>
                <w:rFonts w:cs="Arial"/>
                <w:sz w:val="24"/>
                <w:szCs w:val="22"/>
                <w:lang w:val="en-NZ"/>
              </w:rPr>
            </w:pPr>
          </w:p>
        </w:tc>
      </w:tr>
      <w:tr w:rsidR="0072264A" w:rsidRPr="00D4706E" w14:paraId="0475736E" w14:textId="77777777" w:rsidTr="001643A2">
        <w:tc>
          <w:tcPr>
            <w:tcW w:w="2689" w:type="dxa"/>
          </w:tcPr>
          <w:p w14:paraId="76724DA1" w14:textId="77777777" w:rsidR="009D4CEC" w:rsidRPr="003067B9" w:rsidRDefault="009D4CEC">
            <w:pPr>
              <w:pStyle w:val="TableText"/>
              <w:rPr>
                <w:rFonts w:cs="Arial"/>
                <w:sz w:val="24"/>
                <w:szCs w:val="22"/>
                <w:lang w:val="en-NZ"/>
              </w:rPr>
            </w:pPr>
            <w:r w:rsidRPr="003067B9">
              <w:rPr>
                <w:rFonts w:cs="Arial"/>
                <w:sz w:val="24"/>
                <w:szCs w:val="22"/>
                <w:lang w:val="en-NZ"/>
              </w:rPr>
              <w:t>Improving health outcomes and equity</w:t>
            </w:r>
          </w:p>
        </w:tc>
        <w:tc>
          <w:tcPr>
            <w:tcW w:w="1417" w:type="dxa"/>
          </w:tcPr>
          <w:p w14:paraId="1A190550" w14:textId="6FCDD0C4" w:rsidR="009D4CEC" w:rsidRPr="003067B9" w:rsidRDefault="009D4CEC">
            <w:pPr>
              <w:pStyle w:val="TableText"/>
              <w:jc w:val="center"/>
              <w:rPr>
                <w:rFonts w:cs="Arial"/>
                <w:sz w:val="24"/>
                <w:szCs w:val="22"/>
                <w:lang w:val="en-NZ"/>
              </w:rPr>
            </w:pPr>
            <w:r w:rsidRPr="003067B9">
              <w:rPr>
                <w:rFonts w:cs="Arial"/>
                <w:sz w:val="24"/>
                <w:szCs w:val="22"/>
                <w:lang w:val="en-NZ"/>
              </w:rPr>
              <w:t>39</w:t>
            </w:r>
          </w:p>
        </w:tc>
        <w:tc>
          <w:tcPr>
            <w:tcW w:w="1276" w:type="dxa"/>
            <w:shd w:val="clear" w:color="auto" w:fill="92D050"/>
          </w:tcPr>
          <w:p w14:paraId="4CED9039" w14:textId="61BF80AE" w:rsidR="009D4CEC" w:rsidRPr="003067B9" w:rsidRDefault="009D4CEC">
            <w:pPr>
              <w:pStyle w:val="TableText"/>
              <w:jc w:val="center"/>
              <w:rPr>
                <w:rFonts w:cs="Arial"/>
                <w:sz w:val="24"/>
                <w:szCs w:val="22"/>
                <w:lang w:val="en-NZ"/>
              </w:rPr>
            </w:pPr>
            <w:r w:rsidRPr="003067B9">
              <w:rPr>
                <w:rFonts w:cs="Arial"/>
                <w:sz w:val="24"/>
                <w:szCs w:val="22"/>
                <w:lang w:val="en-NZ"/>
              </w:rPr>
              <w:t>28</w:t>
            </w:r>
          </w:p>
        </w:tc>
        <w:tc>
          <w:tcPr>
            <w:tcW w:w="1134" w:type="dxa"/>
            <w:shd w:val="clear" w:color="auto" w:fill="FFC000"/>
          </w:tcPr>
          <w:p w14:paraId="50C2C375" w14:textId="5432E598" w:rsidR="009D4CEC" w:rsidRPr="003067B9" w:rsidRDefault="009D4CEC">
            <w:pPr>
              <w:pStyle w:val="TableText"/>
              <w:jc w:val="center"/>
              <w:rPr>
                <w:rFonts w:cs="Arial"/>
                <w:sz w:val="24"/>
                <w:szCs w:val="22"/>
                <w:lang w:val="en-NZ"/>
              </w:rPr>
            </w:pPr>
            <w:r w:rsidRPr="003067B9">
              <w:rPr>
                <w:rFonts w:cs="Arial"/>
                <w:sz w:val="24"/>
                <w:szCs w:val="22"/>
                <w:lang w:val="en-NZ"/>
              </w:rPr>
              <w:t>10</w:t>
            </w:r>
          </w:p>
        </w:tc>
        <w:tc>
          <w:tcPr>
            <w:tcW w:w="1134" w:type="dxa"/>
            <w:shd w:val="clear" w:color="auto" w:fill="FF0000"/>
          </w:tcPr>
          <w:p w14:paraId="5AD136CB" w14:textId="77777777" w:rsidR="009D4CEC" w:rsidRPr="003067B9" w:rsidRDefault="009D4CEC">
            <w:pPr>
              <w:pStyle w:val="TableText"/>
              <w:jc w:val="center"/>
              <w:rPr>
                <w:rFonts w:cs="Arial"/>
                <w:sz w:val="24"/>
                <w:szCs w:val="22"/>
                <w:lang w:val="en-NZ"/>
              </w:rPr>
            </w:pPr>
          </w:p>
        </w:tc>
        <w:tc>
          <w:tcPr>
            <w:tcW w:w="1559" w:type="dxa"/>
          </w:tcPr>
          <w:p w14:paraId="76BE7AAF" w14:textId="61AB8DBD" w:rsidR="009D4CEC" w:rsidRPr="003067B9" w:rsidRDefault="009D4CEC">
            <w:pPr>
              <w:pStyle w:val="TableText"/>
              <w:jc w:val="center"/>
              <w:rPr>
                <w:rFonts w:cs="Arial"/>
                <w:sz w:val="24"/>
                <w:szCs w:val="22"/>
                <w:lang w:val="en-NZ"/>
              </w:rPr>
            </w:pPr>
            <w:r w:rsidRPr="003067B9">
              <w:rPr>
                <w:rFonts w:cs="Arial"/>
                <w:sz w:val="24"/>
                <w:szCs w:val="22"/>
                <w:lang w:val="en-NZ"/>
              </w:rPr>
              <w:t>1</w:t>
            </w:r>
          </w:p>
        </w:tc>
      </w:tr>
      <w:tr w:rsidR="0072264A" w:rsidRPr="00D4706E" w14:paraId="434BF1DF" w14:textId="77777777" w:rsidTr="001643A2">
        <w:tc>
          <w:tcPr>
            <w:tcW w:w="2689" w:type="dxa"/>
          </w:tcPr>
          <w:p w14:paraId="28D9ED26" w14:textId="77777777" w:rsidR="009D4CEC" w:rsidRPr="003067B9" w:rsidRDefault="009D4CEC">
            <w:pPr>
              <w:pStyle w:val="TableText"/>
              <w:rPr>
                <w:rFonts w:cs="Arial"/>
                <w:sz w:val="24"/>
                <w:szCs w:val="22"/>
                <w:lang w:val="en-NZ"/>
              </w:rPr>
            </w:pPr>
            <w:r w:rsidRPr="003067B9">
              <w:rPr>
                <w:rFonts w:cs="Arial"/>
                <w:sz w:val="24"/>
                <w:szCs w:val="22"/>
                <w:lang w:val="en-NZ"/>
              </w:rPr>
              <w:t>A unified health system</w:t>
            </w:r>
          </w:p>
        </w:tc>
        <w:tc>
          <w:tcPr>
            <w:tcW w:w="1417" w:type="dxa"/>
          </w:tcPr>
          <w:p w14:paraId="4B6B8865" w14:textId="2C95379B" w:rsidR="009D4CEC" w:rsidRPr="003067B9" w:rsidRDefault="009D4CEC">
            <w:pPr>
              <w:pStyle w:val="TableText"/>
              <w:jc w:val="center"/>
              <w:rPr>
                <w:rFonts w:cs="Arial"/>
                <w:sz w:val="24"/>
                <w:szCs w:val="22"/>
                <w:lang w:val="en-NZ"/>
              </w:rPr>
            </w:pPr>
            <w:r w:rsidRPr="003067B9">
              <w:rPr>
                <w:rFonts w:cs="Arial"/>
                <w:sz w:val="24"/>
                <w:szCs w:val="22"/>
                <w:lang w:val="en-NZ"/>
              </w:rPr>
              <w:t>63</w:t>
            </w:r>
          </w:p>
        </w:tc>
        <w:tc>
          <w:tcPr>
            <w:tcW w:w="1276" w:type="dxa"/>
            <w:shd w:val="clear" w:color="auto" w:fill="92D050"/>
          </w:tcPr>
          <w:p w14:paraId="775C705E" w14:textId="634A3A37" w:rsidR="009D4CEC" w:rsidRPr="003067B9" w:rsidRDefault="009D4CEC">
            <w:pPr>
              <w:pStyle w:val="TableText"/>
              <w:jc w:val="center"/>
              <w:rPr>
                <w:rFonts w:cs="Arial"/>
                <w:sz w:val="24"/>
                <w:szCs w:val="22"/>
                <w:lang w:val="en-NZ"/>
              </w:rPr>
            </w:pPr>
            <w:r w:rsidRPr="003067B9">
              <w:rPr>
                <w:rFonts w:cs="Arial"/>
                <w:sz w:val="24"/>
                <w:szCs w:val="22"/>
                <w:lang w:val="en-NZ"/>
              </w:rPr>
              <w:t>47</w:t>
            </w:r>
          </w:p>
        </w:tc>
        <w:tc>
          <w:tcPr>
            <w:tcW w:w="1134" w:type="dxa"/>
            <w:shd w:val="clear" w:color="auto" w:fill="FFC000"/>
          </w:tcPr>
          <w:p w14:paraId="304FB2A5" w14:textId="4CF88395" w:rsidR="009D4CEC" w:rsidRPr="003067B9" w:rsidRDefault="009D4CEC">
            <w:pPr>
              <w:pStyle w:val="TableText"/>
              <w:jc w:val="center"/>
              <w:rPr>
                <w:rFonts w:cs="Arial"/>
                <w:sz w:val="24"/>
                <w:szCs w:val="22"/>
                <w:lang w:val="en-NZ"/>
              </w:rPr>
            </w:pPr>
            <w:r w:rsidRPr="003067B9">
              <w:rPr>
                <w:rFonts w:cs="Arial"/>
                <w:sz w:val="24"/>
                <w:szCs w:val="22"/>
                <w:lang w:val="en-NZ"/>
              </w:rPr>
              <w:t>13</w:t>
            </w:r>
          </w:p>
        </w:tc>
        <w:tc>
          <w:tcPr>
            <w:tcW w:w="1134" w:type="dxa"/>
            <w:shd w:val="clear" w:color="auto" w:fill="FF0000"/>
          </w:tcPr>
          <w:p w14:paraId="7C853E60" w14:textId="29B075AC" w:rsidR="009D4CEC" w:rsidRPr="003067B9" w:rsidRDefault="009D4CEC">
            <w:pPr>
              <w:pStyle w:val="TableText"/>
              <w:jc w:val="center"/>
              <w:rPr>
                <w:rFonts w:cs="Arial"/>
                <w:sz w:val="24"/>
                <w:szCs w:val="22"/>
                <w:lang w:val="en-NZ"/>
              </w:rPr>
            </w:pPr>
            <w:r w:rsidRPr="003067B9">
              <w:rPr>
                <w:rFonts w:cs="Arial"/>
                <w:sz w:val="24"/>
                <w:szCs w:val="22"/>
                <w:lang w:val="en-NZ"/>
              </w:rPr>
              <w:t>2</w:t>
            </w:r>
          </w:p>
        </w:tc>
        <w:tc>
          <w:tcPr>
            <w:tcW w:w="1559" w:type="dxa"/>
          </w:tcPr>
          <w:p w14:paraId="6B7A062E" w14:textId="0D6966ED" w:rsidR="009D4CEC" w:rsidRPr="003067B9" w:rsidRDefault="009D4CEC">
            <w:pPr>
              <w:pStyle w:val="TableText"/>
              <w:jc w:val="center"/>
              <w:rPr>
                <w:rFonts w:cs="Arial"/>
                <w:sz w:val="24"/>
                <w:szCs w:val="22"/>
                <w:lang w:val="en-NZ"/>
              </w:rPr>
            </w:pPr>
            <w:r w:rsidRPr="003067B9">
              <w:rPr>
                <w:rFonts w:cs="Arial"/>
                <w:sz w:val="24"/>
                <w:szCs w:val="22"/>
                <w:lang w:val="en-NZ"/>
              </w:rPr>
              <w:t>1</w:t>
            </w:r>
          </w:p>
        </w:tc>
      </w:tr>
      <w:tr w:rsidR="0072264A" w:rsidRPr="00D4706E" w14:paraId="78499697" w14:textId="77777777" w:rsidTr="001643A2">
        <w:tc>
          <w:tcPr>
            <w:tcW w:w="2689" w:type="dxa"/>
          </w:tcPr>
          <w:p w14:paraId="538AC5DD" w14:textId="77777777" w:rsidR="009D4CEC" w:rsidRPr="003067B9" w:rsidRDefault="009D4CEC">
            <w:pPr>
              <w:pStyle w:val="TableText"/>
              <w:rPr>
                <w:rFonts w:cs="Arial"/>
                <w:sz w:val="24"/>
                <w:szCs w:val="22"/>
                <w:lang w:val="en-NZ"/>
              </w:rPr>
            </w:pPr>
            <w:r w:rsidRPr="003067B9">
              <w:rPr>
                <w:rFonts w:cs="Arial"/>
                <w:sz w:val="24"/>
                <w:szCs w:val="22"/>
                <w:lang w:val="en-NZ"/>
              </w:rPr>
              <w:t>Priority populations</w:t>
            </w:r>
          </w:p>
        </w:tc>
        <w:tc>
          <w:tcPr>
            <w:tcW w:w="1417" w:type="dxa"/>
          </w:tcPr>
          <w:p w14:paraId="0DD57E90" w14:textId="05A6D974" w:rsidR="009D4CEC" w:rsidRPr="003067B9" w:rsidRDefault="009D4CEC">
            <w:pPr>
              <w:pStyle w:val="TableText"/>
              <w:jc w:val="center"/>
              <w:rPr>
                <w:rFonts w:cs="Arial"/>
                <w:sz w:val="24"/>
                <w:szCs w:val="22"/>
                <w:lang w:val="en-NZ"/>
              </w:rPr>
            </w:pPr>
            <w:r w:rsidRPr="003067B9">
              <w:rPr>
                <w:rFonts w:cs="Arial"/>
                <w:sz w:val="24"/>
                <w:szCs w:val="22"/>
                <w:lang w:val="en-NZ"/>
              </w:rPr>
              <w:t>61</w:t>
            </w:r>
          </w:p>
        </w:tc>
        <w:tc>
          <w:tcPr>
            <w:tcW w:w="1276" w:type="dxa"/>
            <w:shd w:val="clear" w:color="auto" w:fill="92D050"/>
          </w:tcPr>
          <w:p w14:paraId="52651488" w14:textId="1FC5BC02" w:rsidR="009D4CEC" w:rsidRPr="003067B9" w:rsidRDefault="009D4CEC">
            <w:pPr>
              <w:pStyle w:val="TableText"/>
              <w:jc w:val="center"/>
              <w:rPr>
                <w:rFonts w:cs="Arial"/>
                <w:sz w:val="24"/>
                <w:szCs w:val="22"/>
                <w:lang w:val="en-NZ"/>
              </w:rPr>
            </w:pPr>
            <w:r w:rsidRPr="003067B9">
              <w:rPr>
                <w:rFonts w:cs="Arial"/>
                <w:sz w:val="24"/>
                <w:szCs w:val="22"/>
                <w:lang w:val="en-NZ"/>
              </w:rPr>
              <w:t>44</w:t>
            </w:r>
          </w:p>
        </w:tc>
        <w:tc>
          <w:tcPr>
            <w:tcW w:w="1134" w:type="dxa"/>
            <w:shd w:val="clear" w:color="auto" w:fill="FFC000"/>
          </w:tcPr>
          <w:p w14:paraId="0AD1846B" w14:textId="570112CC" w:rsidR="009D4CEC" w:rsidRPr="003067B9" w:rsidRDefault="009D4CEC">
            <w:pPr>
              <w:pStyle w:val="TableText"/>
              <w:jc w:val="center"/>
              <w:rPr>
                <w:rFonts w:cs="Arial"/>
                <w:sz w:val="24"/>
                <w:szCs w:val="22"/>
                <w:lang w:val="en-NZ"/>
              </w:rPr>
            </w:pPr>
            <w:r w:rsidRPr="003067B9">
              <w:rPr>
                <w:rFonts w:cs="Arial"/>
                <w:sz w:val="24"/>
                <w:szCs w:val="22"/>
                <w:lang w:val="en-NZ"/>
              </w:rPr>
              <w:t>15</w:t>
            </w:r>
          </w:p>
        </w:tc>
        <w:tc>
          <w:tcPr>
            <w:tcW w:w="1134" w:type="dxa"/>
            <w:shd w:val="clear" w:color="auto" w:fill="FF0000"/>
          </w:tcPr>
          <w:p w14:paraId="22D1BCA3" w14:textId="719F1C3A" w:rsidR="009D4CEC" w:rsidRPr="003067B9" w:rsidRDefault="009D4CEC">
            <w:pPr>
              <w:pStyle w:val="TableText"/>
              <w:jc w:val="center"/>
              <w:rPr>
                <w:rFonts w:cs="Arial"/>
                <w:sz w:val="24"/>
                <w:szCs w:val="22"/>
                <w:lang w:val="en-NZ"/>
              </w:rPr>
            </w:pPr>
            <w:r w:rsidRPr="003067B9">
              <w:rPr>
                <w:rFonts w:cs="Arial"/>
                <w:sz w:val="24"/>
                <w:szCs w:val="22"/>
                <w:lang w:val="en-NZ"/>
              </w:rPr>
              <w:t>2</w:t>
            </w:r>
          </w:p>
        </w:tc>
        <w:tc>
          <w:tcPr>
            <w:tcW w:w="1559" w:type="dxa"/>
          </w:tcPr>
          <w:p w14:paraId="702C8DD2" w14:textId="404AA1B7" w:rsidR="009D4CEC" w:rsidRPr="003067B9" w:rsidRDefault="009D4CEC">
            <w:pPr>
              <w:pStyle w:val="TableText"/>
              <w:jc w:val="center"/>
              <w:rPr>
                <w:rFonts w:cs="Arial"/>
                <w:sz w:val="24"/>
                <w:szCs w:val="22"/>
                <w:lang w:val="en-NZ"/>
              </w:rPr>
            </w:pPr>
          </w:p>
        </w:tc>
      </w:tr>
      <w:tr w:rsidR="0072264A" w:rsidRPr="00D4706E" w14:paraId="1706C203" w14:textId="77777777" w:rsidTr="001643A2">
        <w:tc>
          <w:tcPr>
            <w:tcW w:w="2689" w:type="dxa"/>
          </w:tcPr>
          <w:p w14:paraId="3A230EE0" w14:textId="77777777" w:rsidR="009D4CEC" w:rsidRPr="003067B9" w:rsidRDefault="009D4CEC">
            <w:pPr>
              <w:pStyle w:val="TableText"/>
              <w:rPr>
                <w:rFonts w:cs="Arial"/>
                <w:sz w:val="24"/>
                <w:szCs w:val="22"/>
                <w:lang w:val="en-NZ"/>
              </w:rPr>
            </w:pPr>
            <w:r w:rsidRPr="003067B9">
              <w:rPr>
                <w:rFonts w:cs="Arial"/>
                <w:sz w:val="24"/>
                <w:szCs w:val="22"/>
                <w:lang w:val="en-NZ"/>
              </w:rPr>
              <w:t>Total</w:t>
            </w:r>
          </w:p>
        </w:tc>
        <w:tc>
          <w:tcPr>
            <w:tcW w:w="1417" w:type="dxa"/>
          </w:tcPr>
          <w:p w14:paraId="6DFE7021" w14:textId="06FF0747" w:rsidR="009D4CEC" w:rsidRPr="003067B9" w:rsidRDefault="009D4CEC">
            <w:pPr>
              <w:pStyle w:val="TableText"/>
              <w:jc w:val="center"/>
              <w:rPr>
                <w:rFonts w:cs="Arial"/>
                <w:sz w:val="24"/>
                <w:szCs w:val="22"/>
                <w:lang w:val="en-NZ"/>
              </w:rPr>
            </w:pPr>
            <w:r w:rsidRPr="003067B9">
              <w:rPr>
                <w:rFonts w:cs="Arial"/>
                <w:sz w:val="24"/>
                <w:szCs w:val="22"/>
                <w:lang w:val="en-NZ"/>
              </w:rPr>
              <w:t>187</w:t>
            </w:r>
          </w:p>
        </w:tc>
        <w:tc>
          <w:tcPr>
            <w:tcW w:w="1276" w:type="dxa"/>
            <w:shd w:val="clear" w:color="auto" w:fill="92D050"/>
          </w:tcPr>
          <w:p w14:paraId="55208A23" w14:textId="5A3D68AD" w:rsidR="009D4CEC" w:rsidRPr="003067B9" w:rsidRDefault="009D4CEC">
            <w:pPr>
              <w:pStyle w:val="TableText"/>
              <w:jc w:val="center"/>
              <w:rPr>
                <w:rFonts w:cs="Arial"/>
                <w:sz w:val="24"/>
                <w:szCs w:val="22"/>
                <w:lang w:val="en-NZ"/>
              </w:rPr>
            </w:pPr>
            <w:r w:rsidRPr="003067B9">
              <w:rPr>
                <w:rFonts w:cs="Arial"/>
                <w:sz w:val="24"/>
                <w:szCs w:val="22"/>
                <w:lang w:val="en-NZ"/>
              </w:rPr>
              <w:t>138</w:t>
            </w:r>
          </w:p>
        </w:tc>
        <w:tc>
          <w:tcPr>
            <w:tcW w:w="1134" w:type="dxa"/>
            <w:shd w:val="clear" w:color="auto" w:fill="FFC000"/>
          </w:tcPr>
          <w:p w14:paraId="5C604D22" w14:textId="7392C19A" w:rsidR="009D4CEC" w:rsidRPr="003067B9" w:rsidRDefault="009D4CEC">
            <w:pPr>
              <w:pStyle w:val="TableText"/>
              <w:jc w:val="center"/>
              <w:rPr>
                <w:rFonts w:cs="Arial"/>
                <w:sz w:val="24"/>
                <w:szCs w:val="22"/>
                <w:lang w:val="en-NZ"/>
              </w:rPr>
            </w:pPr>
            <w:r w:rsidRPr="003067B9">
              <w:rPr>
                <w:rFonts w:cs="Arial"/>
                <w:sz w:val="24"/>
                <w:szCs w:val="22"/>
                <w:lang w:val="en-NZ"/>
              </w:rPr>
              <w:t>43</w:t>
            </w:r>
          </w:p>
        </w:tc>
        <w:tc>
          <w:tcPr>
            <w:tcW w:w="1134" w:type="dxa"/>
            <w:shd w:val="clear" w:color="auto" w:fill="FF0000"/>
          </w:tcPr>
          <w:p w14:paraId="757C0B2F" w14:textId="000AC79F" w:rsidR="009D4CEC" w:rsidRPr="003067B9" w:rsidRDefault="009D4CEC">
            <w:pPr>
              <w:pStyle w:val="TableText"/>
              <w:jc w:val="center"/>
              <w:rPr>
                <w:rFonts w:cs="Arial"/>
                <w:sz w:val="24"/>
                <w:szCs w:val="22"/>
                <w:lang w:val="en-NZ"/>
              </w:rPr>
            </w:pPr>
            <w:r w:rsidRPr="003067B9">
              <w:rPr>
                <w:rFonts w:cs="Arial"/>
                <w:sz w:val="24"/>
                <w:szCs w:val="22"/>
                <w:lang w:val="en-NZ"/>
              </w:rPr>
              <w:t>4</w:t>
            </w:r>
          </w:p>
        </w:tc>
        <w:tc>
          <w:tcPr>
            <w:tcW w:w="1559" w:type="dxa"/>
          </w:tcPr>
          <w:p w14:paraId="6EC502BB" w14:textId="1F9E4EB8" w:rsidR="009D4CEC" w:rsidRPr="003067B9" w:rsidRDefault="009D4CEC">
            <w:pPr>
              <w:pStyle w:val="TableText"/>
              <w:jc w:val="center"/>
              <w:rPr>
                <w:rFonts w:cs="Arial"/>
                <w:sz w:val="24"/>
                <w:szCs w:val="22"/>
                <w:lang w:val="en-NZ"/>
              </w:rPr>
            </w:pPr>
            <w:r w:rsidRPr="003067B9">
              <w:rPr>
                <w:rFonts w:cs="Arial"/>
                <w:sz w:val="24"/>
                <w:szCs w:val="22"/>
                <w:lang w:val="en-NZ"/>
              </w:rPr>
              <w:t>2</w:t>
            </w:r>
          </w:p>
        </w:tc>
      </w:tr>
    </w:tbl>
    <w:p w14:paraId="369039B2" w14:textId="79461A39" w:rsidR="00447A16" w:rsidRPr="00D4706E" w:rsidRDefault="00C92956" w:rsidP="00C92956">
      <w:pPr>
        <w:pStyle w:val="Heading2"/>
      </w:pPr>
      <w:bookmarkStart w:id="17" w:name="_Toc163580399"/>
      <w:bookmarkStart w:id="18" w:name="_Toc170199142"/>
      <w:r w:rsidRPr="00D4706E">
        <w:rPr>
          <w:color w:val="15284C"/>
        </w:rPr>
        <w:t xml:space="preserve">2.1 </w:t>
      </w:r>
      <w:r w:rsidR="0033300D" w:rsidRPr="00D4706E">
        <w:rPr>
          <w:color w:val="15284C"/>
        </w:rPr>
        <w:t xml:space="preserve">People and </w:t>
      </w:r>
      <w:r w:rsidR="000E2CE9">
        <w:rPr>
          <w:color w:val="15284C"/>
        </w:rPr>
        <w:t>w</w:t>
      </w:r>
      <w:r w:rsidR="0033300D" w:rsidRPr="00D4706E">
        <w:rPr>
          <w:color w:val="15284C"/>
        </w:rPr>
        <w:t>hānau at the heart of health</w:t>
      </w:r>
      <w:bookmarkEnd w:id="17"/>
      <w:bookmarkEnd w:id="18"/>
    </w:p>
    <w:p w14:paraId="1ED492A4" w14:textId="0C834CBA" w:rsidR="00EE0BC4" w:rsidRPr="003067B9" w:rsidRDefault="00EE0BC4" w:rsidP="009E6C86">
      <w:pPr>
        <w:pStyle w:val="Bulletpoints"/>
        <w:rPr>
          <w:lang w:val="en-NZ"/>
        </w:rPr>
      </w:pPr>
      <w:r w:rsidRPr="003067B9">
        <w:rPr>
          <w:lang w:val="en-NZ"/>
        </w:rPr>
        <w:t xml:space="preserve">During the quarter, two models of gender-affirming care were launched with community support in Auckland, Canterbury and the West Coast. Four more models are expected to launch in quarter four. This will support access to multiple forms of gender-affirming care (including holistic models of care) across the motu. Upcoming training programmes and updated guidelines will help clinical staff build confidence and skills in providing gender-affirming care. During </w:t>
      </w:r>
      <w:r w:rsidR="000B44F3" w:rsidRPr="003067B9">
        <w:rPr>
          <w:lang w:val="en-NZ"/>
        </w:rPr>
        <w:t>the</w:t>
      </w:r>
      <w:r w:rsidRPr="003067B9">
        <w:rPr>
          <w:lang w:val="en-NZ"/>
        </w:rPr>
        <w:t xml:space="preserve"> quarter, nearly 180 requests for training were received.</w:t>
      </w:r>
    </w:p>
    <w:p w14:paraId="3EC32589" w14:textId="2DE18059" w:rsidR="002508B6" w:rsidRPr="00D4706E" w:rsidRDefault="00C92956" w:rsidP="00C92956">
      <w:pPr>
        <w:pStyle w:val="Heading2"/>
        <w:rPr>
          <w:color w:val="15284C"/>
        </w:rPr>
      </w:pPr>
      <w:bookmarkStart w:id="19" w:name="_Toc170199143"/>
      <w:r w:rsidRPr="00D4706E">
        <w:rPr>
          <w:color w:val="15284C"/>
        </w:rPr>
        <w:t xml:space="preserve">2.2 </w:t>
      </w:r>
      <w:r w:rsidR="008B1298" w:rsidRPr="00D4706E">
        <w:rPr>
          <w:color w:val="15284C"/>
        </w:rPr>
        <w:t>Valuing the voices of c</w:t>
      </w:r>
      <w:r w:rsidR="00E739D5" w:rsidRPr="00D4706E">
        <w:rPr>
          <w:color w:val="15284C"/>
        </w:rPr>
        <w:t>onsumer</w:t>
      </w:r>
      <w:r w:rsidR="00B02DB8" w:rsidRPr="00D4706E">
        <w:rPr>
          <w:color w:val="15284C"/>
        </w:rPr>
        <w:t>s</w:t>
      </w:r>
      <w:r w:rsidR="00E739D5" w:rsidRPr="00D4706E">
        <w:rPr>
          <w:color w:val="15284C"/>
        </w:rPr>
        <w:t xml:space="preserve"> </w:t>
      </w:r>
      <w:r w:rsidR="00E02BC8" w:rsidRPr="00D4706E">
        <w:rPr>
          <w:color w:val="15284C"/>
        </w:rPr>
        <w:t xml:space="preserve">and </w:t>
      </w:r>
      <w:r w:rsidR="008B1298" w:rsidRPr="00D4706E">
        <w:rPr>
          <w:color w:val="15284C"/>
        </w:rPr>
        <w:t>w</w:t>
      </w:r>
      <w:r w:rsidR="00E739D5" w:rsidRPr="00D4706E">
        <w:rPr>
          <w:color w:val="15284C"/>
        </w:rPr>
        <w:t>hānau</w:t>
      </w:r>
      <w:bookmarkEnd w:id="19"/>
      <w:r w:rsidR="00E739D5" w:rsidRPr="00D4706E">
        <w:rPr>
          <w:color w:val="15284C"/>
        </w:rPr>
        <w:t xml:space="preserve"> </w:t>
      </w:r>
    </w:p>
    <w:p w14:paraId="0A0B11F8" w14:textId="6EFD547E" w:rsidR="00A561C6" w:rsidRPr="003067B9" w:rsidRDefault="00A561C6" w:rsidP="009E6C86">
      <w:pPr>
        <w:pStyle w:val="Bulletpoints"/>
        <w:rPr>
          <w:lang w:val="en-NZ"/>
        </w:rPr>
      </w:pPr>
      <w:r w:rsidRPr="003067B9">
        <w:rPr>
          <w:lang w:val="en-NZ"/>
        </w:rPr>
        <w:t>During the quarter, the eCALD (culturally and linguistically diverse) training programme had 2,052</w:t>
      </w:r>
      <w:r w:rsidRPr="003067B9">
        <w:rPr>
          <w:rStyle w:val="FootnoteReference"/>
          <w:vertAlign w:val="superscript"/>
          <w:lang w:val="en-NZ"/>
        </w:rPr>
        <w:footnoteReference w:id="5"/>
      </w:r>
      <w:r w:rsidRPr="003067B9">
        <w:rPr>
          <w:vertAlign w:val="superscript"/>
          <w:lang w:val="en-NZ"/>
        </w:rPr>
        <w:t xml:space="preserve"> </w:t>
      </w:r>
      <w:r w:rsidRPr="003067B9">
        <w:rPr>
          <w:lang w:val="en-NZ"/>
        </w:rPr>
        <w:t xml:space="preserve">new enrolments. The programme seeks to improve </w:t>
      </w:r>
      <w:r w:rsidRPr="003067B9">
        <w:rPr>
          <w:lang w:val="en-NZ"/>
        </w:rPr>
        <w:lastRenderedPageBreak/>
        <w:t xml:space="preserve">healthcare services for culturally and linguistically diverse communities, covering Asian, Middle Eastern, Latin American and African backgrounds. </w:t>
      </w:r>
    </w:p>
    <w:p w14:paraId="37B92E0B" w14:textId="685769F6" w:rsidR="00230B13" w:rsidRPr="003067B9" w:rsidRDefault="00B40556" w:rsidP="009E6C86">
      <w:pPr>
        <w:pStyle w:val="Bulletpoints"/>
        <w:rPr>
          <w:lang w:val="en-NZ"/>
        </w:rPr>
      </w:pPr>
      <w:r w:rsidRPr="003067B9">
        <w:rPr>
          <w:lang w:val="en-NZ"/>
        </w:rPr>
        <w:t xml:space="preserve">During the quarter, </w:t>
      </w:r>
      <w:r w:rsidR="008B74A1" w:rsidRPr="003067B9">
        <w:rPr>
          <w:lang w:val="en-NZ"/>
        </w:rPr>
        <w:t>a</w:t>
      </w:r>
      <w:r w:rsidR="00230B13" w:rsidRPr="003067B9">
        <w:rPr>
          <w:lang w:val="en-NZ"/>
        </w:rPr>
        <w:t xml:space="preserve"> ‘National Hospital Visitor Policy’ was approved</w:t>
      </w:r>
      <w:r w:rsidR="00EB05C2" w:rsidRPr="003067B9">
        <w:rPr>
          <w:lang w:val="en-NZ"/>
        </w:rPr>
        <w:t>, strengthening our focus on patient-centred care</w:t>
      </w:r>
      <w:r w:rsidR="00230B13" w:rsidRPr="003067B9">
        <w:rPr>
          <w:lang w:val="en-NZ"/>
        </w:rPr>
        <w:t>. This will be implemented over the next 12 months, allowing nominated individuals to stay around the clock with patients of all ages</w:t>
      </w:r>
      <w:r w:rsidR="00EB05C2" w:rsidRPr="003067B9">
        <w:rPr>
          <w:lang w:val="en-NZ"/>
        </w:rPr>
        <w:t xml:space="preserve"> (</w:t>
      </w:r>
      <w:r w:rsidR="00230B13" w:rsidRPr="003067B9">
        <w:rPr>
          <w:lang w:val="en-NZ"/>
        </w:rPr>
        <w:t xml:space="preserve">worked through with the </w:t>
      </w:r>
      <w:r w:rsidR="798A670A" w:rsidRPr="003067B9">
        <w:rPr>
          <w:lang w:val="en-NZ"/>
        </w:rPr>
        <w:t>hospital team</w:t>
      </w:r>
      <w:r w:rsidR="00EB05C2" w:rsidRPr="003067B9">
        <w:rPr>
          <w:lang w:val="en-NZ"/>
        </w:rPr>
        <w:t>)</w:t>
      </w:r>
      <w:r w:rsidR="00230B13" w:rsidRPr="003067B9">
        <w:rPr>
          <w:lang w:val="en-NZ"/>
        </w:rPr>
        <w:t xml:space="preserve">. While some hospitals already allow this, the </w:t>
      </w:r>
      <w:r w:rsidR="00A95D23">
        <w:rPr>
          <w:lang w:val="en-NZ"/>
        </w:rPr>
        <w:t>p</w:t>
      </w:r>
      <w:r w:rsidR="00230B13" w:rsidRPr="003067B9">
        <w:rPr>
          <w:lang w:val="en-NZ"/>
        </w:rPr>
        <w:t xml:space="preserve">olicy </w:t>
      </w:r>
      <w:r w:rsidR="258B7F5B" w:rsidRPr="003067B9">
        <w:rPr>
          <w:lang w:val="en-NZ"/>
        </w:rPr>
        <w:t xml:space="preserve">aims to ensure there is a </w:t>
      </w:r>
      <w:r w:rsidR="00230B13" w:rsidRPr="003067B9">
        <w:rPr>
          <w:lang w:val="en-NZ"/>
        </w:rPr>
        <w:t>consisten</w:t>
      </w:r>
      <w:r w:rsidR="42F82DFB" w:rsidRPr="003067B9">
        <w:rPr>
          <w:lang w:val="en-NZ"/>
        </w:rPr>
        <w:t>t approach</w:t>
      </w:r>
      <w:r w:rsidR="00230B13" w:rsidRPr="003067B9">
        <w:rPr>
          <w:lang w:val="en-NZ"/>
        </w:rPr>
        <w:t xml:space="preserve"> across the country. </w:t>
      </w:r>
    </w:p>
    <w:p w14:paraId="53AE19AC" w14:textId="51FEF94E" w:rsidR="00D421D7" w:rsidRPr="003067B9" w:rsidRDefault="76E12CA5" w:rsidP="009E6C86">
      <w:pPr>
        <w:pStyle w:val="Bulletpoints"/>
        <w:rPr>
          <w:lang w:val="en-NZ"/>
        </w:rPr>
      </w:pPr>
      <w:r w:rsidRPr="003067B9">
        <w:rPr>
          <w:lang w:val="en-NZ"/>
        </w:rPr>
        <w:t>Th</w:t>
      </w:r>
      <w:r w:rsidR="00D421D7" w:rsidRPr="003067B9">
        <w:rPr>
          <w:lang w:val="en-NZ"/>
        </w:rPr>
        <w:t>ere have been ongoing challenges with reimbursing consumer representative</w:t>
      </w:r>
      <w:r w:rsidR="00B70EE6" w:rsidRPr="003067B9">
        <w:rPr>
          <w:lang w:val="en-NZ"/>
        </w:rPr>
        <w:t xml:space="preserve">s </w:t>
      </w:r>
      <w:r w:rsidR="35C6BED0" w:rsidRPr="003067B9">
        <w:rPr>
          <w:lang w:val="en-NZ"/>
        </w:rPr>
        <w:t>due to complex payroll system</w:t>
      </w:r>
      <w:r w:rsidR="00D421D7" w:rsidRPr="003067B9">
        <w:rPr>
          <w:lang w:val="en-NZ"/>
        </w:rPr>
        <w:t xml:space="preserve">s. This is impacting consumer engagement, </w:t>
      </w:r>
      <w:r w:rsidR="00B97192" w:rsidRPr="003067B9">
        <w:rPr>
          <w:lang w:val="en-NZ"/>
        </w:rPr>
        <w:t xml:space="preserve">which </w:t>
      </w:r>
      <w:r w:rsidR="00D421D7" w:rsidRPr="003067B9">
        <w:rPr>
          <w:lang w:val="en-NZ"/>
        </w:rPr>
        <w:t>we are working to resolve</w:t>
      </w:r>
      <w:r w:rsidR="00AD7360" w:rsidRPr="003067B9">
        <w:rPr>
          <w:lang w:val="en-NZ"/>
        </w:rPr>
        <w:t>.</w:t>
      </w:r>
    </w:p>
    <w:p w14:paraId="71D2BD9D" w14:textId="11335487" w:rsidR="0076147B" w:rsidRPr="003067B9" w:rsidRDefault="00FA37AC" w:rsidP="009E6C86">
      <w:pPr>
        <w:pStyle w:val="Bulletpoints"/>
        <w:rPr>
          <w:lang w:val="en-NZ"/>
        </w:rPr>
      </w:pPr>
      <w:r w:rsidRPr="003067B9">
        <w:rPr>
          <w:lang w:val="en-NZ"/>
        </w:rPr>
        <w:t xml:space="preserve">During the quarter, we developed a Pacific Patient Experience Framework (PPEF) to capture key aspects of the Pacific patient voice in different care settings. </w:t>
      </w:r>
      <w:r w:rsidR="002F67C1" w:rsidRPr="003067B9">
        <w:rPr>
          <w:lang w:val="en-NZ"/>
        </w:rPr>
        <w:t>The PPEF will help us better engage with Pacific communities using culturally appropriate methodologies and measures to capture what matters most to them.</w:t>
      </w:r>
      <w:r w:rsidR="004A3CEC" w:rsidRPr="003067B9">
        <w:rPr>
          <w:lang w:val="en-NZ"/>
        </w:rPr>
        <w:t xml:space="preserve"> The PPEF is being trialled in Waitemat</w:t>
      </w:r>
      <w:r w:rsidR="009F3863" w:rsidRPr="003067B9">
        <w:rPr>
          <w:lang w:val="en-NZ"/>
        </w:rPr>
        <w:t>ā</w:t>
      </w:r>
      <w:r w:rsidR="004A3CEC" w:rsidRPr="003067B9">
        <w:rPr>
          <w:lang w:val="en-NZ"/>
        </w:rPr>
        <w:t xml:space="preserve"> </w:t>
      </w:r>
      <w:r w:rsidR="00CB7EAE" w:rsidRPr="003067B9">
        <w:rPr>
          <w:lang w:val="en-NZ"/>
        </w:rPr>
        <w:t>by</w:t>
      </w:r>
      <w:r w:rsidR="004A3CEC" w:rsidRPr="003067B9">
        <w:rPr>
          <w:lang w:val="en-NZ"/>
        </w:rPr>
        <w:t xml:space="preserve"> our Pacific health team</w:t>
      </w:r>
      <w:r w:rsidR="00BB0CFD" w:rsidRPr="003067B9">
        <w:rPr>
          <w:lang w:val="en-NZ"/>
        </w:rPr>
        <w:t xml:space="preserve"> through </w:t>
      </w:r>
      <w:r w:rsidR="00D90BBB" w:rsidRPr="003067B9">
        <w:rPr>
          <w:lang w:val="en-NZ"/>
        </w:rPr>
        <w:t xml:space="preserve">various mediums, including </w:t>
      </w:r>
      <w:r w:rsidR="008B3705" w:rsidRPr="003067B9">
        <w:rPr>
          <w:lang w:val="en-NZ"/>
        </w:rPr>
        <w:t>interviews with Pacific patients</w:t>
      </w:r>
      <w:r w:rsidR="004A3CEC" w:rsidRPr="003067B9">
        <w:rPr>
          <w:lang w:val="en-NZ"/>
        </w:rPr>
        <w:t>.</w:t>
      </w:r>
      <w:r w:rsidR="0076147B" w:rsidRPr="003067B9">
        <w:rPr>
          <w:lang w:val="en-NZ"/>
        </w:rPr>
        <w:t xml:space="preserve"> </w:t>
      </w:r>
    </w:p>
    <w:p w14:paraId="42835D3E" w14:textId="77777777" w:rsidR="00FF6A3A" w:rsidRPr="003067B9" w:rsidRDefault="00FF6A3A" w:rsidP="009E6C86">
      <w:pPr>
        <w:pStyle w:val="Bulletpoints"/>
        <w:rPr>
          <w:lang w:val="en-NZ"/>
        </w:rPr>
      </w:pPr>
      <w:r w:rsidRPr="003067B9">
        <w:rPr>
          <w:lang w:val="en-NZ"/>
        </w:rPr>
        <w:t>The existing Regional Patient Experience workforce and processes faced challenges in aligning with the PPEF due to variations in digital platforms and workforces across the old DHBs and regions.</w:t>
      </w:r>
    </w:p>
    <w:p w14:paraId="79383F75" w14:textId="175A419F" w:rsidR="00685053" w:rsidRPr="00D4706E" w:rsidRDefault="00C92956" w:rsidP="00C92956">
      <w:pPr>
        <w:pStyle w:val="Heading2"/>
        <w:rPr>
          <w:color w:val="15284C"/>
        </w:rPr>
      </w:pPr>
      <w:bookmarkStart w:id="20" w:name="_Toc163580402"/>
      <w:bookmarkStart w:id="21" w:name="_Toc170199144"/>
      <w:r w:rsidRPr="00D4706E">
        <w:rPr>
          <w:color w:val="15284C"/>
        </w:rPr>
        <w:t xml:space="preserve">2.3 </w:t>
      </w:r>
      <w:r w:rsidR="00163A5F" w:rsidRPr="00D4706E">
        <w:rPr>
          <w:color w:val="15284C"/>
        </w:rPr>
        <w:t>Valuing the health workforce</w:t>
      </w:r>
      <w:bookmarkEnd w:id="20"/>
      <w:bookmarkEnd w:id="21"/>
      <w:r w:rsidR="00163A5F" w:rsidRPr="00D4706E">
        <w:rPr>
          <w:color w:val="15284C"/>
        </w:rPr>
        <w:t xml:space="preserve"> </w:t>
      </w:r>
    </w:p>
    <w:p w14:paraId="58CE3851" w14:textId="367800A3" w:rsidR="00102791" w:rsidRPr="003067B9" w:rsidRDefault="001E2062" w:rsidP="009E6C86">
      <w:pPr>
        <w:pStyle w:val="Bulletpoints"/>
        <w:rPr>
          <w:lang w:val="en-NZ"/>
        </w:rPr>
      </w:pPr>
      <w:r w:rsidRPr="003067B9">
        <w:rPr>
          <w:lang w:val="en-NZ"/>
        </w:rPr>
        <w:t>D</w:t>
      </w:r>
      <w:r w:rsidR="00A47523" w:rsidRPr="003067B9">
        <w:rPr>
          <w:lang w:val="en-NZ"/>
        </w:rPr>
        <w:t>eliver</w:t>
      </w:r>
      <w:r w:rsidRPr="003067B9">
        <w:rPr>
          <w:lang w:val="en-NZ"/>
        </w:rPr>
        <w:t xml:space="preserve">y of </w:t>
      </w:r>
      <w:r w:rsidR="00A47523" w:rsidRPr="003067B9">
        <w:rPr>
          <w:lang w:val="en-NZ"/>
        </w:rPr>
        <w:t xml:space="preserve">the </w:t>
      </w:r>
      <w:r w:rsidR="00102791" w:rsidRPr="003067B9">
        <w:rPr>
          <w:lang w:val="en-NZ"/>
        </w:rPr>
        <w:t>Health</w:t>
      </w:r>
      <w:r w:rsidR="00A47523" w:rsidRPr="003067B9">
        <w:rPr>
          <w:lang w:val="en-NZ"/>
        </w:rPr>
        <w:t xml:space="preserve"> Workforce Plan</w:t>
      </w:r>
      <w:r w:rsidR="001A2D06" w:rsidRPr="003067B9">
        <w:rPr>
          <w:lang w:val="en-NZ"/>
        </w:rPr>
        <w:t xml:space="preserve"> 2023/24</w:t>
      </w:r>
      <w:r w:rsidR="005901F0" w:rsidRPr="003067B9">
        <w:rPr>
          <w:lang w:val="en-NZ"/>
        </w:rPr>
        <w:t xml:space="preserve"> </w:t>
      </w:r>
      <w:r w:rsidR="003E0183" w:rsidRPr="003067B9">
        <w:rPr>
          <w:lang w:val="en-NZ"/>
        </w:rPr>
        <w:t>is ongoing</w:t>
      </w:r>
      <w:r w:rsidR="00A47523" w:rsidRPr="003067B9">
        <w:rPr>
          <w:lang w:val="en-NZ"/>
        </w:rPr>
        <w:t xml:space="preserve">. </w:t>
      </w:r>
      <w:r w:rsidR="007226EE">
        <w:rPr>
          <w:lang w:val="en-NZ"/>
        </w:rPr>
        <w:t>The following are h</w:t>
      </w:r>
      <w:r w:rsidR="00A47523" w:rsidRPr="003067B9">
        <w:rPr>
          <w:lang w:val="en-NZ"/>
        </w:rPr>
        <w:t xml:space="preserve">ighlights from this quarter </w:t>
      </w:r>
      <w:r w:rsidR="001B3656" w:rsidRPr="003067B9">
        <w:rPr>
          <w:lang w:val="en-NZ"/>
        </w:rPr>
        <w:t>(aligned to the start of the academic year)</w:t>
      </w:r>
      <w:r w:rsidR="007226EE">
        <w:rPr>
          <w:lang w:val="en-NZ"/>
        </w:rPr>
        <w:t>.</w:t>
      </w:r>
    </w:p>
    <w:p w14:paraId="547ECCB7" w14:textId="4B7964FF" w:rsidR="00F477D1" w:rsidRPr="003067B9" w:rsidRDefault="004802D9" w:rsidP="003B154A">
      <w:pPr>
        <w:pStyle w:val="Bulletpoints2"/>
        <w:rPr>
          <w:lang w:val="en-NZ"/>
        </w:rPr>
      </w:pPr>
      <w:r w:rsidRPr="003067B9">
        <w:rPr>
          <w:lang w:val="en-NZ"/>
        </w:rPr>
        <w:t>S</w:t>
      </w:r>
      <w:r w:rsidR="00F477D1" w:rsidRPr="003067B9">
        <w:rPr>
          <w:lang w:val="en-NZ"/>
        </w:rPr>
        <w:t xml:space="preserve">upporting 239 General Practice Education Programme (GPEP) Year 1 trainees in 2024 </w:t>
      </w:r>
      <w:r w:rsidR="001E75BE" w:rsidRPr="003067B9">
        <w:rPr>
          <w:lang w:val="en-NZ"/>
        </w:rPr>
        <w:t>-</w:t>
      </w:r>
      <w:r w:rsidR="00F477D1" w:rsidRPr="003067B9">
        <w:rPr>
          <w:lang w:val="en-NZ"/>
        </w:rPr>
        <w:t xml:space="preserve"> an increase of 60 registrars starting compared to 2023 and the biggest intake to date.</w:t>
      </w:r>
    </w:p>
    <w:p w14:paraId="17A6E5ED" w14:textId="117670F9" w:rsidR="00FF2F7C" w:rsidRPr="003067B9" w:rsidRDefault="004802D9" w:rsidP="009E6C86">
      <w:pPr>
        <w:pStyle w:val="Bulletpoints2"/>
        <w:rPr>
          <w:rFonts w:ascii="Calibri" w:hAnsi="Calibri" w:cs="Calibri"/>
          <w:lang w:val="en-NZ"/>
        </w:rPr>
      </w:pPr>
      <w:r w:rsidRPr="003067B9">
        <w:rPr>
          <w:lang w:val="en-NZ"/>
        </w:rPr>
        <w:t>F</w:t>
      </w:r>
      <w:r w:rsidR="008A7036" w:rsidRPr="003067B9">
        <w:rPr>
          <w:lang w:val="en-NZ"/>
        </w:rPr>
        <w:t xml:space="preserve">unding </w:t>
      </w:r>
      <w:r w:rsidR="00FF2F7C" w:rsidRPr="003067B9">
        <w:rPr>
          <w:lang w:val="en-NZ"/>
        </w:rPr>
        <w:t xml:space="preserve">121 places (including 17 Māori and 5 Pacific) on the Nurse Practitioner Training Programme (NPTP), up from the 100 </w:t>
      </w:r>
      <w:r w:rsidR="008A7036" w:rsidRPr="003067B9">
        <w:rPr>
          <w:lang w:val="en-NZ"/>
        </w:rPr>
        <w:t>committed to</w:t>
      </w:r>
      <w:r w:rsidR="00FF2F7C" w:rsidRPr="003067B9">
        <w:rPr>
          <w:lang w:val="en-NZ"/>
        </w:rPr>
        <w:t xml:space="preserve"> in the Health Workforce Plan and an increase of 51.3% compared to the 2023 academic year.</w:t>
      </w:r>
    </w:p>
    <w:p w14:paraId="2DB373A9" w14:textId="3438A674" w:rsidR="002F3414" w:rsidRPr="003067B9" w:rsidRDefault="004802D9" w:rsidP="009E6C86">
      <w:pPr>
        <w:pStyle w:val="Bulletpoints2"/>
        <w:rPr>
          <w:lang w:val="en-NZ"/>
        </w:rPr>
      </w:pPr>
      <w:r w:rsidRPr="003067B9">
        <w:rPr>
          <w:lang w:val="en-NZ"/>
        </w:rPr>
        <w:t>D</w:t>
      </w:r>
      <w:r w:rsidR="00910FD1" w:rsidRPr="003067B9">
        <w:rPr>
          <w:lang w:val="en-NZ"/>
        </w:rPr>
        <w:t>evelopment of</w:t>
      </w:r>
      <w:r w:rsidR="00D45C61" w:rsidRPr="003067B9">
        <w:rPr>
          <w:lang w:val="en-NZ"/>
        </w:rPr>
        <w:t xml:space="preserve"> the Health Workforce Plan 2024/25. Th</w:t>
      </w:r>
      <w:r w:rsidR="00D42EB1" w:rsidRPr="003067B9">
        <w:rPr>
          <w:lang w:val="en-NZ"/>
        </w:rPr>
        <w:t>is</w:t>
      </w:r>
      <w:r w:rsidR="00D45C61" w:rsidRPr="003067B9">
        <w:rPr>
          <w:lang w:val="en-NZ"/>
        </w:rPr>
        <w:t xml:space="preserve"> second </w:t>
      </w:r>
      <w:r w:rsidR="000B2291">
        <w:rPr>
          <w:lang w:val="en-NZ"/>
        </w:rPr>
        <w:t>p</w:t>
      </w:r>
      <w:r w:rsidR="00D45C61" w:rsidRPr="003067B9">
        <w:rPr>
          <w:lang w:val="en-NZ"/>
        </w:rPr>
        <w:t xml:space="preserve">lan will build </w:t>
      </w:r>
      <w:r w:rsidR="00C05CB6" w:rsidRPr="003067B9">
        <w:rPr>
          <w:lang w:val="en-NZ"/>
        </w:rPr>
        <w:t>on</w:t>
      </w:r>
      <w:r w:rsidR="00D45C61" w:rsidRPr="003067B9">
        <w:rPr>
          <w:lang w:val="en-NZ"/>
        </w:rPr>
        <w:t xml:space="preserve"> the first </w:t>
      </w:r>
      <w:r w:rsidR="002806EC" w:rsidRPr="003067B9">
        <w:rPr>
          <w:lang w:val="en-NZ"/>
        </w:rPr>
        <w:t xml:space="preserve">plan </w:t>
      </w:r>
      <w:r w:rsidR="003C422D" w:rsidRPr="003067B9">
        <w:rPr>
          <w:lang w:val="en-NZ"/>
        </w:rPr>
        <w:t>by</w:t>
      </w:r>
      <w:r w:rsidR="00D45C61" w:rsidRPr="003067B9">
        <w:rPr>
          <w:lang w:val="en-NZ"/>
        </w:rPr>
        <w:t xml:space="preserve"> support</w:t>
      </w:r>
      <w:r w:rsidR="003C422D" w:rsidRPr="003067B9">
        <w:rPr>
          <w:lang w:val="en-NZ"/>
        </w:rPr>
        <w:t>ing</w:t>
      </w:r>
      <w:r w:rsidR="00D45C61" w:rsidRPr="003067B9">
        <w:rPr>
          <w:lang w:val="en-NZ"/>
        </w:rPr>
        <w:t xml:space="preserve"> an expanded range of health workforce professions which may not have been prioritised </w:t>
      </w:r>
      <w:r w:rsidR="005F350B" w:rsidRPr="003067B9">
        <w:rPr>
          <w:lang w:val="en-NZ"/>
        </w:rPr>
        <w:t>in 2</w:t>
      </w:r>
      <w:r w:rsidR="00F35A50" w:rsidRPr="003067B9">
        <w:rPr>
          <w:lang w:val="en-NZ"/>
        </w:rPr>
        <w:t>02</w:t>
      </w:r>
      <w:r w:rsidR="00AD60AE" w:rsidRPr="003067B9">
        <w:rPr>
          <w:lang w:val="en-NZ"/>
        </w:rPr>
        <w:t>3/24</w:t>
      </w:r>
      <w:r w:rsidR="00D45C61" w:rsidRPr="003067B9">
        <w:rPr>
          <w:lang w:val="en-NZ"/>
        </w:rPr>
        <w:t xml:space="preserve">. </w:t>
      </w:r>
      <w:r w:rsidR="00532055" w:rsidRPr="003067B9">
        <w:rPr>
          <w:lang w:val="en-NZ"/>
        </w:rPr>
        <w:t>The Plan will be fully funded.</w:t>
      </w:r>
    </w:p>
    <w:p w14:paraId="51D7513F" w14:textId="4BD6C920" w:rsidR="00BA6934" w:rsidRPr="003067B9" w:rsidRDefault="00BA6934" w:rsidP="009E6C86">
      <w:pPr>
        <w:pStyle w:val="Bulletpoints"/>
        <w:rPr>
          <w:lang w:val="en-NZ"/>
        </w:rPr>
      </w:pPr>
      <w:r w:rsidRPr="003067B9">
        <w:rPr>
          <w:lang w:val="en-NZ"/>
        </w:rPr>
        <w:t xml:space="preserve">The Midwifery Return to Practice </w:t>
      </w:r>
      <w:r w:rsidR="008825D3">
        <w:rPr>
          <w:lang w:val="en-NZ"/>
        </w:rPr>
        <w:t>Programme</w:t>
      </w:r>
      <w:r w:rsidR="008825D3" w:rsidRPr="003067B9">
        <w:rPr>
          <w:lang w:val="en-NZ"/>
        </w:rPr>
        <w:t xml:space="preserve"> </w:t>
      </w:r>
      <w:r w:rsidRPr="003067B9">
        <w:rPr>
          <w:lang w:val="en-NZ"/>
        </w:rPr>
        <w:t xml:space="preserve">was re-launched </w:t>
      </w:r>
      <w:r w:rsidR="004B5219" w:rsidRPr="003067B9">
        <w:rPr>
          <w:lang w:val="en-NZ"/>
        </w:rPr>
        <w:t xml:space="preserve">during the </w:t>
      </w:r>
      <w:r w:rsidRPr="003067B9">
        <w:rPr>
          <w:lang w:val="en-NZ"/>
        </w:rPr>
        <w:t>quarter to attract more midwives back into the profession. The funding available has increased to reflect actual costs incurred for the programme and offers additional support for transport, family care and other costs. The increased funding will also be available to midwives currently on the programme to incentivise completion.</w:t>
      </w:r>
    </w:p>
    <w:p w14:paraId="4CD6DADE" w14:textId="2C715771" w:rsidR="00685053" w:rsidRPr="00D4706E" w:rsidRDefault="006869E5" w:rsidP="006869E5">
      <w:pPr>
        <w:pStyle w:val="Heading2"/>
        <w:rPr>
          <w:color w:val="15284C"/>
        </w:rPr>
      </w:pPr>
      <w:bookmarkStart w:id="22" w:name="_Toc163580403"/>
      <w:bookmarkStart w:id="23" w:name="_Toc170199145"/>
      <w:r w:rsidRPr="00D4706E">
        <w:rPr>
          <w:color w:val="15284C"/>
        </w:rPr>
        <w:lastRenderedPageBreak/>
        <w:t xml:space="preserve">2.4 </w:t>
      </w:r>
      <w:r w:rsidR="00BC26F7" w:rsidRPr="00D4706E">
        <w:rPr>
          <w:color w:val="15284C"/>
        </w:rPr>
        <w:t>Improving health outcomes and equity</w:t>
      </w:r>
      <w:bookmarkEnd w:id="22"/>
      <w:bookmarkEnd w:id="23"/>
    </w:p>
    <w:p w14:paraId="6166453B" w14:textId="56CFBAA4" w:rsidR="001223CA" w:rsidRPr="003067B9" w:rsidRDefault="00882194" w:rsidP="009E6C86">
      <w:pPr>
        <w:pStyle w:val="Bulletpoints"/>
        <w:rPr>
          <w:lang w:val="en-NZ"/>
        </w:rPr>
      </w:pPr>
      <w:r w:rsidRPr="003067B9">
        <w:rPr>
          <w:lang w:val="en-NZ"/>
        </w:rPr>
        <w:t xml:space="preserve">During the quarter, an operational performance framework was developed to support management of quality, safety and timely access to healthcare in hospitals and specialist services. The framework, along with reporting, will enable monitoring of performance and implementation of Hospital &amp; Specialist Services improvement interventions when performance concerns are identified. </w:t>
      </w:r>
    </w:p>
    <w:p w14:paraId="33D05087" w14:textId="068A886A" w:rsidR="00E44A35" w:rsidRPr="003067B9" w:rsidRDefault="001223CA" w:rsidP="009E6C86">
      <w:pPr>
        <w:pStyle w:val="Bulletpoints"/>
        <w:rPr>
          <w:lang w:val="en-NZ"/>
        </w:rPr>
      </w:pPr>
      <w:r w:rsidRPr="003067B9">
        <w:rPr>
          <w:lang w:val="en-NZ"/>
        </w:rPr>
        <w:t xml:space="preserve">To </w:t>
      </w:r>
      <w:r w:rsidR="00357C32" w:rsidRPr="003067B9">
        <w:rPr>
          <w:lang w:val="en-NZ"/>
        </w:rPr>
        <w:t xml:space="preserve">strengthen our work on addressing health inequities, </w:t>
      </w:r>
      <w:r w:rsidRPr="003067B9">
        <w:rPr>
          <w:lang w:val="en-NZ"/>
        </w:rPr>
        <w:t>an operational committee focus</w:t>
      </w:r>
      <w:r w:rsidR="00414EBC" w:rsidRPr="003067B9">
        <w:rPr>
          <w:lang w:val="en-NZ"/>
        </w:rPr>
        <w:t>ed</w:t>
      </w:r>
      <w:r w:rsidRPr="003067B9">
        <w:rPr>
          <w:lang w:val="en-NZ"/>
        </w:rPr>
        <w:t xml:space="preserve"> on </w:t>
      </w:r>
      <w:r w:rsidR="00414EBC" w:rsidRPr="003067B9">
        <w:rPr>
          <w:lang w:val="en-NZ"/>
        </w:rPr>
        <w:t xml:space="preserve">equity considerations </w:t>
      </w:r>
      <w:bookmarkStart w:id="24" w:name="_Toc163580405"/>
      <w:r w:rsidR="00915057" w:rsidRPr="003067B9">
        <w:rPr>
          <w:lang w:val="en-NZ"/>
        </w:rPr>
        <w:t>has been established.</w:t>
      </w:r>
    </w:p>
    <w:p w14:paraId="4BBC64CC" w14:textId="00830B4D" w:rsidR="00685053" w:rsidRPr="00D4706E" w:rsidRDefault="00A22E04" w:rsidP="003B4595">
      <w:pPr>
        <w:pStyle w:val="Heading1"/>
        <w:numPr>
          <w:ilvl w:val="1"/>
          <w:numId w:val="7"/>
        </w:numPr>
        <w:rPr>
          <w:color w:val="15284C"/>
          <w:sz w:val="28"/>
          <w:szCs w:val="96"/>
        </w:rPr>
      </w:pPr>
      <w:bookmarkStart w:id="25" w:name="_Toc170199146"/>
      <w:r w:rsidRPr="00D4706E">
        <w:rPr>
          <w:color w:val="15284C"/>
          <w:sz w:val="28"/>
          <w:szCs w:val="96"/>
        </w:rPr>
        <w:t xml:space="preserve"> </w:t>
      </w:r>
      <w:r w:rsidR="00BC26F7" w:rsidRPr="00D4706E">
        <w:rPr>
          <w:color w:val="15284C"/>
          <w:sz w:val="28"/>
          <w:szCs w:val="96"/>
        </w:rPr>
        <w:t>A unified health system</w:t>
      </w:r>
      <w:bookmarkEnd w:id="24"/>
      <w:bookmarkEnd w:id="25"/>
    </w:p>
    <w:p w14:paraId="5900743C" w14:textId="4A74DE5A" w:rsidR="006C0170" w:rsidRPr="00D4706E" w:rsidRDefault="00A22E04" w:rsidP="004366B3">
      <w:pPr>
        <w:pStyle w:val="Heading2"/>
        <w:rPr>
          <w:i/>
          <w:color w:val="15284C"/>
        </w:rPr>
      </w:pPr>
      <w:r w:rsidRPr="00D4706E">
        <w:rPr>
          <w:color w:val="15284C"/>
        </w:rPr>
        <w:t xml:space="preserve">2.5.1 </w:t>
      </w:r>
      <w:r w:rsidR="006C0170" w:rsidRPr="00D4706E">
        <w:rPr>
          <w:color w:val="15284C"/>
        </w:rPr>
        <w:t>Access to a comprehensive range of support in local communities</w:t>
      </w:r>
    </w:p>
    <w:p w14:paraId="5EF2853F" w14:textId="0223177F" w:rsidR="006C0170" w:rsidRPr="003067B9" w:rsidRDefault="006C0170" w:rsidP="00291ACB">
      <w:pPr>
        <w:pStyle w:val="Bulletpoints"/>
        <w:rPr>
          <w:lang w:val="en-NZ"/>
        </w:rPr>
      </w:pPr>
      <w:r w:rsidRPr="003067B9">
        <w:rPr>
          <w:lang w:val="en-NZ"/>
        </w:rPr>
        <w:t>Recruit</w:t>
      </w:r>
      <w:r w:rsidR="0087352D" w:rsidRPr="003067B9">
        <w:rPr>
          <w:lang w:val="en-NZ"/>
        </w:rPr>
        <w:t>ment</w:t>
      </w:r>
      <w:r w:rsidRPr="003067B9">
        <w:rPr>
          <w:lang w:val="en-NZ"/>
        </w:rPr>
        <w:t xml:space="preserve"> for roles </w:t>
      </w:r>
      <w:r w:rsidR="00247423" w:rsidRPr="003067B9">
        <w:rPr>
          <w:lang w:val="en-NZ"/>
        </w:rPr>
        <w:t>in Comprehensive Primary and Community Teams (CPCT)</w:t>
      </w:r>
      <w:r w:rsidRPr="003067B9">
        <w:rPr>
          <w:lang w:val="en-NZ"/>
        </w:rPr>
        <w:t xml:space="preserve"> is ongoing</w:t>
      </w:r>
      <w:r w:rsidR="008D0124" w:rsidRPr="003067B9">
        <w:rPr>
          <w:lang w:val="en-NZ"/>
        </w:rPr>
        <w:t>. T</w:t>
      </w:r>
      <w:r w:rsidR="003861C8" w:rsidRPr="003067B9">
        <w:rPr>
          <w:lang w:val="en-NZ"/>
        </w:rPr>
        <w:t>o date</w:t>
      </w:r>
      <w:r w:rsidRPr="003067B9">
        <w:rPr>
          <w:lang w:val="en-NZ"/>
        </w:rPr>
        <w:t xml:space="preserve">, </w:t>
      </w:r>
      <w:r w:rsidR="00A951F5">
        <w:rPr>
          <w:lang w:val="en-NZ"/>
        </w:rPr>
        <w:t>more than</w:t>
      </w:r>
      <w:r w:rsidR="00A951F5" w:rsidRPr="003067B9">
        <w:rPr>
          <w:lang w:val="en-NZ"/>
        </w:rPr>
        <w:t xml:space="preserve"> </w:t>
      </w:r>
      <w:r w:rsidRPr="003067B9">
        <w:rPr>
          <w:lang w:val="en-NZ"/>
        </w:rPr>
        <w:t xml:space="preserve">200 FTE CPCT professionals have been contracted and employed across the motu. Of these, </w:t>
      </w:r>
      <w:r w:rsidR="008E3284" w:rsidRPr="003067B9">
        <w:rPr>
          <w:lang w:val="en-NZ"/>
        </w:rPr>
        <w:t>a</w:t>
      </w:r>
      <w:r w:rsidR="008E3284">
        <w:rPr>
          <w:lang w:val="en-NZ"/>
        </w:rPr>
        <w:t>bout</w:t>
      </w:r>
      <w:r w:rsidR="008E3284" w:rsidRPr="003067B9">
        <w:rPr>
          <w:lang w:val="en-NZ"/>
        </w:rPr>
        <w:t xml:space="preserve"> </w:t>
      </w:r>
      <w:r w:rsidRPr="003067B9">
        <w:rPr>
          <w:lang w:val="en-NZ"/>
        </w:rPr>
        <w:t>85</w:t>
      </w:r>
      <w:r w:rsidR="00856C83" w:rsidRPr="003067B9">
        <w:rPr>
          <w:lang w:val="en-NZ"/>
        </w:rPr>
        <w:t xml:space="preserve">% </w:t>
      </w:r>
      <w:r w:rsidRPr="003067B9">
        <w:rPr>
          <w:lang w:val="en-NZ"/>
        </w:rPr>
        <w:t xml:space="preserve">are </w:t>
      </w:r>
      <w:r w:rsidR="0861B7D7" w:rsidRPr="003067B9">
        <w:rPr>
          <w:lang w:val="en-NZ"/>
        </w:rPr>
        <w:t>k</w:t>
      </w:r>
      <w:r w:rsidRPr="003067B9">
        <w:rPr>
          <w:lang w:val="en-NZ"/>
        </w:rPr>
        <w:t>aiāwhina</w:t>
      </w:r>
      <w:r w:rsidR="00A37F6F" w:rsidRPr="003067B9">
        <w:rPr>
          <w:lang w:val="en-NZ"/>
        </w:rPr>
        <w:t>,</w:t>
      </w:r>
      <w:r w:rsidRPr="003067B9">
        <w:rPr>
          <w:lang w:val="en-NZ"/>
        </w:rPr>
        <w:t xml:space="preserve"> </w:t>
      </w:r>
      <w:r w:rsidR="5CCA061B" w:rsidRPr="003067B9">
        <w:rPr>
          <w:lang w:val="en-NZ"/>
        </w:rPr>
        <w:t>who will be employed by</w:t>
      </w:r>
      <w:r w:rsidRPr="003067B9">
        <w:rPr>
          <w:lang w:val="en-NZ"/>
        </w:rPr>
        <w:t xml:space="preserve"> Hauora </w:t>
      </w:r>
      <w:r w:rsidR="006630C0" w:rsidRPr="003067B9">
        <w:rPr>
          <w:lang w:val="en-NZ"/>
        </w:rPr>
        <w:t>Māori</w:t>
      </w:r>
      <w:r w:rsidRPr="003067B9">
        <w:rPr>
          <w:lang w:val="en-NZ"/>
        </w:rPr>
        <w:t xml:space="preserve"> and Pacific partners. </w:t>
      </w:r>
    </w:p>
    <w:p w14:paraId="0F7FAFC3" w14:textId="294DE671" w:rsidR="004C32A5" w:rsidRPr="003067B9" w:rsidRDefault="004C32A5" w:rsidP="00291ACB">
      <w:pPr>
        <w:pStyle w:val="Bulletpoints"/>
        <w:rPr>
          <w:lang w:val="en-NZ"/>
        </w:rPr>
      </w:pPr>
      <w:bookmarkStart w:id="26" w:name="_Toc163580406"/>
      <w:r w:rsidRPr="003067B9">
        <w:rPr>
          <w:lang w:val="en-NZ"/>
        </w:rPr>
        <w:t xml:space="preserve">In Te Manawa Taki, the CPCT </w:t>
      </w:r>
      <w:r w:rsidR="00EF7AD5" w:rsidRPr="003067B9">
        <w:rPr>
          <w:lang w:val="en-NZ"/>
        </w:rPr>
        <w:t>is</w:t>
      </w:r>
      <w:r w:rsidRPr="003067B9">
        <w:rPr>
          <w:lang w:val="en-NZ"/>
        </w:rPr>
        <w:t xml:space="preserve"> working with </w:t>
      </w:r>
      <w:r w:rsidR="009671B4" w:rsidRPr="003067B9">
        <w:rPr>
          <w:lang w:val="en-NZ"/>
        </w:rPr>
        <w:t>k</w:t>
      </w:r>
      <w:r w:rsidRPr="003067B9">
        <w:rPr>
          <w:lang w:val="en-NZ"/>
        </w:rPr>
        <w:t xml:space="preserve">aupapa Māori </w:t>
      </w:r>
      <w:r w:rsidR="009671B4" w:rsidRPr="003067B9">
        <w:rPr>
          <w:lang w:val="en-NZ"/>
        </w:rPr>
        <w:t>p</w:t>
      </w:r>
      <w:r w:rsidRPr="003067B9">
        <w:rPr>
          <w:lang w:val="en-NZ"/>
        </w:rPr>
        <w:t>roviders to develop models of care to better support general practice and improve access to first</w:t>
      </w:r>
      <w:r w:rsidR="00EF7AD5" w:rsidRPr="003067B9">
        <w:rPr>
          <w:lang w:val="en-NZ"/>
        </w:rPr>
        <w:t xml:space="preserve"> </w:t>
      </w:r>
      <w:r w:rsidRPr="003067B9">
        <w:rPr>
          <w:lang w:val="en-NZ"/>
        </w:rPr>
        <w:t xml:space="preserve">response services, </w:t>
      </w:r>
      <w:r w:rsidR="00020FA8" w:rsidRPr="003067B9">
        <w:rPr>
          <w:lang w:val="en-NZ"/>
        </w:rPr>
        <w:t>particularly</w:t>
      </w:r>
      <w:r w:rsidRPr="003067B9">
        <w:rPr>
          <w:lang w:val="en-NZ"/>
        </w:rPr>
        <w:t xml:space="preserve"> for </w:t>
      </w:r>
      <w:r w:rsidR="009671B4" w:rsidRPr="003067B9">
        <w:rPr>
          <w:lang w:val="en-NZ"/>
        </w:rPr>
        <w:t>Māori</w:t>
      </w:r>
      <w:r w:rsidRPr="003067B9">
        <w:rPr>
          <w:lang w:val="en-NZ"/>
        </w:rPr>
        <w:t xml:space="preserve">. Support for providers ranges from non-clinical </w:t>
      </w:r>
      <w:r w:rsidR="535C5D5D" w:rsidRPr="003067B9">
        <w:rPr>
          <w:lang w:val="en-NZ"/>
        </w:rPr>
        <w:t>k</w:t>
      </w:r>
      <w:r w:rsidRPr="003067B9">
        <w:rPr>
          <w:lang w:val="en-NZ"/>
        </w:rPr>
        <w:t xml:space="preserve">aiāwhina to care coordination and allied health services, relative to community needs. Whānau connections with primary and community care teams will assist with managing illness at earlier stages, reducing likelihood of hospitalisation.     </w:t>
      </w:r>
    </w:p>
    <w:p w14:paraId="47AA5B40" w14:textId="2A6391FE" w:rsidR="00685053" w:rsidRPr="00D4706E" w:rsidRDefault="003F40C1" w:rsidP="004366B3">
      <w:pPr>
        <w:pStyle w:val="Heading2"/>
        <w:rPr>
          <w:color w:val="15284C"/>
        </w:rPr>
      </w:pPr>
      <w:r w:rsidRPr="00D4706E">
        <w:rPr>
          <w:color w:val="15284C"/>
        </w:rPr>
        <w:t xml:space="preserve">2.5.2 </w:t>
      </w:r>
      <w:r w:rsidR="008D26D9" w:rsidRPr="00D4706E">
        <w:rPr>
          <w:color w:val="15284C"/>
        </w:rPr>
        <w:t>Access to high-quality emergency and specialist care</w:t>
      </w:r>
      <w:bookmarkEnd w:id="26"/>
    </w:p>
    <w:p w14:paraId="0F312883" w14:textId="57E052B0" w:rsidR="00F4050A" w:rsidRPr="003067B9" w:rsidRDefault="00F4050A" w:rsidP="00291ACB">
      <w:pPr>
        <w:pStyle w:val="Bulletpoints"/>
        <w:rPr>
          <w:lang w:val="en-NZ"/>
        </w:rPr>
      </w:pPr>
      <w:r w:rsidRPr="003067B9">
        <w:rPr>
          <w:lang w:val="en-NZ"/>
        </w:rPr>
        <w:t>Additional funding and recruitment have resulted in more ambulances being deployed, improving response times. In the year to February 2024, ambulance providers increased FTE by 138.5 (including communications centre personnel</w:t>
      </w:r>
      <w:r w:rsidR="00A133CE" w:rsidRPr="003067B9">
        <w:rPr>
          <w:lang w:val="en-NZ"/>
        </w:rPr>
        <w:t>)</w:t>
      </w:r>
      <w:r w:rsidRPr="003067B9">
        <w:rPr>
          <w:lang w:val="en-NZ"/>
        </w:rPr>
        <w:t xml:space="preserve"> of </w:t>
      </w:r>
      <w:r w:rsidR="005248B2" w:rsidRPr="003067B9">
        <w:rPr>
          <w:lang w:val="en-NZ"/>
        </w:rPr>
        <w:t xml:space="preserve">whom </w:t>
      </w:r>
      <w:r w:rsidRPr="003067B9">
        <w:rPr>
          <w:lang w:val="en-NZ"/>
        </w:rPr>
        <w:t>51</w:t>
      </w:r>
      <w:r w:rsidR="009671B4" w:rsidRPr="003067B9">
        <w:rPr>
          <w:lang w:val="en-NZ"/>
        </w:rPr>
        <w:t xml:space="preserve"> </w:t>
      </w:r>
      <w:r w:rsidR="001E5AEF" w:rsidRPr="003067B9">
        <w:rPr>
          <w:lang w:val="en-NZ"/>
        </w:rPr>
        <w:t>FTE</w:t>
      </w:r>
      <w:r w:rsidRPr="003067B9">
        <w:rPr>
          <w:lang w:val="en-NZ"/>
        </w:rPr>
        <w:t xml:space="preserve"> commenced in quarter three.  </w:t>
      </w:r>
    </w:p>
    <w:p w14:paraId="3997E91A" w14:textId="17C71737" w:rsidR="001702C8" w:rsidRPr="003067B9" w:rsidRDefault="001702C8" w:rsidP="00291ACB">
      <w:pPr>
        <w:pStyle w:val="Bulletpoints"/>
        <w:rPr>
          <w:lang w:val="en-NZ"/>
        </w:rPr>
      </w:pPr>
      <w:r w:rsidRPr="003067B9">
        <w:rPr>
          <w:lang w:val="en-NZ"/>
        </w:rPr>
        <w:t xml:space="preserve">The percentage of urban RED priority (life threatening or time critical) incidents responded to within eight minutes improved </w:t>
      </w:r>
      <w:r w:rsidR="00C12665" w:rsidRPr="003067B9">
        <w:rPr>
          <w:lang w:val="en-NZ"/>
        </w:rPr>
        <w:t xml:space="preserve">by </w:t>
      </w:r>
      <w:r w:rsidRPr="003067B9">
        <w:rPr>
          <w:lang w:val="en-NZ"/>
        </w:rPr>
        <w:t>4% between June 2023 and February 2024, from 41% to 45%. For the same period, there was also a 13% reduction in the number of ORANGE priority (serious but not immediately life threatening) incidents waiting more than 60 minutes for an ambulance response.</w:t>
      </w:r>
    </w:p>
    <w:p w14:paraId="51372DCF" w14:textId="7820194C" w:rsidR="00A71B9A" w:rsidRPr="003067B9" w:rsidRDefault="009671B4" w:rsidP="00291ACB">
      <w:pPr>
        <w:pStyle w:val="Bulletpoints"/>
        <w:rPr>
          <w:lang w:val="en-NZ"/>
        </w:rPr>
      </w:pPr>
      <w:r w:rsidRPr="003067B9">
        <w:rPr>
          <w:lang w:val="en-NZ"/>
        </w:rPr>
        <w:t>To further strengthen</w:t>
      </w:r>
      <w:r w:rsidR="00A71B9A" w:rsidRPr="003067B9">
        <w:rPr>
          <w:lang w:val="en-NZ"/>
        </w:rPr>
        <w:t> air ambulance resilience, existing helipads were improved, plans are in place for new helipads (in Northland and East Cape) and new</w:t>
      </w:r>
      <w:r w:rsidR="002B2698">
        <w:rPr>
          <w:lang w:val="en-NZ"/>
        </w:rPr>
        <w:t xml:space="preserve"> or</w:t>
      </w:r>
      <w:r w:rsidR="00AC2D8A">
        <w:rPr>
          <w:lang w:val="en-NZ"/>
        </w:rPr>
        <w:t xml:space="preserve"> </w:t>
      </w:r>
      <w:r w:rsidR="00A71B9A" w:rsidRPr="003067B9">
        <w:rPr>
          <w:lang w:val="en-NZ"/>
        </w:rPr>
        <w:t xml:space="preserve">additional fuel trailers have been purchased.  These activities will improve timely access for remote communities and disaster resilience for the East Cape. </w:t>
      </w:r>
    </w:p>
    <w:p w14:paraId="696D27E6" w14:textId="7159E956" w:rsidR="001F3CD4" w:rsidRPr="003067B9" w:rsidRDefault="00B40556" w:rsidP="00291ACB">
      <w:pPr>
        <w:pStyle w:val="Bulletpoints"/>
        <w:rPr>
          <w:lang w:val="en-NZ"/>
        </w:rPr>
      </w:pPr>
      <w:r w:rsidRPr="003067B9">
        <w:rPr>
          <w:lang w:val="en-NZ"/>
        </w:rPr>
        <w:t>During the quarter</w:t>
      </w:r>
      <w:r w:rsidR="00FE5BF0" w:rsidRPr="003067B9">
        <w:rPr>
          <w:lang w:val="en-NZ"/>
        </w:rPr>
        <w:t xml:space="preserve">, Nelson welcomed a new </w:t>
      </w:r>
      <w:r w:rsidR="00AF5C97" w:rsidRPr="003067B9">
        <w:rPr>
          <w:szCs w:val="24"/>
          <w:lang w:val="en-NZ"/>
        </w:rPr>
        <w:t>fixed</w:t>
      </w:r>
      <w:r w:rsidR="00AF5C97" w:rsidRPr="003067B9">
        <w:rPr>
          <w:lang w:val="en-NZ"/>
        </w:rPr>
        <w:t>-</w:t>
      </w:r>
      <w:r w:rsidR="00337AAE" w:rsidRPr="003067B9">
        <w:rPr>
          <w:lang w:val="en-NZ"/>
        </w:rPr>
        <w:t>wing</w:t>
      </w:r>
      <w:r w:rsidR="00FE5BF0" w:rsidRPr="003067B9">
        <w:rPr>
          <w:lang w:val="en-NZ"/>
        </w:rPr>
        <w:t xml:space="preserve"> </w:t>
      </w:r>
      <w:r w:rsidR="00337AAE" w:rsidRPr="003067B9">
        <w:rPr>
          <w:lang w:val="en-NZ"/>
        </w:rPr>
        <w:t xml:space="preserve">air </w:t>
      </w:r>
      <w:r w:rsidR="00FE5BF0" w:rsidRPr="003067B9">
        <w:rPr>
          <w:lang w:val="en-NZ"/>
        </w:rPr>
        <w:t>ambulance</w:t>
      </w:r>
      <w:r w:rsidR="009D5B6D" w:rsidRPr="003067B9">
        <w:rPr>
          <w:lang w:val="en-NZ"/>
        </w:rPr>
        <w:t xml:space="preserve"> to replace</w:t>
      </w:r>
      <w:r w:rsidR="00B561EC" w:rsidRPr="003067B9">
        <w:rPr>
          <w:lang w:val="en-NZ"/>
        </w:rPr>
        <w:t xml:space="preserve"> an </w:t>
      </w:r>
      <w:r w:rsidR="00525E19" w:rsidRPr="003067B9">
        <w:rPr>
          <w:lang w:val="en-NZ"/>
        </w:rPr>
        <w:t xml:space="preserve">existing </w:t>
      </w:r>
      <w:r w:rsidR="00385D0F" w:rsidRPr="003067B9">
        <w:rPr>
          <w:lang w:val="en-NZ"/>
        </w:rPr>
        <w:t>one</w:t>
      </w:r>
      <w:r w:rsidR="00525E19" w:rsidRPr="003067B9">
        <w:rPr>
          <w:lang w:val="en-NZ"/>
        </w:rPr>
        <w:t xml:space="preserve"> no longer </w:t>
      </w:r>
      <w:r w:rsidR="00342C14" w:rsidRPr="003067B9">
        <w:rPr>
          <w:szCs w:val="24"/>
          <w:lang w:val="en-NZ"/>
        </w:rPr>
        <w:t>fit-for-</w:t>
      </w:r>
      <w:r w:rsidR="00525E19" w:rsidRPr="003067B9">
        <w:rPr>
          <w:lang w:val="en-NZ"/>
        </w:rPr>
        <w:t>purpose</w:t>
      </w:r>
      <w:r w:rsidR="00FE5BF0" w:rsidRPr="003067B9">
        <w:rPr>
          <w:lang w:val="en-NZ"/>
        </w:rPr>
        <w:t>.</w:t>
      </w:r>
      <w:r w:rsidR="00AA6848" w:rsidRPr="003067B9">
        <w:rPr>
          <w:lang w:val="en-NZ"/>
        </w:rPr>
        <w:t xml:space="preserve"> This will </w:t>
      </w:r>
      <w:r w:rsidR="00C03D57" w:rsidRPr="003067B9">
        <w:rPr>
          <w:lang w:val="en-NZ"/>
        </w:rPr>
        <w:t>improve</w:t>
      </w:r>
      <w:r w:rsidR="00996416" w:rsidRPr="003067B9">
        <w:rPr>
          <w:lang w:val="en-NZ"/>
        </w:rPr>
        <w:t xml:space="preserve"> reliability and patient experience </w:t>
      </w:r>
      <w:r w:rsidR="00AA6848" w:rsidRPr="003067B9">
        <w:rPr>
          <w:lang w:val="en-NZ"/>
        </w:rPr>
        <w:t>in the Nelson Marlborough region.</w:t>
      </w:r>
    </w:p>
    <w:p w14:paraId="45A4C028" w14:textId="5C007A96" w:rsidR="00477F9D" w:rsidRPr="003067B9" w:rsidRDefault="00477F9D" w:rsidP="00291ACB">
      <w:pPr>
        <w:pStyle w:val="Bulletpoints"/>
        <w:rPr>
          <w:lang w:val="en-NZ"/>
        </w:rPr>
      </w:pPr>
      <w:r w:rsidRPr="003067B9">
        <w:rPr>
          <w:lang w:val="en-NZ"/>
        </w:rPr>
        <w:lastRenderedPageBreak/>
        <w:t>During th</w:t>
      </w:r>
      <w:r w:rsidR="00B40556" w:rsidRPr="003067B9">
        <w:rPr>
          <w:lang w:val="en-NZ"/>
        </w:rPr>
        <w:t>e</w:t>
      </w:r>
      <w:r w:rsidRPr="003067B9">
        <w:rPr>
          <w:lang w:val="en-NZ"/>
        </w:rPr>
        <w:t xml:space="preserve"> quarter, Palmerston North Regional Hospital's new intervention cardiac catheterisation lab (opened in November 2023) began performing Percutaneous Coronary Intervention procedures (insertion of a stent into a coronary artery to unblock the artery and improve flow to the cardiac muscle). Previously, patients had to travel to Wellington for these procedures. This is part of the Central </w:t>
      </w:r>
      <w:r w:rsidR="00342C14" w:rsidRPr="003067B9">
        <w:rPr>
          <w:lang w:val="en-NZ"/>
        </w:rPr>
        <w:t>R</w:t>
      </w:r>
      <w:r w:rsidRPr="003067B9">
        <w:rPr>
          <w:lang w:val="en-NZ"/>
        </w:rPr>
        <w:t>egion's wider cardiac plan to increase capacity, provide specialist cardiac services for MidCentral patients closer to home, and reduce pressure on the regional service provided by Wellington Hospital. </w:t>
      </w:r>
    </w:p>
    <w:p w14:paraId="4D18EF00" w14:textId="403BD779" w:rsidR="00E81E5D" w:rsidRPr="003067B9" w:rsidRDefault="00E81E5D" w:rsidP="00291ACB">
      <w:pPr>
        <w:pStyle w:val="Bulletpoints"/>
        <w:rPr>
          <w:lang w:val="en-NZ"/>
        </w:rPr>
      </w:pPr>
      <w:r w:rsidRPr="003067B9">
        <w:rPr>
          <w:lang w:val="en-NZ"/>
        </w:rPr>
        <w:t xml:space="preserve">In quarter three, we began implementing the Hospital and Specialist Services acute care plan, a multi-year programme focusing on patient flow through hospitals and consistent practices across the motu. Many hospitals remain challenged with patient flow and consistently operate at </w:t>
      </w:r>
      <w:r w:rsidR="005E123C">
        <w:rPr>
          <w:lang w:val="en-NZ"/>
        </w:rPr>
        <w:t xml:space="preserve">greater than </w:t>
      </w:r>
      <w:r w:rsidRPr="003067B9">
        <w:rPr>
          <w:lang w:val="en-NZ"/>
        </w:rPr>
        <w:t>90% occupancy.</w:t>
      </w:r>
    </w:p>
    <w:p w14:paraId="0FE60396" w14:textId="0BFAE494" w:rsidR="007C3DE8" w:rsidRPr="003067B9" w:rsidRDefault="00F3420A" w:rsidP="00291ACB">
      <w:pPr>
        <w:pStyle w:val="Bulletpoints"/>
        <w:rPr>
          <w:lang w:val="en-NZ"/>
        </w:rPr>
      </w:pPr>
      <w:r w:rsidRPr="003067B9">
        <w:rPr>
          <w:lang w:val="en-NZ"/>
        </w:rPr>
        <w:t xml:space="preserve">As of 31 March, 74 people have accessed Te Mana ki Tua, a specialist bariatric medicine service in Counties Manukau (set up in July 2023). The ethnic breakdown of users mirrors the adult population with a BMI over 35 in Counties Manukau, with 20% Māori and 47% Pacific </w:t>
      </w:r>
      <w:r w:rsidR="00C407FA">
        <w:rPr>
          <w:lang w:val="en-NZ"/>
        </w:rPr>
        <w:t>P</w:t>
      </w:r>
      <w:r w:rsidRPr="003067B9">
        <w:rPr>
          <w:lang w:val="en-NZ"/>
        </w:rPr>
        <w:t>eople</w:t>
      </w:r>
      <w:r w:rsidR="00C407FA">
        <w:rPr>
          <w:lang w:val="en-NZ"/>
        </w:rPr>
        <w:t>s</w:t>
      </w:r>
      <w:r w:rsidRPr="003067B9">
        <w:rPr>
          <w:lang w:val="en-NZ"/>
        </w:rPr>
        <w:t xml:space="preserve">. </w:t>
      </w:r>
      <w:r w:rsidR="00D2451D" w:rsidRPr="003067B9">
        <w:rPr>
          <w:lang w:val="en-NZ"/>
        </w:rPr>
        <w:t>As of 31 March, 43%</w:t>
      </w:r>
      <w:r w:rsidR="006A1AD1" w:rsidRPr="003067B9">
        <w:rPr>
          <w:lang w:val="en-NZ"/>
        </w:rPr>
        <w:t xml:space="preserve"> </w:t>
      </w:r>
      <w:r w:rsidR="00D2451D" w:rsidRPr="003067B9">
        <w:rPr>
          <w:lang w:val="en-NZ"/>
        </w:rPr>
        <w:t xml:space="preserve">achieved remission of type 2 diabetes at three months and 48% at </w:t>
      </w:r>
      <w:r w:rsidR="00F316EF" w:rsidRPr="003067B9">
        <w:rPr>
          <w:lang w:val="en-NZ"/>
        </w:rPr>
        <w:t xml:space="preserve">six </w:t>
      </w:r>
      <w:r w:rsidR="00D2451D" w:rsidRPr="003067B9">
        <w:rPr>
          <w:lang w:val="en-NZ"/>
        </w:rPr>
        <w:t xml:space="preserve">months. </w:t>
      </w:r>
      <w:r w:rsidRPr="003067B9">
        <w:rPr>
          <w:lang w:val="en-NZ"/>
        </w:rPr>
        <w:t>During the quarter, 32 people accessed the service, with 22% Māori and 34% Pacific</w:t>
      </w:r>
      <w:r w:rsidR="005604FE">
        <w:rPr>
          <w:lang w:val="en-NZ"/>
        </w:rPr>
        <w:t xml:space="preserve"> Peoples</w:t>
      </w:r>
      <w:r w:rsidRPr="003067B9">
        <w:rPr>
          <w:lang w:val="en-NZ"/>
        </w:rPr>
        <w:t xml:space="preserve">. </w:t>
      </w:r>
      <w:r w:rsidR="00A00CBF" w:rsidRPr="003067B9">
        <w:rPr>
          <w:lang w:val="en-NZ"/>
        </w:rPr>
        <w:t xml:space="preserve">The service supports patients referred for bariatric surgery but are ineligible or not considering surgery. It has a multi-specialist team to provide </w:t>
      </w:r>
      <w:r w:rsidR="006A1AD1" w:rsidRPr="003067B9">
        <w:rPr>
          <w:lang w:val="en-NZ"/>
        </w:rPr>
        <w:t>medical</w:t>
      </w:r>
      <w:r w:rsidR="00B72731" w:rsidRPr="003067B9">
        <w:rPr>
          <w:lang w:val="en-NZ"/>
        </w:rPr>
        <w:t xml:space="preserve"> support</w:t>
      </w:r>
      <w:r w:rsidR="006A1AD1" w:rsidRPr="003067B9">
        <w:rPr>
          <w:lang w:val="en-NZ"/>
        </w:rPr>
        <w:t xml:space="preserve">, </w:t>
      </w:r>
      <w:r w:rsidR="00A00CBF" w:rsidRPr="003067B9">
        <w:rPr>
          <w:lang w:val="en-NZ"/>
        </w:rPr>
        <w:t xml:space="preserve">psychosocial support, health coaching, well-being advice, and guidance on healthy </w:t>
      </w:r>
      <w:r w:rsidR="006A1AD1" w:rsidRPr="003067B9">
        <w:rPr>
          <w:lang w:val="en-NZ"/>
        </w:rPr>
        <w:t>lifestyles and wellbeing during a 12-month programme that includes total meal replacement and stepped food reintroduction</w:t>
      </w:r>
      <w:r w:rsidR="00A00CBF" w:rsidRPr="003067B9">
        <w:rPr>
          <w:lang w:val="en-NZ"/>
        </w:rPr>
        <w:t xml:space="preserve">. Initial results from an independent evaluation showed positive feedback regarding the service. </w:t>
      </w:r>
    </w:p>
    <w:p w14:paraId="50E36067" w14:textId="26C27C37" w:rsidR="0098405F" w:rsidRPr="00D4706E" w:rsidRDefault="00B36599" w:rsidP="004366B3">
      <w:pPr>
        <w:pStyle w:val="Heading2"/>
        <w:rPr>
          <w:color w:val="15284C"/>
        </w:rPr>
      </w:pPr>
      <w:r w:rsidRPr="00D4706E">
        <w:rPr>
          <w:color w:val="15284C"/>
        </w:rPr>
        <w:t xml:space="preserve">2.5.3 </w:t>
      </w:r>
      <w:r w:rsidR="0098405F" w:rsidRPr="00D4706E">
        <w:rPr>
          <w:color w:val="15284C"/>
        </w:rPr>
        <w:t>National Clinical Networks</w:t>
      </w:r>
    </w:p>
    <w:p w14:paraId="39B4F701" w14:textId="4E464DEB" w:rsidR="00AD3A73" w:rsidRPr="003067B9" w:rsidRDefault="00B40556" w:rsidP="00291ACB">
      <w:pPr>
        <w:pStyle w:val="Bulletpoints"/>
        <w:rPr>
          <w:lang w:val="en-NZ"/>
        </w:rPr>
      </w:pPr>
      <w:bookmarkStart w:id="27" w:name="_Toc163580407"/>
      <w:r w:rsidRPr="003067B9">
        <w:rPr>
          <w:lang w:val="en-NZ"/>
        </w:rPr>
        <w:t>During the quarter</w:t>
      </w:r>
      <w:r w:rsidR="00AD3A73" w:rsidRPr="003067B9">
        <w:rPr>
          <w:lang w:val="en-NZ"/>
        </w:rPr>
        <w:t>, 1</w:t>
      </w:r>
      <w:r w:rsidR="003A58AD">
        <w:rPr>
          <w:lang w:val="en-NZ"/>
        </w:rPr>
        <w:t>6</w:t>
      </w:r>
      <w:r w:rsidR="00AD3A73" w:rsidRPr="003067B9">
        <w:rPr>
          <w:lang w:val="en-NZ"/>
        </w:rPr>
        <w:t xml:space="preserve"> National Clinical Networks were announced</w:t>
      </w:r>
      <w:r w:rsidR="002B7D10">
        <w:rPr>
          <w:lang w:val="en-NZ"/>
        </w:rPr>
        <w:t>.</w:t>
      </w:r>
      <w:r w:rsidR="00AD3A73" w:rsidRPr="003067B9">
        <w:rPr>
          <w:rStyle w:val="FootnoteReference"/>
          <w:vertAlign w:val="superscript"/>
          <w:lang w:val="en-NZ"/>
        </w:rPr>
        <w:footnoteReference w:id="6"/>
      </w:r>
      <w:r w:rsidR="00AD3A73" w:rsidRPr="003067B9">
        <w:rPr>
          <w:lang w:val="en-NZ"/>
        </w:rPr>
        <w:t xml:space="preserve"> National Clinical Networks aim to</w:t>
      </w:r>
      <w:r w:rsidR="002264F8" w:rsidRPr="003067B9">
        <w:rPr>
          <w:lang w:val="en-NZ"/>
        </w:rPr>
        <w:t xml:space="preserve"> strengthen and align clinical practice,</w:t>
      </w:r>
      <w:r w:rsidR="00AD3A73" w:rsidRPr="003067B9">
        <w:rPr>
          <w:lang w:val="en-NZ"/>
        </w:rPr>
        <w:t xml:space="preserve"> reduce variation in</w:t>
      </w:r>
      <w:r w:rsidR="002264F8" w:rsidRPr="003067B9">
        <w:rPr>
          <w:lang w:val="en-NZ"/>
        </w:rPr>
        <w:t xml:space="preserve"> service quality</w:t>
      </w:r>
      <w:r w:rsidR="00E80F81" w:rsidRPr="003067B9">
        <w:rPr>
          <w:lang w:val="en-NZ"/>
        </w:rPr>
        <w:t xml:space="preserve"> and</w:t>
      </w:r>
      <w:r w:rsidR="00AD3A73" w:rsidRPr="003067B9">
        <w:rPr>
          <w:lang w:val="en-NZ"/>
        </w:rPr>
        <w:t xml:space="preserve"> access to health services and improve health outcomes for all New Zealanders. </w:t>
      </w:r>
    </w:p>
    <w:p w14:paraId="6B92EC0E" w14:textId="02A1E6D7" w:rsidR="005E0F78" w:rsidRPr="003067B9" w:rsidRDefault="005E0F78" w:rsidP="00291ACB">
      <w:pPr>
        <w:pStyle w:val="Bulletpoints"/>
        <w:rPr>
          <w:lang w:val="en-NZ"/>
        </w:rPr>
      </w:pPr>
      <w:r w:rsidRPr="003067B9">
        <w:rPr>
          <w:lang w:val="en-NZ"/>
        </w:rPr>
        <w:t xml:space="preserve">This quarter, we appointed co-leads </w:t>
      </w:r>
      <w:r w:rsidR="00B95F02" w:rsidRPr="003067B9">
        <w:rPr>
          <w:lang w:val="en-NZ"/>
        </w:rPr>
        <w:t xml:space="preserve">to </w:t>
      </w:r>
      <w:r w:rsidRPr="003067B9">
        <w:rPr>
          <w:lang w:val="en-NZ"/>
        </w:rPr>
        <w:t xml:space="preserve">establish and operationalise </w:t>
      </w:r>
      <w:r w:rsidR="00232DB4" w:rsidRPr="003067B9">
        <w:rPr>
          <w:lang w:val="en-NZ"/>
        </w:rPr>
        <w:t>several of</w:t>
      </w:r>
      <w:r w:rsidRPr="003067B9">
        <w:rPr>
          <w:lang w:val="en-NZ"/>
        </w:rPr>
        <w:t xml:space="preserve"> the networks. One challenge is to ensure clinicians' involvement in network delivery does not compromise front-line service delivery and </w:t>
      </w:r>
      <w:r w:rsidR="00E80F81" w:rsidRPr="003067B9">
        <w:rPr>
          <w:lang w:val="en-NZ"/>
        </w:rPr>
        <w:t xml:space="preserve">participating </w:t>
      </w:r>
      <w:r w:rsidRPr="003067B9">
        <w:rPr>
          <w:lang w:val="en-NZ"/>
        </w:rPr>
        <w:t xml:space="preserve">clinicians are </w:t>
      </w:r>
      <w:r w:rsidR="009E63B7" w:rsidRPr="003067B9">
        <w:rPr>
          <w:lang w:val="en-NZ"/>
        </w:rPr>
        <w:t>effectively</w:t>
      </w:r>
      <w:r w:rsidRPr="003067B9">
        <w:rPr>
          <w:lang w:val="en-NZ"/>
        </w:rPr>
        <w:t xml:space="preserve"> supported.</w:t>
      </w:r>
    </w:p>
    <w:p w14:paraId="38A01AAF" w14:textId="4967908A" w:rsidR="00685053" w:rsidRPr="00D4706E" w:rsidRDefault="00B36599" w:rsidP="004366B3">
      <w:pPr>
        <w:pStyle w:val="Heading2"/>
        <w:rPr>
          <w:color w:val="15284C"/>
        </w:rPr>
      </w:pPr>
      <w:r w:rsidRPr="00D4706E">
        <w:rPr>
          <w:color w:val="15284C"/>
        </w:rPr>
        <w:t xml:space="preserve">2.5.4 </w:t>
      </w:r>
      <w:r w:rsidR="00993614" w:rsidRPr="00D4706E">
        <w:rPr>
          <w:color w:val="15284C"/>
        </w:rPr>
        <w:t>Digital services in homes</w:t>
      </w:r>
      <w:bookmarkEnd w:id="27"/>
      <w:r w:rsidR="00993614" w:rsidRPr="00D4706E">
        <w:rPr>
          <w:color w:val="15284C"/>
        </w:rPr>
        <w:t xml:space="preserve"> </w:t>
      </w:r>
    </w:p>
    <w:p w14:paraId="6B4E012C" w14:textId="153A6EBF" w:rsidR="001861DD" w:rsidRPr="003067B9" w:rsidRDefault="00B40556" w:rsidP="00291ACB">
      <w:pPr>
        <w:pStyle w:val="Bulletpoints"/>
        <w:rPr>
          <w:lang w:val="en-NZ"/>
        </w:rPr>
      </w:pPr>
      <w:r w:rsidRPr="003067B9">
        <w:rPr>
          <w:lang w:val="en-NZ"/>
        </w:rPr>
        <w:t>During the quarter</w:t>
      </w:r>
      <w:r w:rsidR="001861DD" w:rsidRPr="003067B9">
        <w:rPr>
          <w:lang w:val="en-NZ"/>
        </w:rPr>
        <w:t>,</w:t>
      </w:r>
      <w:r w:rsidR="00F316EF" w:rsidRPr="003067B9">
        <w:rPr>
          <w:lang w:val="en-NZ"/>
        </w:rPr>
        <w:t xml:space="preserve"> the</w:t>
      </w:r>
      <w:r w:rsidR="00C95F52" w:rsidRPr="003067B9">
        <w:rPr>
          <w:lang w:val="en-NZ"/>
        </w:rPr>
        <w:t xml:space="preserve"> Remote Patient Monitoring </w:t>
      </w:r>
      <w:r w:rsidR="001861DD" w:rsidRPr="003067B9">
        <w:rPr>
          <w:lang w:val="en-NZ"/>
        </w:rPr>
        <w:t>Pilot</w:t>
      </w:r>
      <w:r w:rsidR="2CC19BF0" w:rsidRPr="003067B9">
        <w:rPr>
          <w:lang w:val="en-NZ"/>
        </w:rPr>
        <w:t xml:space="preserve">, </w:t>
      </w:r>
      <w:r w:rsidR="007D2D7B" w:rsidRPr="003067B9">
        <w:rPr>
          <w:lang w:val="en-NZ"/>
        </w:rPr>
        <w:t>Piki Te Ora,</w:t>
      </w:r>
      <w:r w:rsidR="2CC19BF0" w:rsidRPr="003067B9">
        <w:rPr>
          <w:lang w:val="en-NZ"/>
        </w:rPr>
        <w:t xml:space="preserve"> </w:t>
      </w:r>
      <w:r w:rsidR="001861DD" w:rsidRPr="003067B9">
        <w:rPr>
          <w:lang w:val="en-NZ"/>
        </w:rPr>
        <w:t xml:space="preserve">enrolled 15 participants from the Chatham Islands, bringing the total to 45 participants. </w:t>
      </w:r>
    </w:p>
    <w:p w14:paraId="61D86B0A" w14:textId="02641137" w:rsidR="00D64519" w:rsidRPr="003067B9" w:rsidRDefault="00D64519" w:rsidP="00291ACB">
      <w:pPr>
        <w:pStyle w:val="Bulletpoints"/>
        <w:rPr>
          <w:lang w:val="en-NZ"/>
        </w:rPr>
      </w:pPr>
      <w:r w:rsidRPr="003067B9">
        <w:rPr>
          <w:lang w:val="en-NZ"/>
        </w:rPr>
        <w:lastRenderedPageBreak/>
        <w:t>The Remote Patient Monitoring Pilot is recruiting 60 whānau from rural Māori communities and aims to reduce hospital and specialist service utilisation, reduce whānau travel costs and other out-of-pocket expenditure, improve the efficiency of primary care delivery, and provide positive outcomes to the community. The pilot focuses on heart failure and chronic obstructive pulmonary disease (COPD) care plans and uses a mobile application, Piki Te Ora, to collect data on a participant’s physiological parameters (heart and respiratory rate, blood pressure, heart rate variability and oxygen saturation</w:t>
      </w:r>
      <w:r w:rsidR="00B72731" w:rsidRPr="003067B9">
        <w:rPr>
          <w:lang w:val="en-NZ"/>
        </w:rPr>
        <w:t>)</w:t>
      </w:r>
      <w:r w:rsidRPr="003067B9">
        <w:rPr>
          <w:lang w:val="en-NZ"/>
        </w:rPr>
        <w:t xml:space="preserve">. </w:t>
      </w:r>
    </w:p>
    <w:p w14:paraId="74DAF14B" w14:textId="4FDF1651" w:rsidR="006B31EB" w:rsidRPr="003067B9" w:rsidRDefault="006B31EB" w:rsidP="00291ACB">
      <w:pPr>
        <w:pStyle w:val="Bulletpoints"/>
        <w:rPr>
          <w:rFonts w:eastAsiaTheme="minorHAnsi"/>
          <w:lang w:val="en-NZ"/>
        </w:rPr>
      </w:pPr>
      <w:r w:rsidRPr="003067B9">
        <w:rPr>
          <w:lang w:val="en-NZ"/>
        </w:rPr>
        <w:t>In March</w:t>
      </w:r>
      <w:r w:rsidRPr="003067B9">
        <w:rPr>
          <w:rFonts w:eastAsiaTheme="minorHAnsi"/>
          <w:lang w:val="en-NZ"/>
        </w:rPr>
        <w:t xml:space="preserve">, the My Health Record website released the demographic view in My Health Account, </w:t>
      </w:r>
      <w:r w:rsidR="009C225D" w:rsidRPr="003067B9">
        <w:rPr>
          <w:rFonts w:eastAsiaTheme="minorHAnsi"/>
          <w:lang w:val="en-NZ"/>
        </w:rPr>
        <w:t xml:space="preserve">enabling </w:t>
      </w:r>
      <w:r w:rsidRPr="003067B9">
        <w:rPr>
          <w:rFonts w:eastAsiaTheme="minorHAnsi"/>
          <w:lang w:val="en-NZ"/>
        </w:rPr>
        <w:t>users to see their information from NHI and update their address, preferred name, ethnicity, and gender. This is a major milestone in enabling rangatiratanga, improving the ethnicity dataset, and supporting outreach through more up-to-date addresses.</w:t>
      </w:r>
    </w:p>
    <w:p w14:paraId="0E67BB51" w14:textId="45E5A6B2" w:rsidR="006B31EB" w:rsidRPr="003067B9" w:rsidRDefault="00B40556" w:rsidP="00291ACB">
      <w:pPr>
        <w:pStyle w:val="Bulletpoints"/>
        <w:rPr>
          <w:lang w:val="en-NZ"/>
        </w:rPr>
      </w:pPr>
      <w:r w:rsidRPr="003067B9">
        <w:rPr>
          <w:lang w:val="en-NZ"/>
        </w:rPr>
        <w:t>During the quarter</w:t>
      </w:r>
      <w:r w:rsidR="006B31EB" w:rsidRPr="003067B9">
        <w:rPr>
          <w:lang w:val="en-NZ"/>
        </w:rPr>
        <w:t xml:space="preserve">, we transferred the final functionality from My COVID Record to My Health Record and decommissioned My COVID Record in February. Users are now able to upload RAT test results </w:t>
      </w:r>
      <w:r w:rsidRPr="003067B9">
        <w:rPr>
          <w:lang w:val="en-NZ"/>
        </w:rPr>
        <w:t xml:space="preserve">to the </w:t>
      </w:r>
      <w:r w:rsidR="006B31EB" w:rsidRPr="003067B9">
        <w:rPr>
          <w:lang w:val="en-NZ"/>
        </w:rPr>
        <w:t>My Health Record</w:t>
      </w:r>
      <w:r w:rsidR="00D322FB" w:rsidRPr="003067B9">
        <w:rPr>
          <w:lang w:val="en-NZ"/>
        </w:rPr>
        <w:t xml:space="preserve"> website</w:t>
      </w:r>
      <w:r w:rsidR="006B31EB" w:rsidRPr="003067B9">
        <w:rPr>
          <w:lang w:val="en-NZ"/>
        </w:rPr>
        <w:t xml:space="preserve">. </w:t>
      </w:r>
      <w:r w:rsidR="00834D97" w:rsidRPr="003067B9">
        <w:rPr>
          <w:lang w:val="en-NZ"/>
        </w:rPr>
        <w:t>T</w:t>
      </w:r>
      <w:r w:rsidR="006B31EB" w:rsidRPr="003067B9">
        <w:rPr>
          <w:lang w:val="en-NZ"/>
        </w:rPr>
        <w:t xml:space="preserve">he International Travel Certificates were also decommissioned, resulting in a </w:t>
      </w:r>
      <w:r w:rsidR="00A55BE9" w:rsidRPr="003067B9">
        <w:rPr>
          <w:lang w:val="en-NZ"/>
        </w:rPr>
        <w:t xml:space="preserve">monthly </w:t>
      </w:r>
      <w:r w:rsidR="006B31EB" w:rsidRPr="003067B9">
        <w:rPr>
          <w:lang w:val="en-NZ"/>
        </w:rPr>
        <w:t>cost reduction of approximately $100</w:t>
      </w:r>
      <w:r w:rsidR="00A55BE9" w:rsidRPr="003067B9">
        <w:rPr>
          <w:lang w:val="en-NZ"/>
        </w:rPr>
        <w:t>,000</w:t>
      </w:r>
      <w:r w:rsidR="002255B1">
        <w:rPr>
          <w:lang w:val="en-NZ"/>
        </w:rPr>
        <w:t>.</w:t>
      </w:r>
      <w:r w:rsidR="006B31EB" w:rsidRPr="003067B9">
        <w:rPr>
          <w:rStyle w:val="FootnoteReference"/>
          <w:vertAlign w:val="superscript"/>
          <w:lang w:val="en-NZ"/>
        </w:rPr>
        <w:footnoteReference w:id="7"/>
      </w:r>
      <w:r w:rsidR="006B31EB" w:rsidRPr="003067B9">
        <w:rPr>
          <w:lang w:val="en-NZ"/>
        </w:rPr>
        <w:t xml:space="preserve"> </w:t>
      </w:r>
    </w:p>
    <w:p w14:paraId="6D846068" w14:textId="19185C4A" w:rsidR="006E3E26" w:rsidRPr="003067B9" w:rsidRDefault="00B40556" w:rsidP="00291ACB">
      <w:pPr>
        <w:pStyle w:val="Bulletpoints"/>
        <w:rPr>
          <w:lang w:val="en-NZ"/>
        </w:rPr>
      </w:pPr>
      <w:r w:rsidRPr="003067B9">
        <w:rPr>
          <w:lang w:val="en-NZ"/>
        </w:rPr>
        <w:t>During the quarter</w:t>
      </w:r>
      <w:r w:rsidR="006B31EB" w:rsidRPr="003067B9">
        <w:rPr>
          <w:lang w:val="en-NZ"/>
        </w:rPr>
        <w:t>, there were 62</w:t>
      </w:r>
      <w:r w:rsidRPr="003067B9">
        <w:rPr>
          <w:lang w:val="en-NZ"/>
        </w:rPr>
        <w:t>,000</w:t>
      </w:r>
      <w:r w:rsidR="006B31EB" w:rsidRPr="003067B9">
        <w:rPr>
          <w:lang w:val="en-NZ"/>
        </w:rPr>
        <w:t xml:space="preserve"> logins to My Health Record, with the main activity associated with </w:t>
      </w:r>
      <w:r w:rsidR="00E84A69" w:rsidRPr="003067B9">
        <w:rPr>
          <w:lang w:val="en-NZ"/>
        </w:rPr>
        <w:t>i</w:t>
      </w:r>
      <w:r w:rsidR="006B31EB" w:rsidRPr="003067B9">
        <w:rPr>
          <w:lang w:val="en-NZ"/>
        </w:rPr>
        <w:t>mmunisations and self-reporting of COVID tests. </w:t>
      </w:r>
    </w:p>
    <w:p w14:paraId="45899E02" w14:textId="246DC668" w:rsidR="00EF14D1" w:rsidRPr="003067B9" w:rsidRDefault="0002661A" w:rsidP="00291ACB">
      <w:pPr>
        <w:pStyle w:val="Bulletpoints"/>
        <w:rPr>
          <w:lang w:val="en-NZ"/>
        </w:rPr>
      </w:pPr>
      <w:r w:rsidRPr="003067B9">
        <w:rPr>
          <w:lang w:val="en-NZ"/>
        </w:rPr>
        <w:t>During th</w:t>
      </w:r>
      <w:r w:rsidR="00B40556" w:rsidRPr="003067B9">
        <w:rPr>
          <w:lang w:val="en-NZ"/>
        </w:rPr>
        <w:t>e</w:t>
      </w:r>
      <w:r w:rsidRPr="003067B9">
        <w:rPr>
          <w:lang w:val="en-NZ"/>
        </w:rPr>
        <w:t xml:space="preserve"> quarter</w:t>
      </w:r>
      <w:r w:rsidR="006E3E26" w:rsidRPr="003067B9">
        <w:rPr>
          <w:lang w:val="en-NZ"/>
        </w:rPr>
        <w:t xml:space="preserve">, </w:t>
      </w:r>
      <w:r w:rsidR="00BF18BA" w:rsidRPr="003067B9">
        <w:rPr>
          <w:lang w:val="en-NZ"/>
        </w:rPr>
        <w:t>M</w:t>
      </w:r>
      <w:r w:rsidR="006E3E26" w:rsidRPr="003067B9">
        <w:rPr>
          <w:lang w:val="en-NZ"/>
        </w:rPr>
        <w:t>y Health Account had 252</w:t>
      </w:r>
      <w:r w:rsidR="00B40556" w:rsidRPr="003067B9">
        <w:rPr>
          <w:lang w:val="en-NZ"/>
        </w:rPr>
        <w:t>,000</w:t>
      </w:r>
      <w:r w:rsidR="006E3E26" w:rsidRPr="003067B9">
        <w:rPr>
          <w:lang w:val="en-NZ"/>
        </w:rPr>
        <w:t xml:space="preserve"> logins (these are not unique individuals).  The My Health Account offers login to multiple applications</w:t>
      </w:r>
      <w:r w:rsidR="00470D12">
        <w:rPr>
          <w:lang w:val="en-NZ"/>
        </w:rPr>
        <w:t>.</w:t>
      </w:r>
      <w:r w:rsidR="002D2D19" w:rsidRPr="003067B9">
        <w:rPr>
          <w:rStyle w:val="FootnoteReference"/>
          <w:vertAlign w:val="superscript"/>
          <w:lang w:val="en-NZ"/>
        </w:rPr>
        <w:footnoteReference w:id="8"/>
      </w:r>
      <w:r w:rsidR="002D2D19" w:rsidRPr="003067B9">
        <w:rPr>
          <w:vertAlign w:val="superscript"/>
          <w:lang w:val="en-NZ"/>
        </w:rPr>
        <w:t> </w:t>
      </w:r>
      <w:r w:rsidR="006E3E26" w:rsidRPr="003067B9">
        <w:rPr>
          <w:lang w:val="en-NZ"/>
        </w:rPr>
        <w:t xml:space="preserve"> The top </w:t>
      </w:r>
      <w:r w:rsidR="00A55BE9" w:rsidRPr="003067B9">
        <w:rPr>
          <w:lang w:val="en-NZ"/>
        </w:rPr>
        <w:t xml:space="preserve">three </w:t>
      </w:r>
      <w:r w:rsidR="006E3E26" w:rsidRPr="003067B9">
        <w:rPr>
          <w:lang w:val="en-NZ"/>
        </w:rPr>
        <w:t>applications users logged into</w:t>
      </w:r>
      <w:r w:rsidR="00F56A91" w:rsidRPr="003067B9">
        <w:rPr>
          <w:lang w:val="en-NZ"/>
        </w:rPr>
        <w:t xml:space="preserve"> were</w:t>
      </w:r>
      <w:r w:rsidR="00933D02" w:rsidRPr="003067B9">
        <w:rPr>
          <w:lang w:val="en-NZ"/>
        </w:rPr>
        <w:t xml:space="preserve"> </w:t>
      </w:r>
      <w:r w:rsidR="006E3E26" w:rsidRPr="003067B9">
        <w:rPr>
          <w:lang w:val="en-NZ"/>
        </w:rPr>
        <w:t xml:space="preserve">My </w:t>
      </w:r>
      <w:r w:rsidR="00B40556" w:rsidRPr="003067B9">
        <w:rPr>
          <w:lang w:val="en-NZ"/>
        </w:rPr>
        <w:t xml:space="preserve">COVID </w:t>
      </w:r>
      <w:r w:rsidR="006E3E26" w:rsidRPr="003067B9">
        <w:rPr>
          <w:lang w:val="en-NZ"/>
        </w:rPr>
        <w:t xml:space="preserve">Record </w:t>
      </w:r>
      <w:r w:rsidR="00A55BE9" w:rsidRPr="003067B9">
        <w:rPr>
          <w:lang w:val="en-NZ"/>
        </w:rPr>
        <w:t>(</w:t>
      </w:r>
      <w:r w:rsidR="006E3E26" w:rsidRPr="003067B9">
        <w:rPr>
          <w:lang w:val="en-NZ"/>
        </w:rPr>
        <w:t>79</w:t>
      </w:r>
      <w:r w:rsidR="00A55BE9" w:rsidRPr="003067B9">
        <w:rPr>
          <w:lang w:val="en-NZ"/>
        </w:rPr>
        <w:t>,000</w:t>
      </w:r>
      <w:r w:rsidR="006E3E26" w:rsidRPr="003067B9">
        <w:rPr>
          <w:lang w:val="en-NZ"/>
        </w:rPr>
        <w:t xml:space="preserve"> </w:t>
      </w:r>
      <w:r w:rsidR="00A55BE9" w:rsidRPr="003067B9">
        <w:rPr>
          <w:lang w:val="en-NZ"/>
        </w:rPr>
        <w:t xml:space="preserve">- </w:t>
      </w:r>
      <w:r w:rsidR="006E3E26" w:rsidRPr="003067B9">
        <w:rPr>
          <w:lang w:val="en-NZ"/>
        </w:rPr>
        <w:t>31%)</w:t>
      </w:r>
      <w:r w:rsidR="00933D02" w:rsidRPr="003067B9">
        <w:rPr>
          <w:lang w:val="en-NZ"/>
        </w:rPr>
        <w:t xml:space="preserve">, </w:t>
      </w:r>
      <w:r w:rsidR="006E3E26" w:rsidRPr="003067B9">
        <w:rPr>
          <w:lang w:val="en-NZ"/>
        </w:rPr>
        <w:t>My Health Record</w:t>
      </w:r>
      <w:r w:rsidR="00A55BE9" w:rsidRPr="003067B9">
        <w:rPr>
          <w:lang w:val="en-NZ"/>
        </w:rPr>
        <w:t xml:space="preserve"> (</w:t>
      </w:r>
      <w:r w:rsidR="006E3E26" w:rsidRPr="003067B9">
        <w:rPr>
          <w:lang w:val="en-NZ"/>
        </w:rPr>
        <w:t>62</w:t>
      </w:r>
      <w:r w:rsidR="00A55BE9" w:rsidRPr="003067B9">
        <w:rPr>
          <w:lang w:val="en-NZ"/>
        </w:rPr>
        <w:t xml:space="preserve">,000 - </w:t>
      </w:r>
      <w:r w:rsidR="006E3E26" w:rsidRPr="003067B9">
        <w:rPr>
          <w:lang w:val="en-NZ"/>
        </w:rPr>
        <w:t>24%)</w:t>
      </w:r>
      <w:r w:rsidR="00933D02" w:rsidRPr="003067B9">
        <w:rPr>
          <w:lang w:val="en-NZ"/>
        </w:rPr>
        <w:t xml:space="preserve">, </w:t>
      </w:r>
      <w:r w:rsidR="00A55BE9" w:rsidRPr="003067B9">
        <w:rPr>
          <w:lang w:val="en-NZ"/>
        </w:rPr>
        <w:t>and</w:t>
      </w:r>
      <w:r w:rsidR="00933D02" w:rsidRPr="003067B9">
        <w:rPr>
          <w:lang w:val="en-NZ"/>
        </w:rPr>
        <w:t xml:space="preserve"> </w:t>
      </w:r>
      <w:r w:rsidR="006E3E26" w:rsidRPr="003067B9">
        <w:rPr>
          <w:lang w:val="en-NZ"/>
        </w:rPr>
        <w:t xml:space="preserve">Manage My Health </w:t>
      </w:r>
      <w:r w:rsidR="00A55BE9" w:rsidRPr="003067B9">
        <w:rPr>
          <w:lang w:val="en-NZ"/>
        </w:rPr>
        <w:t>(</w:t>
      </w:r>
      <w:r w:rsidR="006E3E26" w:rsidRPr="003067B9">
        <w:rPr>
          <w:lang w:val="en-NZ"/>
        </w:rPr>
        <w:t>26</w:t>
      </w:r>
      <w:r w:rsidR="00A55BE9" w:rsidRPr="003067B9">
        <w:rPr>
          <w:lang w:val="en-NZ"/>
        </w:rPr>
        <w:t>,000</w:t>
      </w:r>
      <w:r w:rsidR="006E3E26" w:rsidRPr="003067B9">
        <w:rPr>
          <w:lang w:val="en-NZ"/>
        </w:rPr>
        <w:t xml:space="preserve"> </w:t>
      </w:r>
      <w:r w:rsidR="00A55BE9" w:rsidRPr="003067B9">
        <w:rPr>
          <w:lang w:val="en-NZ"/>
        </w:rPr>
        <w:t xml:space="preserve">- </w:t>
      </w:r>
      <w:r w:rsidR="006E3E26" w:rsidRPr="003067B9">
        <w:rPr>
          <w:lang w:val="en-NZ"/>
        </w:rPr>
        <w:t>11%)</w:t>
      </w:r>
      <w:r w:rsidR="00933D02" w:rsidRPr="003067B9">
        <w:rPr>
          <w:lang w:val="en-NZ"/>
        </w:rPr>
        <w:t>.</w:t>
      </w:r>
    </w:p>
    <w:p w14:paraId="45C02446" w14:textId="6BF48C2D" w:rsidR="00531B37" w:rsidRPr="003067B9" w:rsidRDefault="00DF3BFC" w:rsidP="00291ACB">
      <w:pPr>
        <w:pStyle w:val="Bulletpoints"/>
        <w:rPr>
          <w:rFonts w:eastAsia="Times New Roman"/>
          <w:szCs w:val="24"/>
          <w:lang w:val="en-NZ" w:eastAsia="en-NZ"/>
        </w:rPr>
      </w:pPr>
      <w:r w:rsidRPr="003067B9">
        <w:rPr>
          <w:rFonts w:eastAsia="Times New Roman"/>
          <w:szCs w:val="24"/>
          <w:lang w:val="en-NZ" w:eastAsia="en-NZ"/>
        </w:rPr>
        <w:t>We are consolidating</w:t>
      </w:r>
      <w:r w:rsidR="00DA0810" w:rsidRPr="003067B9">
        <w:rPr>
          <w:rFonts w:eastAsia="Times New Roman"/>
          <w:szCs w:val="24"/>
          <w:lang w:val="en-NZ" w:eastAsia="en-NZ"/>
        </w:rPr>
        <w:t xml:space="preserve"> inherited</w:t>
      </w:r>
      <w:r w:rsidRPr="003067B9">
        <w:rPr>
          <w:rFonts w:eastAsia="Times New Roman"/>
          <w:szCs w:val="24"/>
          <w:lang w:val="en-NZ" w:eastAsia="en-NZ"/>
        </w:rPr>
        <w:t xml:space="preserve"> web content</w:t>
      </w:r>
      <w:r w:rsidR="00DA0810" w:rsidRPr="003067B9">
        <w:rPr>
          <w:rFonts w:eastAsia="Times New Roman"/>
          <w:szCs w:val="24"/>
          <w:lang w:val="en-NZ" w:eastAsia="en-NZ"/>
        </w:rPr>
        <w:t xml:space="preserve"> and websites</w:t>
      </w:r>
      <w:r w:rsidRPr="003067B9">
        <w:rPr>
          <w:rFonts w:eastAsia="Times New Roman"/>
          <w:szCs w:val="24"/>
          <w:lang w:val="en-NZ" w:eastAsia="en-NZ"/>
        </w:rPr>
        <w:t xml:space="preserve"> into our new consumer-facing website, Health Information and Services, which forms part of the </w:t>
      </w:r>
      <w:r w:rsidR="00B40556" w:rsidRPr="003067B9">
        <w:rPr>
          <w:rFonts w:eastAsia="Times New Roman"/>
          <w:szCs w:val="24"/>
          <w:lang w:val="en-NZ" w:eastAsia="en-NZ"/>
        </w:rPr>
        <w:t>H</w:t>
      </w:r>
      <w:r w:rsidR="008A58A7" w:rsidRPr="003067B9">
        <w:rPr>
          <w:rFonts w:eastAsia="Times New Roman"/>
          <w:szCs w:val="24"/>
          <w:lang w:val="en-NZ" w:eastAsia="en-NZ"/>
        </w:rPr>
        <w:t>ealth</w:t>
      </w:r>
      <w:r w:rsidRPr="003067B9">
        <w:rPr>
          <w:rFonts w:eastAsia="Times New Roman"/>
          <w:szCs w:val="24"/>
          <w:lang w:val="en-NZ" w:eastAsia="en-NZ"/>
        </w:rPr>
        <w:t xml:space="preserve"> NZ web platform.</w:t>
      </w:r>
      <w:r w:rsidR="00C6305B" w:rsidRPr="003067B9">
        <w:rPr>
          <w:rFonts w:eastAsia="Times New Roman"/>
          <w:szCs w:val="24"/>
          <w:lang w:val="en-NZ" w:eastAsia="en-NZ"/>
        </w:rPr>
        <w:t xml:space="preserve"> </w:t>
      </w:r>
      <w:r w:rsidRPr="003067B9">
        <w:rPr>
          <w:rFonts w:eastAsia="Times New Roman"/>
          <w:szCs w:val="24"/>
          <w:lang w:val="en-NZ" w:eastAsia="en-NZ"/>
        </w:rPr>
        <w:t>Highlights for the quarter include:  </w:t>
      </w:r>
    </w:p>
    <w:p w14:paraId="05D95E8D" w14:textId="6377B602" w:rsidR="00531B37" w:rsidRPr="003067B9" w:rsidRDefault="008629D2" w:rsidP="00291ACB">
      <w:pPr>
        <w:pStyle w:val="Bulletpoints2"/>
        <w:rPr>
          <w:lang w:val="en-NZ" w:eastAsia="en-NZ"/>
        </w:rPr>
      </w:pPr>
      <w:r>
        <w:rPr>
          <w:lang w:val="en-NZ" w:eastAsia="en-NZ"/>
        </w:rPr>
        <w:t>o</w:t>
      </w:r>
      <w:r w:rsidR="00DF3BFC" w:rsidRPr="003067B9">
        <w:rPr>
          <w:lang w:val="en-NZ" w:eastAsia="en-NZ"/>
        </w:rPr>
        <w:t>ne website has been decommissioned as content shifted to the new site, with direct cost savings of $93,960 excl. GST per annum</w:t>
      </w:r>
    </w:p>
    <w:p w14:paraId="7A742B84" w14:textId="48684E1F" w:rsidR="00531B37" w:rsidRPr="003067B9" w:rsidRDefault="00DF3BFC" w:rsidP="00291ACB">
      <w:pPr>
        <w:pStyle w:val="Bulletpoints2"/>
        <w:rPr>
          <w:lang w:val="en-NZ" w:eastAsia="en-NZ"/>
        </w:rPr>
      </w:pPr>
      <w:r w:rsidRPr="003067B9">
        <w:rPr>
          <w:lang w:val="en-NZ" w:eastAsia="en-NZ"/>
        </w:rPr>
        <w:t>479,000 users have accessed info.health.nz, with the most popular page continuing to be ‘If you have COVID-19’, which has had 126,500 views in the quarter  </w:t>
      </w:r>
    </w:p>
    <w:p w14:paraId="3CEC5A3C" w14:textId="22DC66E9" w:rsidR="000F40D3" w:rsidRPr="003067B9" w:rsidRDefault="008E68B9" w:rsidP="00291ACB">
      <w:pPr>
        <w:pStyle w:val="Bulletpoints2"/>
        <w:rPr>
          <w:lang w:val="en-NZ" w:eastAsia="en-NZ"/>
        </w:rPr>
      </w:pPr>
      <w:r>
        <w:rPr>
          <w:lang w:val="en-NZ" w:eastAsia="en-NZ"/>
        </w:rPr>
        <w:t>t</w:t>
      </w:r>
      <w:r w:rsidR="00892318" w:rsidRPr="003067B9">
        <w:rPr>
          <w:lang w:val="en-NZ" w:eastAsia="en-NZ"/>
        </w:rPr>
        <w:t>wo websites have had their content transferred in preparation for redirection before being decommissioned.</w:t>
      </w:r>
    </w:p>
    <w:p w14:paraId="732B8F3A" w14:textId="0B01350A" w:rsidR="00685053" w:rsidRPr="00D4706E" w:rsidRDefault="006B408A" w:rsidP="00291ACB">
      <w:pPr>
        <w:pStyle w:val="Heading2"/>
        <w:rPr>
          <w:color w:val="15284C"/>
          <w:sz w:val="32"/>
          <w:szCs w:val="32"/>
        </w:rPr>
      </w:pPr>
      <w:bookmarkStart w:id="28" w:name="_Toc170199147"/>
      <w:r w:rsidRPr="00D4706E">
        <w:rPr>
          <w:color w:val="15284C"/>
          <w:sz w:val="32"/>
          <w:szCs w:val="32"/>
        </w:rPr>
        <w:lastRenderedPageBreak/>
        <w:t>Priority populations</w:t>
      </w:r>
      <w:bookmarkEnd w:id="28"/>
      <w:r w:rsidR="00383EB6" w:rsidRPr="00D4706E">
        <w:rPr>
          <w:color w:val="15284C"/>
          <w:sz w:val="32"/>
          <w:szCs w:val="32"/>
        </w:rPr>
        <w:t xml:space="preserve"> </w:t>
      </w:r>
      <w:r w:rsidR="00ED4B03" w:rsidRPr="00D4706E">
        <w:rPr>
          <w:color w:val="15284C"/>
          <w:sz w:val="32"/>
          <w:szCs w:val="32"/>
        </w:rPr>
        <w:t xml:space="preserve"> </w:t>
      </w:r>
    </w:p>
    <w:p w14:paraId="326B295B" w14:textId="478ABCF8" w:rsidR="007769A1" w:rsidRPr="003067B9" w:rsidRDefault="007769A1" w:rsidP="00291ACB">
      <w:pPr>
        <w:pStyle w:val="Bulletpoints"/>
        <w:rPr>
          <w:sz w:val="28"/>
          <w:szCs w:val="28"/>
          <w:lang w:val="en-NZ"/>
        </w:rPr>
      </w:pPr>
      <w:r w:rsidRPr="003067B9">
        <w:rPr>
          <w:lang w:val="en-NZ"/>
        </w:rPr>
        <w:t xml:space="preserve">The Auckland Metro Bowel Screening Programmes (Counties Manukau, Te Toka Tumai and </w:t>
      </w:r>
      <w:r w:rsidRPr="003067B9">
        <w:rPr>
          <w:rStyle w:val="Emphasis"/>
          <w:i w:val="0"/>
          <w:color w:val="0E101A"/>
          <w:szCs w:val="24"/>
          <w:lang w:val="en-NZ"/>
        </w:rPr>
        <w:t>Waitematā</w:t>
      </w:r>
      <w:r w:rsidRPr="003067B9">
        <w:rPr>
          <w:rStyle w:val="Emphasis"/>
          <w:color w:val="0E101A"/>
          <w:szCs w:val="24"/>
          <w:lang w:val="en-NZ"/>
        </w:rPr>
        <w:t>)</w:t>
      </w:r>
      <w:r w:rsidRPr="003067B9">
        <w:rPr>
          <w:rStyle w:val="Emphasis"/>
          <w:b/>
          <w:bCs/>
          <w:color w:val="0E101A"/>
          <w:szCs w:val="24"/>
          <w:lang w:val="en-NZ"/>
        </w:rPr>
        <w:t xml:space="preserve"> </w:t>
      </w:r>
      <w:r w:rsidRPr="003067B9">
        <w:rPr>
          <w:lang w:val="en-NZ"/>
        </w:rPr>
        <w:t>are launching a regional video campaign in quarter four</w:t>
      </w:r>
      <w:r w:rsidR="00894EDC" w:rsidRPr="003067B9">
        <w:rPr>
          <w:lang w:val="en-NZ"/>
        </w:rPr>
        <w:t xml:space="preserve"> that aims</w:t>
      </w:r>
      <w:r w:rsidRPr="003067B9">
        <w:rPr>
          <w:lang w:val="en-NZ"/>
        </w:rPr>
        <w:t xml:space="preserve"> to improve participation rates for Māori. On average, Māori have a 5% lower participation rate than non-Māori across the Auckland region. The videos were previewed in March at an event held at Te Mahurehure Marae to emphasise the importance of bowel screening.</w:t>
      </w:r>
    </w:p>
    <w:p w14:paraId="439C6A6E" w14:textId="1C0ECB9B" w:rsidR="00DC24AA" w:rsidRPr="00D4706E" w:rsidRDefault="00DC24AA" w:rsidP="009E6C86">
      <w:pPr>
        <w:pStyle w:val="Heading2"/>
        <w:rPr>
          <w:color w:val="15284C"/>
          <w:sz w:val="32"/>
          <w:szCs w:val="32"/>
        </w:rPr>
      </w:pPr>
      <w:bookmarkStart w:id="29" w:name="_Toc163580404"/>
      <w:bookmarkStart w:id="30" w:name="_Toc170199148"/>
      <w:r w:rsidRPr="00D4706E">
        <w:rPr>
          <w:color w:val="15284C"/>
          <w:sz w:val="32"/>
          <w:szCs w:val="32"/>
        </w:rPr>
        <w:t xml:space="preserve">Embedding </w:t>
      </w:r>
      <w:r w:rsidR="00793038">
        <w:rPr>
          <w:color w:val="15284C"/>
          <w:sz w:val="32"/>
          <w:szCs w:val="32"/>
        </w:rPr>
        <w:t>t</w:t>
      </w:r>
      <w:r w:rsidRPr="00D4706E">
        <w:rPr>
          <w:color w:val="15284C"/>
          <w:sz w:val="32"/>
          <w:szCs w:val="32"/>
        </w:rPr>
        <w:t>e Tiriti</w:t>
      </w:r>
      <w:bookmarkEnd w:id="29"/>
      <w:bookmarkEnd w:id="30"/>
      <w:r w:rsidRPr="00D4706E">
        <w:rPr>
          <w:color w:val="15284C"/>
          <w:sz w:val="32"/>
          <w:szCs w:val="32"/>
        </w:rPr>
        <w:t xml:space="preserve"> </w:t>
      </w:r>
      <w:r w:rsidR="0050221B" w:rsidRPr="00D4706E">
        <w:rPr>
          <w:color w:val="15284C"/>
          <w:sz w:val="32"/>
          <w:szCs w:val="32"/>
        </w:rPr>
        <w:t xml:space="preserve"> </w:t>
      </w:r>
    </w:p>
    <w:p w14:paraId="0C7D057C" w14:textId="5EB44C98" w:rsidR="00A91D1D" w:rsidRPr="003067B9" w:rsidRDefault="00B40556" w:rsidP="00291ACB">
      <w:pPr>
        <w:pStyle w:val="Bulletpoints"/>
        <w:rPr>
          <w:lang w:val="en-NZ"/>
        </w:rPr>
      </w:pPr>
      <w:r w:rsidRPr="003067B9">
        <w:rPr>
          <w:lang w:val="en-NZ"/>
        </w:rPr>
        <w:t>During the quarter</w:t>
      </w:r>
      <w:r w:rsidR="00A91D1D" w:rsidRPr="003067B9">
        <w:rPr>
          <w:lang w:val="en-NZ"/>
        </w:rPr>
        <w:t xml:space="preserve">, we focused on building cultural capability and cultural safety by delivering e-learning and face-to-face programmes. We started developing a Cultural Capability Kete, including </w:t>
      </w:r>
      <w:r w:rsidR="00793038">
        <w:rPr>
          <w:lang w:val="en-NZ"/>
        </w:rPr>
        <w:t>t</w:t>
      </w:r>
      <w:r w:rsidR="00A91D1D" w:rsidRPr="003067B9">
        <w:rPr>
          <w:lang w:val="en-NZ"/>
        </w:rPr>
        <w:t xml:space="preserve">e Tiriti o Waitangi and tikanga e-learning modules. We are now building </w:t>
      </w:r>
      <w:r w:rsidR="008A7ED0" w:rsidRPr="003067B9">
        <w:rPr>
          <w:lang w:val="en-NZ"/>
        </w:rPr>
        <w:t>on</w:t>
      </w:r>
      <w:r w:rsidR="00A91D1D" w:rsidRPr="003067B9">
        <w:rPr>
          <w:lang w:val="en-NZ"/>
        </w:rPr>
        <w:t xml:space="preserve"> these programmes to develop a nationally</w:t>
      </w:r>
      <w:r w:rsidR="000E7714" w:rsidRPr="003067B9">
        <w:rPr>
          <w:lang w:val="en-NZ"/>
        </w:rPr>
        <w:t>-</w:t>
      </w:r>
      <w:r w:rsidR="00A91D1D" w:rsidRPr="003067B9">
        <w:rPr>
          <w:lang w:val="en-NZ"/>
        </w:rPr>
        <w:t xml:space="preserve">led option for all kaimahi. </w:t>
      </w:r>
    </w:p>
    <w:p w14:paraId="45EB5436" w14:textId="77777777" w:rsidR="00B97E08" w:rsidRDefault="00B97E08">
      <w:pPr>
        <w:spacing w:line="259" w:lineRule="auto"/>
        <w:rPr>
          <w:shd w:val="clear" w:color="auto" w:fill="FFFFFF"/>
          <w:lang w:val="en-NZ"/>
        </w:rPr>
      </w:pPr>
      <w:r>
        <w:rPr>
          <w:lang w:val="en-NZ"/>
        </w:rPr>
        <w:br w:type="page"/>
      </w:r>
    </w:p>
    <w:p w14:paraId="7AC43EC0" w14:textId="571FD0B9" w:rsidR="00BA2598" w:rsidRPr="00D4706E" w:rsidRDefault="00BA2598" w:rsidP="003B4595">
      <w:pPr>
        <w:pStyle w:val="NumberedHeading1"/>
        <w:numPr>
          <w:ilvl w:val="0"/>
          <w:numId w:val="7"/>
        </w:numPr>
        <w:tabs>
          <w:tab w:val="left" w:pos="1021"/>
        </w:tabs>
        <w:spacing w:before="480" w:after="120" w:line="288" w:lineRule="auto"/>
        <w:ind w:left="1021" w:hanging="1021"/>
        <w:rPr>
          <w:bCs w:val="0"/>
          <w:noProof w:val="0"/>
          <w:color w:val="15284C" w:themeColor="text2"/>
          <w:sz w:val="72"/>
          <w:szCs w:val="32"/>
        </w:rPr>
      </w:pPr>
      <w:bookmarkStart w:id="31" w:name="_Toc162008443"/>
      <w:bookmarkStart w:id="32" w:name="_Toc163580410"/>
      <w:bookmarkStart w:id="33" w:name="_Toc170199149"/>
      <w:r w:rsidRPr="00D4706E">
        <w:rPr>
          <w:bCs w:val="0"/>
          <w:noProof w:val="0"/>
          <w:color w:val="15284C" w:themeColor="text2"/>
          <w:sz w:val="72"/>
          <w:szCs w:val="32"/>
        </w:rPr>
        <w:lastRenderedPageBreak/>
        <w:t xml:space="preserve">Achieving </w:t>
      </w:r>
      <w:r w:rsidR="000125FC">
        <w:rPr>
          <w:bCs w:val="0"/>
          <w:noProof w:val="0"/>
          <w:color w:val="15284C" w:themeColor="text2"/>
          <w:sz w:val="72"/>
          <w:szCs w:val="32"/>
        </w:rPr>
        <w:t>e</w:t>
      </w:r>
      <w:r w:rsidRPr="00D4706E">
        <w:rPr>
          <w:bCs w:val="0"/>
          <w:noProof w:val="0"/>
          <w:color w:val="15284C" w:themeColor="text2"/>
          <w:sz w:val="72"/>
          <w:szCs w:val="32"/>
        </w:rPr>
        <w:t>quity</w:t>
      </w:r>
      <w:bookmarkEnd w:id="31"/>
      <w:bookmarkEnd w:id="32"/>
      <w:bookmarkEnd w:id="33"/>
    </w:p>
    <w:p w14:paraId="131BC961" w14:textId="02905764" w:rsidR="004C5EDE" w:rsidRPr="00D4706E" w:rsidRDefault="006C5A64" w:rsidP="00725CE7">
      <w:pPr>
        <w:pStyle w:val="NumberedHeading2"/>
        <w:numPr>
          <w:ilvl w:val="0"/>
          <w:numId w:val="0"/>
        </w:numPr>
        <w:rPr>
          <w:i/>
          <w:color w:val="15284C"/>
        </w:rPr>
      </w:pPr>
      <w:bookmarkStart w:id="34" w:name="_Toc163580411"/>
      <w:bookmarkStart w:id="35" w:name="_Toc170199150"/>
      <w:r w:rsidRPr="00D4706E">
        <w:rPr>
          <w:color w:val="15284C"/>
        </w:rPr>
        <w:t>Better health in our communities</w:t>
      </w:r>
      <w:bookmarkEnd w:id="34"/>
      <w:bookmarkEnd w:id="35"/>
      <w:r w:rsidR="00534360" w:rsidRPr="00D4706E">
        <w:rPr>
          <w:color w:val="15284C"/>
        </w:rPr>
        <w:t xml:space="preserve"> </w:t>
      </w:r>
    </w:p>
    <w:p w14:paraId="4AE88D7C" w14:textId="100369CA" w:rsidR="00177D36" w:rsidRPr="003067B9" w:rsidRDefault="00ED228F" w:rsidP="00291ACB">
      <w:pPr>
        <w:pStyle w:val="Bulletpoints"/>
        <w:rPr>
          <w:b/>
          <w:bCs/>
          <w:i/>
          <w:iCs/>
          <w:lang w:val="en-NZ"/>
        </w:rPr>
      </w:pPr>
      <w:bookmarkStart w:id="36" w:name="_Toc163580413"/>
      <w:r w:rsidRPr="003067B9">
        <w:rPr>
          <w:lang w:val="en-NZ"/>
        </w:rPr>
        <w:t>A</w:t>
      </w:r>
      <w:r w:rsidR="0033265B" w:rsidRPr="003067B9">
        <w:rPr>
          <w:lang w:val="en-NZ"/>
        </w:rPr>
        <w:t xml:space="preserve"> range of innovative testing to expand </w:t>
      </w:r>
      <w:r w:rsidR="00F96437" w:rsidRPr="003067B9">
        <w:rPr>
          <w:lang w:val="en-NZ"/>
        </w:rPr>
        <w:t>early identification of</w:t>
      </w:r>
      <w:r w:rsidR="0033265B" w:rsidRPr="003067B9">
        <w:rPr>
          <w:lang w:val="en-NZ"/>
        </w:rPr>
        <w:t xml:space="preserve"> HIV and syphilis continues, including weekly nurse-led clinics, university clinics, outreach services and promoting testing via a range of digital platforms across the country. Initiatives include connecting with Māori providers, refugee migrant and asylum seeker groups, needle exchange services and sex workers to </w:t>
      </w:r>
      <w:r w:rsidR="00894EDC" w:rsidRPr="003067B9">
        <w:rPr>
          <w:lang w:val="en-NZ"/>
        </w:rPr>
        <w:t xml:space="preserve">enable them to </w:t>
      </w:r>
      <w:r w:rsidR="0033265B" w:rsidRPr="003067B9">
        <w:rPr>
          <w:lang w:val="en-NZ"/>
        </w:rPr>
        <w:t xml:space="preserve">support </w:t>
      </w:r>
      <w:r w:rsidR="006A7D6E" w:rsidRPr="003067B9">
        <w:rPr>
          <w:lang w:val="en-NZ"/>
        </w:rPr>
        <w:t xml:space="preserve">their </w:t>
      </w:r>
      <w:r w:rsidR="0033265B" w:rsidRPr="003067B9">
        <w:rPr>
          <w:lang w:val="en-NZ"/>
        </w:rPr>
        <w:t xml:space="preserve">communities to deliver HIV testing. </w:t>
      </w:r>
    </w:p>
    <w:p w14:paraId="2A3ED5A9" w14:textId="0C7A2FCE" w:rsidR="0033265B" w:rsidRPr="003067B9" w:rsidRDefault="0033265B" w:rsidP="00291ACB">
      <w:pPr>
        <w:pStyle w:val="Bulletpoints"/>
        <w:rPr>
          <w:b/>
          <w:bCs/>
          <w:i/>
          <w:iCs/>
          <w:lang w:val="en-NZ"/>
        </w:rPr>
      </w:pPr>
      <w:r w:rsidRPr="003067B9">
        <w:rPr>
          <w:lang w:val="en-NZ"/>
        </w:rPr>
        <w:t xml:space="preserve">We have successfully engaged with communities, such as non-English speaking communities, by building relationships and trust with community leaders. We </w:t>
      </w:r>
      <w:r w:rsidR="00823C62" w:rsidRPr="003067B9">
        <w:rPr>
          <w:lang w:val="en-NZ"/>
        </w:rPr>
        <w:t>have</w:t>
      </w:r>
      <w:r w:rsidRPr="003067B9">
        <w:rPr>
          <w:lang w:val="en-NZ"/>
        </w:rPr>
        <w:t xml:space="preserve"> provided them with training to increase uptake and create sustainable models of care across the regions. HIV providers delivering point-of-care testing in a range of community settings</w:t>
      </w:r>
      <w:r w:rsidR="000E7714" w:rsidRPr="003067B9">
        <w:rPr>
          <w:lang w:val="en-NZ"/>
        </w:rPr>
        <w:t xml:space="preserve"> have</w:t>
      </w:r>
      <w:r w:rsidRPr="003067B9">
        <w:rPr>
          <w:lang w:val="en-NZ"/>
        </w:rPr>
        <w:t xml:space="preserve"> contributed significantly to increasing access to HIV testing by breaking down barriers, reducing stigma and reaching people who may not typically attend other health services. </w:t>
      </w:r>
    </w:p>
    <w:p w14:paraId="3A9B006C" w14:textId="03C94FEC" w:rsidR="006636D3" w:rsidRPr="003067B9" w:rsidRDefault="00B40556" w:rsidP="00291ACB">
      <w:pPr>
        <w:pStyle w:val="Bulletpoints"/>
        <w:rPr>
          <w:lang w:val="en-NZ"/>
        </w:rPr>
      </w:pPr>
      <w:r w:rsidRPr="003067B9">
        <w:rPr>
          <w:lang w:val="en-NZ"/>
        </w:rPr>
        <w:t>During the quarter</w:t>
      </w:r>
      <w:r w:rsidR="000649BE" w:rsidRPr="003067B9">
        <w:rPr>
          <w:lang w:val="en-NZ"/>
        </w:rPr>
        <w:t xml:space="preserve">, eight health providers </w:t>
      </w:r>
      <w:r w:rsidR="00384CAF" w:rsidRPr="003067B9">
        <w:rPr>
          <w:lang w:val="en-NZ"/>
        </w:rPr>
        <w:t>along with</w:t>
      </w:r>
      <w:r w:rsidR="00B755AC" w:rsidRPr="003067B9">
        <w:rPr>
          <w:lang w:val="en-NZ"/>
        </w:rPr>
        <w:t xml:space="preserve"> hospital ophthalmology, breast and bowel screening </w:t>
      </w:r>
      <w:r w:rsidR="00384CAF" w:rsidRPr="003067B9">
        <w:rPr>
          <w:lang w:val="en-NZ"/>
        </w:rPr>
        <w:t>teams collaborated to host a</w:t>
      </w:r>
      <w:r w:rsidR="00600593" w:rsidRPr="003067B9">
        <w:rPr>
          <w:lang w:val="en-NZ"/>
        </w:rPr>
        <w:t xml:space="preserve"> free event at Tokoroa Hospital to improve access to healthcare services </w:t>
      </w:r>
      <w:r w:rsidR="00624D62" w:rsidRPr="003067B9">
        <w:rPr>
          <w:lang w:val="en-NZ"/>
        </w:rPr>
        <w:t xml:space="preserve">for those living in </w:t>
      </w:r>
      <w:r w:rsidR="00CD1E09" w:rsidRPr="003067B9">
        <w:rPr>
          <w:lang w:val="en-NZ"/>
        </w:rPr>
        <w:t>the area</w:t>
      </w:r>
      <w:r w:rsidR="00600593" w:rsidRPr="003067B9">
        <w:rPr>
          <w:lang w:val="en-NZ"/>
        </w:rPr>
        <w:t xml:space="preserve">. </w:t>
      </w:r>
      <w:r w:rsidR="00C525CB">
        <w:rPr>
          <w:lang w:val="en-NZ"/>
        </w:rPr>
        <w:t>More than</w:t>
      </w:r>
      <w:r w:rsidR="006636D3" w:rsidRPr="003067B9">
        <w:rPr>
          <w:lang w:val="en-NZ"/>
        </w:rPr>
        <w:t xml:space="preserve"> 600 people </w:t>
      </w:r>
      <w:r w:rsidR="000020B9" w:rsidRPr="003067B9">
        <w:rPr>
          <w:lang w:val="en-NZ"/>
        </w:rPr>
        <w:t>received</w:t>
      </w:r>
      <w:r w:rsidR="000B4CB7" w:rsidRPr="003067B9">
        <w:rPr>
          <w:lang w:val="en-NZ"/>
        </w:rPr>
        <w:t xml:space="preserve"> </w:t>
      </w:r>
      <w:r w:rsidR="006636D3" w:rsidRPr="003067B9">
        <w:rPr>
          <w:lang w:val="en-NZ"/>
        </w:rPr>
        <w:t xml:space="preserve">various health checks </w:t>
      </w:r>
      <w:r w:rsidR="000020B9" w:rsidRPr="003067B9">
        <w:rPr>
          <w:lang w:val="en-NZ"/>
        </w:rPr>
        <w:t>at this event</w:t>
      </w:r>
      <w:r w:rsidR="006636D3" w:rsidRPr="003067B9">
        <w:rPr>
          <w:lang w:val="en-NZ"/>
        </w:rPr>
        <w:t xml:space="preserve">. </w:t>
      </w:r>
      <w:r w:rsidR="00B755AC" w:rsidRPr="003067B9">
        <w:rPr>
          <w:lang w:val="en-NZ"/>
        </w:rPr>
        <w:t>This included</w:t>
      </w:r>
      <w:r w:rsidR="006636D3" w:rsidRPr="003067B9">
        <w:rPr>
          <w:lang w:val="en-NZ"/>
        </w:rPr>
        <w:t xml:space="preserve"> 103 general health checks, </w:t>
      </w:r>
      <w:r w:rsidR="005D47C6" w:rsidRPr="003067B9">
        <w:rPr>
          <w:lang w:val="en-NZ"/>
        </w:rPr>
        <w:t xml:space="preserve">19 general practice consults, </w:t>
      </w:r>
      <w:r w:rsidR="006636D3" w:rsidRPr="003067B9">
        <w:rPr>
          <w:lang w:val="en-NZ"/>
        </w:rPr>
        <w:t>37 cervical screenings, 82 eye care screenings, and 48 administered vaccinations.</w:t>
      </w:r>
    </w:p>
    <w:p w14:paraId="17F429D0" w14:textId="33A32AA1" w:rsidR="001E271B" w:rsidRPr="00D4706E" w:rsidRDefault="001E271B" w:rsidP="00725CE7">
      <w:pPr>
        <w:pStyle w:val="NumberedHeading2"/>
        <w:numPr>
          <w:ilvl w:val="0"/>
          <w:numId w:val="0"/>
        </w:numPr>
        <w:rPr>
          <w:color w:val="15284C"/>
        </w:rPr>
      </w:pPr>
      <w:bookmarkStart w:id="37" w:name="_Toc170199151"/>
      <w:r w:rsidRPr="00D4706E">
        <w:rPr>
          <w:color w:val="15284C"/>
        </w:rPr>
        <w:t xml:space="preserve">Mate </w:t>
      </w:r>
      <w:r w:rsidR="001C3626">
        <w:rPr>
          <w:color w:val="15284C"/>
        </w:rPr>
        <w:t>p</w:t>
      </w:r>
      <w:r w:rsidRPr="00D4706E">
        <w:rPr>
          <w:color w:val="15284C"/>
        </w:rPr>
        <w:t>ukupuku | People living with cancer</w:t>
      </w:r>
      <w:bookmarkEnd w:id="36"/>
      <w:bookmarkEnd w:id="37"/>
      <w:r w:rsidR="00DA282F" w:rsidRPr="00D4706E">
        <w:rPr>
          <w:color w:val="15284C"/>
        </w:rPr>
        <w:t xml:space="preserve"> </w:t>
      </w:r>
    </w:p>
    <w:p w14:paraId="760D3C70" w14:textId="3A10F5DF" w:rsidR="009E148D" w:rsidRPr="003067B9" w:rsidRDefault="00B40556" w:rsidP="00291ACB">
      <w:pPr>
        <w:pStyle w:val="Bulletpoints"/>
        <w:rPr>
          <w:lang w:val="en-NZ"/>
        </w:rPr>
      </w:pPr>
      <w:r w:rsidRPr="003067B9">
        <w:rPr>
          <w:lang w:val="en-NZ"/>
        </w:rPr>
        <w:t>During the</w:t>
      </w:r>
      <w:r w:rsidR="00A969A4" w:rsidRPr="003067B9">
        <w:rPr>
          <w:lang w:val="en-NZ"/>
        </w:rPr>
        <w:t xml:space="preserve"> </w:t>
      </w:r>
      <w:r w:rsidR="006E43B2" w:rsidRPr="003067B9">
        <w:rPr>
          <w:lang w:val="en-NZ"/>
        </w:rPr>
        <w:t>quarter, the</w:t>
      </w:r>
      <w:r w:rsidR="00C26192" w:rsidRPr="003067B9">
        <w:rPr>
          <w:lang w:val="en-NZ"/>
        </w:rPr>
        <w:t xml:space="preserve"> </w:t>
      </w:r>
      <w:r w:rsidR="00412C76" w:rsidRPr="003067B9">
        <w:rPr>
          <w:lang w:val="en-NZ"/>
        </w:rPr>
        <w:t>G</w:t>
      </w:r>
      <w:r w:rsidR="00C26192" w:rsidRPr="003067B9">
        <w:rPr>
          <w:lang w:val="en-NZ"/>
        </w:rPr>
        <w:t xml:space="preserve">overnment announced </w:t>
      </w:r>
      <w:r w:rsidR="00D25E4A" w:rsidRPr="003067B9">
        <w:rPr>
          <w:lang w:val="en-NZ"/>
        </w:rPr>
        <w:t xml:space="preserve">an extension to the </w:t>
      </w:r>
      <w:r w:rsidR="006E43B2" w:rsidRPr="003067B9">
        <w:rPr>
          <w:lang w:val="en-NZ"/>
        </w:rPr>
        <w:t xml:space="preserve">free breast screening </w:t>
      </w:r>
      <w:r w:rsidR="00172CAD" w:rsidRPr="003067B9">
        <w:rPr>
          <w:lang w:val="en-NZ"/>
        </w:rPr>
        <w:t>age</w:t>
      </w:r>
      <w:r w:rsidR="00DD2C16" w:rsidRPr="003067B9">
        <w:rPr>
          <w:lang w:val="en-NZ"/>
        </w:rPr>
        <w:t xml:space="preserve"> range, </w:t>
      </w:r>
      <w:r w:rsidR="006E43B2" w:rsidRPr="003067B9">
        <w:rPr>
          <w:lang w:val="en-NZ"/>
        </w:rPr>
        <w:t xml:space="preserve">from 45-69 years to </w:t>
      </w:r>
      <w:r w:rsidR="00DD2C16" w:rsidRPr="003067B9">
        <w:rPr>
          <w:lang w:val="en-NZ"/>
        </w:rPr>
        <w:t xml:space="preserve">include </w:t>
      </w:r>
      <w:r w:rsidR="006E43B2" w:rsidRPr="003067B9">
        <w:rPr>
          <w:lang w:val="en-NZ"/>
        </w:rPr>
        <w:t>70–74</w:t>
      </w:r>
      <w:r w:rsidR="00E1652C">
        <w:rPr>
          <w:lang w:val="en-NZ"/>
        </w:rPr>
        <w:t xml:space="preserve"> </w:t>
      </w:r>
      <w:r w:rsidR="006E43B2" w:rsidRPr="003067B9">
        <w:rPr>
          <w:lang w:val="en-NZ"/>
        </w:rPr>
        <w:t>year</w:t>
      </w:r>
      <w:r w:rsidR="00E1652C">
        <w:rPr>
          <w:lang w:val="en-NZ"/>
        </w:rPr>
        <w:t xml:space="preserve"> </w:t>
      </w:r>
      <w:r w:rsidR="006E43B2" w:rsidRPr="003067B9">
        <w:rPr>
          <w:lang w:val="en-NZ"/>
        </w:rPr>
        <w:t>olds</w:t>
      </w:r>
      <w:r w:rsidR="00792ACE" w:rsidRPr="003067B9">
        <w:rPr>
          <w:lang w:val="en-NZ"/>
        </w:rPr>
        <w:t>.</w:t>
      </w:r>
      <w:r w:rsidR="006E43B2" w:rsidRPr="003067B9">
        <w:rPr>
          <w:lang w:val="en-NZ"/>
        </w:rPr>
        <w:t> </w:t>
      </w:r>
      <w:r w:rsidR="00FE7701" w:rsidRPr="00FE7701">
        <w:rPr>
          <w:lang w:val="en-NZ"/>
        </w:rPr>
        <w:t>Rollout is</w:t>
      </w:r>
      <w:r w:rsidR="00FD24E1">
        <w:rPr>
          <w:lang w:val="en-NZ"/>
        </w:rPr>
        <w:t xml:space="preserve"> planned for</w:t>
      </w:r>
      <w:r w:rsidR="00FE7701" w:rsidRPr="00FE7701">
        <w:rPr>
          <w:lang w:val="en-NZ"/>
        </w:rPr>
        <w:t xml:space="preserve"> Nelson-Marlborough this year on a small scale, </w:t>
      </w:r>
      <w:r w:rsidR="00FD24E1">
        <w:rPr>
          <w:lang w:val="en-NZ"/>
        </w:rPr>
        <w:t>with national rollout scheduled to commence in late 2025.</w:t>
      </w:r>
      <w:r w:rsidR="00FE7701" w:rsidRPr="00FE7701">
        <w:rPr>
          <w:lang w:val="en-NZ"/>
        </w:rPr>
        <w:t xml:space="preserve"> </w:t>
      </w:r>
      <w:r w:rsidR="00057BC0">
        <w:rPr>
          <w:lang w:val="en-NZ"/>
        </w:rPr>
        <w:t>This</w:t>
      </w:r>
      <w:r w:rsidR="00A931AE" w:rsidRPr="003067B9">
        <w:rPr>
          <w:lang w:val="en-NZ"/>
        </w:rPr>
        <w:t xml:space="preserve"> will be implemented in phases, based on age group. </w:t>
      </w:r>
      <w:r w:rsidR="00D35A94" w:rsidRPr="003067B9">
        <w:rPr>
          <w:lang w:val="en-NZ"/>
        </w:rPr>
        <w:t xml:space="preserve">Once the programme is implemented, </w:t>
      </w:r>
      <w:r w:rsidR="00A931AE" w:rsidRPr="003067B9">
        <w:rPr>
          <w:lang w:val="en-NZ"/>
        </w:rPr>
        <w:t>the</w:t>
      </w:r>
      <w:r w:rsidR="00D35A94" w:rsidRPr="003067B9">
        <w:rPr>
          <w:lang w:val="en-NZ"/>
        </w:rPr>
        <w:t xml:space="preserve"> extension will enable women to receive an additional two to three mammograms on average. </w:t>
      </w:r>
      <w:r w:rsidR="00A931AE" w:rsidRPr="003067B9">
        <w:rPr>
          <w:lang w:val="en-NZ"/>
        </w:rPr>
        <w:t>E</w:t>
      </w:r>
      <w:r w:rsidR="00A969A4" w:rsidRPr="003067B9">
        <w:rPr>
          <w:lang w:val="en-NZ"/>
        </w:rPr>
        <w:t xml:space="preserve">quipment, facilities and staffing </w:t>
      </w:r>
      <w:r w:rsidR="00E517B7" w:rsidRPr="003067B9">
        <w:rPr>
          <w:lang w:val="en-NZ"/>
        </w:rPr>
        <w:t xml:space="preserve">are being evaluated </w:t>
      </w:r>
      <w:r w:rsidR="00A969A4" w:rsidRPr="003067B9">
        <w:rPr>
          <w:lang w:val="en-NZ"/>
        </w:rPr>
        <w:t>to support this service extension</w:t>
      </w:r>
      <w:r w:rsidR="003A1AB4" w:rsidRPr="003067B9">
        <w:rPr>
          <w:lang w:val="en-NZ"/>
        </w:rPr>
        <w:t xml:space="preserve"> and will be progress</w:t>
      </w:r>
      <w:r w:rsidR="00067F60" w:rsidRPr="003067B9">
        <w:rPr>
          <w:lang w:val="en-NZ"/>
        </w:rPr>
        <w:t xml:space="preserve">ively </w:t>
      </w:r>
      <w:r w:rsidR="00160204" w:rsidRPr="003067B9">
        <w:rPr>
          <w:lang w:val="en-NZ"/>
        </w:rPr>
        <w:t>rolled out</w:t>
      </w:r>
      <w:r w:rsidR="00A969A4" w:rsidRPr="003067B9">
        <w:rPr>
          <w:lang w:val="en-NZ"/>
        </w:rPr>
        <w:t xml:space="preserve">. </w:t>
      </w:r>
    </w:p>
    <w:p w14:paraId="7978E1BA" w14:textId="4CBE4664" w:rsidR="002F2B71" w:rsidRPr="003067B9" w:rsidRDefault="00880E20" w:rsidP="00291ACB">
      <w:pPr>
        <w:pStyle w:val="Bulletpoints"/>
        <w:rPr>
          <w:i/>
          <w:lang w:val="en-NZ"/>
        </w:rPr>
      </w:pPr>
      <w:bookmarkStart w:id="38" w:name="_Toc163580414"/>
      <w:r w:rsidRPr="003067B9">
        <w:rPr>
          <w:lang w:val="en-NZ"/>
        </w:rPr>
        <w:t>During the</w:t>
      </w:r>
      <w:r w:rsidR="00793795" w:rsidRPr="003067B9">
        <w:rPr>
          <w:lang w:val="en-NZ"/>
        </w:rPr>
        <w:t xml:space="preserve"> quarter, a new mobile breast screening unit was launched in Counties Manukau. This initiative aims to provide better access to breast cancer screening for women in this area, focusing on reaching those who are under-screened or who have never been screened. This service is expected to reach up to 6,000 women each year.</w:t>
      </w:r>
    </w:p>
    <w:p w14:paraId="367BF756" w14:textId="52FE0B3B" w:rsidR="008815F9" w:rsidRPr="00D4706E" w:rsidRDefault="008815F9" w:rsidP="00725CE7">
      <w:pPr>
        <w:pStyle w:val="NumberedHeading2"/>
        <w:numPr>
          <w:ilvl w:val="0"/>
          <w:numId w:val="0"/>
        </w:numPr>
        <w:rPr>
          <w:color w:val="15284C"/>
        </w:rPr>
      </w:pPr>
      <w:bookmarkStart w:id="39" w:name="_Toc170199152"/>
      <w:r w:rsidRPr="00D4706E">
        <w:rPr>
          <w:color w:val="15284C"/>
        </w:rPr>
        <w:lastRenderedPageBreak/>
        <w:t xml:space="preserve">Kahu </w:t>
      </w:r>
      <w:r w:rsidR="001C3626">
        <w:rPr>
          <w:color w:val="15284C"/>
        </w:rPr>
        <w:t>t</w:t>
      </w:r>
      <w:r w:rsidRPr="00D4706E">
        <w:rPr>
          <w:color w:val="15284C"/>
        </w:rPr>
        <w:t xml:space="preserve">aurima | Maternity and </w:t>
      </w:r>
      <w:r w:rsidR="002D375B">
        <w:rPr>
          <w:color w:val="15284C"/>
        </w:rPr>
        <w:t>e</w:t>
      </w:r>
      <w:r w:rsidR="002D375B" w:rsidRPr="00D4706E">
        <w:rPr>
          <w:color w:val="15284C"/>
        </w:rPr>
        <w:t xml:space="preserve">arly </w:t>
      </w:r>
      <w:r w:rsidR="002D375B">
        <w:rPr>
          <w:color w:val="15284C"/>
        </w:rPr>
        <w:t>y</w:t>
      </w:r>
      <w:r w:rsidRPr="00D4706E">
        <w:rPr>
          <w:color w:val="15284C"/>
        </w:rPr>
        <w:t>ears</w:t>
      </w:r>
      <w:bookmarkEnd w:id="38"/>
      <w:bookmarkEnd w:id="39"/>
      <w:r w:rsidR="00DA282F" w:rsidRPr="00D4706E">
        <w:rPr>
          <w:color w:val="15284C"/>
        </w:rPr>
        <w:t xml:space="preserve"> </w:t>
      </w:r>
    </w:p>
    <w:p w14:paraId="5C3A7F4B" w14:textId="21D98929" w:rsidR="00485E7F" w:rsidRPr="003067B9" w:rsidRDefault="000D5BC8" w:rsidP="00291ACB">
      <w:pPr>
        <w:pStyle w:val="Bulletpoints"/>
        <w:rPr>
          <w:b/>
          <w:i/>
          <w:lang w:val="en-NZ"/>
        </w:rPr>
      </w:pPr>
      <w:r w:rsidRPr="003067B9">
        <w:rPr>
          <w:lang w:val="en-NZ"/>
        </w:rPr>
        <w:t>During the quarter, w</w:t>
      </w:r>
      <w:r w:rsidR="00E7408F" w:rsidRPr="003067B9">
        <w:rPr>
          <w:lang w:val="en-NZ"/>
        </w:rPr>
        <w:t xml:space="preserve">e completed procurement for redesigning the Midwifery Graduate Support Programme. The </w:t>
      </w:r>
      <w:r w:rsidR="006451BD" w:rsidRPr="003067B9">
        <w:rPr>
          <w:lang w:val="en-NZ"/>
        </w:rPr>
        <w:t>chosen</w:t>
      </w:r>
      <w:r w:rsidR="00E7408F" w:rsidRPr="003067B9">
        <w:rPr>
          <w:lang w:val="en-NZ"/>
        </w:rPr>
        <w:t xml:space="preserve"> providers are </w:t>
      </w:r>
      <w:r w:rsidR="007B60ED" w:rsidRPr="003067B9">
        <w:rPr>
          <w:lang w:val="en-NZ"/>
        </w:rPr>
        <w:t xml:space="preserve">a partnership of </w:t>
      </w:r>
      <w:r w:rsidR="00E7408F" w:rsidRPr="003067B9">
        <w:rPr>
          <w:lang w:val="en-NZ"/>
        </w:rPr>
        <w:t xml:space="preserve">the New Zealand College of Midwives </w:t>
      </w:r>
      <w:r w:rsidR="007B60ED" w:rsidRPr="003067B9">
        <w:rPr>
          <w:lang w:val="en-NZ"/>
        </w:rPr>
        <w:t>and</w:t>
      </w:r>
      <w:r w:rsidR="00E7408F" w:rsidRPr="003067B9">
        <w:rPr>
          <w:lang w:val="en-NZ"/>
        </w:rPr>
        <w:t xml:space="preserve"> Ngā Maia Māori Midwives. The redesign is expected to be completed by </w:t>
      </w:r>
      <w:r w:rsidR="009F7D96" w:rsidRPr="003067B9">
        <w:rPr>
          <w:lang w:val="en-NZ"/>
        </w:rPr>
        <w:t>December 2024</w:t>
      </w:r>
      <w:r w:rsidR="00E7408F" w:rsidRPr="003067B9">
        <w:rPr>
          <w:lang w:val="en-NZ"/>
        </w:rPr>
        <w:t xml:space="preserve"> and will be implemented for graduates who have completed their studies by the end of 2024. The redesign will be mātauranga Māori based and </w:t>
      </w:r>
      <w:r w:rsidR="00864CC5" w:rsidRPr="003067B9">
        <w:rPr>
          <w:lang w:val="en-NZ"/>
        </w:rPr>
        <w:t xml:space="preserve">will </w:t>
      </w:r>
      <w:r w:rsidR="00E7408F" w:rsidRPr="003067B9">
        <w:rPr>
          <w:lang w:val="en-NZ"/>
        </w:rPr>
        <w:t xml:space="preserve">embed </w:t>
      </w:r>
      <w:r w:rsidR="006F50F1">
        <w:rPr>
          <w:lang w:val="en-NZ"/>
        </w:rPr>
        <w:t>t</w:t>
      </w:r>
      <w:r w:rsidR="00E7408F" w:rsidRPr="003067B9">
        <w:rPr>
          <w:lang w:val="en-NZ"/>
        </w:rPr>
        <w:t xml:space="preserve">e </w:t>
      </w:r>
      <w:r w:rsidR="006F50F1">
        <w:rPr>
          <w:lang w:val="en-NZ"/>
        </w:rPr>
        <w:t>a</w:t>
      </w:r>
      <w:r w:rsidR="00E7408F" w:rsidRPr="003067B9">
        <w:rPr>
          <w:lang w:val="en-NZ"/>
        </w:rPr>
        <w:t>o Māori approach</w:t>
      </w:r>
      <w:r w:rsidR="00C45372" w:rsidRPr="003067B9">
        <w:rPr>
          <w:lang w:val="en-NZ"/>
        </w:rPr>
        <w:t>es</w:t>
      </w:r>
      <w:r w:rsidR="00E7408F" w:rsidRPr="003067B9">
        <w:rPr>
          <w:lang w:val="en-NZ"/>
        </w:rPr>
        <w:t>.</w:t>
      </w:r>
    </w:p>
    <w:p w14:paraId="3D06630B" w14:textId="72FBCD57" w:rsidR="00485E7F" w:rsidRPr="003067B9" w:rsidRDefault="00B40556" w:rsidP="00291ACB">
      <w:pPr>
        <w:pStyle w:val="Bulletpoints"/>
        <w:rPr>
          <w:b/>
          <w:i/>
          <w:lang w:val="en-NZ"/>
        </w:rPr>
      </w:pPr>
      <w:r w:rsidRPr="003067B9">
        <w:rPr>
          <w:lang w:val="en-NZ"/>
        </w:rPr>
        <w:t>During the quarter</w:t>
      </w:r>
      <w:r w:rsidR="00F870C8" w:rsidRPr="003067B9">
        <w:rPr>
          <w:lang w:val="en-NZ"/>
        </w:rPr>
        <w:t>, we completed p</w:t>
      </w:r>
      <w:r w:rsidR="00E7408F" w:rsidRPr="003067B9">
        <w:rPr>
          <w:lang w:val="en-NZ"/>
        </w:rPr>
        <w:t xml:space="preserve">rocurement to test the </w:t>
      </w:r>
      <w:r w:rsidR="00BF6EB8" w:rsidRPr="003067B9">
        <w:rPr>
          <w:lang w:val="en-NZ"/>
        </w:rPr>
        <w:t xml:space="preserve">prototype for the </w:t>
      </w:r>
      <w:r w:rsidR="00E7408F" w:rsidRPr="003067B9">
        <w:rPr>
          <w:lang w:val="en-NZ"/>
        </w:rPr>
        <w:t>Child Growth and Development Schedule</w:t>
      </w:r>
      <w:r w:rsidR="00F71350" w:rsidRPr="003067B9">
        <w:rPr>
          <w:lang w:val="en-NZ"/>
        </w:rPr>
        <w:t xml:space="preserve"> redesign</w:t>
      </w:r>
      <w:r w:rsidR="00E7408F" w:rsidRPr="003067B9">
        <w:rPr>
          <w:lang w:val="en-NZ"/>
        </w:rPr>
        <w:t xml:space="preserve">. The </w:t>
      </w:r>
      <w:r w:rsidR="00800F07" w:rsidRPr="003067B9">
        <w:rPr>
          <w:lang w:val="en-NZ"/>
        </w:rPr>
        <w:t>redesigned</w:t>
      </w:r>
      <w:r w:rsidR="00E7408F" w:rsidRPr="003067B9">
        <w:rPr>
          <w:lang w:val="en-NZ"/>
        </w:rPr>
        <w:t xml:space="preserve"> schedule </w:t>
      </w:r>
      <w:r w:rsidR="0006157C" w:rsidRPr="003067B9">
        <w:rPr>
          <w:lang w:val="en-NZ"/>
        </w:rPr>
        <w:t xml:space="preserve">is intended to </w:t>
      </w:r>
      <w:r w:rsidR="00E7408F" w:rsidRPr="003067B9">
        <w:rPr>
          <w:lang w:val="en-NZ"/>
        </w:rPr>
        <w:t>improve equity, access, clinical quality and safety, and whānau-centred</w:t>
      </w:r>
      <w:r w:rsidR="002960E8" w:rsidRPr="003067B9">
        <w:rPr>
          <w:lang w:val="en-NZ"/>
        </w:rPr>
        <w:t xml:space="preserve"> care</w:t>
      </w:r>
      <w:r w:rsidR="00E7408F" w:rsidRPr="003067B9">
        <w:rPr>
          <w:lang w:val="en-NZ"/>
        </w:rPr>
        <w:t xml:space="preserve">. </w:t>
      </w:r>
    </w:p>
    <w:p w14:paraId="753D80C5" w14:textId="3E6F2626" w:rsidR="00D073FB" w:rsidRPr="003067B9" w:rsidRDefault="00D073FB" w:rsidP="00291ACB">
      <w:pPr>
        <w:pStyle w:val="Bulletpoints"/>
        <w:rPr>
          <w:b/>
          <w:i/>
          <w:lang w:val="en-NZ"/>
        </w:rPr>
      </w:pPr>
      <w:r w:rsidRPr="003067B9">
        <w:rPr>
          <w:lang w:val="en-NZ"/>
        </w:rPr>
        <w:t xml:space="preserve">As part of the South Island Child Development Improvement Programme, 44 Speech Language Therapists from across the country participated in a workshop (online and in person in Christchurch) in March, on paediatric dysphagia. The workshop provided them with skills to help children with swallowing difficulties. This will </w:t>
      </w:r>
      <w:r w:rsidR="008D04C0" w:rsidRPr="003067B9">
        <w:rPr>
          <w:lang w:val="en-NZ"/>
        </w:rPr>
        <w:t xml:space="preserve">help with </w:t>
      </w:r>
      <w:r w:rsidRPr="003067B9">
        <w:rPr>
          <w:lang w:val="en-NZ"/>
        </w:rPr>
        <w:t xml:space="preserve">access </w:t>
      </w:r>
      <w:r w:rsidR="001C04C3" w:rsidRPr="003067B9">
        <w:rPr>
          <w:lang w:val="en-NZ"/>
        </w:rPr>
        <w:t xml:space="preserve">to </w:t>
      </w:r>
      <w:r w:rsidRPr="003067B9">
        <w:rPr>
          <w:lang w:val="en-NZ"/>
        </w:rPr>
        <w:t xml:space="preserve">consistent levels of therapy in both community and hospital settings. </w:t>
      </w:r>
      <w:r w:rsidR="097FDA5D" w:rsidRPr="003067B9">
        <w:rPr>
          <w:lang w:val="en-NZ"/>
        </w:rPr>
        <w:t>A</w:t>
      </w:r>
      <w:r w:rsidRPr="003067B9">
        <w:rPr>
          <w:lang w:val="en-NZ"/>
        </w:rPr>
        <w:t xml:space="preserve"> second workshop will take place in May. </w:t>
      </w:r>
    </w:p>
    <w:p w14:paraId="0AD040C8" w14:textId="6B6B8155" w:rsidR="00337C4F" w:rsidRPr="003067B9" w:rsidRDefault="00337C4F" w:rsidP="00291ACB">
      <w:pPr>
        <w:pStyle w:val="Bulletpoints"/>
        <w:rPr>
          <w:b/>
          <w:i/>
          <w:lang w:val="en-NZ"/>
        </w:rPr>
      </w:pPr>
      <w:bookmarkStart w:id="40" w:name="_Toc163580415"/>
      <w:r w:rsidRPr="003067B9">
        <w:rPr>
          <w:lang w:val="en-NZ"/>
        </w:rPr>
        <w:t>Changes in communication</w:t>
      </w:r>
      <w:r w:rsidR="000248F4" w:rsidRPr="003067B9">
        <w:rPr>
          <w:lang w:val="en-NZ"/>
        </w:rPr>
        <w:t>-</w:t>
      </w:r>
      <w:r w:rsidRPr="003067B9">
        <w:rPr>
          <w:lang w:val="en-NZ"/>
        </w:rPr>
        <w:t>resourcing and delays in appointing a sector engagement lead for Kahu Taurima have limited the ability to communicate work plans and progress to key stakeholders. In some instances, this has impacted provider relationship management.</w:t>
      </w:r>
    </w:p>
    <w:p w14:paraId="108AD2E5" w14:textId="246CAA3A" w:rsidR="0061054D" w:rsidRPr="00D4706E" w:rsidRDefault="0061054D" w:rsidP="00FD3AA1">
      <w:pPr>
        <w:pStyle w:val="NumberedHeading2"/>
        <w:numPr>
          <w:ilvl w:val="0"/>
          <w:numId w:val="0"/>
        </w:numPr>
        <w:ind w:left="567" w:hanging="567"/>
        <w:rPr>
          <w:i/>
          <w:color w:val="15284C"/>
        </w:rPr>
      </w:pPr>
      <w:bookmarkStart w:id="41" w:name="_Toc170199153"/>
      <w:r w:rsidRPr="00D4706E">
        <w:rPr>
          <w:color w:val="15284C"/>
        </w:rPr>
        <w:t xml:space="preserve">Māuiuitanga </w:t>
      </w:r>
      <w:r w:rsidR="001C3626">
        <w:rPr>
          <w:color w:val="15284C"/>
        </w:rPr>
        <w:t>t</w:t>
      </w:r>
      <w:r w:rsidRPr="00D4706E">
        <w:rPr>
          <w:color w:val="15284C"/>
        </w:rPr>
        <w:t>aumaha | People living with chronic health conditions</w:t>
      </w:r>
      <w:bookmarkEnd w:id="40"/>
      <w:bookmarkEnd w:id="41"/>
      <w:r w:rsidR="00DA282F" w:rsidRPr="00D4706E">
        <w:rPr>
          <w:color w:val="15284C"/>
        </w:rPr>
        <w:t xml:space="preserve"> </w:t>
      </w:r>
      <w:r w:rsidR="00397E2A" w:rsidRPr="00D4706E">
        <w:rPr>
          <w:color w:val="15284C"/>
        </w:rPr>
        <w:t xml:space="preserve"> </w:t>
      </w:r>
      <w:r w:rsidRPr="00D4706E">
        <w:rPr>
          <w:color w:val="15284C"/>
        </w:rPr>
        <w:t xml:space="preserve"> </w:t>
      </w:r>
    </w:p>
    <w:p w14:paraId="6F4CA0A9" w14:textId="1BB809C5" w:rsidR="004471F2" w:rsidRPr="003067B9" w:rsidRDefault="00B40556" w:rsidP="009C6EB4">
      <w:pPr>
        <w:pStyle w:val="Bulletpoints"/>
        <w:rPr>
          <w:b/>
          <w:i/>
          <w:lang w:val="en-NZ"/>
        </w:rPr>
      </w:pPr>
      <w:r w:rsidRPr="003067B9">
        <w:rPr>
          <w:lang w:val="en-NZ"/>
        </w:rPr>
        <w:t>During the quarter</w:t>
      </w:r>
      <w:r w:rsidR="004471F2" w:rsidRPr="003067B9">
        <w:rPr>
          <w:lang w:val="en-NZ"/>
        </w:rPr>
        <w:t>,</w:t>
      </w:r>
      <w:r w:rsidR="00744BA9" w:rsidRPr="003067B9">
        <w:rPr>
          <w:lang w:val="en-NZ"/>
        </w:rPr>
        <w:t xml:space="preserve"> </w:t>
      </w:r>
      <w:r w:rsidR="00065D16" w:rsidRPr="003067B9">
        <w:rPr>
          <w:lang w:val="en-NZ"/>
        </w:rPr>
        <w:t>the NZ Health App</w:t>
      </w:r>
      <w:r w:rsidR="000311F2" w:rsidRPr="003067B9">
        <w:rPr>
          <w:lang w:val="en-NZ"/>
        </w:rPr>
        <w:t>lication</w:t>
      </w:r>
      <w:r w:rsidR="00065D16" w:rsidRPr="003067B9">
        <w:rPr>
          <w:lang w:val="en-NZ"/>
        </w:rPr>
        <w:t xml:space="preserve"> Library </w:t>
      </w:r>
      <w:r w:rsidR="00ED2B8E" w:rsidRPr="003067B9">
        <w:rPr>
          <w:lang w:val="en-NZ"/>
        </w:rPr>
        <w:t>(</w:t>
      </w:r>
      <w:r w:rsidR="009F617C" w:rsidRPr="003067B9">
        <w:rPr>
          <w:lang w:val="en-NZ"/>
        </w:rPr>
        <w:t xml:space="preserve">run by </w:t>
      </w:r>
      <w:r w:rsidR="00AD5ED6" w:rsidRPr="003067B9">
        <w:rPr>
          <w:lang w:val="en-NZ"/>
        </w:rPr>
        <w:t>Healthify</w:t>
      </w:r>
      <w:r w:rsidR="00ED2B8E" w:rsidRPr="003067B9">
        <w:rPr>
          <w:lang w:val="en-NZ"/>
        </w:rPr>
        <w:t xml:space="preserve">) </w:t>
      </w:r>
      <w:r w:rsidR="004471F2" w:rsidRPr="003067B9">
        <w:rPr>
          <w:lang w:val="en-NZ"/>
        </w:rPr>
        <w:t xml:space="preserve">added </w:t>
      </w:r>
      <w:r w:rsidR="00AD4FF0" w:rsidRPr="003067B9">
        <w:rPr>
          <w:lang w:val="en-NZ"/>
        </w:rPr>
        <w:t xml:space="preserve">assessments of </w:t>
      </w:r>
      <w:r w:rsidR="004471F2" w:rsidRPr="003067B9">
        <w:rPr>
          <w:lang w:val="en-NZ"/>
        </w:rPr>
        <w:t xml:space="preserve">112 </w:t>
      </w:r>
      <w:r w:rsidR="007351D9" w:rsidRPr="003067B9">
        <w:rPr>
          <w:lang w:val="en-NZ"/>
        </w:rPr>
        <w:t xml:space="preserve">apps </w:t>
      </w:r>
      <w:r w:rsidR="00213B24" w:rsidRPr="003067B9">
        <w:rPr>
          <w:lang w:val="en-NZ"/>
        </w:rPr>
        <w:t xml:space="preserve">for </w:t>
      </w:r>
      <w:r w:rsidR="004471F2" w:rsidRPr="003067B9">
        <w:rPr>
          <w:lang w:val="en-NZ"/>
        </w:rPr>
        <w:t>categories spanning alcohol use to warfarin</w:t>
      </w:r>
      <w:r w:rsidR="000231DB" w:rsidRPr="003067B9">
        <w:rPr>
          <w:lang w:val="en-NZ"/>
        </w:rPr>
        <w:t>.</w:t>
      </w:r>
      <w:r w:rsidR="00322A49" w:rsidRPr="003067B9">
        <w:rPr>
          <w:lang w:val="en-NZ"/>
        </w:rPr>
        <w:t xml:space="preserve"> The</w:t>
      </w:r>
      <w:r w:rsidR="006A6B1E" w:rsidRPr="003067B9">
        <w:rPr>
          <w:lang w:val="en-NZ"/>
        </w:rPr>
        <w:t xml:space="preserve"> </w:t>
      </w:r>
      <w:r w:rsidR="00480F5D" w:rsidRPr="003067B9">
        <w:rPr>
          <w:lang w:val="en-NZ"/>
        </w:rPr>
        <w:t>updated</w:t>
      </w:r>
      <w:r w:rsidR="006A6B1E" w:rsidRPr="003067B9">
        <w:rPr>
          <w:lang w:val="en-NZ"/>
        </w:rPr>
        <w:t xml:space="preserve"> landing page for the</w:t>
      </w:r>
      <w:r w:rsidR="00322A49" w:rsidRPr="003067B9">
        <w:rPr>
          <w:lang w:val="en-NZ"/>
        </w:rPr>
        <w:t xml:space="preserve"> </w:t>
      </w:r>
      <w:r w:rsidR="00017304" w:rsidRPr="003067B9">
        <w:rPr>
          <w:lang w:val="en-NZ"/>
        </w:rPr>
        <w:t>A</w:t>
      </w:r>
      <w:r w:rsidR="00322A49" w:rsidRPr="003067B9">
        <w:rPr>
          <w:lang w:val="en-NZ"/>
        </w:rPr>
        <w:t xml:space="preserve">pp Library </w:t>
      </w:r>
      <w:r w:rsidR="00214C6F" w:rsidRPr="003067B9">
        <w:rPr>
          <w:lang w:val="en-NZ"/>
        </w:rPr>
        <w:t>is</w:t>
      </w:r>
      <w:r w:rsidR="00B536BA" w:rsidRPr="003067B9">
        <w:rPr>
          <w:lang w:val="en-NZ"/>
        </w:rPr>
        <w:t xml:space="preserve"> now </w:t>
      </w:r>
      <w:r w:rsidR="00E839C3" w:rsidRPr="003067B9">
        <w:rPr>
          <w:lang w:val="en-NZ"/>
        </w:rPr>
        <w:t>live</w:t>
      </w:r>
      <w:r w:rsidR="008A2080">
        <w:rPr>
          <w:lang w:val="en-NZ"/>
        </w:rPr>
        <w:t>.</w:t>
      </w:r>
      <w:r w:rsidR="00EE07B8" w:rsidRPr="003067B9">
        <w:rPr>
          <w:rStyle w:val="FootnoteReference"/>
          <w:rFonts w:eastAsia="Times New Roman"/>
          <w:szCs w:val="24"/>
          <w:vertAlign w:val="superscript"/>
          <w:lang w:val="en-NZ" w:eastAsia="en-NZ"/>
        </w:rPr>
        <w:footnoteReference w:id="9"/>
      </w:r>
      <w:r w:rsidR="003E6785" w:rsidRPr="003067B9">
        <w:rPr>
          <w:lang w:val="en-NZ"/>
        </w:rPr>
        <w:t xml:space="preserve"> U</w:t>
      </w:r>
      <w:r w:rsidR="0065240F" w:rsidRPr="003067B9">
        <w:rPr>
          <w:lang w:val="en-NZ"/>
        </w:rPr>
        <w:t xml:space="preserve">sage </w:t>
      </w:r>
      <w:r w:rsidR="00BF6DAC" w:rsidRPr="003067B9">
        <w:rPr>
          <w:lang w:val="en-NZ"/>
        </w:rPr>
        <w:t>information</w:t>
      </w:r>
      <w:r w:rsidR="00B45D21" w:rsidRPr="003067B9">
        <w:rPr>
          <w:lang w:val="en-NZ"/>
        </w:rPr>
        <w:t xml:space="preserve"> </w:t>
      </w:r>
      <w:r w:rsidR="0065240F" w:rsidRPr="003067B9">
        <w:rPr>
          <w:lang w:val="en-NZ"/>
        </w:rPr>
        <w:t xml:space="preserve">will be available in quarter four. </w:t>
      </w:r>
      <w:r w:rsidR="00E347AA" w:rsidRPr="003067B9">
        <w:rPr>
          <w:lang w:val="en-NZ"/>
        </w:rPr>
        <w:t xml:space="preserve">The </w:t>
      </w:r>
      <w:r w:rsidR="002A576A">
        <w:rPr>
          <w:lang w:val="en-NZ"/>
        </w:rPr>
        <w:t>l</w:t>
      </w:r>
      <w:r w:rsidR="00BE2425" w:rsidRPr="003067B9">
        <w:rPr>
          <w:lang w:val="en-NZ"/>
        </w:rPr>
        <w:t>ibrary</w:t>
      </w:r>
      <w:r w:rsidR="00744BA9" w:rsidRPr="003067B9">
        <w:rPr>
          <w:lang w:val="en-NZ"/>
        </w:rPr>
        <w:t xml:space="preserve"> aims to make it easier and safer for the public and health professionals to identify useful and relevant health</w:t>
      </w:r>
      <w:r w:rsidR="007172E8" w:rsidRPr="003067B9">
        <w:rPr>
          <w:lang w:val="en-NZ"/>
        </w:rPr>
        <w:t xml:space="preserve"> </w:t>
      </w:r>
      <w:r w:rsidR="00744BA9" w:rsidRPr="003067B9">
        <w:rPr>
          <w:lang w:val="en-NZ"/>
        </w:rPr>
        <w:t>app</w:t>
      </w:r>
      <w:r w:rsidR="00BF6DAC" w:rsidRPr="003067B9">
        <w:rPr>
          <w:lang w:val="en-NZ"/>
        </w:rPr>
        <w:t>lications</w:t>
      </w:r>
      <w:r w:rsidR="00744BA9" w:rsidRPr="003067B9">
        <w:rPr>
          <w:lang w:val="en-NZ"/>
        </w:rPr>
        <w:t> to support lifestyle disease management, mental well-being, and behaviour change. </w:t>
      </w:r>
    </w:p>
    <w:p w14:paraId="5695ED84" w14:textId="304A6590" w:rsidR="005D782E" w:rsidRPr="00D4706E" w:rsidRDefault="005D782E" w:rsidP="00FD3AA1">
      <w:pPr>
        <w:pStyle w:val="NumberedHeading2"/>
        <w:numPr>
          <w:ilvl w:val="0"/>
          <w:numId w:val="0"/>
        </w:numPr>
        <w:ind w:left="567" w:hanging="567"/>
        <w:rPr>
          <w:color w:val="15284C"/>
        </w:rPr>
      </w:pPr>
      <w:bookmarkStart w:id="42" w:name="_Toc163580416"/>
      <w:r w:rsidRPr="00D4706E">
        <w:rPr>
          <w:color w:val="15284C"/>
        </w:rPr>
        <w:t xml:space="preserve">Oranga </w:t>
      </w:r>
      <w:r w:rsidR="001C3626">
        <w:rPr>
          <w:color w:val="15284C"/>
        </w:rPr>
        <w:t>h</w:t>
      </w:r>
      <w:r w:rsidRPr="00D4706E">
        <w:rPr>
          <w:color w:val="15284C"/>
        </w:rPr>
        <w:t>ine</w:t>
      </w:r>
      <w:r w:rsidR="00047D6D">
        <w:rPr>
          <w:color w:val="15284C"/>
        </w:rPr>
        <w:t>n</w:t>
      </w:r>
      <w:r w:rsidRPr="00D4706E">
        <w:rPr>
          <w:color w:val="15284C"/>
        </w:rPr>
        <w:t>garo | People living with mental distress, illness and addictions</w:t>
      </w:r>
      <w:bookmarkEnd w:id="42"/>
    </w:p>
    <w:p w14:paraId="1746FEDC" w14:textId="77777777" w:rsidR="00FD3AA1" w:rsidRPr="003067B9" w:rsidRDefault="00B40556" w:rsidP="00FD3AA1">
      <w:pPr>
        <w:pStyle w:val="Bulletpoints"/>
        <w:rPr>
          <w:lang w:val="en-NZ"/>
        </w:rPr>
      </w:pPr>
      <w:r w:rsidRPr="003067B9">
        <w:rPr>
          <w:lang w:val="en-NZ"/>
        </w:rPr>
        <w:t>During the quarter</w:t>
      </w:r>
      <w:r w:rsidR="00A14641" w:rsidRPr="003067B9">
        <w:rPr>
          <w:lang w:val="en-NZ"/>
        </w:rPr>
        <w:t>, a social marketing campaign was launched as part of a wider de-stigmatisation project identified in the </w:t>
      </w:r>
      <w:r w:rsidR="00A14641" w:rsidRPr="0033053E">
        <w:rPr>
          <w:rStyle w:val="Emphasis"/>
          <w:i w:val="0"/>
          <w:iCs w:val="0"/>
          <w:lang w:val="en-NZ"/>
        </w:rPr>
        <w:t>Strategy to Prevent and Minimise Gambling Harm 2022/23 to 2024/25</w:t>
      </w:r>
      <w:r w:rsidR="00A14641" w:rsidRPr="003067B9">
        <w:rPr>
          <w:lang w:val="en-NZ"/>
        </w:rPr>
        <w:t>. The </w:t>
      </w:r>
      <w:r w:rsidR="00A14641" w:rsidRPr="0033053E">
        <w:rPr>
          <w:rStyle w:val="Emphasis"/>
          <w:i w:val="0"/>
          <w:iCs w:val="0"/>
          <w:lang w:val="en-NZ"/>
        </w:rPr>
        <w:t>Let’s Kōrero Series Influencer Campaign </w:t>
      </w:r>
      <w:r w:rsidR="00A14641" w:rsidRPr="003067B9">
        <w:rPr>
          <w:lang w:val="en-NZ"/>
        </w:rPr>
        <w:t xml:space="preserve">is a collaboration </w:t>
      </w:r>
      <w:r w:rsidR="00221693" w:rsidRPr="003067B9">
        <w:rPr>
          <w:lang w:val="en-NZ"/>
        </w:rPr>
        <w:t>between</w:t>
      </w:r>
      <w:r w:rsidR="00A14641" w:rsidRPr="003067B9">
        <w:rPr>
          <w:lang w:val="en-NZ"/>
        </w:rPr>
        <w:t xml:space="preserve"> Health </w:t>
      </w:r>
      <w:r w:rsidR="00221693" w:rsidRPr="003067B9">
        <w:rPr>
          <w:lang w:val="en-NZ"/>
        </w:rPr>
        <w:t>NZ</w:t>
      </w:r>
      <w:r w:rsidR="00A14641" w:rsidRPr="003067B9">
        <w:rPr>
          <w:lang w:val="en-NZ"/>
        </w:rPr>
        <w:t xml:space="preserve"> and the Problem Gambling Foundation and will run for five weeks on social platforms </w:t>
      </w:r>
      <w:r w:rsidR="00B67BC9" w:rsidRPr="003067B9">
        <w:rPr>
          <w:lang w:val="en-NZ"/>
        </w:rPr>
        <w:t>such as</w:t>
      </w:r>
      <w:r w:rsidR="00A14641" w:rsidRPr="003067B9">
        <w:rPr>
          <w:lang w:val="en-NZ"/>
        </w:rPr>
        <w:t xml:space="preserve"> TikTok, Instagram, and LinkedIn. The series aims to start normalising conversations about </w:t>
      </w:r>
      <w:r w:rsidR="00A14641" w:rsidRPr="003067B9">
        <w:rPr>
          <w:lang w:val="en-NZ"/>
        </w:rPr>
        <w:lastRenderedPageBreak/>
        <w:t xml:space="preserve">gambling harm and the associated stigmas for </w:t>
      </w:r>
      <w:r w:rsidR="005D3396" w:rsidRPr="003067B9">
        <w:rPr>
          <w:lang w:val="en-NZ"/>
        </w:rPr>
        <w:t>Māori and</w:t>
      </w:r>
      <w:r w:rsidR="00A14641" w:rsidRPr="003067B9">
        <w:rPr>
          <w:lang w:val="en-NZ"/>
        </w:rPr>
        <w:t xml:space="preserve"> provide a new way to engage and talk about gambling harm. </w:t>
      </w:r>
    </w:p>
    <w:p w14:paraId="4315DD7F" w14:textId="402FC4CC" w:rsidR="00D35A94" w:rsidRPr="003067B9" w:rsidRDefault="002D02AB" w:rsidP="00FD3AA1">
      <w:pPr>
        <w:pStyle w:val="Bulletpoints"/>
        <w:rPr>
          <w:lang w:val="en-NZ"/>
        </w:rPr>
      </w:pPr>
      <w:r w:rsidRPr="003067B9">
        <w:rPr>
          <w:lang w:val="en-NZ"/>
        </w:rPr>
        <w:t>During th</w:t>
      </w:r>
      <w:r w:rsidR="00B40556" w:rsidRPr="003067B9">
        <w:rPr>
          <w:lang w:val="en-NZ"/>
        </w:rPr>
        <w:t>e</w:t>
      </w:r>
      <w:r w:rsidRPr="003067B9">
        <w:rPr>
          <w:lang w:val="en-NZ"/>
        </w:rPr>
        <w:t xml:space="preserve"> quarter, we</w:t>
      </w:r>
      <w:r w:rsidR="00541759" w:rsidRPr="003067B9">
        <w:rPr>
          <w:lang w:val="en-NZ"/>
        </w:rPr>
        <w:t xml:space="preserve"> also</w:t>
      </w:r>
      <w:r w:rsidRPr="003067B9">
        <w:rPr>
          <w:lang w:val="en-NZ"/>
        </w:rPr>
        <w:t xml:space="preserve"> signed three new agreements with incumbent providers for services to prevent and minimise gambling harm. Te Aka Whai Ora </w:t>
      </w:r>
      <w:r w:rsidR="00822253" w:rsidRPr="003067B9">
        <w:rPr>
          <w:lang w:val="en-NZ"/>
        </w:rPr>
        <w:t xml:space="preserve">contracted </w:t>
      </w:r>
      <w:r w:rsidRPr="003067B9">
        <w:rPr>
          <w:lang w:val="en-NZ"/>
        </w:rPr>
        <w:t>15 providers for equivalent Kaupapa Māori services to be delivered from quarter four</w:t>
      </w:r>
      <w:r w:rsidR="00BF6DAC" w:rsidRPr="003067B9">
        <w:rPr>
          <w:lang w:val="en-NZ"/>
        </w:rPr>
        <w:t>. T</w:t>
      </w:r>
      <w:r w:rsidR="00913D6D" w:rsidRPr="003067B9">
        <w:rPr>
          <w:lang w:val="en-NZ"/>
        </w:rPr>
        <w:t xml:space="preserve">hose </w:t>
      </w:r>
      <w:r w:rsidR="00051C86" w:rsidRPr="003067B9">
        <w:rPr>
          <w:lang w:val="en-NZ"/>
        </w:rPr>
        <w:t xml:space="preserve">contracts have transferred to Health NZ as </w:t>
      </w:r>
      <w:r w:rsidR="00FB356E" w:rsidRPr="003067B9">
        <w:rPr>
          <w:lang w:val="en-NZ"/>
        </w:rPr>
        <w:t>part of the transition for Te Aka Whai Ora</w:t>
      </w:r>
      <w:r w:rsidRPr="003067B9">
        <w:rPr>
          <w:lang w:val="en-NZ"/>
        </w:rPr>
        <w:t>. The next step is to implement workforce development and coordination initiatives</w:t>
      </w:r>
      <w:r w:rsidR="00E706F1" w:rsidRPr="003067B9">
        <w:rPr>
          <w:lang w:val="en-NZ"/>
        </w:rPr>
        <w:t xml:space="preserve">, </w:t>
      </w:r>
      <w:r w:rsidRPr="003067B9">
        <w:rPr>
          <w:lang w:val="en-NZ"/>
        </w:rPr>
        <w:t>includ</w:t>
      </w:r>
      <w:r w:rsidR="00E706F1" w:rsidRPr="003067B9">
        <w:rPr>
          <w:lang w:val="en-NZ"/>
        </w:rPr>
        <w:t>ing</w:t>
      </w:r>
      <w:r w:rsidRPr="003067B9">
        <w:rPr>
          <w:lang w:val="en-NZ"/>
        </w:rPr>
        <w:t xml:space="preserve"> public health and clinical intervention supports and services</w:t>
      </w:r>
      <w:r w:rsidR="0083222C">
        <w:rPr>
          <w:lang w:val="en-NZ"/>
        </w:rPr>
        <w:t>,</w:t>
      </w:r>
      <w:r w:rsidRPr="003067B9">
        <w:rPr>
          <w:lang w:val="en-NZ"/>
        </w:rPr>
        <w:t xml:space="preserve"> new services to reduce inequities in gambling harm</w:t>
      </w:r>
      <w:r w:rsidR="0083222C">
        <w:rPr>
          <w:lang w:val="en-NZ"/>
        </w:rPr>
        <w:t>,</w:t>
      </w:r>
      <w:r w:rsidRPr="003067B9">
        <w:rPr>
          <w:lang w:val="en-NZ"/>
        </w:rPr>
        <w:t xml:space="preserve"> and new digital self-help tools. </w:t>
      </w:r>
    </w:p>
    <w:p w14:paraId="039DA9D8" w14:textId="77777777" w:rsidR="000468AF" w:rsidRDefault="000468AF">
      <w:pPr>
        <w:spacing w:line="259" w:lineRule="auto"/>
        <w:rPr>
          <w:shd w:val="clear" w:color="auto" w:fill="FFFFFF"/>
          <w:lang w:val="en-NZ"/>
        </w:rPr>
      </w:pPr>
      <w:r>
        <w:rPr>
          <w:lang w:val="en-NZ"/>
        </w:rPr>
        <w:br w:type="page"/>
      </w:r>
    </w:p>
    <w:p w14:paraId="167E1426" w14:textId="25F6C913" w:rsidR="003020F2" w:rsidRPr="00D4706E" w:rsidRDefault="003020F2" w:rsidP="003B4595">
      <w:pPr>
        <w:pStyle w:val="NumberedHeading1"/>
        <w:numPr>
          <w:ilvl w:val="0"/>
          <w:numId w:val="7"/>
        </w:numPr>
        <w:tabs>
          <w:tab w:val="left" w:pos="1021"/>
        </w:tabs>
        <w:spacing w:before="480" w:after="120" w:line="288" w:lineRule="auto"/>
        <w:ind w:left="1021" w:hanging="1021"/>
        <w:rPr>
          <w:bCs w:val="0"/>
          <w:noProof w:val="0"/>
          <w:color w:val="15284C" w:themeColor="text2"/>
          <w:sz w:val="72"/>
          <w:szCs w:val="32"/>
        </w:rPr>
      </w:pPr>
      <w:bookmarkStart w:id="43" w:name="_Toc162008444"/>
      <w:bookmarkStart w:id="44" w:name="_Toc163580417"/>
      <w:bookmarkStart w:id="45" w:name="_Toc170199154"/>
      <w:r w:rsidRPr="00D4706E">
        <w:rPr>
          <w:bCs w:val="0"/>
          <w:noProof w:val="0"/>
          <w:color w:val="15284C" w:themeColor="text2"/>
          <w:sz w:val="72"/>
          <w:szCs w:val="32"/>
        </w:rPr>
        <w:lastRenderedPageBreak/>
        <w:t>Delivering Ola Manuia Pacific Health and Wellbeing Action Plan</w:t>
      </w:r>
      <w:bookmarkEnd w:id="43"/>
      <w:bookmarkEnd w:id="44"/>
      <w:bookmarkEnd w:id="45"/>
    </w:p>
    <w:p w14:paraId="3CA7675E" w14:textId="7062A178" w:rsidR="008054C5" w:rsidRPr="003067B9" w:rsidRDefault="00953C56" w:rsidP="006A6BEE">
      <w:pPr>
        <w:pStyle w:val="NormalWeb"/>
        <w:rPr>
          <w:rFonts w:ascii="Arial" w:hAnsi="Arial" w:cs="Arial"/>
          <w:b/>
          <w:color w:val="211D0F" w:themeColor="background1" w:themeShade="1A"/>
          <w:lang w:val="en-NZ"/>
        </w:rPr>
      </w:pPr>
      <w:r w:rsidRPr="003067B9">
        <w:rPr>
          <w:rFonts w:ascii="Arial" w:hAnsi="Arial" w:cs="Arial"/>
          <w:lang w:val="en-NZ"/>
        </w:rPr>
        <w:t>The plan sets out the priority outcomes and accompanying actions for the health and disability system for Pacific peoples.</w:t>
      </w:r>
    </w:p>
    <w:p w14:paraId="5F394898" w14:textId="39C11E76" w:rsidR="006B595B" w:rsidRPr="00D4706E" w:rsidRDefault="006B595B" w:rsidP="006A6BEE">
      <w:pPr>
        <w:pStyle w:val="Heading2"/>
        <w:rPr>
          <w:color w:val="15284C"/>
        </w:rPr>
      </w:pPr>
      <w:bookmarkStart w:id="46" w:name="_Toc170199155"/>
      <w:r w:rsidRPr="00D4706E">
        <w:rPr>
          <w:color w:val="15284C"/>
        </w:rPr>
        <w:t>Pacific Provider Development Fund</w:t>
      </w:r>
      <w:bookmarkEnd w:id="46"/>
    </w:p>
    <w:p w14:paraId="28BAA2C5" w14:textId="30FC2506" w:rsidR="00CF2890" w:rsidRPr="003067B9" w:rsidRDefault="00B40556" w:rsidP="009C6EB4">
      <w:pPr>
        <w:pStyle w:val="Bulletpoints"/>
        <w:rPr>
          <w:b/>
          <w:i/>
          <w:lang w:val="en-NZ"/>
        </w:rPr>
      </w:pPr>
      <w:r w:rsidRPr="003067B9">
        <w:rPr>
          <w:lang w:val="en-NZ"/>
        </w:rPr>
        <w:t>During the quarter</w:t>
      </w:r>
      <w:r w:rsidR="00CF2890" w:rsidRPr="003067B9">
        <w:rPr>
          <w:lang w:val="en-NZ"/>
        </w:rPr>
        <w:t xml:space="preserve">, as part of an initiative to enhance Pacific health providers' capability and capacity, there </w:t>
      </w:r>
      <w:r w:rsidR="00B85F61" w:rsidRPr="003067B9">
        <w:rPr>
          <w:lang w:val="en-NZ"/>
        </w:rPr>
        <w:t xml:space="preserve">were </w:t>
      </w:r>
      <w:r w:rsidR="00CF2890" w:rsidRPr="003067B9">
        <w:rPr>
          <w:lang w:val="en-NZ"/>
        </w:rPr>
        <w:t xml:space="preserve">15 active contracts with Pacific health providers, eight awaiting provider signatures and one in draft. The initiative has committed $5.702 million in 2023/24 to ensure that healthcare services meet the needs of Pacific </w:t>
      </w:r>
      <w:r w:rsidR="00940040">
        <w:rPr>
          <w:lang w:val="en-NZ"/>
        </w:rPr>
        <w:t>P</w:t>
      </w:r>
      <w:r w:rsidR="00CF2890" w:rsidRPr="003067B9">
        <w:rPr>
          <w:lang w:val="en-NZ"/>
        </w:rPr>
        <w:t>eoples.</w:t>
      </w:r>
    </w:p>
    <w:p w14:paraId="698F72F6" w14:textId="46F5DFA6" w:rsidR="00146EAC" w:rsidRPr="00D4706E" w:rsidRDefault="008A076A" w:rsidP="006A6BEE">
      <w:pPr>
        <w:pStyle w:val="Heading2"/>
        <w:rPr>
          <w:color w:val="15284C"/>
        </w:rPr>
      </w:pPr>
      <w:bookmarkStart w:id="47" w:name="_Toc170199156"/>
      <w:r w:rsidRPr="00D4706E">
        <w:rPr>
          <w:color w:val="15284C"/>
        </w:rPr>
        <w:t>Pacific Health Scholarships</w:t>
      </w:r>
      <w:bookmarkEnd w:id="47"/>
    </w:p>
    <w:p w14:paraId="5B5E82E5" w14:textId="7B6297A8" w:rsidR="007A05BC" w:rsidRPr="003067B9" w:rsidRDefault="007A05BC" w:rsidP="009C6EB4">
      <w:pPr>
        <w:pStyle w:val="Bulletpoints"/>
        <w:rPr>
          <w:b/>
          <w:i/>
          <w:lang w:val="en-NZ"/>
        </w:rPr>
      </w:pPr>
      <w:r w:rsidRPr="003067B9">
        <w:rPr>
          <w:lang w:val="en-NZ"/>
        </w:rPr>
        <w:t xml:space="preserve">Applications for the 2024 Pacific Health scholarships significantly increased (428 applications compared to 288 last year). Scholarships are expected to be awarded to </w:t>
      </w:r>
      <w:r w:rsidR="00ED13D4">
        <w:rPr>
          <w:lang w:val="en-NZ"/>
        </w:rPr>
        <w:t>more than</w:t>
      </w:r>
      <w:r w:rsidR="00ED13D4" w:rsidRPr="003067B9">
        <w:rPr>
          <w:lang w:val="en-NZ"/>
        </w:rPr>
        <w:t xml:space="preserve"> </w:t>
      </w:r>
      <w:r w:rsidRPr="003067B9">
        <w:rPr>
          <w:lang w:val="en-NZ"/>
        </w:rPr>
        <w:t xml:space="preserve">300 students, providing $2 million (an increase from $1.5 million in 2023) to support Pacific students </w:t>
      </w:r>
      <w:r w:rsidR="00F6341C" w:rsidRPr="003067B9">
        <w:rPr>
          <w:lang w:val="en-NZ"/>
        </w:rPr>
        <w:t>to complete</w:t>
      </w:r>
      <w:r w:rsidRPr="003067B9">
        <w:rPr>
          <w:lang w:val="en-NZ"/>
        </w:rPr>
        <w:t xml:space="preserve"> their health studies. Awards were confirmed in April. </w:t>
      </w:r>
    </w:p>
    <w:p w14:paraId="64A5FF8D" w14:textId="58362419" w:rsidR="0006622F" w:rsidRPr="00D4706E" w:rsidRDefault="0006622F" w:rsidP="006A6BEE">
      <w:pPr>
        <w:pStyle w:val="Heading2"/>
        <w:rPr>
          <w:color w:val="15284C"/>
        </w:rPr>
      </w:pPr>
      <w:bookmarkStart w:id="48" w:name="_Toc170199157"/>
      <w:r w:rsidRPr="00D4706E">
        <w:rPr>
          <w:color w:val="15284C"/>
        </w:rPr>
        <w:t>Pacific Health Science Academies</w:t>
      </w:r>
      <w:bookmarkEnd w:id="48"/>
    </w:p>
    <w:p w14:paraId="39183E4F" w14:textId="15204E5F" w:rsidR="00AF56A7" w:rsidRPr="003067B9" w:rsidRDefault="00AF56A7" w:rsidP="009C6EB4">
      <w:pPr>
        <w:pStyle w:val="Bulletpoints"/>
        <w:rPr>
          <w:b/>
          <w:i/>
          <w:lang w:val="en-NZ"/>
        </w:rPr>
      </w:pPr>
      <w:bookmarkStart w:id="49" w:name="_Toc162008445"/>
      <w:bookmarkStart w:id="50" w:name="_Toc163580418"/>
      <w:r w:rsidRPr="003067B9">
        <w:rPr>
          <w:lang w:val="en-NZ"/>
        </w:rPr>
        <w:t xml:space="preserve">We fund the Pacific Health Science Academies (HSA) in the Northern </w:t>
      </w:r>
      <w:r w:rsidR="00F6341C" w:rsidRPr="003067B9">
        <w:rPr>
          <w:lang w:val="en-NZ"/>
        </w:rPr>
        <w:t>R</w:t>
      </w:r>
      <w:r w:rsidRPr="003067B9">
        <w:rPr>
          <w:lang w:val="en-NZ"/>
        </w:rPr>
        <w:t xml:space="preserve">egion. In February, six high school leavers from schools that ran the HSA completed a three-week summer internship with MedTech (the HealthTech Challenge), </w:t>
      </w:r>
      <w:r w:rsidR="00FD738C" w:rsidRPr="003067B9">
        <w:rPr>
          <w:lang w:val="en-NZ"/>
        </w:rPr>
        <w:t xml:space="preserve">focusing </w:t>
      </w:r>
      <w:r w:rsidRPr="003067B9">
        <w:rPr>
          <w:lang w:val="en-NZ"/>
        </w:rPr>
        <w:t xml:space="preserve">on research projects identifying digital solutions for community health. The students gained exposure to the health and medical technology and research development field, with solutions designed using their local context. </w:t>
      </w:r>
    </w:p>
    <w:p w14:paraId="60F0D8F3" w14:textId="77777777" w:rsidR="00D82F5F" w:rsidRPr="003067B9" w:rsidRDefault="00D82F5F" w:rsidP="00D82F5F">
      <w:pPr>
        <w:pStyle w:val="Bulletpoints"/>
        <w:numPr>
          <w:ilvl w:val="0"/>
          <w:numId w:val="0"/>
        </w:numPr>
        <w:ind w:left="397" w:hanging="397"/>
        <w:rPr>
          <w:lang w:val="en-NZ"/>
        </w:rPr>
      </w:pPr>
    </w:p>
    <w:p w14:paraId="18A6FD66" w14:textId="77777777" w:rsidR="006F6FE7" w:rsidRPr="003067B9" w:rsidRDefault="006F6FE7" w:rsidP="00D82F5F">
      <w:pPr>
        <w:pStyle w:val="Bulletpoints"/>
        <w:numPr>
          <w:ilvl w:val="0"/>
          <w:numId w:val="0"/>
        </w:numPr>
        <w:ind w:left="397" w:hanging="397"/>
        <w:rPr>
          <w:lang w:val="en-NZ"/>
        </w:rPr>
      </w:pPr>
    </w:p>
    <w:p w14:paraId="3A67266D" w14:textId="77777777" w:rsidR="006F6FE7" w:rsidRPr="003067B9" w:rsidRDefault="006F6FE7" w:rsidP="00D82F5F">
      <w:pPr>
        <w:pStyle w:val="Bulletpoints"/>
        <w:numPr>
          <w:ilvl w:val="0"/>
          <w:numId w:val="0"/>
        </w:numPr>
        <w:ind w:left="397" w:hanging="397"/>
        <w:rPr>
          <w:lang w:val="en-NZ"/>
        </w:rPr>
      </w:pPr>
    </w:p>
    <w:p w14:paraId="1432E1B0" w14:textId="77777777" w:rsidR="006F6FE7" w:rsidRPr="003067B9" w:rsidRDefault="006F6FE7" w:rsidP="00D82F5F">
      <w:pPr>
        <w:pStyle w:val="Bulletpoints"/>
        <w:numPr>
          <w:ilvl w:val="0"/>
          <w:numId w:val="0"/>
        </w:numPr>
        <w:ind w:left="397" w:hanging="397"/>
        <w:rPr>
          <w:lang w:val="en-NZ"/>
        </w:rPr>
      </w:pPr>
    </w:p>
    <w:p w14:paraId="4E6A8196" w14:textId="77777777" w:rsidR="006F6FE7" w:rsidRPr="003067B9" w:rsidRDefault="006F6FE7" w:rsidP="00D82F5F">
      <w:pPr>
        <w:pStyle w:val="Bulletpoints"/>
        <w:numPr>
          <w:ilvl w:val="0"/>
          <w:numId w:val="0"/>
        </w:numPr>
        <w:ind w:left="397" w:hanging="397"/>
        <w:rPr>
          <w:lang w:val="en-NZ"/>
        </w:rPr>
      </w:pPr>
    </w:p>
    <w:p w14:paraId="7A821AAD" w14:textId="7F0EABD9" w:rsidR="00E15911" w:rsidRPr="00D4706E" w:rsidRDefault="00E15911" w:rsidP="003B4595">
      <w:pPr>
        <w:pStyle w:val="NumberedHeading1"/>
        <w:numPr>
          <w:ilvl w:val="0"/>
          <w:numId w:val="7"/>
        </w:numPr>
        <w:tabs>
          <w:tab w:val="left" w:pos="1021"/>
        </w:tabs>
        <w:spacing w:before="480" w:after="120" w:line="288" w:lineRule="auto"/>
        <w:ind w:left="1021" w:hanging="1021"/>
        <w:rPr>
          <w:bCs w:val="0"/>
          <w:noProof w:val="0"/>
          <w:color w:val="15284C" w:themeColor="text2"/>
          <w:sz w:val="72"/>
          <w:szCs w:val="32"/>
        </w:rPr>
      </w:pPr>
      <w:bookmarkStart w:id="51" w:name="_Toc170199158"/>
      <w:r w:rsidRPr="00D4706E">
        <w:rPr>
          <w:bCs w:val="0"/>
          <w:noProof w:val="0"/>
          <w:color w:val="15284C" w:themeColor="text2"/>
          <w:sz w:val="72"/>
          <w:szCs w:val="32"/>
        </w:rPr>
        <w:lastRenderedPageBreak/>
        <w:t>Non-</w:t>
      </w:r>
      <w:r w:rsidR="00361590">
        <w:rPr>
          <w:bCs w:val="0"/>
          <w:noProof w:val="0"/>
          <w:color w:val="15284C" w:themeColor="text2"/>
          <w:sz w:val="72"/>
          <w:szCs w:val="32"/>
        </w:rPr>
        <w:t>f</w:t>
      </w:r>
      <w:r w:rsidRPr="00D4706E">
        <w:rPr>
          <w:bCs w:val="0"/>
          <w:noProof w:val="0"/>
          <w:color w:val="15284C" w:themeColor="text2"/>
          <w:sz w:val="72"/>
          <w:szCs w:val="32"/>
        </w:rPr>
        <w:t xml:space="preserve">inancial </w:t>
      </w:r>
      <w:r w:rsidR="00361590">
        <w:rPr>
          <w:bCs w:val="0"/>
          <w:noProof w:val="0"/>
          <w:color w:val="15284C" w:themeColor="text2"/>
          <w:sz w:val="72"/>
          <w:szCs w:val="32"/>
        </w:rPr>
        <w:t>p</w:t>
      </w:r>
      <w:r w:rsidRPr="00D4706E">
        <w:rPr>
          <w:bCs w:val="0"/>
          <w:noProof w:val="0"/>
          <w:color w:val="15284C" w:themeColor="text2"/>
          <w:sz w:val="72"/>
          <w:szCs w:val="32"/>
        </w:rPr>
        <w:t>erformance</w:t>
      </w:r>
      <w:bookmarkEnd w:id="49"/>
      <w:bookmarkEnd w:id="50"/>
      <w:r w:rsidR="00E93746" w:rsidRPr="00D4706E">
        <w:rPr>
          <w:bCs w:val="0"/>
          <w:noProof w:val="0"/>
          <w:color w:val="15284C" w:themeColor="text2"/>
          <w:sz w:val="72"/>
          <w:szCs w:val="32"/>
        </w:rPr>
        <w:t xml:space="preserve"> </w:t>
      </w:r>
      <w:r w:rsidR="00361590">
        <w:rPr>
          <w:bCs w:val="0"/>
          <w:noProof w:val="0"/>
          <w:color w:val="15284C" w:themeColor="text2"/>
          <w:sz w:val="72"/>
          <w:szCs w:val="32"/>
        </w:rPr>
        <w:t>r</w:t>
      </w:r>
      <w:r w:rsidR="00E93746" w:rsidRPr="00D4706E">
        <w:rPr>
          <w:bCs w:val="0"/>
          <w:noProof w:val="0"/>
          <w:color w:val="15284C" w:themeColor="text2"/>
          <w:sz w:val="72"/>
          <w:szCs w:val="32"/>
        </w:rPr>
        <w:t>esults</w:t>
      </w:r>
      <w:bookmarkEnd w:id="51"/>
    </w:p>
    <w:p w14:paraId="5F02327D" w14:textId="77777777" w:rsidR="00DB2833" w:rsidRPr="003067B9" w:rsidRDefault="00DB2833" w:rsidP="00DB2833">
      <w:pPr>
        <w:rPr>
          <w:szCs w:val="24"/>
          <w:lang w:val="en-NZ"/>
        </w:rPr>
      </w:pPr>
      <w:r w:rsidRPr="003067B9">
        <w:rPr>
          <w:szCs w:val="24"/>
          <w:lang w:val="en-NZ"/>
        </w:rPr>
        <w:t xml:space="preserve">We track performance using measures and milestones in our Statement of Performance Expectations (SPE) for 2023/24, the interim New Zealand Health Plan | Te Pae Tata 2022-2024 and some additional clinical performance metrics that our Board decided to publish for transparency in December 2022. </w:t>
      </w:r>
    </w:p>
    <w:p w14:paraId="7257C0AC" w14:textId="0A3B8E1A" w:rsidR="00DB2833" w:rsidRPr="003067B9" w:rsidRDefault="00DB2833" w:rsidP="00DB2833">
      <w:pPr>
        <w:rPr>
          <w:szCs w:val="24"/>
          <w:lang w:val="en-NZ"/>
        </w:rPr>
      </w:pPr>
      <w:r w:rsidRPr="003067B9">
        <w:rPr>
          <w:szCs w:val="24"/>
          <w:lang w:val="en-NZ"/>
        </w:rPr>
        <w:t>This report includes results for 2</w:t>
      </w:r>
      <w:r w:rsidR="00081F73" w:rsidRPr="003067B9">
        <w:rPr>
          <w:szCs w:val="24"/>
          <w:lang w:val="en-NZ"/>
        </w:rPr>
        <w:t>2</w:t>
      </w:r>
      <w:r w:rsidRPr="003067B9">
        <w:rPr>
          <w:szCs w:val="24"/>
          <w:lang w:val="en-NZ"/>
        </w:rPr>
        <w:t xml:space="preserve"> measures which are reported quarterly, six-monthly and</w:t>
      </w:r>
      <w:r w:rsidR="00DC7492">
        <w:rPr>
          <w:szCs w:val="24"/>
          <w:lang w:val="en-NZ"/>
        </w:rPr>
        <w:t xml:space="preserve"> </w:t>
      </w:r>
      <w:r w:rsidRPr="003067B9">
        <w:rPr>
          <w:szCs w:val="24"/>
          <w:lang w:val="en-NZ"/>
        </w:rPr>
        <w:t>/</w:t>
      </w:r>
      <w:r w:rsidR="00DC7492">
        <w:rPr>
          <w:szCs w:val="24"/>
          <w:lang w:val="en-NZ"/>
        </w:rPr>
        <w:t xml:space="preserve"> </w:t>
      </w:r>
      <w:r w:rsidRPr="003067B9">
        <w:rPr>
          <w:szCs w:val="24"/>
          <w:lang w:val="en-NZ"/>
        </w:rPr>
        <w:t xml:space="preserve">or annually. The measures aim to assess our performance across the country, track performance consistently over time and enable us to develop solutions that address local issues. </w:t>
      </w:r>
    </w:p>
    <w:p w14:paraId="78927F27" w14:textId="51F42447" w:rsidR="00081F73" w:rsidRPr="003067B9" w:rsidRDefault="00DF045B" w:rsidP="00DB2833">
      <w:pPr>
        <w:rPr>
          <w:szCs w:val="24"/>
          <w:lang w:val="en-NZ"/>
        </w:rPr>
      </w:pPr>
      <w:r w:rsidRPr="003067B9">
        <w:rPr>
          <w:szCs w:val="24"/>
          <w:lang w:val="en-NZ"/>
        </w:rPr>
        <w:t>We remain unable to report Newborn Enrolment results. Previously this measure was calculated using data from the National Immunisation Register (NIR). The NIR has</w:t>
      </w:r>
      <w:r w:rsidR="00FD738C" w:rsidRPr="003067B9">
        <w:rPr>
          <w:szCs w:val="24"/>
          <w:lang w:val="en-NZ"/>
        </w:rPr>
        <w:t xml:space="preserve"> now</w:t>
      </w:r>
      <w:r w:rsidRPr="003067B9">
        <w:rPr>
          <w:szCs w:val="24"/>
          <w:lang w:val="en-NZ"/>
        </w:rPr>
        <w:t xml:space="preserve"> been decommissioned and replaced with the Aotearoa Immunisation Register (AIR). We are moving to use the national enrolment system to calculate this measure and methods of calculation are still being refined.  We will be able to report this measure from quarter four</w:t>
      </w:r>
      <w:r w:rsidR="007D3C00" w:rsidRPr="003067B9">
        <w:rPr>
          <w:szCs w:val="24"/>
          <w:lang w:val="en-NZ"/>
        </w:rPr>
        <w:t>.</w:t>
      </w:r>
    </w:p>
    <w:p w14:paraId="2B876977" w14:textId="52D36220" w:rsidR="00DB2833" w:rsidRPr="003067B9" w:rsidRDefault="00DB2833" w:rsidP="00DB2833">
      <w:pPr>
        <w:rPr>
          <w:szCs w:val="24"/>
          <w:lang w:val="en-NZ"/>
        </w:rPr>
      </w:pPr>
      <w:r w:rsidRPr="003067B9">
        <w:rPr>
          <w:szCs w:val="24"/>
          <w:lang w:val="en-NZ"/>
        </w:rPr>
        <w:t xml:space="preserve">From quarter two, we </w:t>
      </w:r>
      <w:r w:rsidR="3BD7945C" w:rsidRPr="003067B9">
        <w:rPr>
          <w:szCs w:val="24"/>
          <w:lang w:val="en-NZ"/>
        </w:rPr>
        <w:t>included</w:t>
      </w:r>
      <w:r w:rsidRPr="003067B9">
        <w:rPr>
          <w:szCs w:val="24"/>
          <w:lang w:val="en-NZ"/>
        </w:rPr>
        <w:t xml:space="preserve"> the clinical performance metrics </w:t>
      </w:r>
      <w:r w:rsidR="6822FEF4" w:rsidRPr="003067B9">
        <w:rPr>
          <w:szCs w:val="24"/>
          <w:lang w:val="en-NZ"/>
        </w:rPr>
        <w:t>in</w:t>
      </w:r>
      <w:r w:rsidRPr="003067B9">
        <w:rPr>
          <w:szCs w:val="24"/>
          <w:lang w:val="en-NZ"/>
        </w:rPr>
        <w:t xml:space="preserve"> this report (previously published separately). The clinical performance metrics are identified with a </w:t>
      </w:r>
      <w:r w:rsidR="00564EA3">
        <w:rPr>
          <w:szCs w:val="24"/>
          <w:lang w:val="en-NZ"/>
        </w:rPr>
        <w:t>‘</w:t>
      </w:r>
      <w:r w:rsidRPr="003067B9">
        <w:rPr>
          <w:szCs w:val="24"/>
          <w:lang w:val="en-NZ"/>
        </w:rPr>
        <w:t>+</w:t>
      </w:r>
      <w:r w:rsidR="00564EA3">
        <w:rPr>
          <w:szCs w:val="24"/>
          <w:lang w:val="en-NZ"/>
        </w:rPr>
        <w:t>’</w:t>
      </w:r>
      <w:r w:rsidRPr="003067B9">
        <w:rPr>
          <w:szCs w:val="24"/>
          <w:lang w:val="en-NZ"/>
        </w:rPr>
        <w:t xml:space="preserve"> symbol for ease of navigation. </w:t>
      </w:r>
    </w:p>
    <w:p w14:paraId="04E5D220" w14:textId="0CCB1FA9" w:rsidR="00DB2833" w:rsidRPr="003067B9" w:rsidRDefault="00DB2833" w:rsidP="00DB2833">
      <w:pPr>
        <w:rPr>
          <w:szCs w:val="24"/>
          <w:lang w:val="en-NZ"/>
        </w:rPr>
      </w:pPr>
      <w:r w:rsidRPr="003067B9">
        <w:rPr>
          <w:szCs w:val="24"/>
          <w:lang w:val="en-NZ"/>
        </w:rPr>
        <w:t xml:space="preserve">We have provided, where possible, breakdowns of our measures by region, ethnicity and areas (using former </w:t>
      </w:r>
      <w:r w:rsidR="00FD738C" w:rsidRPr="003067B9">
        <w:rPr>
          <w:szCs w:val="24"/>
          <w:lang w:val="en-NZ"/>
        </w:rPr>
        <w:t xml:space="preserve">DHB </w:t>
      </w:r>
      <w:r w:rsidRPr="003067B9">
        <w:rPr>
          <w:szCs w:val="24"/>
          <w:lang w:val="en-NZ"/>
        </w:rPr>
        <w:t>boundaries). Ethnicity data is sourced from prioritised ethnicity in the National Health Index system. For Ambulatory Sensitive Hospitalisations and Acute Bed Day rates, ethnicity data was matched to prioritised ethnicity in Stats NZ</w:t>
      </w:r>
      <w:r w:rsidR="005D3396" w:rsidRPr="003067B9">
        <w:rPr>
          <w:szCs w:val="24"/>
          <w:lang w:val="en-NZ"/>
        </w:rPr>
        <w:t>’s</w:t>
      </w:r>
      <w:r w:rsidRPr="003067B9">
        <w:rPr>
          <w:szCs w:val="24"/>
          <w:lang w:val="en-NZ"/>
        </w:rPr>
        <w:t xml:space="preserve"> Usual Resident Population projections.</w:t>
      </w:r>
    </w:p>
    <w:p w14:paraId="7FBACB92" w14:textId="4314C36C" w:rsidR="00DB2833" w:rsidRPr="003067B9" w:rsidRDefault="00DB2833" w:rsidP="00DB2833">
      <w:pPr>
        <w:rPr>
          <w:szCs w:val="24"/>
          <w:lang w:val="en-NZ"/>
        </w:rPr>
      </w:pPr>
      <w:r w:rsidRPr="003067B9">
        <w:rPr>
          <w:szCs w:val="24"/>
          <w:lang w:val="en-NZ"/>
        </w:rPr>
        <w:t xml:space="preserve">All performance data provides a snapshot in time. </w:t>
      </w:r>
      <w:r w:rsidR="1124F4E4" w:rsidRPr="003067B9">
        <w:rPr>
          <w:szCs w:val="24"/>
          <w:lang w:val="en-NZ"/>
        </w:rPr>
        <w:t>On</w:t>
      </w:r>
      <w:r w:rsidRPr="003067B9">
        <w:rPr>
          <w:szCs w:val="24"/>
          <w:lang w:val="en-NZ"/>
        </w:rPr>
        <w:t xml:space="preserve"> any given day, there may be variances depending </w:t>
      </w:r>
      <w:r w:rsidR="00473124" w:rsidRPr="003067B9">
        <w:rPr>
          <w:szCs w:val="24"/>
          <w:lang w:val="en-NZ"/>
        </w:rPr>
        <w:t>on</w:t>
      </w:r>
      <w:r w:rsidRPr="003067B9">
        <w:rPr>
          <w:szCs w:val="24"/>
          <w:lang w:val="en-NZ"/>
        </w:rPr>
        <w:t xml:space="preserve"> when data is uploaded and subsequently extracted.  While we have taken all reasonable steps to ensure the accuracy and completeness of the information in this report, we accept no liability or responsibility for how the information is used or subsequently relied on. </w:t>
      </w:r>
      <w:r w:rsidR="0086348A" w:rsidRPr="003067B9">
        <w:rPr>
          <w:szCs w:val="24"/>
          <w:lang w:val="en-NZ"/>
        </w:rPr>
        <w:t>When comparing the data from the last quarterly report</w:t>
      </w:r>
      <w:r w:rsidR="004715AF" w:rsidRPr="003067B9">
        <w:rPr>
          <w:szCs w:val="24"/>
          <w:lang w:val="en-NZ"/>
        </w:rPr>
        <w:t>s</w:t>
      </w:r>
      <w:r w:rsidR="0086348A" w:rsidRPr="003067B9">
        <w:rPr>
          <w:szCs w:val="24"/>
          <w:lang w:val="en-NZ"/>
        </w:rPr>
        <w:t xml:space="preserve"> to the current one, you may notice slight variations due to the latter data being more complete.</w:t>
      </w:r>
      <w:r w:rsidRPr="003067B9">
        <w:rPr>
          <w:szCs w:val="24"/>
          <w:lang w:val="en-NZ"/>
        </w:rPr>
        <w:t xml:space="preserve"> </w:t>
      </w:r>
    </w:p>
    <w:p w14:paraId="3C2097DA" w14:textId="4FB21292" w:rsidR="00DB2833" w:rsidRPr="003067B9" w:rsidRDefault="00DB2833" w:rsidP="00DB2833">
      <w:pPr>
        <w:rPr>
          <w:szCs w:val="24"/>
          <w:lang w:val="en-NZ"/>
        </w:rPr>
      </w:pPr>
      <w:r w:rsidRPr="003067B9">
        <w:rPr>
          <w:szCs w:val="24"/>
          <w:lang w:val="en-NZ"/>
        </w:rPr>
        <w:t>Data validation is done at both national and (where relevant) local level</w:t>
      </w:r>
      <w:r w:rsidR="00E75E0F" w:rsidRPr="003067B9">
        <w:rPr>
          <w:szCs w:val="24"/>
          <w:lang w:val="en-NZ"/>
        </w:rPr>
        <w:t>s</w:t>
      </w:r>
      <w:r w:rsidRPr="003067B9">
        <w:rPr>
          <w:szCs w:val="24"/>
          <w:lang w:val="en-NZ"/>
        </w:rPr>
        <w:t>, by clinical and data teams, subject matter experts and those involved in the creation of the report. Where the term “district” is used throughout this report, it refers to the geographic boundaries covered by former</w:t>
      </w:r>
      <w:r w:rsidR="00FF61AA">
        <w:rPr>
          <w:szCs w:val="24"/>
          <w:lang w:val="en-NZ"/>
        </w:rPr>
        <w:t xml:space="preserve"> </w:t>
      </w:r>
      <w:r w:rsidRPr="003067B9">
        <w:rPr>
          <w:szCs w:val="24"/>
          <w:lang w:val="en-NZ"/>
        </w:rPr>
        <w:t xml:space="preserve">DHBs. </w:t>
      </w:r>
    </w:p>
    <w:p w14:paraId="496E4AC1" w14:textId="59822252" w:rsidR="00DB2833" w:rsidRPr="003067B9" w:rsidRDefault="00DB2833" w:rsidP="00DB2833">
      <w:pPr>
        <w:rPr>
          <w:szCs w:val="24"/>
          <w:lang w:val="en-NZ"/>
        </w:rPr>
      </w:pPr>
      <w:r w:rsidRPr="003067B9">
        <w:rPr>
          <w:szCs w:val="24"/>
          <w:lang w:val="en-NZ"/>
        </w:rPr>
        <w:t>Details of the measure definition, target, baseline</w:t>
      </w:r>
      <w:r w:rsidR="26D8007D" w:rsidRPr="003067B9">
        <w:rPr>
          <w:szCs w:val="24"/>
          <w:lang w:val="en-NZ"/>
        </w:rPr>
        <w:t>,</w:t>
      </w:r>
      <w:r w:rsidRPr="003067B9">
        <w:rPr>
          <w:szCs w:val="24"/>
          <w:lang w:val="en-NZ"/>
        </w:rPr>
        <w:t xml:space="preserve"> and accountability document where the measure is drawn from</w:t>
      </w:r>
      <w:r w:rsidR="432451F6" w:rsidRPr="003067B9">
        <w:rPr>
          <w:szCs w:val="24"/>
          <w:lang w:val="en-NZ"/>
        </w:rPr>
        <w:t>,</w:t>
      </w:r>
      <w:r w:rsidRPr="003067B9">
        <w:rPr>
          <w:szCs w:val="24"/>
          <w:lang w:val="en-NZ"/>
        </w:rPr>
        <w:t xml:space="preserve"> are included in Appendix 1.  </w:t>
      </w:r>
    </w:p>
    <w:p w14:paraId="2736AFAC" w14:textId="77777777" w:rsidR="00DB2833" w:rsidRPr="003067B9" w:rsidRDefault="00DB2833" w:rsidP="00DB2833">
      <w:pPr>
        <w:rPr>
          <w:szCs w:val="24"/>
          <w:lang w:val="en-NZ"/>
        </w:rPr>
      </w:pPr>
      <w:r w:rsidRPr="003067B9">
        <w:rPr>
          <w:szCs w:val="24"/>
          <w:lang w:val="en-NZ"/>
        </w:rPr>
        <w:t xml:space="preserve">Results for local areas are available for clinical performance metrics in Appendix 2.  </w:t>
      </w:r>
    </w:p>
    <w:p w14:paraId="15FCCD9A" w14:textId="3D2D8C81" w:rsidR="00611217" w:rsidRPr="00D4706E" w:rsidRDefault="00611217" w:rsidP="00F63881">
      <w:pPr>
        <w:pStyle w:val="Heading3"/>
        <w:spacing w:before="360" w:line="288" w:lineRule="auto"/>
        <w:rPr>
          <w:rFonts w:eastAsiaTheme="majorEastAsia"/>
          <w:bCs w:val="0"/>
          <w:color w:val="15284C"/>
          <w:sz w:val="36"/>
        </w:rPr>
      </w:pPr>
      <w:bookmarkStart w:id="52" w:name="_Toc163580419"/>
      <w:r w:rsidRPr="00D4706E">
        <w:rPr>
          <w:rFonts w:eastAsiaTheme="majorEastAsia"/>
          <w:bCs w:val="0"/>
          <w:color w:val="15284C"/>
          <w:sz w:val="36"/>
        </w:rPr>
        <w:lastRenderedPageBreak/>
        <w:t>Performance measures – high-level summary</w:t>
      </w:r>
      <w:bookmarkEnd w:id="52"/>
    </w:p>
    <w:p w14:paraId="35C03DDC" w14:textId="14594EFD" w:rsidR="000A4E15" w:rsidRPr="003067B9" w:rsidRDefault="000A4E15" w:rsidP="009C6EB4">
      <w:pPr>
        <w:rPr>
          <w:lang w:val="en-NZ"/>
        </w:rPr>
      </w:pPr>
      <w:r w:rsidRPr="003067B9">
        <w:rPr>
          <w:lang w:val="en-NZ"/>
        </w:rPr>
        <w:t xml:space="preserve">The table below shows the quarter three results for </w:t>
      </w:r>
      <w:r w:rsidR="007050A2" w:rsidRPr="003067B9">
        <w:rPr>
          <w:lang w:val="en-NZ"/>
        </w:rPr>
        <w:t xml:space="preserve">22 </w:t>
      </w:r>
      <w:r w:rsidRPr="003067B9">
        <w:rPr>
          <w:lang w:val="en-NZ"/>
        </w:rPr>
        <w:t xml:space="preserve">measures, compared to quarter two 23/24. Those with more than 2% change </w:t>
      </w:r>
      <w:r w:rsidR="0032660C" w:rsidRPr="003067B9">
        <w:rPr>
          <w:lang w:val="en-NZ"/>
        </w:rPr>
        <w:t>(a level adopted to indicate some materiality)</w:t>
      </w:r>
      <w:r w:rsidRPr="003067B9">
        <w:rPr>
          <w:lang w:val="en-NZ"/>
        </w:rPr>
        <w:t xml:space="preserve"> are marked </w:t>
      </w:r>
      <w:r w:rsidRPr="003067B9">
        <w:rPr>
          <w:rFonts w:ascii="Wingdings" w:eastAsia="Wingdings" w:hAnsi="Wingdings" w:cs="Wingdings"/>
          <w:b/>
          <w:color w:val="00B050"/>
          <w:lang w:val="en-NZ"/>
        </w:rPr>
        <w:t>Ý</w:t>
      </w:r>
      <w:r w:rsidRPr="003067B9">
        <w:rPr>
          <w:lang w:val="en-NZ"/>
        </w:rPr>
        <w:t xml:space="preserve"> </w:t>
      </w:r>
      <w:r w:rsidRPr="003067B9">
        <w:rPr>
          <w:rFonts w:ascii="Wingdings" w:eastAsia="Wingdings" w:hAnsi="Wingdings" w:cs="Wingdings"/>
          <w:b/>
          <w:color w:val="00B050"/>
          <w:lang w:val="en-NZ"/>
        </w:rPr>
        <w:t>Þ</w:t>
      </w:r>
      <w:r w:rsidRPr="003067B9">
        <w:rPr>
          <w:lang w:val="en-NZ"/>
        </w:rPr>
        <w:t xml:space="preserve"> improving (1), or </w:t>
      </w:r>
      <w:r w:rsidRPr="003067B9">
        <w:rPr>
          <w:rFonts w:ascii="Wingdings" w:eastAsia="Wingdings" w:hAnsi="Wingdings" w:cs="Wingdings"/>
          <w:b/>
          <w:color w:val="FF0000"/>
          <w:lang w:val="en-NZ"/>
        </w:rPr>
        <w:t>Þ</w:t>
      </w:r>
      <w:r w:rsidRPr="003067B9">
        <w:rPr>
          <w:lang w:val="en-NZ"/>
        </w:rPr>
        <w:t xml:space="preserve"> </w:t>
      </w:r>
      <w:r w:rsidRPr="003067B9">
        <w:rPr>
          <w:rFonts w:ascii="Wingdings" w:eastAsia="Wingdings" w:hAnsi="Wingdings" w:cs="Wingdings"/>
          <w:b/>
          <w:color w:val="FF0000"/>
          <w:lang w:val="en-NZ"/>
        </w:rPr>
        <w:t>Ý</w:t>
      </w:r>
      <w:r w:rsidRPr="003067B9">
        <w:rPr>
          <w:lang w:val="en-NZ"/>
        </w:rPr>
        <w:t xml:space="preserve"> </w:t>
      </w:r>
      <w:r w:rsidR="00787674" w:rsidRPr="003067B9">
        <w:rPr>
          <w:lang w:val="en-NZ"/>
        </w:rPr>
        <w:t xml:space="preserve">slipping </w:t>
      </w:r>
      <w:r w:rsidRPr="003067B9">
        <w:rPr>
          <w:lang w:val="en-NZ"/>
        </w:rPr>
        <w:t>(</w:t>
      </w:r>
      <w:r w:rsidR="004E6307" w:rsidRPr="003067B9">
        <w:rPr>
          <w:lang w:val="en-NZ"/>
        </w:rPr>
        <w:t>8</w:t>
      </w:r>
      <w:r w:rsidRPr="003067B9">
        <w:rPr>
          <w:lang w:val="en-NZ"/>
        </w:rPr>
        <w:t>).  All measures are discussed on the following pages.</w:t>
      </w:r>
    </w:p>
    <w:tbl>
      <w:tblPr>
        <w:tblStyle w:val="ListTable3"/>
        <w:tblW w:w="5265" w:type="pct"/>
        <w:tblLook w:val="0420" w:firstRow="1" w:lastRow="0" w:firstColumn="0" w:lastColumn="0" w:noHBand="0" w:noVBand="1"/>
      </w:tblPr>
      <w:tblGrid>
        <w:gridCol w:w="678"/>
        <w:gridCol w:w="6264"/>
        <w:gridCol w:w="1284"/>
        <w:gridCol w:w="1443"/>
      </w:tblGrid>
      <w:tr w:rsidR="000C2D85" w:rsidRPr="00D4706E" w14:paraId="4AE3B148" w14:textId="77777777" w:rsidTr="00DF681A">
        <w:trPr>
          <w:cnfStyle w:val="100000000000" w:firstRow="1" w:lastRow="0" w:firstColumn="0" w:lastColumn="0" w:oddVBand="0" w:evenVBand="0" w:oddHBand="0" w:evenHBand="0" w:firstRowFirstColumn="0" w:firstRowLastColumn="0" w:lastRowFirstColumn="0" w:lastRowLastColumn="0"/>
          <w:trHeight w:val="546"/>
          <w:tblHeader/>
        </w:trPr>
        <w:tc>
          <w:tcPr>
            <w:tcW w:w="351" w:type="pct"/>
            <w:tcBorders>
              <w:bottom w:val="single" w:sz="4" w:space="0" w:color="15284C" w:themeColor="accent5"/>
            </w:tcBorders>
          </w:tcPr>
          <w:p w14:paraId="2AB9E3F3" w14:textId="77777777" w:rsidR="00D618FF" w:rsidRPr="003067B9" w:rsidRDefault="00D618FF" w:rsidP="00DF681A">
            <w:pPr>
              <w:pStyle w:val="TableText"/>
              <w:spacing w:before="0" w:after="0" w:line="276" w:lineRule="auto"/>
              <w:contextualSpacing/>
              <w:rPr>
                <w:rFonts w:cs="Arial"/>
                <w:sz w:val="24"/>
                <w:szCs w:val="32"/>
                <w:lang w:val="en-NZ"/>
              </w:rPr>
            </w:pPr>
            <w:r w:rsidRPr="003067B9">
              <w:rPr>
                <w:rFonts w:cs="Arial"/>
                <w:sz w:val="24"/>
                <w:szCs w:val="32"/>
                <w:lang w:val="en-NZ"/>
              </w:rPr>
              <w:t>#</w:t>
            </w:r>
          </w:p>
        </w:tc>
        <w:tc>
          <w:tcPr>
            <w:tcW w:w="3239" w:type="pct"/>
            <w:tcBorders>
              <w:bottom w:val="single" w:sz="4" w:space="0" w:color="15284C" w:themeColor="accent5"/>
            </w:tcBorders>
          </w:tcPr>
          <w:p w14:paraId="386A9B59" w14:textId="77777777" w:rsidR="00D618FF" w:rsidRPr="003067B9" w:rsidRDefault="00D618FF" w:rsidP="00DF681A">
            <w:pPr>
              <w:pStyle w:val="TableText"/>
              <w:spacing w:before="0" w:after="0" w:line="276" w:lineRule="auto"/>
              <w:contextualSpacing/>
              <w:rPr>
                <w:rFonts w:cs="Arial"/>
                <w:sz w:val="24"/>
                <w:szCs w:val="32"/>
                <w:lang w:val="en-NZ"/>
              </w:rPr>
            </w:pPr>
            <w:r w:rsidRPr="003067B9">
              <w:rPr>
                <w:rFonts w:cs="Arial"/>
                <w:sz w:val="24"/>
                <w:szCs w:val="32"/>
                <w:lang w:val="en-NZ"/>
              </w:rPr>
              <w:t xml:space="preserve">Measure </w:t>
            </w:r>
          </w:p>
        </w:tc>
        <w:tc>
          <w:tcPr>
            <w:tcW w:w="664" w:type="pct"/>
            <w:tcBorders>
              <w:bottom w:val="single" w:sz="4" w:space="0" w:color="15284C" w:themeColor="accent5"/>
            </w:tcBorders>
          </w:tcPr>
          <w:p w14:paraId="6CD67667" w14:textId="01CF7728" w:rsidR="00D618FF" w:rsidRPr="003067B9" w:rsidRDefault="00D618FF" w:rsidP="00DF681A">
            <w:pPr>
              <w:pStyle w:val="TableText"/>
              <w:spacing w:before="0" w:after="0" w:line="276" w:lineRule="auto"/>
              <w:contextualSpacing/>
              <w:jc w:val="center"/>
              <w:rPr>
                <w:rFonts w:cs="Arial"/>
                <w:b w:val="0"/>
                <w:bCs w:val="0"/>
                <w:sz w:val="24"/>
                <w:szCs w:val="32"/>
                <w:bdr w:val="none" w:sz="0" w:space="0" w:color="auto" w:frame="1"/>
                <w:lang w:val="en-NZ"/>
              </w:rPr>
            </w:pPr>
            <w:r w:rsidRPr="003067B9">
              <w:rPr>
                <w:rFonts w:cs="Arial"/>
                <w:sz w:val="24"/>
                <w:szCs w:val="32"/>
                <w:bdr w:val="none" w:sz="0" w:space="0" w:color="auto" w:frame="1"/>
                <w:lang w:val="en-NZ"/>
              </w:rPr>
              <w:t>Q2</w:t>
            </w:r>
          </w:p>
          <w:p w14:paraId="7A893BC9" w14:textId="77777777" w:rsidR="00D618FF" w:rsidRPr="003067B9" w:rsidRDefault="00D618FF" w:rsidP="00DF681A">
            <w:pPr>
              <w:pStyle w:val="TableText"/>
              <w:spacing w:before="0" w:after="0" w:line="276" w:lineRule="auto"/>
              <w:contextualSpacing/>
              <w:jc w:val="center"/>
              <w:rPr>
                <w:rFonts w:cs="Arial"/>
                <w:sz w:val="24"/>
                <w:szCs w:val="32"/>
                <w:bdr w:val="none" w:sz="0" w:space="0" w:color="auto" w:frame="1"/>
                <w:lang w:val="en-NZ"/>
              </w:rPr>
            </w:pPr>
            <w:r w:rsidRPr="003067B9">
              <w:rPr>
                <w:rFonts w:cs="Arial"/>
                <w:sz w:val="24"/>
                <w:szCs w:val="32"/>
                <w:bdr w:val="none" w:sz="0" w:space="0" w:color="auto" w:frame="1"/>
                <w:lang w:val="en-NZ"/>
              </w:rPr>
              <w:t>23/24</w:t>
            </w:r>
          </w:p>
        </w:tc>
        <w:tc>
          <w:tcPr>
            <w:tcW w:w="746" w:type="pct"/>
          </w:tcPr>
          <w:p w14:paraId="7DC77D49" w14:textId="77777777" w:rsidR="00D618FF" w:rsidRPr="003067B9" w:rsidRDefault="00D618FF" w:rsidP="00DF681A">
            <w:pPr>
              <w:pStyle w:val="TableText"/>
              <w:spacing w:before="0" w:after="0" w:line="276" w:lineRule="auto"/>
              <w:contextualSpacing/>
              <w:jc w:val="center"/>
              <w:rPr>
                <w:rFonts w:cs="Arial"/>
                <w:b w:val="0"/>
                <w:bCs w:val="0"/>
                <w:sz w:val="24"/>
                <w:szCs w:val="32"/>
                <w:bdr w:val="none" w:sz="0" w:space="0" w:color="auto" w:frame="1"/>
                <w:lang w:val="en-NZ"/>
              </w:rPr>
            </w:pPr>
            <w:r w:rsidRPr="003067B9">
              <w:rPr>
                <w:rFonts w:cs="Arial"/>
                <w:sz w:val="24"/>
                <w:szCs w:val="32"/>
                <w:bdr w:val="none" w:sz="0" w:space="0" w:color="auto" w:frame="1"/>
                <w:lang w:val="en-NZ"/>
              </w:rPr>
              <w:t>Q3</w:t>
            </w:r>
          </w:p>
          <w:p w14:paraId="691E4FAE" w14:textId="77777777" w:rsidR="00D618FF" w:rsidRPr="003067B9" w:rsidRDefault="00D618FF" w:rsidP="00DF681A">
            <w:pPr>
              <w:pStyle w:val="TableText"/>
              <w:spacing w:before="0" w:after="0" w:line="276" w:lineRule="auto"/>
              <w:contextualSpacing/>
              <w:jc w:val="center"/>
              <w:rPr>
                <w:rFonts w:cs="Arial"/>
                <w:sz w:val="24"/>
                <w:szCs w:val="32"/>
                <w:bdr w:val="none" w:sz="0" w:space="0" w:color="auto" w:frame="1"/>
                <w:lang w:val="en-NZ"/>
              </w:rPr>
            </w:pPr>
            <w:r w:rsidRPr="003067B9">
              <w:rPr>
                <w:rFonts w:cs="Arial"/>
                <w:sz w:val="24"/>
                <w:szCs w:val="32"/>
                <w:bdr w:val="none" w:sz="0" w:space="0" w:color="auto" w:frame="1"/>
                <w:lang w:val="en-NZ"/>
              </w:rPr>
              <w:t>23/24</w:t>
            </w:r>
          </w:p>
        </w:tc>
      </w:tr>
      <w:tr w:rsidR="005D24C3" w:rsidRPr="00D4706E" w14:paraId="7D5C8942"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left w:val="single" w:sz="4" w:space="0" w:color="auto"/>
              <w:right w:val="single" w:sz="4" w:space="0" w:color="auto"/>
            </w:tcBorders>
          </w:tcPr>
          <w:p w14:paraId="1C1506A7" w14:textId="77777777" w:rsidR="00D618FF" w:rsidRPr="003067B9" w:rsidRDefault="00D618FF" w:rsidP="001F1B84">
            <w:pPr>
              <w:pStyle w:val="TableText"/>
              <w:spacing w:before="100" w:beforeAutospacing="1" w:after="100" w:afterAutospacing="1" w:line="276" w:lineRule="auto"/>
              <w:jc w:val="center"/>
              <w:rPr>
                <w:rFonts w:cs="Arial"/>
                <w:sz w:val="24"/>
                <w:szCs w:val="24"/>
                <w:lang w:val="en-NZ"/>
              </w:rPr>
            </w:pPr>
            <w:r w:rsidRPr="003067B9">
              <w:rPr>
                <w:rFonts w:cs="Arial"/>
                <w:sz w:val="24"/>
                <w:szCs w:val="24"/>
                <w:lang w:val="en-NZ"/>
              </w:rPr>
              <w:t>1</w:t>
            </w:r>
          </w:p>
        </w:tc>
        <w:tc>
          <w:tcPr>
            <w:tcW w:w="3239" w:type="pct"/>
            <w:tcBorders>
              <w:left w:val="single" w:sz="4" w:space="0" w:color="auto"/>
              <w:right w:val="single" w:sz="4" w:space="0" w:color="auto"/>
            </w:tcBorders>
          </w:tcPr>
          <w:p w14:paraId="6DACF2EE" w14:textId="68DA7867" w:rsidR="00D618FF" w:rsidRPr="003067B9" w:rsidRDefault="00D618FF" w:rsidP="001F1B84">
            <w:pPr>
              <w:pStyle w:val="TableText"/>
              <w:spacing w:before="100" w:beforeAutospacing="1" w:after="100" w:afterAutospacing="1" w:line="276" w:lineRule="auto"/>
              <w:rPr>
                <w:rFonts w:cs="Arial"/>
                <w:sz w:val="24"/>
                <w:szCs w:val="24"/>
                <w:lang w:val="en-NZ"/>
              </w:rPr>
            </w:pPr>
            <w:r w:rsidRPr="003067B9">
              <w:rPr>
                <w:rFonts w:cs="Arial"/>
                <w:color w:val="000000"/>
                <w:sz w:val="24"/>
                <w:szCs w:val="24"/>
                <w:lang w:val="en-NZ" w:eastAsia="en-NZ"/>
              </w:rPr>
              <w:t xml:space="preserve">Immunisation coverage </w:t>
            </w:r>
            <w:r w:rsidR="000B5169" w:rsidRPr="003067B9">
              <w:rPr>
                <w:rFonts w:cs="Arial"/>
                <w:color w:val="000000"/>
                <w:sz w:val="24"/>
                <w:szCs w:val="24"/>
                <w:lang w:val="en-NZ" w:eastAsia="en-NZ"/>
              </w:rPr>
              <w:t xml:space="preserve">for age </w:t>
            </w:r>
            <w:r w:rsidRPr="003067B9">
              <w:rPr>
                <w:rFonts w:cs="Arial"/>
                <w:color w:val="000000"/>
                <w:sz w:val="24"/>
                <w:szCs w:val="24"/>
                <w:lang w:val="en-NZ" w:eastAsia="en-NZ"/>
              </w:rPr>
              <w:t xml:space="preserve">at 24 months </w:t>
            </w:r>
            <w:r w:rsidRPr="003067B9">
              <w:rPr>
                <w:rFonts w:cs="Arial"/>
                <w:noProof/>
                <w:sz w:val="24"/>
                <w:szCs w:val="24"/>
                <w:lang w:val="en-NZ"/>
              </w:rPr>
              <w:drawing>
                <wp:inline distT="0" distB="0" distL="0" distR="0" wp14:anchorId="54311237" wp14:editId="79949F32">
                  <wp:extent cx="190500" cy="190500"/>
                  <wp:effectExtent l="0" t="0" r="0" b="0"/>
                  <wp:docPr id="793186180" name="Picture 793186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rFonts w:cs="Arial"/>
                <w:color w:val="000000"/>
                <w:sz w:val="24"/>
                <w:szCs w:val="24"/>
                <w:lang w:val="en-NZ" w:eastAsia="en-NZ"/>
              </w:rPr>
              <w:t xml:space="preserve"> +</w:t>
            </w:r>
            <w:r w:rsidR="00282680" w:rsidRPr="003067B9">
              <w:rPr>
                <w:rFonts w:cs="Arial"/>
                <w:color w:val="000000"/>
                <w:sz w:val="24"/>
                <w:szCs w:val="24"/>
                <w:lang w:val="en-NZ" w:eastAsia="en-NZ"/>
              </w:rPr>
              <w:t xml:space="preserve"> </w:t>
            </w:r>
          </w:p>
        </w:tc>
        <w:tc>
          <w:tcPr>
            <w:tcW w:w="664" w:type="pct"/>
            <w:tcBorders>
              <w:left w:val="single" w:sz="4" w:space="0" w:color="auto"/>
              <w:right w:val="single" w:sz="4" w:space="0" w:color="auto"/>
            </w:tcBorders>
          </w:tcPr>
          <w:p w14:paraId="1EF0927E" w14:textId="10AF7698" w:rsidR="00D618FF" w:rsidRPr="003067B9" w:rsidRDefault="00AD5C90"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w:t>
            </w:r>
          </w:p>
        </w:tc>
        <w:tc>
          <w:tcPr>
            <w:tcW w:w="746" w:type="pct"/>
            <w:tcBorders>
              <w:left w:val="single" w:sz="4" w:space="0" w:color="auto"/>
            </w:tcBorders>
          </w:tcPr>
          <w:p w14:paraId="0E30B355" w14:textId="3665577F" w:rsidR="00D618FF" w:rsidRPr="003067B9" w:rsidRDefault="00D618FF" w:rsidP="001F1B84">
            <w:pPr>
              <w:pStyle w:val="TableText"/>
              <w:spacing w:before="100" w:beforeAutospacing="1" w:after="100" w:afterAutospacing="1" w:line="276" w:lineRule="auto"/>
              <w:jc w:val="center"/>
              <w:rPr>
                <w:rFonts w:eastAsia="Calibri" w:cs="Arial"/>
                <w:sz w:val="24"/>
                <w:szCs w:val="32"/>
                <w:lang w:val="en-NZ"/>
              </w:rPr>
            </w:pPr>
            <w:r w:rsidRPr="003067B9">
              <w:rPr>
                <w:rFonts w:eastAsia="Calibri" w:cs="Arial"/>
                <w:sz w:val="24"/>
                <w:szCs w:val="32"/>
                <w:lang w:val="en-NZ"/>
              </w:rPr>
              <w:t xml:space="preserve">77.9% </w:t>
            </w:r>
          </w:p>
        </w:tc>
      </w:tr>
      <w:tr w:rsidR="00E72AD1" w:rsidRPr="00D4706E" w14:paraId="7B13CC65" w14:textId="77777777" w:rsidTr="001F1B84">
        <w:trPr>
          <w:trHeight w:val="300"/>
        </w:trPr>
        <w:tc>
          <w:tcPr>
            <w:tcW w:w="351" w:type="pct"/>
            <w:tcBorders>
              <w:top w:val="single" w:sz="4" w:space="0" w:color="15284C" w:themeColor="accent5"/>
              <w:left w:val="single" w:sz="4" w:space="0" w:color="auto"/>
              <w:bottom w:val="single" w:sz="4" w:space="0" w:color="15284C" w:themeColor="accent5"/>
              <w:right w:val="single" w:sz="4" w:space="0" w:color="auto"/>
            </w:tcBorders>
          </w:tcPr>
          <w:p w14:paraId="154E5A2A" w14:textId="344F37E6" w:rsidR="004908AF" w:rsidRPr="003067B9" w:rsidRDefault="00223A98" w:rsidP="001F1B84">
            <w:pPr>
              <w:pStyle w:val="TableText"/>
              <w:spacing w:before="100" w:beforeAutospacing="1" w:after="100" w:afterAutospacing="1" w:line="276" w:lineRule="auto"/>
              <w:jc w:val="center"/>
              <w:rPr>
                <w:rFonts w:cs="Arial"/>
                <w:sz w:val="24"/>
                <w:szCs w:val="24"/>
                <w:lang w:val="en-NZ"/>
              </w:rPr>
            </w:pPr>
            <w:r w:rsidRPr="003067B9">
              <w:rPr>
                <w:rFonts w:eastAsia="Calibri" w:cs="Arial"/>
                <w:sz w:val="24"/>
                <w:szCs w:val="24"/>
                <w:lang w:val="en-NZ"/>
              </w:rPr>
              <w:t>2</w:t>
            </w:r>
          </w:p>
        </w:tc>
        <w:tc>
          <w:tcPr>
            <w:tcW w:w="3239" w:type="pct"/>
            <w:tcBorders>
              <w:top w:val="single" w:sz="4" w:space="0" w:color="15284C" w:themeColor="accent5"/>
              <w:left w:val="single" w:sz="4" w:space="0" w:color="auto"/>
              <w:bottom w:val="single" w:sz="4" w:space="0" w:color="15284C" w:themeColor="accent5"/>
              <w:right w:val="single" w:sz="4" w:space="0" w:color="auto"/>
            </w:tcBorders>
          </w:tcPr>
          <w:p w14:paraId="79E5B59A" w14:textId="6718C6CD" w:rsidR="004908AF" w:rsidRPr="003067B9" w:rsidRDefault="004908AF" w:rsidP="001F1B84">
            <w:pPr>
              <w:pStyle w:val="TableText"/>
              <w:spacing w:before="100" w:beforeAutospacing="1" w:after="100" w:afterAutospacing="1" w:line="276" w:lineRule="auto"/>
              <w:rPr>
                <w:rFonts w:cs="Arial"/>
                <w:color w:val="000000"/>
                <w:sz w:val="24"/>
                <w:szCs w:val="24"/>
                <w:lang w:val="en-NZ" w:eastAsia="en-NZ"/>
              </w:rPr>
            </w:pPr>
            <w:r w:rsidRPr="003067B9">
              <w:rPr>
                <w:rFonts w:eastAsia="Calibri" w:cs="Arial"/>
                <w:color w:val="000000"/>
                <w:sz w:val="24"/>
                <w:szCs w:val="24"/>
                <w:lang w:val="en-NZ" w:eastAsia="en-NZ"/>
              </w:rPr>
              <w:t xml:space="preserve">Shorter stays in Emergency Departments </w:t>
            </w:r>
            <w:r w:rsidRPr="003067B9">
              <w:rPr>
                <w:rFonts w:eastAsia="Calibri" w:cs="Arial"/>
                <w:noProof/>
                <w:sz w:val="24"/>
                <w:szCs w:val="24"/>
                <w:lang w:val="en-NZ"/>
              </w:rPr>
              <w:drawing>
                <wp:inline distT="0" distB="0" distL="0" distR="0" wp14:anchorId="1A33713F" wp14:editId="428C3722">
                  <wp:extent cx="190500" cy="190500"/>
                  <wp:effectExtent l="0" t="0" r="0" b="0"/>
                  <wp:docPr id="293434404" name="Picture 293434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rFonts w:eastAsia="Calibri" w:cs="Arial"/>
                <w:color w:val="000000"/>
                <w:sz w:val="24"/>
                <w:szCs w:val="24"/>
                <w:lang w:val="en-NZ" w:eastAsia="en-NZ"/>
              </w:rPr>
              <w:t xml:space="preserve"> </w:t>
            </w:r>
            <w:r w:rsidR="00BC0850" w:rsidRPr="003067B9">
              <w:rPr>
                <w:rFonts w:cs="Arial"/>
                <w:noProof/>
                <w:sz w:val="24"/>
                <w:szCs w:val="24"/>
                <w:lang w:val="en-NZ"/>
              </w:rPr>
              <w:drawing>
                <wp:inline distT="0" distB="0" distL="0" distR="0" wp14:anchorId="7FA63F7B" wp14:editId="6DD49819">
                  <wp:extent cx="204742" cy="205695"/>
                  <wp:effectExtent l="0" t="0" r="5080" b="4445"/>
                  <wp:docPr id="734047797"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442" cy="214435"/>
                          </a:xfrm>
                          <a:prstGeom prst="rect">
                            <a:avLst/>
                          </a:prstGeom>
                          <a:noFill/>
                          <a:ln>
                            <a:noFill/>
                          </a:ln>
                        </pic:spPr>
                      </pic:pic>
                    </a:graphicData>
                  </a:graphic>
                </wp:inline>
              </w:drawing>
            </w:r>
            <w:r w:rsidRPr="003067B9">
              <w:rPr>
                <w:rFonts w:eastAsia="Calibri" w:cs="Arial"/>
                <w:color w:val="000000"/>
                <w:sz w:val="24"/>
                <w:szCs w:val="24"/>
                <w:lang w:val="en-NZ" w:eastAsia="en-NZ"/>
              </w:rPr>
              <w:t xml:space="preserve"> +</w:t>
            </w:r>
          </w:p>
        </w:tc>
        <w:tc>
          <w:tcPr>
            <w:tcW w:w="664" w:type="pct"/>
            <w:tcBorders>
              <w:top w:val="single" w:sz="4" w:space="0" w:color="15284C" w:themeColor="accent5"/>
              <w:left w:val="single" w:sz="4" w:space="0" w:color="auto"/>
              <w:bottom w:val="single" w:sz="4" w:space="0" w:color="15284C" w:themeColor="accent5"/>
              <w:right w:val="single" w:sz="4" w:space="0" w:color="auto"/>
            </w:tcBorders>
          </w:tcPr>
          <w:p w14:paraId="7C74C58F" w14:textId="182BE480"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sz w:val="24"/>
                <w:szCs w:val="24"/>
                <w:lang w:val="en-NZ"/>
              </w:rPr>
              <w:t>69.8%</w:t>
            </w:r>
          </w:p>
        </w:tc>
        <w:tc>
          <w:tcPr>
            <w:tcW w:w="746" w:type="pct"/>
            <w:tcBorders>
              <w:left w:val="single" w:sz="4" w:space="0" w:color="auto"/>
            </w:tcBorders>
          </w:tcPr>
          <w:p w14:paraId="26CBFF74" w14:textId="66E9D179"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3067B9">
              <w:rPr>
                <w:rFonts w:eastAsia="Calibri" w:cs="Arial"/>
                <w:sz w:val="24"/>
                <w:szCs w:val="32"/>
                <w:lang w:val="en-NZ"/>
              </w:rPr>
              <w:t>69.9%</w:t>
            </w:r>
          </w:p>
        </w:tc>
      </w:tr>
      <w:tr w:rsidR="005D24C3" w:rsidRPr="00D4706E" w14:paraId="62121EC4"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left w:val="single" w:sz="4" w:space="0" w:color="auto"/>
              <w:right w:val="single" w:sz="4" w:space="0" w:color="auto"/>
            </w:tcBorders>
          </w:tcPr>
          <w:p w14:paraId="6F5153AF" w14:textId="4FFFE9A0" w:rsidR="004908AF" w:rsidRPr="003067B9" w:rsidRDefault="00223A98" w:rsidP="001F1B84">
            <w:pPr>
              <w:pStyle w:val="TableText"/>
              <w:spacing w:before="100" w:beforeAutospacing="1" w:after="100" w:afterAutospacing="1" w:line="276" w:lineRule="auto"/>
              <w:jc w:val="center"/>
              <w:rPr>
                <w:rFonts w:cs="Arial"/>
                <w:sz w:val="24"/>
                <w:szCs w:val="24"/>
                <w:lang w:val="en-NZ"/>
              </w:rPr>
            </w:pPr>
            <w:r w:rsidRPr="003067B9">
              <w:rPr>
                <w:rFonts w:eastAsia="Calibri" w:cs="Arial"/>
                <w:sz w:val="24"/>
                <w:szCs w:val="24"/>
                <w:lang w:val="en-NZ"/>
              </w:rPr>
              <w:t>3</w:t>
            </w:r>
          </w:p>
        </w:tc>
        <w:tc>
          <w:tcPr>
            <w:tcW w:w="3239" w:type="pct"/>
            <w:tcBorders>
              <w:left w:val="single" w:sz="4" w:space="0" w:color="auto"/>
              <w:right w:val="single" w:sz="4" w:space="0" w:color="auto"/>
            </w:tcBorders>
          </w:tcPr>
          <w:p w14:paraId="1E045D8F" w14:textId="421C6AB3" w:rsidR="004908AF" w:rsidRPr="003067B9" w:rsidRDefault="004908AF" w:rsidP="001F1B84">
            <w:pPr>
              <w:pStyle w:val="TableText"/>
              <w:spacing w:before="100" w:beforeAutospacing="1" w:after="100" w:afterAutospacing="1" w:line="276" w:lineRule="auto"/>
              <w:rPr>
                <w:rFonts w:cs="Arial"/>
                <w:color w:val="000000"/>
                <w:sz w:val="24"/>
                <w:szCs w:val="24"/>
                <w:lang w:val="en-NZ" w:eastAsia="en-NZ"/>
              </w:rPr>
            </w:pPr>
            <w:r w:rsidRPr="003067B9">
              <w:rPr>
                <w:rFonts w:eastAsia="Calibri" w:cs="Arial"/>
                <w:color w:val="000000"/>
                <w:sz w:val="24"/>
                <w:szCs w:val="24"/>
                <w:lang w:val="en-NZ" w:eastAsia="en-NZ"/>
              </w:rPr>
              <w:t xml:space="preserve">People waiting more than four months for first specialist assessment (FSA) </w:t>
            </w:r>
            <w:r w:rsidRPr="003067B9">
              <w:rPr>
                <w:rFonts w:eastAsia="Calibri" w:cs="Arial"/>
                <w:noProof/>
                <w:sz w:val="24"/>
                <w:szCs w:val="24"/>
                <w:lang w:val="en-NZ"/>
              </w:rPr>
              <w:drawing>
                <wp:inline distT="0" distB="0" distL="0" distR="0" wp14:anchorId="68EBD1F6" wp14:editId="39E2A88E">
                  <wp:extent cx="190500" cy="190500"/>
                  <wp:effectExtent l="0" t="0" r="0" b="0"/>
                  <wp:docPr id="1499932270" name="Picture 1499932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rFonts w:eastAsia="Calibri" w:cs="Arial"/>
                <w:color w:val="000000"/>
                <w:sz w:val="24"/>
                <w:szCs w:val="24"/>
                <w:lang w:val="en-NZ" w:eastAsia="en-NZ"/>
              </w:rPr>
              <w:t xml:space="preserve"> +</w:t>
            </w:r>
          </w:p>
        </w:tc>
        <w:tc>
          <w:tcPr>
            <w:tcW w:w="664" w:type="pct"/>
            <w:tcBorders>
              <w:left w:val="single" w:sz="4" w:space="0" w:color="auto"/>
              <w:right w:val="single" w:sz="4" w:space="0" w:color="auto"/>
            </w:tcBorders>
          </w:tcPr>
          <w:p w14:paraId="2885E987" w14:textId="47690F6D"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30509"/>
                <w:sz w:val="24"/>
                <w:szCs w:val="24"/>
                <w:lang w:val="en-NZ"/>
              </w:rPr>
              <w:t>68,179</w:t>
            </w:r>
            <w:r w:rsidRPr="003067B9">
              <w:rPr>
                <w:rFonts w:eastAsia="Wingdings" w:cs="Arial"/>
                <w:color w:val="030509"/>
                <w:sz w:val="24"/>
                <w:szCs w:val="24"/>
                <w:lang w:val="en-NZ"/>
              </w:rPr>
              <w:br/>
            </w:r>
            <w:r w:rsidRPr="003067B9">
              <w:rPr>
                <w:rFonts w:eastAsia="Calibri" w:cs="Arial"/>
                <w:color w:val="030509"/>
                <w:sz w:val="24"/>
                <w:szCs w:val="24"/>
                <w:lang w:val="en-NZ"/>
              </w:rPr>
              <w:t>36.5%</w:t>
            </w:r>
          </w:p>
        </w:tc>
        <w:tc>
          <w:tcPr>
            <w:tcW w:w="746" w:type="pct"/>
            <w:tcBorders>
              <w:left w:val="single" w:sz="4" w:space="0" w:color="auto"/>
            </w:tcBorders>
          </w:tcPr>
          <w:p w14:paraId="24819926" w14:textId="781104E5" w:rsidR="004908AF" w:rsidRPr="003067B9" w:rsidRDefault="004908AF" w:rsidP="00B51517">
            <w:pPr>
              <w:pStyle w:val="TableText"/>
              <w:spacing w:before="100" w:beforeAutospacing="1" w:after="100" w:afterAutospacing="1" w:line="276" w:lineRule="auto"/>
              <w:contextualSpacing/>
              <w:jc w:val="center"/>
              <w:rPr>
                <w:rFonts w:ascii="Wingdings" w:eastAsia="Wingdings" w:hAnsi="Wingdings" w:cs="Wingdings"/>
                <w:b/>
                <w:color w:val="FF0000"/>
                <w:szCs w:val="24"/>
                <w:lang w:val="en-NZ"/>
              </w:rPr>
            </w:pPr>
            <w:r w:rsidRPr="003067B9">
              <w:rPr>
                <w:rFonts w:eastAsia="Calibri" w:cs="Arial"/>
                <w:sz w:val="24"/>
                <w:szCs w:val="32"/>
                <w:lang w:val="en-NZ"/>
              </w:rPr>
              <w:t>77,755</w:t>
            </w:r>
            <w:r w:rsidR="00360BE3" w:rsidRPr="003067B9">
              <w:rPr>
                <w:rFonts w:eastAsia="Calibri" w:cs="Arial"/>
                <w:sz w:val="24"/>
                <w:szCs w:val="32"/>
                <w:lang w:val="en-NZ"/>
              </w:rPr>
              <w:t xml:space="preserve"> </w:t>
            </w:r>
            <w:r w:rsidRPr="003067B9">
              <w:rPr>
                <w:rFonts w:ascii="Wingdings" w:eastAsia="Wingdings" w:hAnsi="Wingdings" w:cs="Wingdings"/>
                <w:b/>
                <w:color w:val="FF0000"/>
                <w:sz w:val="24"/>
                <w:szCs w:val="20"/>
                <w:lang w:val="en-NZ"/>
              </w:rPr>
              <w:t>Ý</w:t>
            </w:r>
          </w:p>
          <w:p w14:paraId="345CAAD3" w14:textId="1ADD0466" w:rsidR="004908AF" w:rsidRPr="003067B9" w:rsidRDefault="004908AF" w:rsidP="00B51517">
            <w:pPr>
              <w:pStyle w:val="TableText"/>
              <w:spacing w:before="100" w:beforeAutospacing="1" w:after="100" w:afterAutospacing="1" w:line="276" w:lineRule="auto"/>
              <w:contextualSpacing/>
              <w:jc w:val="center"/>
              <w:rPr>
                <w:rFonts w:eastAsia="Calibri" w:cs="Arial"/>
                <w:color w:val="000000"/>
                <w:szCs w:val="24"/>
                <w:bdr w:val="none" w:sz="0" w:space="0" w:color="auto" w:frame="1"/>
                <w:lang w:val="en-NZ"/>
              </w:rPr>
            </w:pPr>
            <w:r w:rsidRPr="003067B9">
              <w:rPr>
                <w:rFonts w:eastAsia="Calibri" w:cs="Arial"/>
                <w:sz w:val="24"/>
                <w:szCs w:val="32"/>
                <w:lang w:val="en-NZ"/>
              </w:rPr>
              <w:t>40.2%</w:t>
            </w:r>
          </w:p>
        </w:tc>
      </w:tr>
      <w:tr w:rsidR="00E72AD1" w:rsidRPr="00D4706E" w14:paraId="7AFD8135" w14:textId="77777777" w:rsidTr="001F1B84">
        <w:trPr>
          <w:trHeight w:val="300"/>
        </w:trPr>
        <w:tc>
          <w:tcPr>
            <w:tcW w:w="351" w:type="pct"/>
            <w:tcBorders>
              <w:top w:val="single" w:sz="4" w:space="0" w:color="15284C" w:themeColor="accent5"/>
              <w:left w:val="single" w:sz="4" w:space="0" w:color="auto"/>
              <w:bottom w:val="single" w:sz="4" w:space="0" w:color="15284C" w:themeColor="accent5"/>
              <w:right w:val="single" w:sz="4" w:space="0" w:color="auto"/>
            </w:tcBorders>
          </w:tcPr>
          <w:p w14:paraId="56B49BD6" w14:textId="4572478B" w:rsidR="004908AF" w:rsidRPr="003067B9" w:rsidRDefault="00223A98" w:rsidP="001F1B84">
            <w:pPr>
              <w:pStyle w:val="TableText"/>
              <w:spacing w:before="100" w:beforeAutospacing="1" w:after="100" w:afterAutospacing="1" w:line="276" w:lineRule="auto"/>
              <w:jc w:val="center"/>
              <w:rPr>
                <w:rFonts w:cs="Arial"/>
                <w:sz w:val="24"/>
                <w:szCs w:val="24"/>
                <w:lang w:val="en-NZ"/>
              </w:rPr>
            </w:pPr>
            <w:r w:rsidRPr="003067B9">
              <w:rPr>
                <w:rFonts w:eastAsia="Calibri" w:cs="Arial"/>
                <w:sz w:val="24"/>
                <w:szCs w:val="24"/>
                <w:lang w:val="en-NZ"/>
              </w:rPr>
              <w:t>4</w:t>
            </w:r>
          </w:p>
        </w:tc>
        <w:tc>
          <w:tcPr>
            <w:tcW w:w="3239" w:type="pct"/>
            <w:tcBorders>
              <w:top w:val="single" w:sz="4" w:space="0" w:color="15284C" w:themeColor="accent5"/>
              <w:left w:val="single" w:sz="4" w:space="0" w:color="auto"/>
              <w:bottom w:val="single" w:sz="4" w:space="0" w:color="15284C" w:themeColor="accent5"/>
              <w:right w:val="single" w:sz="4" w:space="0" w:color="auto"/>
            </w:tcBorders>
          </w:tcPr>
          <w:p w14:paraId="69CB37E2" w14:textId="01C86BEE" w:rsidR="004908AF" w:rsidRPr="003067B9" w:rsidRDefault="004908AF" w:rsidP="001F1B84">
            <w:pPr>
              <w:pStyle w:val="TableText"/>
              <w:spacing w:before="100" w:beforeAutospacing="1" w:after="100" w:afterAutospacing="1" w:line="276" w:lineRule="auto"/>
              <w:rPr>
                <w:rFonts w:cs="Arial"/>
                <w:color w:val="000000"/>
                <w:sz w:val="24"/>
                <w:szCs w:val="24"/>
                <w:lang w:val="en-NZ" w:eastAsia="en-NZ"/>
              </w:rPr>
            </w:pPr>
            <w:r w:rsidRPr="003067B9">
              <w:rPr>
                <w:rFonts w:eastAsia="Calibri" w:cs="Arial"/>
                <w:color w:val="000000"/>
                <w:sz w:val="24"/>
                <w:szCs w:val="24"/>
                <w:lang w:val="en-NZ" w:eastAsia="en-NZ"/>
              </w:rPr>
              <w:t xml:space="preserve">People waiting more than four months for a procedure </w:t>
            </w:r>
            <w:r w:rsidRPr="003067B9">
              <w:rPr>
                <w:rFonts w:eastAsia="Calibri" w:cs="Arial"/>
                <w:noProof/>
                <w:sz w:val="24"/>
                <w:szCs w:val="24"/>
                <w:lang w:val="en-NZ"/>
              </w:rPr>
              <w:drawing>
                <wp:inline distT="0" distB="0" distL="0" distR="0" wp14:anchorId="2008D80E" wp14:editId="0E555D71">
                  <wp:extent cx="190500" cy="190500"/>
                  <wp:effectExtent l="0" t="0" r="0" b="0"/>
                  <wp:docPr id="81068546" name="Picture 81068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rFonts w:eastAsia="Calibri" w:cs="Arial"/>
                <w:color w:val="000000"/>
                <w:sz w:val="24"/>
                <w:szCs w:val="24"/>
                <w:lang w:val="en-NZ" w:eastAsia="en-NZ"/>
              </w:rPr>
              <w:t xml:space="preserve"> </w:t>
            </w:r>
            <w:r w:rsidR="00BC0850" w:rsidRPr="003067B9">
              <w:rPr>
                <w:rFonts w:cs="Arial"/>
                <w:noProof/>
                <w:sz w:val="24"/>
                <w:szCs w:val="24"/>
                <w:lang w:val="en-NZ"/>
              </w:rPr>
              <w:drawing>
                <wp:inline distT="0" distB="0" distL="0" distR="0" wp14:anchorId="54765D46" wp14:editId="176737CE">
                  <wp:extent cx="204742" cy="205695"/>
                  <wp:effectExtent l="0" t="0" r="5080" b="4445"/>
                  <wp:docPr id="1302620807"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442" cy="214435"/>
                          </a:xfrm>
                          <a:prstGeom prst="rect">
                            <a:avLst/>
                          </a:prstGeom>
                          <a:noFill/>
                          <a:ln>
                            <a:noFill/>
                          </a:ln>
                        </pic:spPr>
                      </pic:pic>
                    </a:graphicData>
                  </a:graphic>
                </wp:inline>
              </w:drawing>
            </w:r>
            <w:r w:rsidRPr="003067B9">
              <w:rPr>
                <w:rFonts w:eastAsia="Calibri" w:cs="Arial"/>
                <w:color w:val="000000"/>
                <w:sz w:val="24"/>
                <w:szCs w:val="24"/>
                <w:lang w:val="en-NZ" w:eastAsia="en-NZ"/>
              </w:rPr>
              <w:t xml:space="preserve"> +</w:t>
            </w:r>
          </w:p>
        </w:tc>
        <w:tc>
          <w:tcPr>
            <w:tcW w:w="664" w:type="pct"/>
            <w:tcBorders>
              <w:top w:val="single" w:sz="4" w:space="0" w:color="15284C" w:themeColor="accent5"/>
              <w:left w:val="single" w:sz="4" w:space="0" w:color="auto"/>
              <w:bottom w:val="single" w:sz="4" w:space="0" w:color="15284C" w:themeColor="accent5"/>
              <w:right w:val="single" w:sz="4" w:space="0" w:color="auto"/>
            </w:tcBorders>
          </w:tcPr>
          <w:p w14:paraId="342BBC75" w14:textId="7BEE6F0B"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sz w:val="24"/>
                <w:szCs w:val="24"/>
                <w:lang w:val="en-NZ"/>
              </w:rPr>
              <w:t>30,474</w:t>
            </w:r>
            <w:r w:rsidRPr="003067B9">
              <w:rPr>
                <w:rFonts w:eastAsia="Calibri" w:cs="Arial"/>
                <w:sz w:val="24"/>
                <w:szCs w:val="24"/>
                <w:lang w:val="en-NZ"/>
              </w:rPr>
              <w:br/>
              <w:t>39.5%</w:t>
            </w:r>
          </w:p>
        </w:tc>
        <w:tc>
          <w:tcPr>
            <w:tcW w:w="746" w:type="pct"/>
            <w:tcBorders>
              <w:left w:val="single" w:sz="4" w:space="0" w:color="auto"/>
            </w:tcBorders>
          </w:tcPr>
          <w:p w14:paraId="052705A4" w14:textId="2C7D4657" w:rsidR="004908AF" w:rsidRPr="003067B9" w:rsidRDefault="004908AF" w:rsidP="00360BE3">
            <w:pPr>
              <w:pStyle w:val="TableText"/>
              <w:spacing w:before="100" w:beforeAutospacing="1" w:after="100" w:afterAutospacing="1" w:line="276" w:lineRule="auto"/>
              <w:contextualSpacing/>
              <w:jc w:val="center"/>
              <w:rPr>
                <w:rFonts w:eastAsia="Calibri" w:cs="Arial"/>
                <w:szCs w:val="24"/>
                <w:lang w:val="en-NZ"/>
              </w:rPr>
            </w:pPr>
            <w:r w:rsidRPr="003067B9">
              <w:rPr>
                <w:rFonts w:eastAsia="Calibri" w:cs="Arial"/>
                <w:sz w:val="24"/>
                <w:szCs w:val="32"/>
                <w:lang w:val="en-NZ"/>
              </w:rPr>
              <w:t>34,428</w:t>
            </w:r>
            <w:r w:rsidR="002612B3" w:rsidRPr="003067B9">
              <w:rPr>
                <w:rFonts w:eastAsia="Calibri" w:cs="Arial"/>
                <w:sz w:val="24"/>
                <w:szCs w:val="32"/>
                <w:lang w:val="en-NZ"/>
              </w:rPr>
              <w:t xml:space="preserve"> </w:t>
            </w:r>
            <w:r w:rsidRPr="003067B9">
              <w:rPr>
                <w:rFonts w:ascii="Wingdings" w:eastAsia="Wingdings" w:hAnsi="Wingdings" w:cs="Wingdings"/>
                <w:b/>
                <w:color w:val="FF0000"/>
                <w:sz w:val="24"/>
                <w:szCs w:val="20"/>
                <w:lang w:val="en-NZ"/>
              </w:rPr>
              <w:t>Ý</w:t>
            </w:r>
          </w:p>
          <w:p w14:paraId="0CE9A8CD" w14:textId="451015CE" w:rsidR="004908AF" w:rsidRPr="003067B9" w:rsidRDefault="004908AF" w:rsidP="00360BE3">
            <w:pPr>
              <w:pStyle w:val="TableText"/>
              <w:spacing w:before="100" w:beforeAutospacing="1" w:after="100" w:afterAutospacing="1" w:line="276" w:lineRule="auto"/>
              <w:contextualSpacing/>
              <w:jc w:val="center"/>
              <w:rPr>
                <w:rFonts w:eastAsia="Calibri" w:cs="Arial"/>
                <w:color w:val="000000"/>
                <w:szCs w:val="24"/>
                <w:bdr w:val="none" w:sz="0" w:space="0" w:color="auto" w:frame="1"/>
                <w:lang w:val="en-NZ"/>
              </w:rPr>
            </w:pPr>
            <w:r w:rsidRPr="003067B9">
              <w:rPr>
                <w:rFonts w:eastAsia="Calibri" w:cs="Arial"/>
                <w:sz w:val="24"/>
                <w:szCs w:val="32"/>
                <w:lang w:val="en-NZ"/>
              </w:rPr>
              <w:t>44.0%</w:t>
            </w:r>
          </w:p>
        </w:tc>
      </w:tr>
      <w:tr w:rsidR="00E72AD1" w:rsidRPr="00D4706E" w14:paraId="76A06C74"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left w:val="single" w:sz="4" w:space="0" w:color="auto"/>
              <w:right w:val="single" w:sz="4" w:space="0" w:color="auto"/>
            </w:tcBorders>
          </w:tcPr>
          <w:p w14:paraId="3CD5D4D1" w14:textId="2447C72B" w:rsidR="004908AF" w:rsidRPr="003067B9" w:rsidRDefault="00223A98" w:rsidP="001F1B84">
            <w:pPr>
              <w:pStyle w:val="TableText"/>
              <w:spacing w:before="100" w:beforeAutospacing="1" w:after="100" w:afterAutospacing="1" w:line="276" w:lineRule="auto"/>
              <w:jc w:val="center"/>
              <w:rPr>
                <w:rFonts w:cs="Arial"/>
                <w:sz w:val="24"/>
                <w:szCs w:val="24"/>
                <w:lang w:val="en-NZ"/>
              </w:rPr>
            </w:pPr>
            <w:r w:rsidRPr="003067B9">
              <w:rPr>
                <w:rFonts w:eastAsia="Calibri" w:cs="Arial"/>
                <w:sz w:val="24"/>
                <w:szCs w:val="24"/>
                <w:lang w:val="en-NZ"/>
              </w:rPr>
              <w:t>5</w:t>
            </w:r>
          </w:p>
        </w:tc>
        <w:tc>
          <w:tcPr>
            <w:tcW w:w="3239" w:type="pct"/>
            <w:tcBorders>
              <w:left w:val="single" w:sz="4" w:space="0" w:color="auto"/>
              <w:right w:val="single" w:sz="4" w:space="0" w:color="auto"/>
            </w:tcBorders>
          </w:tcPr>
          <w:p w14:paraId="72523083" w14:textId="45980418" w:rsidR="004908AF" w:rsidRPr="003067B9" w:rsidRDefault="004908AF" w:rsidP="001F1B84">
            <w:pPr>
              <w:pStyle w:val="TableText"/>
              <w:spacing w:before="100" w:beforeAutospacing="1" w:after="100" w:afterAutospacing="1" w:line="276" w:lineRule="auto"/>
              <w:rPr>
                <w:rFonts w:cs="Arial"/>
                <w:color w:val="000000"/>
                <w:sz w:val="24"/>
                <w:szCs w:val="24"/>
                <w:lang w:val="en-NZ" w:eastAsia="en-NZ"/>
              </w:rPr>
            </w:pPr>
            <w:r w:rsidRPr="003067B9">
              <w:rPr>
                <w:rFonts w:eastAsia="Calibri" w:cs="Arial"/>
                <w:color w:val="000000"/>
                <w:sz w:val="24"/>
                <w:szCs w:val="24"/>
                <w:lang w:val="en-NZ" w:eastAsia="en-NZ"/>
              </w:rPr>
              <w:t xml:space="preserve">Cancer patients waiting less than 31 days for first treatment </w:t>
            </w:r>
            <w:r w:rsidR="13C9D799" w:rsidRPr="003067B9">
              <w:rPr>
                <w:rFonts w:cs="Arial"/>
                <w:noProof/>
                <w:sz w:val="24"/>
                <w:szCs w:val="24"/>
                <w:lang w:val="en-NZ"/>
              </w:rPr>
              <w:drawing>
                <wp:inline distT="0" distB="0" distL="0" distR="0" wp14:anchorId="51EA1FE7" wp14:editId="2FA4214C">
                  <wp:extent cx="190500" cy="190500"/>
                  <wp:effectExtent l="0" t="0" r="0" b="0"/>
                  <wp:docPr id="801655567" name="Picture 8016555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655567"/>
                          <pic:cNvPicPr/>
                        </pic:nvPicPr>
                        <pic:blipFill>
                          <a:blip r:embed="rId1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3067B9">
              <w:rPr>
                <w:rFonts w:eastAsia="Calibri" w:cs="Arial"/>
                <w:color w:val="000000"/>
                <w:sz w:val="24"/>
                <w:szCs w:val="24"/>
                <w:lang w:val="en-NZ" w:eastAsia="en-NZ"/>
              </w:rPr>
              <w:t xml:space="preserve"> +</w:t>
            </w:r>
          </w:p>
        </w:tc>
        <w:tc>
          <w:tcPr>
            <w:tcW w:w="664" w:type="pct"/>
            <w:tcBorders>
              <w:left w:val="single" w:sz="4" w:space="0" w:color="auto"/>
              <w:right w:val="single" w:sz="4" w:space="0" w:color="auto"/>
            </w:tcBorders>
          </w:tcPr>
          <w:p w14:paraId="561C0295" w14:textId="502F4883"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85.4%</w:t>
            </w:r>
          </w:p>
        </w:tc>
        <w:tc>
          <w:tcPr>
            <w:tcW w:w="746" w:type="pct"/>
            <w:tcBorders>
              <w:left w:val="single" w:sz="4" w:space="0" w:color="auto"/>
            </w:tcBorders>
          </w:tcPr>
          <w:p w14:paraId="0B9BE4AD" w14:textId="5D003259" w:rsidR="004908AF" w:rsidRPr="003067B9" w:rsidRDefault="004908AF" w:rsidP="001F1B84">
            <w:pPr>
              <w:pStyle w:val="TableText"/>
              <w:spacing w:before="100" w:beforeAutospacing="1" w:after="100" w:afterAutospacing="1" w:line="276" w:lineRule="auto"/>
              <w:jc w:val="center"/>
              <w:rPr>
                <w:rFonts w:eastAsia="Calibri" w:cs="Arial"/>
                <w:color w:val="000000"/>
                <w:szCs w:val="24"/>
                <w:bdr w:val="none" w:sz="0" w:space="0" w:color="auto" w:frame="1"/>
                <w:lang w:val="en-NZ"/>
              </w:rPr>
            </w:pPr>
            <w:r w:rsidRPr="003067B9">
              <w:rPr>
                <w:rFonts w:eastAsia="Calibri" w:cs="Arial"/>
                <w:color w:val="000000"/>
                <w:sz w:val="24"/>
                <w:szCs w:val="32"/>
                <w:bdr w:val="none" w:sz="0" w:space="0" w:color="auto" w:frame="1"/>
                <w:lang w:val="en-NZ"/>
              </w:rPr>
              <w:t>81.9%</w:t>
            </w:r>
            <w:r w:rsidR="002612B3" w:rsidRPr="003067B9">
              <w:rPr>
                <w:rFonts w:eastAsia="Calibri" w:cs="Arial"/>
                <w:color w:val="000000"/>
                <w:sz w:val="24"/>
                <w:szCs w:val="32"/>
                <w:bdr w:val="none" w:sz="0" w:space="0" w:color="auto" w:frame="1"/>
                <w:lang w:val="en-NZ"/>
              </w:rPr>
              <w:t xml:space="preserve"> </w:t>
            </w:r>
            <w:r w:rsidRPr="003067B9">
              <w:rPr>
                <w:rFonts w:ascii="Wingdings" w:eastAsia="Wingdings" w:hAnsi="Wingdings" w:cs="Wingdings"/>
                <w:b/>
                <w:color w:val="FF0000"/>
                <w:sz w:val="24"/>
                <w:szCs w:val="28"/>
                <w:lang w:val="en-NZ"/>
              </w:rPr>
              <w:t>Þ</w:t>
            </w:r>
          </w:p>
        </w:tc>
      </w:tr>
      <w:tr w:rsidR="005462AC" w:rsidRPr="00D4706E" w14:paraId="389A3456" w14:textId="77777777" w:rsidTr="001F1B84">
        <w:trPr>
          <w:trHeight w:val="300"/>
        </w:trPr>
        <w:tc>
          <w:tcPr>
            <w:tcW w:w="351" w:type="pct"/>
            <w:tcBorders>
              <w:left w:val="single" w:sz="4" w:space="0" w:color="auto"/>
              <w:right w:val="single" w:sz="4" w:space="0" w:color="auto"/>
            </w:tcBorders>
          </w:tcPr>
          <w:p w14:paraId="001BDC92" w14:textId="66DF1B08" w:rsidR="004908AF" w:rsidRPr="003067B9" w:rsidRDefault="00556098" w:rsidP="001F1B84">
            <w:pPr>
              <w:pStyle w:val="TableText"/>
              <w:spacing w:before="100" w:beforeAutospacing="1" w:after="100" w:afterAutospacing="1" w:line="276" w:lineRule="auto"/>
              <w:jc w:val="center"/>
              <w:rPr>
                <w:rFonts w:cs="Arial"/>
                <w:sz w:val="24"/>
                <w:szCs w:val="24"/>
                <w:lang w:val="en-NZ"/>
              </w:rPr>
            </w:pPr>
            <w:r w:rsidRPr="003067B9">
              <w:rPr>
                <w:rFonts w:cs="Arial"/>
                <w:sz w:val="24"/>
                <w:szCs w:val="24"/>
                <w:lang w:val="en-NZ"/>
              </w:rPr>
              <w:t>6</w:t>
            </w:r>
          </w:p>
        </w:tc>
        <w:tc>
          <w:tcPr>
            <w:tcW w:w="3239" w:type="pct"/>
            <w:tcBorders>
              <w:left w:val="single" w:sz="4" w:space="0" w:color="auto"/>
              <w:right w:val="single" w:sz="4" w:space="0" w:color="auto"/>
            </w:tcBorders>
          </w:tcPr>
          <w:p w14:paraId="47E98024" w14:textId="77777777" w:rsidR="004908AF" w:rsidRPr="003067B9" w:rsidRDefault="004908AF" w:rsidP="001F1B84">
            <w:pPr>
              <w:pStyle w:val="TableText"/>
              <w:spacing w:before="100" w:beforeAutospacing="1" w:after="100" w:afterAutospacing="1" w:line="276" w:lineRule="auto"/>
              <w:rPr>
                <w:rFonts w:cs="Arial"/>
                <w:sz w:val="24"/>
                <w:szCs w:val="24"/>
                <w:lang w:val="en-NZ"/>
              </w:rPr>
            </w:pPr>
            <w:r w:rsidRPr="003067B9">
              <w:rPr>
                <w:rFonts w:cs="Arial"/>
                <w:color w:val="000000"/>
                <w:sz w:val="24"/>
                <w:szCs w:val="24"/>
                <w:lang w:val="en-NZ" w:eastAsia="en-NZ"/>
              </w:rPr>
              <w:t>Primary care enrolment</w:t>
            </w:r>
          </w:p>
        </w:tc>
        <w:tc>
          <w:tcPr>
            <w:tcW w:w="664" w:type="pct"/>
            <w:tcBorders>
              <w:left w:val="single" w:sz="4" w:space="0" w:color="auto"/>
              <w:right w:val="single" w:sz="4" w:space="0" w:color="auto"/>
            </w:tcBorders>
          </w:tcPr>
          <w:p w14:paraId="63E5BA45" w14:textId="2443D38A" w:rsidR="004908AF" w:rsidRPr="003067B9" w:rsidRDefault="004908AF" w:rsidP="001F1B84">
            <w:pPr>
              <w:pStyle w:val="TableText"/>
              <w:spacing w:before="100" w:beforeAutospacing="1" w:after="100" w:afterAutospacing="1" w:line="276" w:lineRule="auto"/>
              <w:jc w:val="center"/>
              <w:rPr>
                <w:rFonts w:cs="Arial"/>
                <w:sz w:val="24"/>
                <w:szCs w:val="24"/>
                <w:lang w:val="en-NZ" w:eastAsia="en-NZ"/>
              </w:rPr>
            </w:pPr>
            <w:r w:rsidRPr="003067B9">
              <w:rPr>
                <w:rFonts w:cs="Arial"/>
                <w:sz w:val="24"/>
                <w:szCs w:val="24"/>
                <w:lang w:val="en-NZ" w:eastAsia="en-NZ"/>
              </w:rPr>
              <w:t>96.8%</w:t>
            </w:r>
          </w:p>
        </w:tc>
        <w:tc>
          <w:tcPr>
            <w:tcW w:w="746" w:type="pct"/>
            <w:tcBorders>
              <w:left w:val="single" w:sz="4" w:space="0" w:color="auto"/>
            </w:tcBorders>
          </w:tcPr>
          <w:p w14:paraId="7F27E572" w14:textId="6B9869C1" w:rsidR="004908AF" w:rsidRPr="003067B9" w:rsidRDefault="004908AF" w:rsidP="001F1B84">
            <w:pPr>
              <w:pStyle w:val="TableText"/>
              <w:spacing w:before="100" w:beforeAutospacing="1" w:after="100" w:afterAutospacing="1" w:line="276" w:lineRule="auto"/>
              <w:jc w:val="center"/>
              <w:rPr>
                <w:rFonts w:cs="Arial"/>
                <w:szCs w:val="24"/>
                <w:lang w:val="en-NZ" w:eastAsia="en-NZ"/>
              </w:rPr>
            </w:pPr>
            <w:r w:rsidRPr="003067B9">
              <w:rPr>
                <w:rFonts w:cs="Arial"/>
                <w:sz w:val="24"/>
                <w:szCs w:val="24"/>
                <w:lang w:val="en-NZ" w:eastAsia="en-NZ"/>
              </w:rPr>
              <w:t>94.4%</w:t>
            </w:r>
            <w:r w:rsidR="002612B3" w:rsidRPr="003067B9">
              <w:rPr>
                <w:rFonts w:cs="Arial"/>
                <w:szCs w:val="24"/>
                <w:lang w:val="en-NZ" w:eastAsia="en-NZ"/>
              </w:rPr>
              <w:t xml:space="preserve"> </w:t>
            </w:r>
            <w:r w:rsidRPr="003067B9">
              <w:rPr>
                <w:rFonts w:ascii="Wingdings" w:eastAsia="Wingdings" w:hAnsi="Wingdings" w:cs="Wingdings"/>
                <w:b/>
                <w:color w:val="FF0000"/>
                <w:sz w:val="24"/>
                <w:szCs w:val="28"/>
                <w:lang w:val="en-NZ"/>
              </w:rPr>
              <w:t>Þ</w:t>
            </w:r>
          </w:p>
        </w:tc>
      </w:tr>
      <w:tr w:rsidR="005462AC" w:rsidRPr="00D4706E" w14:paraId="32986F7A"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top w:val="single" w:sz="4" w:space="0" w:color="15284C" w:themeColor="accent5"/>
              <w:left w:val="single" w:sz="4" w:space="0" w:color="auto"/>
              <w:bottom w:val="single" w:sz="4" w:space="0" w:color="15284C" w:themeColor="accent5"/>
              <w:right w:val="single" w:sz="4" w:space="0" w:color="auto"/>
            </w:tcBorders>
          </w:tcPr>
          <w:p w14:paraId="0ED68CB4" w14:textId="4499CEA5"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7</w:t>
            </w:r>
          </w:p>
        </w:tc>
        <w:tc>
          <w:tcPr>
            <w:tcW w:w="3239" w:type="pct"/>
            <w:tcBorders>
              <w:top w:val="single" w:sz="4" w:space="0" w:color="15284C" w:themeColor="accent5"/>
              <w:left w:val="single" w:sz="4" w:space="0" w:color="auto"/>
              <w:bottom w:val="single" w:sz="4" w:space="0" w:color="15284C" w:themeColor="accent5"/>
              <w:right w:val="single" w:sz="4" w:space="0" w:color="auto"/>
            </w:tcBorders>
          </w:tcPr>
          <w:p w14:paraId="57E0977A"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Involvement in care decisions – primary care</w:t>
            </w:r>
          </w:p>
        </w:tc>
        <w:tc>
          <w:tcPr>
            <w:tcW w:w="664" w:type="pct"/>
            <w:tcBorders>
              <w:top w:val="single" w:sz="4" w:space="0" w:color="15284C" w:themeColor="accent5"/>
              <w:left w:val="single" w:sz="4" w:space="0" w:color="auto"/>
              <w:bottom w:val="single" w:sz="4" w:space="0" w:color="15284C" w:themeColor="accent5"/>
              <w:right w:val="single" w:sz="4" w:space="0" w:color="auto"/>
            </w:tcBorders>
          </w:tcPr>
          <w:p w14:paraId="5E20051A" w14:textId="60E16722" w:rsidR="004908AF" w:rsidRPr="003067B9" w:rsidRDefault="004908AF"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89.0%</w:t>
            </w:r>
          </w:p>
        </w:tc>
        <w:tc>
          <w:tcPr>
            <w:tcW w:w="746" w:type="pct"/>
            <w:tcBorders>
              <w:left w:val="single" w:sz="4" w:space="0" w:color="auto"/>
            </w:tcBorders>
          </w:tcPr>
          <w:p w14:paraId="0D7091DC" w14:textId="77777777" w:rsidR="004908AF" w:rsidRPr="003067B9" w:rsidRDefault="004908AF" w:rsidP="001F1B84">
            <w:pPr>
              <w:pStyle w:val="TableText"/>
              <w:spacing w:before="100" w:beforeAutospacing="1" w:after="100" w:afterAutospacing="1" w:line="276" w:lineRule="auto"/>
              <w:jc w:val="center"/>
              <w:rPr>
                <w:rFonts w:eastAsia="Calibri" w:cs="Arial"/>
                <w:sz w:val="24"/>
                <w:szCs w:val="32"/>
                <w:lang w:val="en-NZ"/>
              </w:rPr>
            </w:pPr>
            <w:r w:rsidRPr="003067B9">
              <w:rPr>
                <w:rFonts w:eastAsia="Calibri" w:cs="Arial"/>
                <w:sz w:val="24"/>
                <w:szCs w:val="32"/>
                <w:lang w:val="en-NZ"/>
              </w:rPr>
              <w:t>89.3%</w:t>
            </w:r>
          </w:p>
        </w:tc>
      </w:tr>
      <w:tr w:rsidR="005462AC" w:rsidRPr="00D4706E" w14:paraId="2BAD32B2" w14:textId="77777777" w:rsidTr="001F1B84">
        <w:trPr>
          <w:trHeight w:val="300"/>
        </w:trPr>
        <w:tc>
          <w:tcPr>
            <w:tcW w:w="351" w:type="pct"/>
            <w:tcBorders>
              <w:left w:val="single" w:sz="4" w:space="0" w:color="auto"/>
              <w:right w:val="single" w:sz="4" w:space="0" w:color="auto"/>
            </w:tcBorders>
          </w:tcPr>
          <w:p w14:paraId="1CF96AE6" w14:textId="754279B6"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8</w:t>
            </w:r>
          </w:p>
        </w:tc>
        <w:tc>
          <w:tcPr>
            <w:tcW w:w="3239" w:type="pct"/>
            <w:tcBorders>
              <w:left w:val="single" w:sz="4" w:space="0" w:color="auto"/>
              <w:right w:val="single" w:sz="4" w:space="0" w:color="auto"/>
            </w:tcBorders>
          </w:tcPr>
          <w:p w14:paraId="2786A949"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Ambulatory sensitive hospitalisations 0-4 years +</w:t>
            </w:r>
          </w:p>
        </w:tc>
        <w:tc>
          <w:tcPr>
            <w:tcW w:w="664" w:type="pct"/>
            <w:tcBorders>
              <w:left w:val="single" w:sz="4" w:space="0" w:color="auto"/>
              <w:right w:val="single" w:sz="4" w:space="0" w:color="auto"/>
            </w:tcBorders>
          </w:tcPr>
          <w:p w14:paraId="7419240B"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7,269</w:t>
            </w:r>
          </w:p>
        </w:tc>
        <w:tc>
          <w:tcPr>
            <w:tcW w:w="746" w:type="pct"/>
            <w:tcBorders>
              <w:left w:val="single" w:sz="4" w:space="0" w:color="auto"/>
            </w:tcBorders>
          </w:tcPr>
          <w:p w14:paraId="0388A1A0"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3067B9">
              <w:rPr>
                <w:rFonts w:eastAsia="Calibri" w:cs="Arial"/>
                <w:color w:val="000000"/>
                <w:sz w:val="24"/>
                <w:szCs w:val="32"/>
                <w:bdr w:val="none" w:sz="0" w:space="0" w:color="auto" w:frame="1"/>
                <w:lang w:val="en-NZ"/>
              </w:rPr>
              <w:t>7,237</w:t>
            </w:r>
          </w:p>
        </w:tc>
      </w:tr>
      <w:tr w:rsidR="005462AC" w:rsidRPr="00D4706E" w14:paraId="11C5B779"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top w:val="single" w:sz="4" w:space="0" w:color="15284C" w:themeColor="accent5"/>
              <w:left w:val="single" w:sz="4" w:space="0" w:color="auto"/>
              <w:bottom w:val="single" w:sz="4" w:space="0" w:color="15284C" w:themeColor="accent5"/>
              <w:right w:val="single" w:sz="4" w:space="0" w:color="auto"/>
            </w:tcBorders>
          </w:tcPr>
          <w:p w14:paraId="2E7E99A7" w14:textId="56CB45CA"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9</w:t>
            </w:r>
          </w:p>
        </w:tc>
        <w:tc>
          <w:tcPr>
            <w:tcW w:w="3239" w:type="pct"/>
            <w:tcBorders>
              <w:top w:val="single" w:sz="4" w:space="0" w:color="15284C" w:themeColor="accent5"/>
              <w:left w:val="single" w:sz="4" w:space="0" w:color="auto"/>
              <w:bottom w:val="single" w:sz="4" w:space="0" w:color="15284C" w:themeColor="accent5"/>
              <w:right w:val="single" w:sz="4" w:space="0" w:color="auto"/>
            </w:tcBorders>
          </w:tcPr>
          <w:p w14:paraId="49D95DFB"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Ambulatory sensitive hospitalisations 45-64 years +</w:t>
            </w:r>
          </w:p>
        </w:tc>
        <w:tc>
          <w:tcPr>
            <w:tcW w:w="664" w:type="pct"/>
            <w:tcBorders>
              <w:top w:val="single" w:sz="4" w:space="0" w:color="15284C" w:themeColor="accent5"/>
              <w:left w:val="single" w:sz="4" w:space="0" w:color="auto"/>
              <w:bottom w:val="single" w:sz="4" w:space="0" w:color="15284C" w:themeColor="accent5"/>
              <w:right w:val="single" w:sz="4" w:space="0" w:color="auto"/>
            </w:tcBorders>
          </w:tcPr>
          <w:p w14:paraId="32F73682"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3,845</w:t>
            </w:r>
          </w:p>
        </w:tc>
        <w:tc>
          <w:tcPr>
            <w:tcW w:w="746" w:type="pct"/>
            <w:tcBorders>
              <w:left w:val="single" w:sz="4" w:space="0" w:color="auto"/>
            </w:tcBorders>
          </w:tcPr>
          <w:p w14:paraId="50F2E846"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3067B9">
              <w:rPr>
                <w:rFonts w:eastAsia="Calibri" w:cs="Arial"/>
                <w:color w:val="000000"/>
                <w:sz w:val="24"/>
                <w:szCs w:val="32"/>
                <w:bdr w:val="none" w:sz="0" w:space="0" w:color="auto" w:frame="1"/>
                <w:lang w:val="en-NZ"/>
              </w:rPr>
              <w:t>3,857</w:t>
            </w:r>
          </w:p>
        </w:tc>
      </w:tr>
      <w:tr w:rsidR="005462AC" w:rsidRPr="00D4706E" w14:paraId="11338A22" w14:textId="77777777" w:rsidTr="001F1B84">
        <w:trPr>
          <w:trHeight w:val="300"/>
        </w:trPr>
        <w:tc>
          <w:tcPr>
            <w:tcW w:w="351" w:type="pct"/>
            <w:tcBorders>
              <w:left w:val="single" w:sz="4" w:space="0" w:color="auto"/>
              <w:right w:val="single" w:sz="4" w:space="0" w:color="auto"/>
            </w:tcBorders>
          </w:tcPr>
          <w:p w14:paraId="691C61F7" w14:textId="106A582A"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10</w:t>
            </w:r>
          </w:p>
        </w:tc>
        <w:tc>
          <w:tcPr>
            <w:tcW w:w="3239" w:type="pct"/>
            <w:tcBorders>
              <w:left w:val="single" w:sz="4" w:space="0" w:color="auto"/>
              <w:right w:val="single" w:sz="4" w:space="0" w:color="auto"/>
            </w:tcBorders>
          </w:tcPr>
          <w:p w14:paraId="00E725BD"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Access to primary mental health and addiction services</w:t>
            </w:r>
          </w:p>
        </w:tc>
        <w:tc>
          <w:tcPr>
            <w:tcW w:w="664" w:type="pct"/>
            <w:tcBorders>
              <w:left w:val="single" w:sz="4" w:space="0" w:color="auto"/>
              <w:right w:val="single" w:sz="4" w:space="0" w:color="auto"/>
            </w:tcBorders>
          </w:tcPr>
          <w:p w14:paraId="3E9F7171" w14:textId="2ED48710"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1,142</w:t>
            </w:r>
          </w:p>
        </w:tc>
        <w:tc>
          <w:tcPr>
            <w:tcW w:w="746" w:type="pct"/>
            <w:tcBorders>
              <w:left w:val="single" w:sz="4" w:space="0" w:color="auto"/>
            </w:tcBorders>
          </w:tcPr>
          <w:p w14:paraId="05CFD538" w14:textId="3FF5ADF1" w:rsidR="004908AF" w:rsidRPr="003067B9" w:rsidRDefault="004908AF" w:rsidP="001F1B84">
            <w:pPr>
              <w:pStyle w:val="TableText"/>
              <w:spacing w:before="100" w:beforeAutospacing="1" w:after="100" w:afterAutospacing="1" w:line="276" w:lineRule="auto"/>
              <w:jc w:val="center"/>
              <w:rPr>
                <w:rFonts w:eastAsia="Calibri" w:cs="Arial"/>
                <w:color w:val="000000"/>
                <w:szCs w:val="24"/>
                <w:bdr w:val="none" w:sz="0" w:space="0" w:color="auto" w:frame="1"/>
                <w:lang w:val="en-NZ"/>
              </w:rPr>
            </w:pPr>
            <w:r w:rsidRPr="003067B9">
              <w:rPr>
                <w:rFonts w:eastAsia="Calibri" w:cs="Arial"/>
                <w:color w:val="000000"/>
                <w:sz w:val="24"/>
                <w:szCs w:val="32"/>
                <w:bdr w:val="none" w:sz="0" w:space="0" w:color="auto" w:frame="1"/>
                <w:lang w:val="en-NZ"/>
              </w:rPr>
              <w:t>1,063</w:t>
            </w:r>
            <w:r w:rsidR="00360BE3" w:rsidRPr="003067B9">
              <w:rPr>
                <w:rFonts w:eastAsia="Calibri" w:cs="Arial"/>
                <w:color w:val="000000"/>
                <w:sz w:val="24"/>
                <w:szCs w:val="32"/>
                <w:bdr w:val="none" w:sz="0" w:space="0" w:color="auto" w:frame="1"/>
                <w:lang w:val="en-NZ"/>
              </w:rPr>
              <w:t xml:space="preserve"> </w:t>
            </w:r>
            <w:r w:rsidRPr="003067B9">
              <w:rPr>
                <w:rFonts w:ascii="Wingdings" w:eastAsia="Wingdings" w:hAnsi="Wingdings" w:cs="Wingdings"/>
                <w:b/>
                <w:color w:val="FF0000"/>
                <w:sz w:val="24"/>
                <w:szCs w:val="28"/>
                <w:lang w:val="en-NZ"/>
              </w:rPr>
              <w:t>Þ</w:t>
            </w:r>
          </w:p>
        </w:tc>
      </w:tr>
      <w:tr w:rsidR="005462AC" w:rsidRPr="00D4706E" w14:paraId="5D78A2EB"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top w:val="single" w:sz="4" w:space="0" w:color="15284C" w:themeColor="accent5"/>
              <w:left w:val="single" w:sz="4" w:space="0" w:color="auto"/>
              <w:bottom w:val="single" w:sz="4" w:space="0" w:color="15284C" w:themeColor="accent5"/>
              <w:right w:val="single" w:sz="4" w:space="0" w:color="auto"/>
            </w:tcBorders>
          </w:tcPr>
          <w:p w14:paraId="0146E417" w14:textId="7DBDE940"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11</w:t>
            </w:r>
          </w:p>
        </w:tc>
        <w:tc>
          <w:tcPr>
            <w:tcW w:w="3239" w:type="pct"/>
            <w:tcBorders>
              <w:top w:val="single" w:sz="4" w:space="0" w:color="15284C" w:themeColor="accent5"/>
              <w:left w:val="single" w:sz="4" w:space="0" w:color="auto"/>
              <w:bottom w:val="single" w:sz="4" w:space="0" w:color="15284C" w:themeColor="accent5"/>
              <w:right w:val="single" w:sz="4" w:space="0" w:color="auto"/>
            </w:tcBorders>
          </w:tcPr>
          <w:p w14:paraId="17A90081"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Access rates for specialist mental health services</w:t>
            </w:r>
          </w:p>
        </w:tc>
        <w:tc>
          <w:tcPr>
            <w:tcW w:w="664" w:type="pct"/>
            <w:tcBorders>
              <w:top w:val="single" w:sz="4" w:space="0" w:color="15284C" w:themeColor="accent5"/>
              <w:left w:val="single" w:sz="4" w:space="0" w:color="auto"/>
              <w:bottom w:val="single" w:sz="4" w:space="0" w:color="15284C" w:themeColor="accent5"/>
              <w:right w:val="single" w:sz="4" w:space="0" w:color="auto"/>
            </w:tcBorders>
          </w:tcPr>
          <w:p w14:paraId="4985068B" w14:textId="07326DC0" w:rsidR="004908AF" w:rsidRPr="003067B9" w:rsidRDefault="004908AF" w:rsidP="001F1B84">
            <w:pPr>
              <w:pStyle w:val="TableText"/>
              <w:spacing w:before="100" w:beforeAutospacing="1" w:after="100" w:afterAutospacing="1" w:line="276" w:lineRule="auto"/>
              <w:jc w:val="center"/>
              <w:rPr>
                <w:rFonts w:cs="Arial"/>
                <w:sz w:val="24"/>
                <w:szCs w:val="24"/>
                <w:lang w:val="en-NZ" w:eastAsia="en-NZ"/>
              </w:rPr>
            </w:pPr>
            <w:r w:rsidRPr="003067B9">
              <w:rPr>
                <w:rFonts w:cs="Arial"/>
                <w:sz w:val="24"/>
                <w:szCs w:val="24"/>
                <w:lang w:val="en-NZ" w:eastAsia="en-NZ"/>
              </w:rPr>
              <w:t>1,388</w:t>
            </w:r>
          </w:p>
        </w:tc>
        <w:tc>
          <w:tcPr>
            <w:tcW w:w="746" w:type="pct"/>
            <w:tcBorders>
              <w:left w:val="single" w:sz="4" w:space="0" w:color="auto"/>
            </w:tcBorders>
          </w:tcPr>
          <w:p w14:paraId="0F58D1E3" w14:textId="4F1ECDFE" w:rsidR="004908AF" w:rsidRPr="003067B9" w:rsidRDefault="004908AF" w:rsidP="001F1B84">
            <w:pPr>
              <w:pStyle w:val="TableText"/>
              <w:spacing w:before="100" w:beforeAutospacing="1" w:after="100" w:afterAutospacing="1" w:line="276" w:lineRule="auto"/>
              <w:jc w:val="center"/>
              <w:rPr>
                <w:rFonts w:cs="Arial"/>
                <w:szCs w:val="24"/>
                <w:lang w:val="en-NZ" w:eastAsia="en-NZ"/>
              </w:rPr>
            </w:pPr>
            <w:r w:rsidRPr="003067B9">
              <w:rPr>
                <w:rFonts w:cs="Arial"/>
                <w:sz w:val="24"/>
                <w:szCs w:val="32"/>
                <w:lang w:val="en-NZ" w:eastAsia="en-NZ"/>
              </w:rPr>
              <w:t>1,338</w:t>
            </w:r>
            <w:r w:rsidR="00360BE3" w:rsidRPr="003067B9">
              <w:rPr>
                <w:rFonts w:cs="Arial"/>
                <w:sz w:val="24"/>
                <w:szCs w:val="32"/>
                <w:lang w:val="en-NZ" w:eastAsia="en-NZ"/>
              </w:rPr>
              <w:t xml:space="preserve"> </w:t>
            </w:r>
            <w:r w:rsidRPr="003067B9">
              <w:rPr>
                <w:rFonts w:ascii="Wingdings" w:eastAsia="Wingdings" w:hAnsi="Wingdings" w:cs="Wingdings"/>
                <w:b/>
                <w:color w:val="FF0000"/>
                <w:sz w:val="24"/>
                <w:szCs w:val="28"/>
                <w:lang w:val="en-NZ"/>
              </w:rPr>
              <w:t>Þ</w:t>
            </w:r>
          </w:p>
        </w:tc>
      </w:tr>
      <w:tr w:rsidR="005462AC" w:rsidRPr="00D4706E" w14:paraId="05C2494D" w14:textId="77777777" w:rsidTr="001F1B84">
        <w:trPr>
          <w:trHeight w:val="300"/>
        </w:trPr>
        <w:tc>
          <w:tcPr>
            <w:tcW w:w="351" w:type="pct"/>
            <w:tcBorders>
              <w:left w:val="single" w:sz="4" w:space="0" w:color="auto"/>
              <w:right w:val="single" w:sz="4" w:space="0" w:color="auto"/>
            </w:tcBorders>
          </w:tcPr>
          <w:p w14:paraId="780EE6B6" w14:textId="2F06D374"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12</w:t>
            </w:r>
          </w:p>
        </w:tc>
        <w:tc>
          <w:tcPr>
            <w:tcW w:w="3239" w:type="pct"/>
            <w:tcBorders>
              <w:left w:val="single" w:sz="4" w:space="0" w:color="auto"/>
              <w:right w:val="single" w:sz="4" w:space="0" w:color="auto"/>
            </w:tcBorders>
          </w:tcPr>
          <w:p w14:paraId="6EB5D00C"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Mental health wait times for under 25-year-olds +</w:t>
            </w:r>
          </w:p>
        </w:tc>
        <w:tc>
          <w:tcPr>
            <w:tcW w:w="664" w:type="pct"/>
            <w:tcBorders>
              <w:left w:val="single" w:sz="4" w:space="0" w:color="auto"/>
              <w:right w:val="single" w:sz="4" w:space="0" w:color="auto"/>
            </w:tcBorders>
          </w:tcPr>
          <w:p w14:paraId="4FFB46FB" w14:textId="204C076B"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66.1%</w:t>
            </w:r>
          </w:p>
        </w:tc>
        <w:tc>
          <w:tcPr>
            <w:tcW w:w="746" w:type="pct"/>
            <w:tcBorders>
              <w:left w:val="single" w:sz="4" w:space="0" w:color="auto"/>
            </w:tcBorders>
          </w:tcPr>
          <w:p w14:paraId="75DEF74D" w14:textId="6BD16223" w:rsidR="004908AF" w:rsidRPr="003067B9" w:rsidRDefault="004908AF" w:rsidP="001F1B84">
            <w:pPr>
              <w:pStyle w:val="TableText"/>
              <w:spacing w:before="100" w:beforeAutospacing="1" w:after="100" w:afterAutospacing="1" w:line="276" w:lineRule="auto"/>
              <w:jc w:val="center"/>
              <w:rPr>
                <w:rFonts w:eastAsia="Calibri" w:cs="Arial"/>
                <w:color w:val="000000"/>
                <w:szCs w:val="24"/>
                <w:bdr w:val="none" w:sz="0" w:space="0" w:color="auto" w:frame="1"/>
                <w:lang w:val="en-NZ"/>
              </w:rPr>
            </w:pPr>
            <w:r w:rsidRPr="003067B9">
              <w:rPr>
                <w:rFonts w:eastAsia="Calibri" w:cs="Arial"/>
                <w:color w:val="000000"/>
                <w:sz w:val="24"/>
                <w:szCs w:val="32"/>
                <w:bdr w:val="none" w:sz="0" w:space="0" w:color="auto" w:frame="1"/>
                <w:lang w:val="en-NZ"/>
              </w:rPr>
              <w:t>68.2%</w:t>
            </w:r>
            <w:r w:rsidR="00360BE3" w:rsidRPr="003067B9">
              <w:rPr>
                <w:rFonts w:eastAsia="Calibri" w:cs="Arial"/>
                <w:color w:val="000000"/>
                <w:sz w:val="24"/>
                <w:szCs w:val="32"/>
                <w:bdr w:val="none" w:sz="0" w:space="0" w:color="auto" w:frame="1"/>
                <w:lang w:val="en-NZ"/>
              </w:rPr>
              <w:t xml:space="preserve"> </w:t>
            </w:r>
            <w:r w:rsidRPr="003067B9">
              <w:rPr>
                <w:rFonts w:ascii="Wingdings" w:eastAsia="Wingdings" w:hAnsi="Wingdings" w:cs="Wingdings"/>
                <w:b/>
                <w:color w:val="00B050"/>
                <w:sz w:val="24"/>
                <w:szCs w:val="32"/>
                <w:lang w:val="en-NZ"/>
              </w:rPr>
              <w:t>Ý</w:t>
            </w:r>
          </w:p>
        </w:tc>
      </w:tr>
      <w:tr w:rsidR="005462AC" w:rsidRPr="00D4706E" w14:paraId="55EE1CA4"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left w:val="single" w:sz="4" w:space="0" w:color="auto"/>
              <w:right w:val="single" w:sz="4" w:space="0" w:color="auto"/>
            </w:tcBorders>
          </w:tcPr>
          <w:p w14:paraId="50EC71B5" w14:textId="12D016B4"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13</w:t>
            </w:r>
          </w:p>
        </w:tc>
        <w:tc>
          <w:tcPr>
            <w:tcW w:w="3239" w:type="pct"/>
            <w:tcBorders>
              <w:left w:val="single" w:sz="4" w:space="0" w:color="auto"/>
              <w:right w:val="single" w:sz="4" w:space="0" w:color="auto"/>
            </w:tcBorders>
          </w:tcPr>
          <w:p w14:paraId="19D31E46"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Emergency Department presentations +</w:t>
            </w:r>
          </w:p>
        </w:tc>
        <w:tc>
          <w:tcPr>
            <w:tcW w:w="664" w:type="pct"/>
            <w:tcBorders>
              <w:left w:val="single" w:sz="4" w:space="0" w:color="auto"/>
              <w:right w:val="single" w:sz="4" w:space="0" w:color="auto"/>
            </w:tcBorders>
          </w:tcPr>
          <w:p w14:paraId="533D1E06" w14:textId="77777777" w:rsidR="004908AF" w:rsidRPr="003067B9" w:rsidRDefault="004908AF"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327,633</w:t>
            </w:r>
          </w:p>
        </w:tc>
        <w:tc>
          <w:tcPr>
            <w:tcW w:w="746" w:type="pct"/>
            <w:tcBorders>
              <w:left w:val="single" w:sz="4" w:space="0" w:color="auto"/>
            </w:tcBorders>
          </w:tcPr>
          <w:p w14:paraId="6AB5A7AA" w14:textId="3035369C" w:rsidR="004908AF" w:rsidRPr="003067B9" w:rsidRDefault="004908AF" w:rsidP="001F1B84">
            <w:pPr>
              <w:pStyle w:val="TableText"/>
              <w:spacing w:before="100" w:beforeAutospacing="1" w:after="100" w:afterAutospacing="1" w:line="276" w:lineRule="auto"/>
              <w:jc w:val="center"/>
              <w:rPr>
                <w:rFonts w:eastAsia="Calibri" w:cs="Arial"/>
                <w:szCs w:val="24"/>
                <w:lang w:val="en-NZ"/>
              </w:rPr>
            </w:pPr>
            <w:r w:rsidRPr="003067B9">
              <w:rPr>
                <w:rFonts w:eastAsia="Calibri" w:cs="Arial"/>
                <w:sz w:val="24"/>
                <w:szCs w:val="32"/>
                <w:lang w:val="en-NZ"/>
              </w:rPr>
              <w:t>332,355</w:t>
            </w:r>
          </w:p>
        </w:tc>
      </w:tr>
      <w:tr w:rsidR="000C2D85" w:rsidRPr="00D4706E" w14:paraId="7ED5D221" w14:textId="77777777" w:rsidTr="001F1B84">
        <w:trPr>
          <w:trHeight w:val="300"/>
        </w:trPr>
        <w:tc>
          <w:tcPr>
            <w:tcW w:w="351" w:type="pct"/>
            <w:tcBorders>
              <w:left w:val="single" w:sz="4" w:space="0" w:color="auto"/>
              <w:right w:val="single" w:sz="4" w:space="0" w:color="auto"/>
            </w:tcBorders>
          </w:tcPr>
          <w:p w14:paraId="2ACDB165" w14:textId="6B4688C9"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14</w:t>
            </w:r>
          </w:p>
        </w:tc>
        <w:tc>
          <w:tcPr>
            <w:tcW w:w="3239" w:type="pct"/>
            <w:tcBorders>
              <w:left w:val="single" w:sz="4" w:space="0" w:color="auto"/>
              <w:right w:val="single" w:sz="4" w:space="0" w:color="auto"/>
            </w:tcBorders>
          </w:tcPr>
          <w:p w14:paraId="301B4629"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Admissions from Emergency Departments +</w:t>
            </w:r>
          </w:p>
        </w:tc>
        <w:tc>
          <w:tcPr>
            <w:tcW w:w="664" w:type="pct"/>
            <w:tcBorders>
              <w:left w:val="single" w:sz="4" w:space="0" w:color="auto"/>
              <w:right w:val="single" w:sz="4" w:space="0" w:color="auto"/>
            </w:tcBorders>
          </w:tcPr>
          <w:p w14:paraId="215F5DE6" w14:textId="77777777" w:rsidR="004908AF" w:rsidRPr="003067B9" w:rsidRDefault="004908AF"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29.4%</w:t>
            </w:r>
          </w:p>
        </w:tc>
        <w:tc>
          <w:tcPr>
            <w:tcW w:w="746" w:type="pct"/>
            <w:tcBorders>
              <w:left w:val="single" w:sz="4" w:space="0" w:color="auto"/>
            </w:tcBorders>
          </w:tcPr>
          <w:p w14:paraId="62A21393" w14:textId="6FA93A07" w:rsidR="004908AF" w:rsidRPr="003067B9" w:rsidRDefault="004908AF" w:rsidP="001F1B84">
            <w:pPr>
              <w:pStyle w:val="TableText"/>
              <w:spacing w:before="100" w:beforeAutospacing="1" w:after="100" w:afterAutospacing="1" w:line="276" w:lineRule="auto"/>
              <w:jc w:val="center"/>
              <w:rPr>
                <w:rFonts w:eastAsia="Calibri" w:cs="Arial"/>
                <w:sz w:val="24"/>
                <w:szCs w:val="32"/>
                <w:lang w:val="en-NZ"/>
              </w:rPr>
            </w:pPr>
            <w:r w:rsidRPr="003067B9">
              <w:rPr>
                <w:rFonts w:eastAsia="Calibri" w:cs="Arial"/>
                <w:sz w:val="24"/>
                <w:szCs w:val="32"/>
                <w:lang w:val="en-NZ"/>
              </w:rPr>
              <w:t>29.0%</w:t>
            </w:r>
          </w:p>
        </w:tc>
      </w:tr>
      <w:tr w:rsidR="005462AC" w:rsidRPr="00D4706E" w14:paraId="6A11687F"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left w:val="single" w:sz="4" w:space="0" w:color="auto"/>
              <w:right w:val="single" w:sz="4" w:space="0" w:color="auto"/>
            </w:tcBorders>
          </w:tcPr>
          <w:p w14:paraId="6BEB331F" w14:textId="13B1ACA6"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15</w:t>
            </w:r>
          </w:p>
        </w:tc>
        <w:tc>
          <w:tcPr>
            <w:tcW w:w="3239" w:type="pct"/>
            <w:tcBorders>
              <w:left w:val="single" w:sz="4" w:space="0" w:color="auto"/>
              <w:right w:val="single" w:sz="4" w:space="0" w:color="auto"/>
            </w:tcBorders>
          </w:tcPr>
          <w:p w14:paraId="39152546"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Acute bed days per capita +</w:t>
            </w:r>
          </w:p>
        </w:tc>
        <w:tc>
          <w:tcPr>
            <w:tcW w:w="664" w:type="pct"/>
            <w:tcBorders>
              <w:left w:val="single" w:sz="4" w:space="0" w:color="auto"/>
              <w:right w:val="single" w:sz="4" w:space="0" w:color="auto"/>
            </w:tcBorders>
          </w:tcPr>
          <w:p w14:paraId="7B43AF64" w14:textId="77777777" w:rsidR="004908AF" w:rsidRPr="003067B9" w:rsidRDefault="004908AF"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423</w:t>
            </w:r>
          </w:p>
        </w:tc>
        <w:tc>
          <w:tcPr>
            <w:tcW w:w="746" w:type="pct"/>
            <w:tcBorders>
              <w:left w:val="single" w:sz="4" w:space="0" w:color="auto"/>
            </w:tcBorders>
          </w:tcPr>
          <w:p w14:paraId="6EAC7BAC" w14:textId="77777777" w:rsidR="004908AF" w:rsidRPr="003067B9" w:rsidRDefault="004908AF" w:rsidP="001F1B84">
            <w:pPr>
              <w:pStyle w:val="TableText"/>
              <w:spacing w:before="100" w:beforeAutospacing="1" w:after="100" w:afterAutospacing="1" w:line="276" w:lineRule="auto"/>
              <w:jc w:val="center"/>
              <w:rPr>
                <w:rFonts w:eastAsia="Calibri" w:cs="Arial"/>
                <w:sz w:val="24"/>
                <w:szCs w:val="32"/>
                <w:lang w:val="en-NZ"/>
              </w:rPr>
            </w:pPr>
            <w:r w:rsidRPr="003067B9">
              <w:rPr>
                <w:rFonts w:eastAsia="Calibri" w:cs="Arial"/>
                <w:sz w:val="24"/>
                <w:szCs w:val="32"/>
                <w:lang w:val="en-NZ"/>
              </w:rPr>
              <w:t>419</w:t>
            </w:r>
          </w:p>
        </w:tc>
      </w:tr>
      <w:tr w:rsidR="000C2D85" w:rsidRPr="00D4706E" w14:paraId="4FE8E0B9" w14:textId="77777777" w:rsidTr="001F1B84">
        <w:trPr>
          <w:trHeight w:val="300"/>
        </w:trPr>
        <w:tc>
          <w:tcPr>
            <w:tcW w:w="351" w:type="pct"/>
            <w:tcBorders>
              <w:left w:val="single" w:sz="4" w:space="0" w:color="auto"/>
              <w:right w:val="single" w:sz="4" w:space="0" w:color="auto"/>
            </w:tcBorders>
          </w:tcPr>
          <w:p w14:paraId="38E2C972" w14:textId="4B372321"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16</w:t>
            </w:r>
          </w:p>
        </w:tc>
        <w:tc>
          <w:tcPr>
            <w:tcW w:w="3239" w:type="pct"/>
            <w:tcBorders>
              <w:left w:val="single" w:sz="4" w:space="0" w:color="auto"/>
              <w:right w:val="single" w:sz="4" w:space="0" w:color="auto"/>
            </w:tcBorders>
          </w:tcPr>
          <w:p w14:paraId="6F56F72C"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Inpatient length of stay &gt;7 days</w:t>
            </w:r>
          </w:p>
        </w:tc>
        <w:tc>
          <w:tcPr>
            <w:tcW w:w="664" w:type="pct"/>
            <w:tcBorders>
              <w:left w:val="single" w:sz="4" w:space="0" w:color="auto"/>
              <w:right w:val="single" w:sz="4" w:space="0" w:color="auto"/>
            </w:tcBorders>
          </w:tcPr>
          <w:p w14:paraId="76554E3D"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8.7%</w:t>
            </w:r>
          </w:p>
        </w:tc>
        <w:tc>
          <w:tcPr>
            <w:tcW w:w="746" w:type="pct"/>
            <w:tcBorders>
              <w:left w:val="single" w:sz="4" w:space="0" w:color="auto"/>
            </w:tcBorders>
          </w:tcPr>
          <w:p w14:paraId="41A772B8"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3067B9">
              <w:rPr>
                <w:rFonts w:eastAsia="Calibri" w:cs="Arial"/>
                <w:color w:val="000000"/>
                <w:sz w:val="24"/>
                <w:szCs w:val="32"/>
                <w:bdr w:val="none" w:sz="0" w:space="0" w:color="auto" w:frame="1"/>
                <w:lang w:val="en-NZ"/>
              </w:rPr>
              <w:t>8.4%</w:t>
            </w:r>
          </w:p>
        </w:tc>
      </w:tr>
      <w:tr w:rsidR="005462AC" w:rsidRPr="00D4706E" w14:paraId="150C3E7B"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left w:val="single" w:sz="4" w:space="0" w:color="auto"/>
              <w:right w:val="single" w:sz="4" w:space="0" w:color="auto"/>
            </w:tcBorders>
          </w:tcPr>
          <w:p w14:paraId="3401F7EB" w14:textId="3BE14F6A"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17</w:t>
            </w:r>
          </w:p>
        </w:tc>
        <w:tc>
          <w:tcPr>
            <w:tcW w:w="3239" w:type="pct"/>
            <w:tcBorders>
              <w:left w:val="single" w:sz="4" w:space="0" w:color="auto"/>
              <w:right w:val="single" w:sz="4" w:space="0" w:color="auto"/>
            </w:tcBorders>
          </w:tcPr>
          <w:p w14:paraId="4A90BCA0"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Involvement in care decisions – in hospital</w:t>
            </w:r>
          </w:p>
        </w:tc>
        <w:tc>
          <w:tcPr>
            <w:tcW w:w="664" w:type="pct"/>
            <w:tcBorders>
              <w:left w:val="single" w:sz="4" w:space="0" w:color="auto"/>
              <w:right w:val="single" w:sz="4" w:space="0" w:color="auto"/>
            </w:tcBorders>
          </w:tcPr>
          <w:p w14:paraId="2DA12031" w14:textId="77777777" w:rsidR="004908AF" w:rsidRPr="003067B9" w:rsidRDefault="004908AF" w:rsidP="001F1B84">
            <w:pPr>
              <w:pStyle w:val="TableText"/>
              <w:spacing w:before="100" w:beforeAutospacing="1" w:after="100" w:afterAutospacing="1" w:line="276" w:lineRule="auto"/>
              <w:jc w:val="center"/>
              <w:rPr>
                <w:rFonts w:cs="Arial"/>
                <w:sz w:val="24"/>
                <w:szCs w:val="24"/>
                <w:lang w:val="en-NZ" w:eastAsia="en-NZ"/>
              </w:rPr>
            </w:pPr>
            <w:r w:rsidRPr="003067B9">
              <w:rPr>
                <w:rFonts w:cs="Arial"/>
                <w:sz w:val="24"/>
                <w:szCs w:val="24"/>
                <w:lang w:val="en-NZ" w:eastAsia="en-NZ"/>
              </w:rPr>
              <w:t>81.2%</w:t>
            </w:r>
          </w:p>
        </w:tc>
        <w:tc>
          <w:tcPr>
            <w:tcW w:w="746" w:type="pct"/>
            <w:tcBorders>
              <w:left w:val="single" w:sz="4" w:space="0" w:color="auto"/>
            </w:tcBorders>
          </w:tcPr>
          <w:p w14:paraId="195CB804" w14:textId="77777777" w:rsidR="004908AF" w:rsidRPr="003067B9" w:rsidRDefault="004908AF" w:rsidP="001F1B84">
            <w:pPr>
              <w:pStyle w:val="TableText"/>
              <w:spacing w:before="100" w:beforeAutospacing="1" w:after="100" w:afterAutospacing="1" w:line="276" w:lineRule="auto"/>
              <w:jc w:val="center"/>
              <w:rPr>
                <w:rFonts w:cs="Arial"/>
                <w:sz w:val="24"/>
                <w:szCs w:val="32"/>
                <w:lang w:val="en-NZ" w:eastAsia="en-NZ"/>
              </w:rPr>
            </w:pPr>
            <w:r w:rsidRPr="003067B9">
              <w:rPr>
                <w:rFonts w:cs="Arial"/>
                <w:sz w:val="24"/>
                <w:szCs w:val="32"/>
                <w:lang w:val="en-NZ" w:eastAsia="en-NZ"/>
              </w:rPr>
              <w:t>81.2%</w:t>
            </w:r>
          </w:p>
        </w:tc>
      </w:tr>
      <w:tr w:rsidR="000C2D85" w:rsidRPr="00D4706E" w14:paraId="081448E8" w14:textId="77777777" w:rsidTr="001F1B84">
        <w:trPr>
          <w:trHeight w:val="300"/>
        </w:trPr>
        <w:tc>
          <w:tcPr>
            <w:tcW w:w="351" w:type="pct"/>
            <w:tcBorders>
              <w:left w:val="single" w:sz="4" w:space="0" w:color="auto"/>
              <w:right w:val="single" w:sz="4" w:space="0" w:color="auto"/>
            </w:tcBorders>
          </w:tcPr>
          <w:p w14:paraId="044F8363" w14:textId="32CE0B98"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18</w:t>
            </w:r>
          </w:p>
        </w:tc>
        <w:tc>
          <w:tcPr>
            <w:tcW w:w="3239" w:type="pct"/>
            <w:tcBorders>
              <w:left w:val="single" w:sz="4" w:space="0" w:color="auto"/>
              <w:right w:val="single" w:sz="4" w:space="0" w:color="auto"/>
            </w:tcBorders>
          </w:tcPr>
          <w:p w14:paraId="79701BB8"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People waiting more than 365 days for a procedure +</w:t>
            </w:r>
          </w:p>
        </w:tc>
        <w:tc>
          <w:tcPr>
            <w:tcW w:w="664" w:type="pct"/>
            <w:tcBorders>
              <w:left w:val="single" w:sz="4" w:space="0" w:color="auto"/>
              <w:right w:val="single" w:sz="4" w:space="0" w:color="auto"/>
            </w:tcBorders>
          </w:tcPr>
          <w:p w14:paraId="5CE448DE" w14:textId="4A5E1501" w:rsidR="004908AF" w:rsidRPr="003067B9" w:rsidRDefault="004908AF"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2,175</w:t>
            </w:r>
          </w:p>
        </w:tc>
        <w:tc>
          <w:tcPr>
            <w:tcW w:w="746" w:type="pct"/>
            <w:tcBorders>
              <w:left w:val="single" w:sz="4" w:space="0" w:color="auto"/>
            </w:tcBorders>
          </w:tcPr>
          <w:p w14:paraId="3CCC638F" w14:textId="5AAEC2E3" w:rsidR="004908AF" w:rsidRPr="003067B9" w:rsidRDefault="004908AF" w:rsidP="001F1B84">
            <w:pPr>
              <w:pStyle w:val="TableText"/>
              <w:spacing w:before="100" w:beforeAutospacing="1" w:after="100" w:afterAutospacing="1" w:line="276" w:lineRule="auto"/>
              <w:jc w:val="center"/>
              <w:rPr>
                <w:rFonts w:eastAsia="Calibri" w:cs="Arial"/>
                <w:szCs w:val="24"/>
                <w:lang w:val="en-NZ"/>
              </w:rPr>
            </w:pPr>
            <w:r w:rsidRPr="003067B9">
              <w:rPr>
                <w:rFonts w:eastAsia="Calibri" w:cs="Arial"/>
                <w:sz w:val="24"/>
                <w:szCs w:val="32"/>
                <w:lang w:val="en-NZ"/>
              </w:rPr>
              <w:t>2,362</w:t>
            </w:r>
            <w:r w:rsidR="00360BE3" w:rsidRPr="003067B9">
              <w:rPr>
                <w:rFonts w:eastAsia="Calibri" w:cs="Arial"/>
                <w:sz w:val="24"/>
                <w:szCs w:val="32"/>
                <w:lang w:val="en-NZ"/>
              </w:rPr>
              <w:t xml:space="preserve"> </w:t>
            </w:r>
            <w:r w:rsidRPr="003067B9">
              <w:rPr>
                <w:rFonts w:ascii="Wingdings" w:eastAsia="Wingdings" w:hAnsi="Wingdings" w:cs="Wingdings"/>
                <w:b/>
                <w:color w:val="FF0000"/>
                <w:sz w:val="24"/>
                <w:szCs w:val="20"/>
                <w:lang w:val="en-NZ"/>
              </w:rPr>
              <w:t>Ý</w:t>
            </w:r>
          </w:p>
        </w:tc>
      </w:tr>
      <w:tr w:rsidR="005462AC" w:rsidRPr="00D4706E" w14:paraId="5B6FB661"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left w:val="single" w:sz="4" w:space="0" w:color="auto"/>
              <w:right w:val="single" w:sz="4" w:space="0" w:color="auto"/>
            </w:tcBorders>
          </w:tcPr>
          <w:p w14:paraId="0D3DAB99" w14:textId="5AD92C75"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19</w:t>
            </w:r>
          </w:p>
        </w:tc>
        <w:tc>
          <w:tcPr>
            <w:tcW w:w="3239" w:type="pct"/>
            <w:tcBorders>
              <w:left w:val="single" w:sz="4" w:space="0" w:color="auto"/>
              <w:right w:val="single" w:sz="4" w:space="0" w:color="auto"/>
            </w:tcBorders>
          </w:tcPr>
          <w:p w14:paraId="11ECD2B8"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Medical appointments through digital channels</w:t>
            </w:r>
          </w:p>
        </w:tc>
        <w:tc>
          <w:tcPr>
            <w:tcW w:w="664" w:type="pct"/>
            <w:tcBorders>
              <w:left w:val="single" w:sz="4" w:space="0" w:color="auto"/>
              <w:right w:val="single" w:sz="4" w:space="0" w:color="auto"/>
            </w:tcBorders>
          </w:tcPr>
          <w:p w14:paraId="455C90EB" w14:textId="35C33352"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10.0%</w:t>
            </w:r>
          </w:p>
        </w:tc>
        <w:tc>
          <w:tcPr>
            <w:tcW w:w="746" w:type="pct"/>
            <w:tcBorders>
              <w:left w:val="single" w:sz="4" w:space="0" w:color="auto"/>
            </w:tcBorders>
          </w:tcPr>
          <w:p w14:paraId="0B306A6E"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3067B9">
              <w:rPr>
                <w:rFonts w:eastAsia="Calibri" w:cs="Arial"/>
                <w:color w:val="000000"/>
                <w:sz w:val="24"/>
                <w:szCs w:val="32"/>
                <w:bdr w:val="none" w:sz="0" w:space="0" w:color="auto" w:frame="1"/>
                <w:lang w:val="en-NZ"/>
              </w:rPr>
              <w:t>9.8%</w:t>
            </w:r>
          </w:p>
        </w:tc>
      </w:tr>
      <w:tr w:rsidR="000C2D85" w:rsidRPr="00D4706E" w14:paraId="3E8EB985" w14:textId="77777777" w:rsidTr="001F1B84">
        <w:trPr>
          <w:trHeight w:val="300"/>
        </w:trPr>
        <w:tc>
          <w:tcPr>
            <w:tcW w:w="351" w:type="pct"/>
            <w:tcBorders>
              <w:left w:val="single" w:sz="4" w:space="0" w:color="auto"/>
              <w:right w:val="single" w:sz="4" w:space="0" w:color="auto"/>
            </w:tcBorders>
          </w:tcPr>
          <w:p w14:paraId="67B49ED2" w14:textId="36653F3C"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20</w:t>
            </w:r>
          </w:p>
        </w:tc>
        <w:tc>
          <w:tcPr>
            <w:tcW w:w="3239" w:type="pct"/>
            <w:tcBorders>
              <w:left w:val="single" w:sz="4" w:space="0" w:color="auto"/>
              <w:right w:val="single" w:sz="4" w:space="0" w:color="auto"/>
            </w:tcBorders>
          </w:tcPr>
          <w:p w14:paraId="173DDA99"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Missed appointments</w:t>
            </w:r>
          </w:p>
        </w:tc>
        <w:tc>
          <w:tcPr>
            <w:tcW w:w="664" w:type="pct"/>
            <w:tcBorders>
              <w:left w:val="single" w:sz="4" w:space="0" w:color="auto"/>
              <w:right w:val="single" w:sz="4" w:space="0" w:color="auto"/>
            </w:tcBorders>
          </w:tcPr>
          <w:p w14:paraId="3AF7E02C"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7.5%</w:t>
            </w:r>
          </w:p>
        </w:tc>
        <w:tc>
          <w:tcPr>
            <w:tcW w:w="746" w:type="pct"/>
            <w:tcBorders>
              <w:left w:val="single" w:sz="4" w:space="0" w:color="auto"/>
            </w:tcBorders>
          </w:tcPr>
          <w:p w14:paraId="525FC17D"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3067B9">
              <w:rPr>
                <w:rFonts w:eastAsia="Calibri" w:cs="Arial"/>
                <w:color w:val="000000"/>
                <w:sz w:val="24"/>
                <w:szCs w:val="32"/>
                <w:bdr w:val="none" w:sz="0" w:space="0" w:color="auto" w:frame="1"/>
                <w:lang w:val="en-NZ"/>
              </w:rPr>
              <w:t>7.4%</w:t>
            </w:r>
          </w:p>
        </w:tc>
      </w:tr>
      <w:tr w:rsidR="005462AC" w:rsidRPr="00D4706E" w14:paraId="689D542D"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left w:val="single" w:sz="4" w:space="0" w:color="auto"/>
              <w:right w:val="single" w:sz="4" w:space="0" w:color="auto"/>
            </w:tcBorders>
          </w:tcPr>
          <w:p w14:paraId="046FE662" w14:textId="749BEFBE"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21</w:t>
            </w:r>
          </w:p>
        </w:tc>
        <w:tc>
          <w:tcPr>
            <w:tcW w:w="3239" w:type="pct"/>
            <w:tcBorders>
              <w:left w:val="single" w:sz="4" w:space="0" w:color="auto"/>
              <w:right w:val="single" w:sz="4" w:space="0" w:color="auto"/>
            </w:tcBorders>
          </w:tcPr>
          <w:p w14:paraId="53E5E084"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Delivery of planned care interventions</w:t>
            </w:r>
          </w:p>
        </w:tc>
        <w:tc>
          <w:tcPr>
            <w:tcW w:w="664" w:type="pct"/>
            <w:tcBorders>
              <w:left w:val="single" w:sz="4" w:space="0" w:color="auto"/>
              <w:right w:val="single" w:sz="4" w:space="0" w:color="auto"/>
            </w:tcBorders>
          </w:tcPr>
          <w:p w14:paraId="34E31A85"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84,206</w:t>
            </w:r>
          </w:p>
        </w:tc>
        <w:tc>
          <w:tcPr>
            <w:tcW w:w="746" w:type="pct"/>
            <w:tcBorders>
              <w:left w:val="single" w:sz="4" w:space="0" w:color="auto"/>
            </w:tcBorders>
          </w:tcPr>
          <w:p w14:paraId="077D2FBF" w14:textId="7D776723" w:rsidR="004908AF" w:rsidRPr="003067B9" w:rsidRDefault="004908AF" w:rsidP="001F1B84">
            <w:pPr>
              <w:pStyle w:val="TableText"/>
              <w:spacing w:before="100" w:beforeAutospacing="1" w:after="100" w:afterAutospacing="1" w:line="276" w:lineRule="auto"/>
              <w:jc w:val="center"/>
              <w:rPr>
                <w:rFonts w:eastAsia="Calibri" w:cs="Arial"/>
                <w:color w:val="000000"/>
                <w:szCs w:val="24"/>
                <w:bdr w:val="none" w:sz="0" w:space="0" w:color="auto" w:frame="1"/>
                <w:lang w:val="en-NZ"/>
              </w:rPr>
            </w:pPr>
            <w:r w:rsidRPr="003067B9">
              <w:rPr>
                <w:rFonts w:eastAsia="Calibri" w:cs="Arial"/>
                <w:color w:val="000000"/>
                <w:sz w:val="24"/>
                <w:szCs w:val="32"/>
                <w:bdr w:val="none" w:sz="0" w:space="0" w:color="auto" w:frame="1"/>
                <w:lang w:val="en-NZ"/>
              </w:rPr>
              <w:t>80,365</w:t>
            </w:r>
            <w:r w:rsidR="00360BE3" w:rsidRPr="003067B9">
              <w:rPr>
                <w:rFonts w:eastAsia="Calibri" w:cs="Arial"/>
                <w:color w:val="000000"/>
                <w:sz w:val="24"/>
                <w:szCs w:val="32"/>
                <w:bdr w:val="none" w:sz="0" w:space="0" w:color="auto" w:frame="1"/>
                <w:lang w:val="en-NZ"/>
              </w:rPr>
              <w:t xml:space="preserve"> </w:t>
            </w:r>
            <w:r w:rsidRPr="003067B9">
              <w:rPr>
                <w:rFonts w:ascii="Wingdings" w:eastAsia="Wingdings" w:hAnsi="Wingdings" w:cs="Wingdings"/>
                <w:b/>
                <w:color w:val="FF0000"/>
                <w:sz w:val="24"/>
                <w:szCs w:val="28"/>
                <w:lang w:val="en-NZ"/>
              </w:rPr>
              <w:t>Þ</w:t>
            </w:r>
          </w:p>
        </w:tc>
      </w:tr>
      <w:tr w:rsidR="005462AC" w:rsidRPr="00D4706E" w14:paraId="4AD478F4" w14:textId="77777777" w:rsidTr="001F1B84">
        <w:trPr>
          <w:trHeight w:val="300"/>
        </w:trPr>
        <w:tc>
          <w:tcPr>
            <w:tcW w:w="351" w:type="pct"/>
            <w:tcBorders>
              <w:left w:val="single" w:sz="4" w:space="0" w:color="auto"/>
              <w:right w:val="single" w:sz="4" w:space="0" w:color="auto"/>
            </w:tcBorders>
          </w:tcPr>
          <w:p w14:paraId="59F1B694" w14:textId="25DBC117"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22</w:t>
            </w:r>
          </w:p>
        </w:tc>
        <w:tc>
          <w:tcPr>
            <w:tcW w:w="3239" w:type="pct"/>
            <w:tcBorders>
              <w:left w:val="single" w:sz="4" w:space="0" w:color="auto"/>
              <w:right w:val="single" w:sz="4" w:space="0" w:color="auto"/>
            </w:tcBorders>
          </w:tcPr>
          <w:p w14:paraId="28F6290E" w14:textId="0153E4DA" w:rsidR="004908AF" w:rsidRPr="003067B9" w:rsidRDefault="004908AF" w:rsidP="001F1B84">
            <w:pPr>
              <w:pStyle w:val="TableText"/>
              <w:spacing w:before="100" w:beforeAutospacing="1" w:after="100" w:afterAutospacing="1" w:line="276" w:lineRule="auto"/>
              <w:rPr>
                <w:rFonts w:eastAsia="Calibri" w:cs="Arial"/>
                <w:color w:val="000000"/>
                <w:sz w:val="24"/>
                <w:szCs w:val="24"/>
                <w:lang w:val="en-NZ" w:eastAsia="en-NZ"/>
              </w:rPr>
            </w:pPr>
            <w:r w:rsidRPr="003067B9">
              <w:rPr>
                <w:rFonts w:eastAsia="Calibri" w:cs="Arial"/>
                <w:color w:val="000000"/>
                <w:sz w:val="24"/>
                <w:szCs w:val="24"/>
                <w:lang w:val="en-NZ" w:eastAsia="en-NZ"/>
              </w:rPr>
              <w:t>Acute readmission within 28 days of discharge</w:t>
            </w:r>
          </w:p>
        </w:tc>
        <w:tc>
          <w:tcPr>
            <w:tcW w:w="664" w:type="pct"/>
            <w:tcBorders>
              <w:left w:val="single" w:sz="4" w:space="0" w:color="auto"/>
              <w:right w:val="single" w:sz="4" w:space="0" w:color="auto"/>
            </w:tcBorders>
          </w:tcPr>
          <w:p w14:paraId="0691B709"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12.3%</w:t>
            </w:r>
          </w:p>
        </w:tc>
        <w:tc>
          <w:tcPr>
            <w:tcW w:w="746" w:type="pct"/>
            <w:tcBorders>
              <w:left w:val="single" w:sz="4" w:space="0" w:color="auto"/>
            </w:tcBorders>
          </w:tcPr>
          <w:p w14:paraId="1F27898C"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12.2%</w:t>
            </w:r>
          </w:p>
        </w:tc>
      </w:tr>
    </w:tbl>
    <w:p w14:paraId="326A7C7A" w14:textId="34405200" w:rsidR="000A4E15" w:rsidRPr="003067B9" w:rsidRDefault="00821BC6" w:rsidP="00925FD0">
      <w:pPr>
        <w:spacing w:after="120"/>
        <w:rPr>
          <w:sz w:val="20"/>
          <w:szCs w:val="20"/>
          <w:lang w:val="en-NZ"/>
        </w:rPr>
      </w:pPr>
      <w:r w:rsidRPr="003067B9">
        <w:rPr>
          <w:noProof/>
          <w:lang w:val="en-NZ"/>
        </w:rPr>
        <w:drawing>
          <wp:inline distT="0" distB="0" distL="0" distR="0" wp14:anchorId="7E027B42" wp14:editId="262BB4E1">
            <wp:extent cx="180975" cy="180975"/>
            <wp:effectExtent l="0" t="0" r="0" b="0"/>
            <wp:docPr id="1151873972" name="Picture 1151873972"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14">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0A4E15" w:rsidRPr="003067B9">
        <w:rPr>
          <w:sz w:val="20"/>
          <w:szCs w:val="20"/>
          <w:lang w:val="en-NZ"/>
        </w:rPr>
        <w:t xml:space="preserve"> National Health Targets commencing 1 July 2024</w:t>
      </w:r>
      <w:r w:rsidR="001F7CF4" w:rsidRPr="003067B9">
        <w:rPr>
          <w:sz w:val="20"/>
          <w:szCs w:val="20"/>
          <w:lang w:val="en-NZ"/>
        </w:rPr>
        <w:t xml:space="preserve">, </w:t>
      </w:r>
      <w:r w:rsidR="000A4E15" w:rsidRPr="003067B9">
        <w:rPr>
          <w:sz w:val="20"/>
          <w:szCs w:val="20"/>
          <w:lang w:val="en-NZ"/>
        </w:rPr>
        <w:t xml:space="preserve">(note these </w:t>
      </w:r>
      <w:r w:rsidR="002834D8" w:rsidRPr="003067B9">
        <w:rPr>
          <w:sz w:val="20"/>
          <w:szCs w:val="20"/>
          <w:lang w:val="en-NZ"/>
        </w:rPr>
        <w:t>T</w:t>
      </w:r>
      <w:r w:rsidR="000A4E15" w:rsidRPr="003067B9">
        <w:rPr>
          <w:sz w:val="20"/>
          <w:szCs w:val="20"/>
          <w:lang w:val="en-NZ"/>
        </w:rPr>
        <w:t xml:space="preserve">argets are </w:t>
      </w:r>
      <w:r w:rsidR="00C56094" w:rsidRPr="003067B9">
        <w:rPr>
          <w:sz w:val="20"/>
          <w:szCs w:val="20"/>
          <w:lang w:val="en-NZ"/>
        </w:rPr>
        <w:t xml:space="preserve">similar </w:t>
      </w:r>
      <w:r w:rsidR="000A4E15" w:rsidRPr="003067B9">
        <w:rPr>
          <w:sz w:val="20"/>
          <w:szCs w:val="20"/>
          <w:lang w:val="en-NZ"/>
        </w:rPr>
        <w:t xml:space="preserve">to the </w:t>
      </w:r>
      <w:r w:rsidR="005462AC" w:rsidRPr="003067B9">
        <w:rPr>
          <w:sz w:val="20"/>
          <w:szCs w:val="20"/>
          <w:lang w:val="en-NZ"/>
        </w:rPr>
        <w:t xml:space="preserve">accountability </w:t>
      </w:r>
      <w:r w:rsidR="000A4E15" w:rsidRPr="003067B9" w:rsidDel="005462AC">
        <w:rPr>
          <w:sz w:val="20"/>
          <w:szCs w:val="20"/>
          <w:lang w:val="en-NZ"/>
        </w:rPr>
        <w:t xml:space="preserve">targets </w:t>
      </w:r>
      <w:r w:rsidR="005462AC" w:rsidRPr="003067B9">
        <w:rPr>
          <w:sz w:val="20"/>
          <w:szCs w:val="20"/>
          <w:lang w:val="en-NZ"/>
        </w:rPr>
        <w:t xml:space="preserve">measures </w:t>
      </w:r>
      <w:r w:rsidR="000A4E15" w:rsidRPr="003067B9">
        <w:rPr>
          <w:sz w:val="20"/>
          <w:szCs w:val="20"/>
          <w:lang w:val="en-NZ"/>
        </w:rPr>
        <w:t>established by Health NZ for 2023/24</w:t>
      </w:r>
      <w:r w:rsidR="00D669A5" w:rsidRPr="003067B9">
        <w:rPr>
          <w:sz w:val="20"/>
          <w:szCs w:val="20"/>
          <w:lang w:val="en-NZ"/>
        </w:rPr>
        <w:t xml:space="preserve"> </w:t>
      </w:r>
      <w:r w:rsidR="00C178C2" w:rsidRPr="003067B9">
        <w:rPr>
          <w:sz w:val="20"/>
          <w:szCs w:val="20"/>
          <w:lang w:val="en-NZ"/>
        </w:rPr>
        <w:t>and</w:t>
      </w:r>
      <w:r w:rsidR="007C15CC" w:rsidRPr="003067B9">
        <w:rPr>
          <w:sz w:val="20"/>
          <w:szCs w:val="20"/>
          <w:lang w:val="en-NZ"/>
        </w:rPr>
        <w:t xml:space="preserve">) </w:t>
      </w:r>
      <w:r w:rsidR="005462AC" w:rsidRPr="003067B9">
        <w:rPr>
          <w:sz w:val="20"/>
          <w:szCs w:val="20"/>
          <w:lang w:val="en-NZ"/>
        </w:rPr>
        <w:t>included in this report</w:t>
      </w:r>
      <w:r w:rsidR="000A4E15" w:rsidRPr="003067B9">
        <w:rPr>
          <w:sz w:val="20"/>
          <w:szCs w:val="20"/>
          <w:lang w:val="en-NZ"/>
        </w:rPr>
        <w:t>)</w:t>
      </w:r>
      <w:r w:rsidR="005462AC" w:rsidRPr="003067B9">
        <w:rPr>
          <w:sz w:val="20"/>
          <w:szCs w:val="20"/>
          <w:lang w:val="en-NZ"/>
        </w:rPr>
        <w:t>.</w:t>
      </w:r>
      <w:r w:rsidR="00DD0881" w:rsidRPr="003067B9">
        <w:rPr>
          <w:sz w:val="20"/>
          <w:szCs w:val="20"/>
          <w:lang w:val="en-NZ"/>
        </w:rPr>
        <w:t xml:space="preserve"> Two of these targets (marked with a </w:t>
      </w:r>
      <w:r w:rsidR="009B5784" w:rsidRPr="003067B9">
        <w:rPr>
          <w:noProof/>
          <w:lang w:val="en-NZ"/>
        </w:rPr>
        <w:drawing>
          <wp:inline distT="0" distB="0" distL="0" distR="0" wp14:anchorId="38DF5642" wp14:editId="7A1875AC">
            <wp:extent cx="204742" cy="205695"/>
            <wp:effectExtent l="0" t="0" r="5080" b="4445"/>
            <wp:docPr id="882856596"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742" cy="205695"/>
                    </a:xfrm>
                    <a:prstGeom prst="rect">
                      <a:avLst/>
                    </a:prstGeom>
                  </pic:spPr>
                </pic:pic>
              </a:graphicData>
            </a:graphic>
          </wp:inline>
        </w:drawing>
      </w:r>
      <w:r w:rsidR="004830CF" w:rsidRPr="003067B9">
        <w:rPr>
          <w:sz w:val="20"/>
          <w:szCs w:val="20"/>
          <w:lang w:val="en-NZ"/>
        </w:rPr>
        <w:t>)</w:t>
      </w:r>
      <w:r w:rsidR="00503E13" w:rsidRPr="003067B9">
        <w:rPr>
          <w:sz w:val="20"/>
          <w:szCs w:val="20"/>
          <w:lang w:val="en-NZ"/>
        </w:rPr>
        <w:t xml:space="preserve"> are </w:t>
      </w:r>
      <w:r w:rsidR="006D3E07" w:rsidRPr="003067B9">
        <w:rPr>
          <w:sz w:val="20"/>
          <w:szCs w:val="20"/>
          <w:lang w:val="en-NZ"/>
        </w:rPr>
        <w:t xml:space="preserve">also </w:t>
      </w:r>
      <w:r w:rsidR="00503E13" w:rsidRPr="003067B9">
        <w:rPr>
          <w:sz w:val="20"/>
          <w:szCs w:val="20"/>
          <w:lang w:val="en-NZ"/>
        </w:rPr>
        <w:t>Government targets</w:t>
      </w:r>
      <w:r w:rsidR="00644E3F" w:rsidRPr="003067B9">
        <w:rPr>
          <w:sz w:val="20"/>
          <w:szCs w:val="20"/>
          <w:lang w:val="en-NZ"/>
        </w:rPr>
        <w:t xml:space="preserve">. See </w:t>
      </w:r>
      <w:hyperlink r:id="rId17" w:history="1">
        <w:r w:rsidR="002562BC" w:rsidRPr="003C38C6">
          <w:rPr>
            <w:rStyle w:val="Hyperlink"/>
            <w:sz w:val="20"/>
            <w:szCs w:val="20"/>
            <w:u w:val="none"/>
            <w:lang w:val="en-NZ"/>
          </w:rPr>
          <w:t>https://www.dpmc.govt.nz/our-programmes/government-targets</w:t>
        </w:r>
      </w:hyperlink>
      <w:r w:rsidR="002562BC" w:rsidRPr="003067B9">
        <w:rPr>
          <w:sz w:val="20"/>
          <w:szCs w:val="20"/>
          <w:lang w:val="en-NZ"/>
        </w:rPr>
        <w:t xml:space="preserve"> for more information</w:t>
      </w:r>
      <w:r w:rsidR="004830CF" w:rsidRPr="003067B9">
        <w:rPr>
          <w:sz w:val="20"/>
          <w:szCs w:val="20"/>
          <w:lang w:val="en-NZ"/>
        </w:rPr>
        <w:t xml:space="preserve">. </w:t>
      </w:r>
    </w:p>
    <w:p w14:paraId="12ACC606" w14:textId="622C4D4B" w:rsidR="00021CB0" w:rsidRPr="003067B9" w:rsidRDefault="00021CB0" w:rsidP="00925FD0">
      <w:pPr>
        <w:spacing w:after="120"/>
        <w:rPr>
          <w:rFonts w:eastAsia="Calibri"/>
          <w:color w:val="000000"/>
          <w:sz w:val="20"/>
          <w:lang w:val="en-NZ" w:eastAsia="en-NZ"/>
        </w:rPr>
      </w:pPr>
      <w:r w:rsidRPr="003067B9">
        <w:rPr>
          <w:rFonts w:eastAsia="Calibri"/>
          <w:color w:val="000000"/>
          <w:sz w:val="20"/>
          <w:lang w:val="en-NZ" w:eastAsia="en-NZ"/>
        </w:rPr>
        <w:t>+ Clinical Performance Metric</w:t>
      </w:r>
      <w:r w:rsidR="003B5767" w:rsidRPr="003067B9">
        <w:rPr>
          <w:rFonts w:eastAsia="Calibri"/>
          <w:color w:val="000000"/>
          <w:sz w:val="20"/>
          <w:lang w:val="en-NZ" w:eastAsia="en-NZ"/>
        </w:rPr>
        <w:t>s</w:t>
      </w:r>
    </w:p>
    <w:p w14:paraId="67F3D2DF" w14:textId="77777777" w:rsidR="000E1510" w:rsidRPr="003067B9" w:rsidRDefault="000E1510" w:rsidP="000E1510">
      <w:pPr>
        <w:rPr>
          <w:sz w:val="20"/>
          <w:szCs w:val="20"/>
          <w:lang w:val="en-NZ"/>
        </w:rPr>
      </w:pPr>
      <w:r w:rsidRPr="003067B9">
        <w:rPr>
          <w:sz w:val="20"/>
          <w:szCs w:val="20"/>
          <w:lang w:val="en-NZ"/>
        </w:rPr>
        <w:t>* Result not provided as a comparator due to a change in denominator from quarter two to quarter three (detail provided on the following pages).</w:t>
      </w:r>
    </w:p>
    <w:p w14:paraId="412DA075" w14:textId="740BD654" w:rsidR="00D02262" w:rsidRPr="00D4706E" w:rsidRDefault="00C75892" w:rsidP="004A6D55">
      <w:pPr>
        <w:pStyle w:val="Heading2"/>
        <w:rPr>
          <w:color w:val="15284C"/>
          <w:sz w:val="32"/>
          <w:szCs w:val="32"/>
        </w:rPr>
      </w:pPr>
      <w:bookmarkStart w:id="53" w:name="_Toc170199159"/>
      <w:r w:rsidRPr="00D4706E">
        <w:rPr>
          <w:color w:val="15284C"/>
          <w:sz w:val="32"/>
          <w:szCs w:val="32"/>
        </w:rPr>
        <w:lastRenderedPageBreak/>
        <w:t xml:space="preserve">1 </w:t>
      </w:r>
      <w:r w:rsidR="00D02262" w:rsidRPr="00D4706E">
        <w:rPr>
          <w:color w:val="15284C"/>
          <w:sz w:val="32"/>
          <w:szCs w:val="32"/>
        </w:rPr>
        <w:t xml:space="preserve">Immunisation coverage </w:t>
      </w:r>
      <w:r w:rsidR="000F7C90" w:rsidRPr="00D4706E">
        <w:rPr>
          <w:color w:val="15284C"/>
          <w:sz w:val="32"/>
          <w:szCs w:val="32"/>
        </w:rPr>
        <w:t xml:space="preserve">for age </w:t>
      </w:r>
      <w:r w:rsidR="00D02262" w:rsidRPr="00D4706E">
        <w:rPr>
          <w:color w:val="15284C"/>
          <w:sz w:val="32"/>
          <w:szCs w:val="32"/>
        </w:rPr>
        <w:t>at 24 months</w:t>
      </w:r>
      <w:bookmarkEnd w:id="53"/>
    </w:p>
    <w:p w14:paraId="072F40AF" w14:textId="3A4DAE8C" w:rsidR="00BF230B" w:rsidRPr="003067B9" w:rsidRDefault="00D02262" w:rsidP="0013755F">
      <w:pPr>
        <w:rPr>
          <w:szCs w:val="24"/>
          <w:lang w:val="en-NZ"/>
        </w:rPr>
      </w:pPr>
      <w:r w:rsidRPr="003067B9">
        <w:rPr>
          <w:szCs w:val="24"/>
          <w:lang w:val="en-NZ"/>
        </w:rPr>
        <w:t xml:space="preserve">This measure </w:t>
      </w:r>
      <w:r w:rsidR="000C0499" w:rsidRPr="003067B9">
        <w:rPr>
          <w:szCs w:val="24"/>
          <w:lang w:val="en-NZ"/>
        </w:rPr>
        <w:t xml:space="preserve">shows </w:t>
      </w:r>
      <w:r w:rsidRPr="003067B9">
        <w:rPr>
          <w:szCs w:val="24"/>
          <w:lang w:val="en-NZ"/>
        </w:rPr>
        <w:t xml:space="preserve">the percentage of children who </w:t>
      </w:r>
      <w:r w:rsidR="00124CAB" w:rsidRPr="003067B9">
        <w:rPr>
          <w:szCs w:val="24"/>
          <w:lang w:val="en-NZ"/>
        </w:rPr>
        <w:t>have all</w:t>
      </w:r>
      <w:r w:rsidRPr="003067B9">
        <w:rPr>
          <w:szCs w:val="24"/>
          <w:lang w:val="en-NZ"/>
        </w:rPr>
        <w:t xml:space="preserve"> their scheduled vaccinations by the time they are two years old. </w:t>
      </w:r>
      <w:bookmarkStart w:id="54" w:name="_Toc162008447"/>
    </w:p>
    <w:p w14:paraId="0E71880A" w14:textId="106ED6B3" w:rsidR="00D02262" w:rsidRPr="003067B9" w:rsidRDefault="00D02262" w:rsidP="0013755F">
      <w:pPr>
        <w:rPr>
          <w:b/>
          <w:bCs/>
          <w:lang w:val="en-NZ"/>
        </w:rPr>
      </w:pPr>
      <w:r w:rsidRPr="003067B9">
        <w:rPr>
          <w:szCs w:val="24"/>
          <w:lang w:val="en-NZ"/>
        </w:rPr>
        <w:t xml:space="preserve">The overall immunisation rate for children at 24 months shows a </w:t>
      </w:r>
      <w:r w:rsidRPr="003067B9">
        <w:rPr>
          <w:rFonts w:eastAsia="Times New Roman"/>
          <w:szCs w:val="24"/>
          <w:lang w:val="en-NZ"/>
        </w:rPr>
        <w:t xml:space="preserve">reduction of 3.1% from the previous quarter and 12.1% below the 2023/24 target of 90%. </w:t>
      </w:r>
      <w:r w:rsidRPr="003067B9">
        <w:rPr>
          <w:szCs w:val="24"/>
          <w:lang w:val="en-NZ"/>
        </w:rPr>
        <w:t xml:space="preserve"> The overall drop in immunisation rates is impacted by the change in the source data</w:t>
      </w:r>
      <w:r w:rsidR="002C55D4" w:rsidRPr="003067B9">
        <w:rPr>
          <w:szCs w:val="24"/>
          <w:lang w:val="en-NZ"/>
        </w:rPr>
        <w:t xml:space="preserve">. </w:t>
      </w:r>
      <w:r w:rsidR="00BC3D65" w:rsidRPr="003067B9">
        <w:rPr>
          <w:szCs w:val="24"/>
          <w:lang w:val="en-NZ"/>
        </w:rPr>
        <w:t>The latest immunisation covera</w:t>
      </w:r>
      <w:r w:rsidR="004E6377" w:rsidRPr="003067B9">
        <w:rPr>
          <w:szCs w:val="24"/>
          <w:lang w:val="en-NZ"/>
        </w:rPr>
        <w:t>ge rate is calculated using the Aotearoa Immunisation Register (AIR)</w:t>
      </w:r>
      <w:r w:rsidR="006201E9" w:rsidRPr="003067B9">
        <w:rPr>
          <w:szCs w:val="24"/>
          <w:lang w:val="en-NZ"/>
        </w:rPr>
        <w:t xml:space="preserve"> denominator </w:t>
      </w:r>
      <w:r w:rsidR="00801C1C" w:rsidRPr="003067B9">
        <w:rPr>
          <w:szCs w:val="24"/>
          <w:lang w:val="en-NZ"/>
        </w:rPr>
        <w:t>–</w:t>
      </w:r>
      <w:r w:rsidR="00B12B71" w:rsidRPr="003067B9">
        <w:rPr>
          <w:szCs w:val="24"/>
          <w:lang w:val="en-NZ"/>
        </w:rPr>
        <w:t xml:space="preserve"> </w:t>
      </w:r>
      <w:r w:rsidR="00801C1C" w:rsidRPr="003067B9">
        <w:rPr>
          <w:szCs w:val="24"/>
          <w:lang w:val="en-NZ"/>
        </w:rPr>
        <w:t xml:space="preserve">previously </w:t>
      </w:r>
      <w:r w:rsidR="17CBDFDA" w:rsidRPr="003067B9">
        <w:rPr>
          <w:szCs w:val="24"/>
          <w:lang w:val="en-NZ"/>
        </w:rPr>
        <w:t xml:space="preserve">(in quarter two) it was </w:t>
      </w:r>
      <w:r w:rsidR="00801C1C" w:rsidRPr="003067B9">
        <w:rPr>
          <w:szCs w:val="24"/>
          <w:lang w:val="en-NZ"/>
        </w:rPr>
        <w:t xml:space="preserve">calculated using </w:t>
      </w:r>
      <w:r w:rsidR="006201E9" w:rsidRPr="003067B9">
        <w:rPr>
          <w:szCs w:val="24"/>
          <w:lang w:val="en-NZ"/>
        </w:rPr>
        <w:t>the National Immunisation Register (NIR) denominator</w:t>
      </w:r>
      <w:r w:rsidR="00747314" w:rsidRPr="003067B9">
        <w:rPr>
          <w:szCs w:val="24"/>
          <w:lang w:val="en-NZ"/>
        </w:rPr>
        <w:t xml:space="preserve">. </w:t>
      </w:r>
      <w:r w:rsidR="003A074C" w:rsidRPr="003067B9">
        <w:rPr>
          <w:szCs w:val="24"/>
          <w:lang w:val="en-NZ"/>
        </w:rPr>
        <w:t>T</w:t>
      </w:r>
      <w:r w:rsidR="00747314" w:rsidRPr="003067B9">
        <w:rPr>
          <w:szCs w:val="24"/>
          <w:lang w:val="en-NZ"/>
        </w:rPr>
        <w:t>he AIR captures a greater number of eli</w:t>
      </w:r>
      <w:r w:rsidR="00721D0E" w:rsidRPr="003067B9">
        <w:rPr>
          <w:szCs w:val="24"/>
          <w:lang w:val="en-NZ"/>
        </w:rPr>
        <w:t>gible children compare</w:t>
      </w:r>
      <w:r w:rsidR="003A074C" w:rsidRPr="003067B9">
        <w:rPr>
          <w:szCs w:val="24"/>
          <w:lang w:val="en-NZ"/>
        </w:rPr>
        <w:t>d</w:t>
      </w:r>
      <w:r w:rsidR="00721D0E" w:rsidRPr="003067B9">
        <w:rPr>
          <w:szCs w:val="24"/>
          <w:lang w:val="en-NZ"/>
        </w:rPr>
        <w:t xml:space="preserve"> to </w:t>
      </w:r>
      <w:r w:rsidR="007A6A4E" w:rsidRPr="003067B9">
        <w:rPr>
          <w:szCs w:val="24"/>
          <w:lang w:val="en-NZ"/>
        </w:rPr>
        <w:t xml:space="preserve">the NIR, </w:t>
      </w:r>
      <w:r w:rsidR="00ED2BE5" w:rsidRPr="003067B9">
        <w:rPr>
          <w:szCs w:val="24"/>
          <w:lang w:val="en-NZ"/>
        </w:rPr>
        <w:t xml:space="preserve">which reflects a </w:t>
      </w:r>
      <w:r w:rsidR="007A6A4E" w:rsidRPr="003067B9">
        <w:rPr>
          <w:szCs w:val="24"/>
          <w:lang w:val="en-NZ"/>
        </w:rPr>
        <w:t xml:space="preserve">drop in coverage due to the denominator being larger. Going forward we will </w:t>
      </w:r>
      <w:r w:rsidR="00A06F5D" w:rsidRPr="003067B9">
        <w:rPr>
          <w:szCs w:val="24"/>
          <w:lang w:val="en-NZ"/>
        </w:rPr>
        <w:t xml:space="preserve">continue to </w:t>
      </w:r>
      <w:r w:rsidR="007A6A4E" w:rsidRPr="003067B9">
        <w:rPr>
          <w:szCs w:val="24"/>
          <w:lang w:val="en-NZ"/>
        </w:rPr>
        <w:t>us</w:t>
      </w:r>
      <w:r w:rsidR="00A06F5D" w:rsidRPr="003067B9">
        <w:rPr>
          <w:szCs w:val="24"/>
          <w:lang w:val="en-NZ"/>
        </w:rPr>
        <w:t>e</w:t>
      </w:r>
      <w:r w:rsidR="007A6A4E" w:rsidRPr="003067B9">
        <w:rPr>
          <w:szCs w:val="24"/>
          <w:lang w:val="en-NZ"/>
        </w:rPr>
        <w:t xml:space="preserve"> the </w:t>
      </w:r>
      <w:r w:rsidR="00D26317" w:rsidRPr="003067B9">
        <w:rPr>
          <w:szCs w:val="24"/>
          <w:lang w:val="en-NZ"/>
        </w:rPr>
        <w:t>AIR dataset and methodology to calculate immunisation coverage.</w:t>
      </w:r>
    </w:p>
    <w:p w14:paraId="347CB1D0" w14:textId="472616A9" w:rsidR="00D02262" w:rsidRPr="003067B9" w:rsidRDefault="00D02262" w:rsidP="00D02262">
      <w:pPr>
        <w:rPr>
          <w:i/>
          <w:iCs/>
          <w:szCs w:val="24"/>
          <w:lang w:val="en-NZ"/>
        </w:rPr>
      </w:pPr>
      <w:r w:rsidRPr="003067B9">
        <w:rPr>
          <w:szCs w:val="24"/>
          <w:lang w:val="en-NZ"/>
        </w:rPr>
        <w:t>To improve childhood immunisation coverage, our focus during quarter three was on eliminating barriers to accessing immunisation, supporting immunisation delivery, and raising awareness. During the quarter, work was undertaken to enable pharmacies to deliver all childhood immunisations to support increased access. This change came into effect on 1 April 202</w:t>
      </w:r>
      <w:r w:rsidR="00CA7737" w:rsidRPr="003067B9">
        <w:rPr>
          <w:szCs w:val="24"/>
          <w:lang w:val="en-NZ"/>
        </w:rPr>
        <w:t>4</w:t>
      </w:r>
      <w:r w:rsidRPr="003067B9">
        <w:rPr>
          <w:szCs w:val="24"/>
          <w:lang w:val="en-NZ"/>
        </w:rPr>
        <w:t>, so data about its impacts will be available next quarter.</w:t>
      </w:r>
    </w:p>
    <w:p w14:paraId="22FD7B42" w14:textId="308441E4" w:rsidR="00E179DF" w:rsidRPr="003067B9" w:rsidRDefault="00D02262" w:rsidP="00D02262">
      <w:pPr>
        <w:rPr>
          <w:szCs w:val="24"/>
          <w:lang w:val="en-NZ"/>
        </w:rPr>
      </w:pPr>
      <w:r w:rsidRPr="003067B9">
        <w:rPr>
          <w:szCs w:val="24"/>
          <w:lang w:val="en-NZ"/>
        </w:rPr>
        <w:t>Public Health Nurses have continued to support childhood immunisation delivery across all regions, in schools with low immunisation coverage and at locally planned immunisation events. All regions have progressed their prevention programmes and established processes to support regional coordination with immunisation and screening services</w:t>
      </w:r>
      <w:r w:rsidR="00C64B74" w:rsidRPr="003067B9">
        <w:rPr>
          <w:szCs w:val="24"/>
          <w:lang w:val="en-NZ"/>
        </w:rPr>
        <w:t xml:space="preserve"> to</w:t>
      </w:r>
      <w:r w:rsidRPr="003067B9">
        <w:rPr>
          <w:szCs w:val="24"/>
          <w:lang w:val="en-NZ"/>
        </w:rPr>
        <w:t xml:space="preserve"> increase immunisation uptake.</w:t>
      </w:r>
    </w:p>
    <w:p w14:paraId="556956BA" w14:textId="4145ECC1" w:rsidR="00D02262" w:rsidRPr="003067B9" w:rsidRDefault="00E179DF" w:rsidP="00925FD0">
      <w:pPr>
        <w:jc w:val="center"/>
        <w:rPr>
          <w:szCs w:val="24"/>
          <w:lang w:val="en-NZ"/>
        </w:rPr>
      </w:pPr>
      <w:r w:rsidRPr="003067B9">
        <w:rPr>
          <w:noProof/>
          <w:szCs w:val="24"/>
          <w:lang w:val="en-NZ"/>
        </w:rPr>
        <w:drawing>
          <wp:inline distT="0" distB="0" distL="0" distR="0" wp14:anchorId="2E474355" wp14:editId="6230C0A2">
            <wp:extent cx="3221665" cy="1659114"/>
            <wp:effectExtent l="0" t="0" r="0" b="0"/>
            <wp:docPr id="8853063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06345"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3268849" cy="1683413"/>
                    </a:xfrm>
                    <a:prstGeom prst="rect">
                      <a:avLst/>
                    </a:prstGeom>
                  </pic:spPr>
                </pic:pic>
              </a:graphicData>
            </a:graphic>
          </wp:inline>
        </w:drawing>
      </w:r>
    </w:p>
    <w:p w14:paraId="0F6BCD1D" w14:textId="48725B24" w:rsidR="00C833A9" w:rsidRPr="003067B9" w:rsidRDefault="001E2C1F" w:rsidP="00D02262">
      <w:pPr>
        <w:rPr>
          <w:color w:val="15284C" w:themeColor="text1"/>
          <w:szCs w:val="24"/>
          <w:lang w:val="en-NZ"/>
        </w:rPr>
      </w:pPr>
      <w:r w:rsidRPr="003067B9">
        <w:rPr>
          <w:szCs w:val="24"/>
          <w:lang w:val="en-NZ"/>
        </w:rPr>
        <w:t xml:space="preserve">All ethnic groups </w:t>
      </w:r>
      <w:r w:rsidR="00E7455B" w:rsidRPr="003067B9">
        <w:rPr>
          <w:szCs w:val="24"/>
          <w:lang w:val="en-NZ"/>
        </w:rPr>
        <w:t>and regions</w:t>
      </w:r>
      <w:r w:rsidRPr="003067B9">
        <w:rPr>
          <w:szCs w:val="24"/>
          <w:lang w:val="en-NZ"/>
        </w:rPr>
        <w:t xml:space="preserve"> </w:t>
      </w:r>
      <w:r w:rsidR="00016F32" w:rsidRPr="003067B9">
        <w:rPr>
          <w:szCs w:val="24"/>
          <w:lang w:val="en-NZ"/>
        </w:rPr>
        <w:t>are below</w:t>
      </w:r>
      <w:r w:rsidRPr="003067B9">
        <w:rPr>
          <w:szCs w:val="24"/>
          <w:lang w:val="en-NZ"/>
        </w:rPr>
        <w:t xml:space="preserve"> the target</w:t>
      </w:r>
      <w:r w:rsidR="009F2D3C" w:rsidRPr="003067B9">
        <w:rPr>
          <w:szCs w:val="24"/>
          <w:lang w:val="en-NZ"/>
        </w:rPr>
        <w:t>.</w:t>
      </w:r>
    </w:p>
    <w:p w14:paraId="324B3AD5" w14:textId="0419326D" w:rsidR="00D02262" w:rsidRPr="003067B9" w:rsidRDefault="00CE1BB8" w:rsidP="00925FD0">
      <w:pPr>
        <w:jc w:val="center"/>
        <w:rPr>
          <w:color w:val="15284C" w:themeColor="text1"/>
          <w:szCs w:val="24"/>
          <w:lang w:val="en-NZ"/>
        </w:rPr>
      </w:pPr>
      <w:r w:rsidRPr="003067B9">
        <w:rPr>
          <w:noProof/>
          <w:color w:val="15284C" w:themeColor="text1"/>
          <w:szCs w:val="24"/>
          <w:lang w:val="en-NZ"/>
        </w:rPr>
        <w:drawing>
          <wp:inline distT="0" distB="0" distL="0" distR="0" wp14:anchorId="7DB74270" wp14:editId="16B8BB81">
            <wp:extent cx="2151275" cy="1711325"/>
            <wp:effectExtent l="0" t="0" r="1905" b="3175"/>
            <wp:docPr id="2705768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76808"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2208441" cy="1756800"/>
                    </a:xfrm>
                    <a:prstGeom prst="rect">
                      <a:avLst/>
                    </a:prstGeom>
                  </pic:spPr>
                </pic:pic>
              </a:graphicData>
            </a:graphic>
          </wp:inline>
        </w:drawing>
      </w:r>
      <w:r w:rsidR="00DC5807">
        <w:rPr>
          <w:noProof/>
          <w:color w:val="15284C" w:themeColor="text1"/>
          <w:szCs w:val="24"/>
          <w:lang w:val="en-NZ"/>
        </w:rPr>
        <w:t xml:space="preserve">  </w:t>
      </w:r>
      <w:r w:rsidR="00BC776D">
        <w:rPr>
          <w:noProof/>
          <w:color w:val="15284C" w:themeColor="text1"/>
          <w:szCs w:val="24"/>
          <w:lang w:val="en-NZ"/>
        </w:rPr>
        <w:t xml:space="preserve"> </w:t>
      </w:r>
      <w:r w:rsidR="00E52E1E">
        <w:rPr>
          <w:noProof/>
          <w:color w:val="15284C" w:themeColor="text1"/>
          <w:szCs w:val="24"/>
          <w:lang w:val="en-NZ"/>
        </w:rPr>
        <w:t xml:space="preserve">  </w:t>
      </w:r>
      <w:r w:rsidRPr="003067B9">
        <w:rPr>
          <w:noProof/>
          <w:color w:val="15284C" w:themeColor="text1"/>
          <w:szCs w:val="24"/>
          <w:lang w:val="en-NZ"/>
        </w:rPr>
        <w:drawing>
          <wp:inline distT="0" distB="0" distL="0" distR="0" wp14:anchorId="3A1DD524" wp14:editId="48570C08">
            <wp:extent cx="2438400" cy="1749370"/>
            <wp:effectExtent l="0" t="0" r="0" b="3810"/>
            <wp:docPr id="6948347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34731"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2496180" cy="1790823"/>
                    </a:xfrm>
                    <a:prstGeom prst="rect">
                      <a:avLst/>
                    </a:prstGeom>
                  </pic:spPr>
                </pic:pic>
              </a:graphicData>
            </a:graphic>
          </wp:inline>
        </w:drawing>
      </w:r>
    </w:p>
    <w:p w14:paraId="0B1CC47D" w14:textId="6893C7BF" w:rsidR="00D02262" w:rsidRPr="001C1632" w:rsidRDefault="00D02262" w:rsidP="00D02262">
      <w:pPr>
        <w:rPr>
          <w:i/>
          <w:color w:val="000000"/>
          <w:szCs w:val="24"/>
          <w:lang w:val="en-NZ"/>
        </w:rPr>
      </w:pPr>
      <w:r w:rsidRPr="001C1632">
        <w:rPr>
          <w:i/>
          <w:color w:val="000000"/>
          <w:szCs w:val="24"/>
          <w:lang w:val="en-NZ"/>
        </w:rPr>
        <w:t>Data source is the Aotearoa Immunisation Register (AIR)</w:t>
      </w:r>
      <w:r w:rsidR="53E584D1" w:rsidRPr="001C1632">
        <w:rPr>
          <w:i/>
          <w:color w:val="000000"/>
          <w:szCs w:val="24"/>
          <w:lang w:val="en-NZ"/>
        </w:rPr>
        <w:t>,</w:t>
      </w:r>
      <w:r w:rsidRPr="001C1632">
        <w:rPr>
          <w:i/>
          <w:color w:val="000000"/>
          <w:szCs w:val="24"/>
          <w:lang w:val="en-NZ"/>
        </w:rPr>
        <w:t xml:space="preserve"> which results in a drop in coverage as the denominator is now larger.</w:t>
      </w:r>
    </w:p>
    <w:p w14:paraId="76E00DA7" w14:textId="3C1505D2" w:rsidR="00697D08" w:rsidRPr="00D4706E" w:rsidRDefault="00C75892" w:rsidP="00C75892">
      <w:pPr>
        <w:pStyle w:val="Heading2"/>
        <w:rPr>
          <w:color w:val="15284C"/>
          <w:sz w:val="32"/>
          <w:szCs w:val="32"/>
        </w:rPr>
      </w:pPr>
      <w:bookmarkStart w:id="55" w:name="_Toc170199160"/>
      <w:r w:rsidRPr="00D4706E">
        <w:rPr>
          <w:color w:val="15284C"/>
          <w:sz w:val="32"/>
          <w:szCs w:val="32"/>
        </w:rPr>
        <w:lastRenderedPageBreak/>
        <w:t xml:space="preserve">2 </w:t>
      </w:r>
      <w:r w:rsidR="00697D08" w:rsidRPr="00D4706E">
        <w:rPr>
          <w:color w:val="15284C"/>
          <w:sz w:val="32"/>
          <w:szCs w:val="32"/>
        </w:rPr>
        <w:t>Shorter stays in Emergency Departments</w:t>
      </w:r>
      <w:bookmarkEnd w:id="55"/>
    </w:p>
    <w:p w14:paraId="0C78AF64" w14:textId="21E29656" w:rsidR="00697D08" w:rsidRPr="003067B9" w:rsidRDefault="00697D08" w:rsidP="00697D08">
      <w:pPr>
        <w:rPr>
          <w:szCs w:val="24"/>
          <w:lang w:val="en-NZ"/>
        </w:rPr>
      </w:pPr>
      <w:r w:rsidRPr="003067B9">
        <w:rPr>
          <w:szCs w:val="24"/>
          <w:lang w:val="en-NZ"/>
        </w:rPr>
        <w:t xml:space="preserve">This measure reports patients admitted, discharged or transferred from an Emergency Department (ED) within six hours (Shorter Stays in ED – SSED) as a percentage of all patients who left </w:t>
      </w:r>
      <w:r w:rsidR="00E75E0F" w:rsidRPr="003067B9">
        <w:rPr>
          <w:szCs w:val="24"/>
          <w:lang w:val="en-NZ"/>
        </w:rPr>
        <w:t xml:space="preserve">the </w:t>
      </w:r>
      <w:r w:rsidRPr="003067B9">
        <w:rPr>
          <w:szCs w:val="24"/>
          <w:lang w:val="en-NZ"/>
        </w:rPr>
        <w:t>ED in the period.</w:t>
      </w:r>
    </w:p>
    <w:p w14:paraId="0CED3C37" w14:textId="5206A36C" w:rsidR="00697D08" w:rsidRPr="003067B9" w:rsidRDefault="00697D08" w:rsidP="00697D08">
      <w:pPr>
        <w:rPr>
          <w:szCs w:val="24"/>
          <w:lang w:val="en-NZ"/>
        </w:rPr>
      </w:pPr>
      <w:r w:rsidRPr="003067B9">
        <w:rPr>
          <w:szCs w:val="24"/>
          <w:lang w:val="en-NZ"/>
        </w:rPr>
        <w:t>ED length of stay remained static nationally between quarter</w:t>
      </w:r>
      <w:r w:rsidR="00E75E0F" w:rsidRPr="003067B9">
        <w:rPr>
          <w:szCs w:val="24"/>
          <w:lang w:val="en-NZ"/>
        </w:rPr>
        <w:t>s</w:t>
      </w:r>
      <w:r w:rsidRPr="003067B9">
        <w:rPr>
          <w:szCs w:val="24"/>
          <w:lang w:val="en-NZ"/>
        </w:rPr>
        <w:t xml:space="preserve"> two and three</w:t>
      </w:r>
      <w:r w:rsidR="009E063B" w:rsidRPr="003067B9">
        <w:rPr>
          <w:szCs w:val="24"/>
          <w:lang w:val="en-NZ"/>
        </w:rPr>
        <w:t>;</w:t>
      </w:r>
      <w:r w:rsidRPr="003067B9">
        <w:rPr>
          <w:szCs w:val="24"/>
          <w:lang w:val="en-NZ"/>
        </w:rPr>
        <w:t xml:space="preserve"> however</w:t>
      </w:r>
      <w:r w:rsidR="009E063B" w:rsidRPr="003067B9">
        <w:rPr>
          <w:szCs w:val="24"/>
          <w:lang w:val="en-NZ"/>
        </w:rPr>
        <w:t>,</w:t>
      </w:r>
      <w:r w:rsidRPr="003067B9">
        <w:rPr>
          <w:szCs w:val="24"/>
          <w:lang w:val="en-NZ"/>
        </w:rPr>
        <w:t xml:space="preserve"> total performance remains below the baseline and well below the national target. </w:t>
      </w:r>
      <w:r w:rsidR="008C2A5D">
        <w:rPr>
          <w:szCs w:val="24"/>
          <w:lang w:val="en-NZ"/>
        </w:rPr>
        <w:t>P</w:t>
      </w:r>
      <w:r w:rsidR="002D2ED8">
        <w:rPr>
          <w:szCs w:val="24"/>
          <w:lang w:val="en-NZ"/>
        </w:rPr>
        <w:t xml:space="preserve">erformance in this measure is related to </w:t>
      </w:r>
      <w:r w:rsidR="00FB32E5">
        <w:rPr>
          <w:szCs w:val="24"/>
          <w:lang w:val="en-NZ"/>
        </w:rPr>
        <w:t>volumes of ED presentations</w:t>
      </w:r>
      <w:r w:rsidR="00EF7D5C">
        <w:rPr>
          <w:szCs w:val="24"/>
          <w:lang w:val="en-NZ"/>
        </w:rPr>
        <w:t xml:space="preserve"> (see measure 13).</w:t>
      </w:r>
      <w:r w:rsidR="00C55529">
        <w:rPr>
          <w:szCs w:val="24"/>
          <w:lang w:val="en-NZ"/>
        </w:rPr>
        <w:t xml:space="preserve"> </w:t>
      </w:r>
      <w:r w:rsidRPr="003067B9">
        <w:rPr>
          <w:szCs w:val="24"/>
          <w:lang w:val="en-NZ"/>
        </w:rPr>
        <w:t xml:space="preserve">Access to inpatient hospital beds </w:t>
      </w:r>
      <w:r w:rsidR="23456CCE" w:rsidRPr="003067B9">
        <w:rPr>
          <w:szCs w:val="24"/>
          <w:lang w:val="en-NZ"/>
        </w:rPr>
        <w:t>has a significant impact</w:t>
      </w:r>
      <w:r w:rsidRPr="003067B9">
        <w:rPr>
          <w:szCs w:val="24"/>
          <w:lang w:val="en-NZ"/>
        </w:rPr>
        <w:t xml:space="preserve"> </w:t>
      </w:r>
      <w:r w:rsidR="00F8709A" w:rsidRPr="003067B9">
        <w:rPr>
          <w:szCs w:val="24"/>
          <w:lang w:val="en-NZ"/>
        </w:rPr>
        <w:t>on</w:t>
      </w:r>
      <w:r w:rsidRPr="003067B9">
        <w:rPr>
          <w:szCs w:val="24"/>
          <w:lang w:val="en-NZ"/>
        </w:rPr>
        <w:t xml:space="preserve"> patient flow through ED</w:t>
      </w:r>
      <w:r w:rsidR="642E44C2" w:rsidRPr="003067B9">
        <w:rPr>
          <w:szCs w:val="24"/>
          <w:lang w:val="en-NZ"/>
        </w:rPr>
        <w:t xml:space="preserve"> and</w:t>
      </w:r>
      <w:r w:rsidRPr="003067B9">
        <w:rPr>
          <w:szCs w:val="24"/>
          <w:lang w:val="en-NZ"/>
        </w:rPr>
        <w:t xml:space="preserve"> length of stay in ED. </w:t>
      </w:r>
    </w:p>
    <w:p w14:paraId="042BB5E4" w14:textId="45A7BEB6" w:rsidR="00697D08" w:rsidRPr="003067B9" w:rsidRDefault="00697D08" w:rsidP="00697D08">
      <w:pPr>
        <w:rPr>
          <w:szCs w:val="24"/>
          <w:lang w:val="en-NZ"/>
        </w:rPr>
      </w:pPr>
      <w:r w:rsidRPr="003067B9">
        <w:rPr>
          <w:szCs w:val="24"/>
          <w:lang w:val="en-NZ"/>
        </w:rPr>
        <w:t xml:space="preserve">All hospitals have acute flow plans in place. A national Hospital and Specialist Services Acute Care initiative is a multi-year programme </w:t>
      </w:r>
      <w:r w:rsidR="00A5203C" w:rsidRPr="003067B9">
        <w:rPr>
          <w:szCs w:val="24"/>
          <w:lang w:val="en-NZ"/>
        </w:rPr>
        <w:t xml:space="preserve">focused on </w:t>
      </w:r>
      <w:r w:rsidR="009D7A86" w:rsidRPr="003067B9">
        <w:rPr>
          <w:szCs w:val="24"/>
          <w:lang w:val="en-NZ"/>
        </w:rPr>
        <w:t xml:space="preserve">leveraging the best of different plans and </w:t>
      </w:r>
      <w:r w:rsidR="4C7E037D" w:rsidRPr="003067B9">
        <w:rPr>
          <w:szCs w:val="24"/>
          <w:lang w:val="en-NZ"/>
        </w:rPr>
        <w:t>implementing</w:t>
      </w:r>
      <w:r w:rsidRPr="003067B9">
        <w:rPr>
          <w:szCs w:val="24"/>
          <w:lang w:val="en-NZ"/>
        </w:rPr>
        <w:t xml:space="preserve"> </w:t>
      </w:r>
      <w:r w:rsidRPr="003067B9" w:rsidDel="00EF03F5">
        <w:rPr>
          <w:szCs w:val="24"/>
          <w:lang w:val="en-NZ"/>
        </w:rPr>
        <w:t>consisten</w:t>
      </w:r>
      <w:r w:rsidR="0B364C82" w:rsidRPr="003067B9" w:rsidDel="00EF03F5">
        <w:rPr>
          <w:szCs w:val="24"/>
          <w:lang w:val="en-NZ"/>
        </w:rPr>
        <w:t>t</w:t>
      </w:r>
      <w:r w:rsidRPr="003067B9" w:rsidDel="00EF03F5">
        <w:rPr>
          <w:szCs w:val="24"/>
          <w:lang w:val="en-NZ"/>
        </w:rPr>
        <w:t xml:space="preserve"> </w:t>
      </w:r>
      <w:r w:rsidR="00EF03F5" w:rsidRPr="003067B9">
        <w:rPr>
          <w:szCs w:val="24"/>
          <w:lang w:val="en-NZ"/>
        </w:rPr>
        <w:t>acute</w:t>
      </w:r>
      <w:r w:rsidRPr="003067B9">
        <w:rPr>
          <w:szCs w:val="24"/>
          <w:lang w:val="en-NZ"/>
        </w:rPr>
        <w:t xml:space="preserve"> flow practices across all locations and teams. </w:t>
      </w:r>
    </w:p>
    <w:p w14:paraId="1BEDB03D" w14:textId="140F4032" w:rsidR="00697D08" w:rsidRPr="003067B9" w:rsidRDefault="00697D08" w:rsidP="00697D08">
      <w:pPr>
        <w:rPr>
          <w:szCs w:val="24"/>
          <w:lang w:val="en-NZ"/>
        </w:rPr>
      </w:pPr>
      <w:r w:rsidRPr="003067B9">
        <w:rPr>
          <w:szCs w:val="24"/>
          <w:lang w:val="en-NZ"/>
        </w:rPr>
        <w:t xml:space="preserve">In quarter three, a national escalation policy was implemented </w:t>
      </w:r>
      <w:r w:rsidR="00551771" w:rsidRPr="003067B9">
        <w:rPr>
          <w:szCs w:val="24"/>
          <w:lang w:val="en-NZ"/>
        </w:rPr>
        <w:t xml:space="preserve">to </w:t>
      </w:r>
      <w:r w:rsidRPr="003067B9">
        <w:rPr>
          <w:szCs w:val="24"/>
          <w:lang w:val="en-NZ"/>
        </w:rPr>
        <w:t xml:space="preserve">provide greater visibility and clarity of areas under pressure. It supports a consistent daily operating rhythm across the country and enables escalation of pressures regionally. Monthly performance </w:t>
      </w:r>
      <w:r w:rsidR="1FE3D7BD" w:rsidRPr="003067B9">
        <w:rPr>
          <w:szCs w:val="24"/>
          <w:lang w:val="en-NZ"/>
        </w:rPr>
        <w:t>reviews</w:t>
      </w:r>
      <w:r w:rsidRPr="003067B9">
        <w:rPr>
          <w:szCs w:val="24"/>
          <w:lang w:val="en-NZ"/>
        </w:rPr>
        <w:t xml:space="preserve"> are held with an acute flow focus, including SSED.</w:t>
      </w:r>
    </w:p>
    <w:p w14:paraId="088EE7C9" w14:textId="58E80A29" w:rsidR="00697D08" w:rsidRPr="003067B9" w:rsidRDefault="00697D08" w:rsidP="00925FD0">
      <w:pPr>
        <w:jc w:val="center"/>
        <w:rPr>
          <w:szCs w:val="24"/>
          <w:lang w:val="en-NZ"/>
        </w:rPr>
      </w:pPr>
      <w:r w:rsidRPr="003067B9">
        <w:rPr>
          <w:noProof/>
          <w:lang w:val="en-NZ"/>
        </w:rPr>
        <w:drawing>
          <wp:inline distT="0" distB="0" distL="0" distR="0" wp14:anchorId="38A688D0" wp14:editId="3A7F4D0B">
            <wp:extent cx="3487780" cy="1769008"/>
            <wp:effectExtent l="0" t="0" r="0" b="3175"/>
            <wp:docPr id="13238040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04001"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3497797" cy="1774089"/>
                    </a:xfrm>
                    <a:prstGeom prst="rect">
                      <a:avLst/>
                    </a:prstGeom>
                  </pic:spPr>
                </pic:pic>
              </a:graphicData>
            </a:graphic>
          </wp:inline>
        </w:drawing>
      </w:r>
    </w:p>
    <w:p w14:paraId="6D5EB267" w14:textId="084E8C6B" w:rsidR="00697D08" w:rsidRPr="003067B9" w:rsidRDefault="2279F4EE" w:rsidP="00697D08">
      <w:pPr>
        <w:rPr>
          <w:szCs w:val="24"/>
          <w:lang w:val="en-NZ"/>
        </w:rPr>
      </w:pPr>
      <w:r w:rsidRPr="003067B9">
        <w:rPr>
          <w:szCs w:val="24"/>
          <w:lang w:val="en-NZ"/>
        </w:rPr>
        <w:t>SSED performance</w:t>
      </w:r>
      <w:r w:rsidR="00697D08" w:rsidRPr="003067B9">
        <w:rPr>
          <w:szCs w:val="24"/>
          <w:lang w:val="en-NZ"/>
        </w:rPr>
        <w:t xml:space="preserve"> </w:t>
      </w:r>
      <w:r w:rsidR="00BC72F2" w:rsidRPr="003067B9">
        <w:rPr>
          <w:szCs w:val="24"/>
          <w:lang w:val="en-NZ"/>
        </w:rPr>
        <w:t xml:space="preserve">across </w:t>
      </w:r>
      <w:r w:rsidR="00697D08" w:rsidRPr="003067B9">
        <w:rPr>
          <w:szCs w:val="24"/>
          <w:lang w:val="en-NZ"/>
        </w:rPr>
        <w:t xml:space="preserve">ethnic groups </w:t>
      </w:r>
      <w:r w:rsidR="57A53D82" w:rsidRPr="003067B9">
        <w:rPr>
          <w:szCs w:val="24"/>
          <w:lang w:val="en-NZ"/>
        </w:rPr>
        <w:t>was</w:t>
      </w:r>
      <w:r w:rsidR="00697D08" w:rsidRPr="003067B9">
        <w:rPr>
          <w:szCs w:val="24"/>
          <w:lang w:val="en-NZ"/>
        </w:rPr>
        <w:t xml:space="preserve"> static</w:t>
      </w:r>
      <w:r w:rsidR="003C1C0F" w:rsidRPr="003067B9">
        <w:rPr>
          <w:szCs w:val="24"/>
          <w:lang w:val="en-NZ"/>
        </w:rPr>
        <w:t xml:space="preserve"> compared to quarter two 23/24</w:t>
      </w:r>
      <w:r w:rsidR="00697D08" w:rsidRPr="003067B9">
        <w:rPr>
          <w:szCs w:val="24"/>
          <w:lang w:val="en-NZ"/>
        </w:rPr>
        <w:t xml:space="preserve">. Regional rates </w:t>
      </w:r>
      <w:r w:rsidR="3DE1EC0D" w:rsidRPr="003067B9">
        <w:rPr>
          <w:szCs w:val="24"/>
          <w:lang w:val="en-NZ"/>
        </w:rPr>
        <w:t xml:space="preserve">of SSED </w:t>
      </w:r>
      <w:r w:rsidR="00697D08" w:rsidRPr="003067B9">
        <w:rPr>
          <w:szCs w:val="24"/>
          <w:lang w:val="en-NZ"/>
        </w:rPr>
        <w:t>were static or slightly decreased in all regions. Performance drivers for length of stay in ED var</w:t>
      </w:r>
      <w:r w:rsidR="00CD7070" w:rsidRPr="003067B9">
        <w:rPr>
          <w:szCs w:val="24"/>
          <w:lang w:val="en-NZ"/>
        </w:rPr>
        <w:t>y</w:t>
      </w:r>
      <w:r w:rsidR="00697D08" w:rsidRPr="003067B9">
        <w:rPr>
          <w:szCs w:val="24"/>
          <w:lang w:val="en-NZ"/>
        </w:rPr>
        <w:t xml:space="preserve"> by location and include increased demand, availability of resources and variability in acute flow practices.</w:t>
      </w:r>
    </w:p>
    <w:p w14:paraId="64EF15F2" w14:textId="3D414343" w:rsidR="00697D08" w:rsidRPr="003067B9" w:rsidRDefault="00697D08" w:rsidP="00925FD0">
      <w:pPr>
        <w:jc w:val="center"/>
        <w:rPr>
          <w:szCs w:val="24"/>
          <w:lang w:val="en-NZ"/>
        </w:rPr>
      </w:pPr>
      <w:r w:rsidRPr="003067B9">
        <w:rPr>
          <w:noProof/>
          <w:szCs w:val="24"/>
          <w:lang w:val="en-NZ"/>
        </w:rPr>
        <w:drawing>
          <wp:inline distT="0" distB="0" distL="0" distR="0" wp14:anchorId="680699D4" wp14:editId="2B685C82">
            <wp:extent cx="2218503" cy="1753271"/>
            <wp:effectExtent l="0" t="0" r="0" b="0"/>
            <wp:docPr id="280882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82070"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2223418" cy="1757155"/>
                    </a:xfrm>
                    <a:prstGeom prst="rect">
                      <a:avLst/>
                    </a:prstGeom>
                  </pic:spPr>
                </pic:pic>
              </a:graphicData>
            </a:graphic>
          </wp:inline>
        </w:drawing>
      </w:r>
      <w:r w:rsidR="004E4F1F">
        <w:rPr>
          <w:noProof/>
          <w:szCs w:val="24"/>
          <w:lang w:val="en-NZ"/>
        </w:rPr>
        <w:t xml:space="preserve">  </w:t>
      </w:r>
      <w:r w:rsidR="00BC776D">
        <w:rPr>
          <w:noProof/>
          <w:szCs w:val="24"/>
          <w:lang w:val="en-NZ"/>
        </w:rPr>
        <w:t xml:space="preserve"> </w:t>
      </w:r>
      <w:r w:rsidR="00FA510C">
        <w:rPr>
          <w:noProof/>
          <w:szCs w:val="24"/>
          <w:lang w:val="en-NZ"/>
        </w:rPr>
        <w:t xml:space="preserve">  </w:t>
      </w:r>
      <w:r w:rsidRPr="003067B9">
        <w:rPr>
          <w:noProof/>
          <w:szCs w:val="24"/>
          <w:lang w:val="en-NZ"/>
        </w:rPr>
        <w:drawing>
          <wp:inline distT="0" distB="0" distL="0" distR="0" wp14:anchorId="516C7704" wp14:editId="043F972F">
            <wp:extent cx="2520157" cy="1809750"/>
            <wp:effectExtent l="0" t="0" r="0" b="0"/>
            <wp:docPr id="2468566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56693"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2522715" cy="1811587"/>
                    </a:xfrm>
                    <a:prstGeom prst="rect">
                      <a:avLst/>
                    </a:prstGeom>
                  </pic:spPr>
                </pic:pic>
              </a:graphicData>
            </a:graphic>
          </wp:inline>
        </w:drawing>
      </w:r>
    </w:p>
    <w:p w14:paraId="4329E0EC" w14:textId="450D0837" w:rsidR="00697D08" w:rsidRPr="006E710F" w:rsidRDefault="00B27D79" w:rsidP="00332A6B">
      <w:pPr>
        <w:rPr>
          <w:i/>
          <w:color w:val="000000"/>
          <w:szCs w:val="24"/>
          <w:lang w:val="en-NZ"/>
        </w:rPr>
      </w:pPr>
      <w:r w:rsidRPr="001C1632">
        <w:rPr>
          <w:i/>
          <w:color w:val="000000"/>
        </w:rPr>
        <w:t xml:space="preserve">Source of data is the National Non-Admitted Patient Collection (NNPAC). </w:t>
      </w:r>
      <w:r w:rsidRPr="001C1632">
        <w:rPr>
          <w:i/>
          <w:color w:val="000000"/>
          <w:shd w:val="clear" w:color="auto" w:fill="FFFFFF"/>
        </w:rPr>
        <w:t>There is a material data gap for Souther</w:t>
      </w:r>
      <w:r w:rsidR="00CA4FB4" w:rsidRPr="001C1632">
        <w:rPr>
          <w:i/>
          <w:color w:val="000000"/>
          <w:shd w:val="clear" w:color="auto" w:fill="FFFFFF"/>
        </w:rPr>
        <w:t>n at</w:t>
      </w:r>
      <w:r w:rsidRPr="001C1632">
        <w:rPr>
          <w:i/>
          <w:color w:val="000000"/>
          <w:shd w:val="clear" w:color="auto" w:fill="FFFFFF"/>
        </w:rPr>
        <w:t xml:space="preserve"> the end of 2023 due to system change. This impacts </w:t>
      </w:r>
      <w:r w:rsidR="00E416E9" w:rsidRPr="001C1632">
        <w:rPr>
          <w:i/>
          <w:color w:val="000000"/>
          <w:shd w:val="clear" w:color="auto" w:fill="FFFFFF"/>
        </w:rPr>
        <w:t xml:space="preserve">the </w:t>
      </w:r>
      <w:r w:rsidRPr="001C1632">
        <w:rPr>
          <w:i/>
          <w:color w:val="000000"/>
          <w:shd w:val="clear" w:color="auto" w:fill="FFFFFF"/>
        </w:rPr>
        <w:t>previous quarter result (Q2 23/24 period).</w:t>
      </w:r>
    </w:p>
    <w:p w14:paraId="26D26C0D" w14:textId="43B7E107" w:rsidR="0042395B" w:rsidRPr="00D4706E" w:rsidRDefault="00C75892" w:rsidP="00C75892">
      <w:pPr>
        <w:pStyle w:val="Heading2"/>
        <w:rPr>
          <w:color w:val="15284C"/>
          <w:sz w:val="32"/>
          <w:szCs w:val="32"/>
        </w:rPr>
      </w:pPr>
      <w:bookmarkStart w:id="56" w:name="_Toc170199161"/>
      <w:r w:rsidRPr="00D4706E">
        <w:rPr>
          <w:color w:val="15284C"/>
          <w:sz w:val="32"/>
          <w:szCs w:val="32"/>
        </w:rPr>
        <w:lastRenderedPageBreak/>
        <w:t xml:space="preserve">3 </w:t>
      </w:r>
      <w:r w:rsidR="0042395B" w:rsidRPr="00D4706E">
        <w:rPr>
          <w:color w:val="15284C"/>
          <w:sz w:val="32"/>
          <w:szCs w:val="32"/>
        </w:rPr>
        <w:t>People waiting more than four months for first specialist assessment (FSA)</w:t>
      </w:r>
      <w:bookmarkEnd w:id="56"/>
    </w:p>
    <w:p w14:paraId="7187ECB0" w14:textId="77777777" w:rsidR="0042395B" w:rsidRPr="003067B9" w:rsidRDefault="0042395B" w:rsidP="0042395B">
      <w:pPr>
        <w:rPr>
          <w:szCs w:val="24"/>
          <w:lang w:val="en-NZ"/>
        </w:rPr>
      </w:pPr>
      <w:r w:rsidRPr="003067B9">
        <w:rPr>
          <w:szCs w:val="24"/>
          <w:lang w:val="en-NZ"/>
        </w:rPr>
        <w:t>This measure reports people waiting longer than four months for first specialist assessment (FSA). This measure is also known as Elective Services Performance Indicator 2 (ESPI2).</w:t>
      </w:r>
      <w:r w:rsidRPr="003067B9" w:rsidDel="00E33447">
        <w:rPr>
          <w:szCs w:val="24"/>
          <w:lang w:val="en-NZ"/>
        </w:rPr>
        <w:t xml:space="preserve"> </w:t>
      </w:r>
    </w:p>
    <w:p w14:paraId="068FFE19" w14:textId="349A4FDE" w:rsidR="0042395B" w:rsidRPr="003067B9" w:rsidRDefault="0042395B" w:rsidP="0042395B">
      <w:pPr>
        <w:rPr>
          <w:szCs w:val="24"/>
          <w:lang w:val="en-NZ"/>
        </w:rPr>
      </w:pPr>
      <w:r w:rsidRPr="003067B9">
        <w:rPr>
          <w:szCs w:val="24"/>
          <w:lang w:val="en-NZ"/>
        </w:rPr>
        <w:t xml:space="preserve">There has been a long-term increase in the national total FSA waitlist, both in the number and proportion waiting longer than four months.  At the end of quarter three </w:t>
      </w:r>
      <w:r w:rsidR="00646A87">
        <w:rPr>
          <w:szCs w:val="24"/>
          <w:lang w:val="en-NZ"/>
        </w:rPr>
        <w:t>more than</w:t>
      </w:r>
      <w:r w:rsidR="00646A87" w:rsidRPr="003067B9">
        <w:rPr>
          <w:szCs w:val="24"/>
          <w:lang w:val="en-NZ"/>
        </w:rPr>
        <w:t xml:space="preserve"> </w:t>
      </w:r>
      <w:r w:rsidRPr="003067B9">
        <w:rPr>
          <w:szCs w:val="24"/>
          <w:lang w:val="en-NZ"/>
        </w:rPr>
        <w:t xml:space="preserve">77,000 people on the waitlist (have waited more than 120 days), which is 40.2% of all those waiting. </w:t>
      </w:r>
    </w:p>
    <w:p w14:paraId="5D13B6C2" w14:textId="03D4983D" w:rsidR="0042395B" w:rsidRPr="003067B9" w:rsidRDefault="00BE2DA9" w:rsidP="00A64C0B">
      <w:pPr>
        <w:jc w:val="center"/>
        <w:rPr>
          <w:szCs w:val="24"/>
          <w:lang w:val="en-NZ"/>
        </w:rPr>
      </w:pPr>
      <w:r w:rsidRPr="003067B9">
        <w:rPr>
          <w:noProof/>
          <w:color w:val="FF0000"/>
          <w:lang w:val="en-NZ"/>
        </w:rPr>
        <w:drawing>
          <wp:inline distT="0" distB="0" distL="0" distR="0" wp14:anchorId="0DE1006E" wp14:editId="5EF5DCEC">
            <wp:extent cx="4210050" cy="1918970"/>
            <wp:effectExtent l="0" t="0" r="0" b="5080"/>
            <wp:docPr id="21062332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33278"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10050" cy="1918970"/>
                    </a:xfrm>
                    <a:prstGeom prst="rect">
                      <a:avLst/>
                    </a:prstGeom>
                  </pic:spPr>
                </pic:pic>
              </a:graphicData>
            </a:graphic>
          </wp:inline>
        </w:drawing>
      </w:r>
    </w:p>
    <w:p w14:paraId="378A3C0F" w14:textId="5FE17846" w:rsidR="0042395B" w:rsidRPr="003067B9" w:rsidRDefault="0042395B" w:rsidP="0042395B">
      <w:pPr>
        <w:rPr>
          <w:szCs w:val="24"/>
          <w:lang w:val="en-NZ"/>
        </w:rPr>
      </w:pPr>
      <w:r w:rsidRPr="003067B9">
        <w:rPr>
          <w:szCs w:val="24"/>
          <w:lang w:val="en-NZ"/>
        </w:rPr>
        <w:t xml:space="preserve">During quarter </w:t>
      </w:r>
      <w:r w:rsidR="0044646A" w:rsidRPr="003067B9">
        <w:rPr>
          <w:szCs w:val="24"/>
          <w:lang w:val="en-NZ"/>
        </w:rPr>
        <w:t xml:space="preserve">four </w:t>
      </w:r>
      <w:r w:rsidRPr="003067B9">
        <w:rPr>
          <w:szCs w:val="24"/>
          <w:lang w:val="en-NZ"/>
        </w:rPr>
        <w:t xml:space="preserve">we will continue to work locally on phase one of </w:t>
      </w:r>
      <w:r w:rsidR="00582229" w:rsidRPr="003067B9">
        <w:rPr>
          <w:szCs w:val="24"/>
          <w:lang w:val="en-NZ"/>
        </w:rPr>
        <w:t xml:space="preserve">our </w:t>
      </w:r>
      <w:r w:rsidRPr="003067B9">
        <w:rPr>
          <w:szCs w:val="24"/>
          <w:lang w:val="en-NZ"/>
        </w:rPr>
        <w:t xml:space="preserve">patient communications </w:t>
      </w:r>
      <w:r w:rsidR="11AFB30D" w:rsidRPr="003067B9">
        <w:rPr>
          <w:szCs w:val="24"/>
          <w:lang w:val="en-NZ"/>
        </w:rPr>
        <w:t xml:space="preserve">(contact) </w:t>
      </w:r>
      <w:r w:rsidRPr="003067B9">
        <w:rPr>
          <w:szCs w:val="24"/>
          <w:lang w:val="en-NZ"/>
        </w:rPr>
        <w:t xml:space="preserve">project, targeting patients waiting more than 120 days for FSA in General Surgery, Ophthalmology, Gynaecology, and Orthopaedics. These people represent 20% </w:t>
      </w:r>
      <w:r w:rsidR="001333A9" w:rsidRPr="003067B9">
        <w:rPr>
          <w:szCs w:val="24"/>
          <w:lang w:val="en-NZ"/>
        </w:rPr>
        <w:t>of all</w:t>
      </w:r>
      <w:r w:rsidR="00EE2BCA" w:rsidRPr="003067B9">
        <w:rPr>
          <w:szCs w:val="24"/>
          <w:lang w:val="en-NZ"/>
        </w:rPr>
        <w:t xml:space="preserve"> </w:t>
      </w:r>
      <w:r w:rsidRPr="003067B9">
        <w:rPr>
          <w:szCs w:val="24"/>
          <w:lang w:val="en-NZ"/>
        </w:rPr>
        <w:t xml:space="preserve">people who have waited more than 120 days. Patients waiting for other specialist appointments will be our focus from July. The purpose of a nationally consistent approach to contacting people is to acknowledge and apologise for the delay, make sure the information we have on file is correct (to assist with waitlist validation), and ensure people know what to do if their condition changes or if they wish to discuss their options. </w:t>
      </w:r>
    </w:p>
    <w:p w14:paraId="4D2ED315" w14:textId="2B7048FA" w:rsidR="0042395B" w:rsidRPr="003067B9" w:rsidRDefault="0042395B" w:rsidP="0042395B">
      <w:pPr>
        <w:rPr>
          <w:szCs w:val="24"/>
          <w:lang w:val="en-NZ"/>
        </w:rPr>
      </w:pPr>
      <w:r w:rsidRPr="003067B9">
        <w:rPr>
          <w:szCs w:val="24"/>
          <w:lang w:val="en-NZ"/>
        </w:rPr>
        <w:t xml:space="preserve">We are working to reduce variation in access, booking and waitlist management processes. This includes harmonisation of priority mapping, developing </w:t>
      </w:r>
      <w:r w:rsidR="315A1EDC" w:rsidRPr="003067B9">
        <w:rPr>
          <w:szCs w:val="24"/>
          <w:lang w:val="en-NZ"/>
        </w:rPr>
        <w:t>a</w:t>
      </w:r>
      <w:r w:rsidRPr="003067B9">
        <w:rPr>
          <w:szCs w:val="24"/>
          <w:lang w:val="en-NZ"/>
        </w:rPr>
        <w:t xml:space="preserve"> national Planned Care Patient Pathway (on track for delivery in May 2024), </w:t>
      </w:r>
      <w:r w:rsidR="1736C445" w:rsidRPr="003067B9">
        <w:rPr>
          <w:szCs w:val="24"/>
          <w:lang w:val="en-NZ"/>
        </w:rPr>
        <w:t xml:space="preserve">and </w:t>
      </w:r>
      <w:r w:rsidRPr="003067B9">
        <w:rPr>
          <w:szCs w:val="24"/>
          <w:lang w:val="en-NZ"/>
        </w:rPr>
        <w:t>defining the operational standards and business rules</w:t>
      </w:r>
      <w:r w:rsidRPr="003067B9" w:rsidDel="00BA3B93">
        <w:rPr>
          <w:szCs w:val="24"/>
          <w:lang w:val="en-NZ"/>
        </w:rPr>
        <w:t xml:space="preserve"> </w:t>
      </w:r>
      <w:r w:rsidRPr="003067B9">
        <w:rPr>
          <w:szCs w:val="24"/>
          <w:lang w:val="en-NZ"/>
        </w:rPr>
        <w:t xml:space="preserve">for waitlist management. </w:t>
      </w:r>
    </w:p>
    <w:p w14:paraId="186498FC" w14:textId="110E111F" w:rsidR="0042395B" w:rsidRPr="003067B9" w:rsidRDefault="0042395B" w:rsidP="0042395B">
      <w:pPr>
        <w:rPr>
          <w:szCs w:val="24"/>
          <w:lang w:val="en-NZ"/>
        </w:rPr>
      </w:pPr>
      <w:r w:rsidRPr="003067B9">
        <w:rPr>
          <w:szCs w:val="24"/>
          <w:lang w:val="en-NZ"/>
        </w:rPr>
        <w:t xml:space="preserve">We are working collaboratively with sector partners such as Physiotherapy NZ and the New Zealand Orthopaedic Association </w:t>
      </w:r>
      <w:r w:rsidR="124FFF52" w:rsidRPr="003067B9">
        <w:rPr>
          <w:szCs w:val="24"/>
          <w:lang w:val="en-NZ"/>
        </w:rPr>
        <w:t>to refine</w:t>
      </w:r>
      <w:r w:rsidRPr="003067B9">
        <w:rPr>
          <w:szCs w:val="24"/>
          <w:lang w:val="en-NZ"/>
        </w:rPr>
        <w:t xml:space="preserve"> and </w:t>
      </w:r>
      <w:r w:rsidR="124FFF52" w:rsidRPr="003067B9">
        <w:rPr>
          <w:szCs w:val="24"/>
          <w:lang w:val="en-NZ"/>
        </w:rPr>
        <w:t>deploy</w:t>
      </w:r>
      <w:r w:rsidRPr="003067B9">
        <w:rPr>
          <w:szCs w:val="24"/>
          <w:lang w:val="en-NZ"/>
        </w:rPr>
        <w:t xml:space="preserve"> the national Musculoskeletal pathway. This aims to improve our management of orthopaedic FSA demand and the timeliness </w:t>
      </w:r>
      <w:r w:rsidR="00EE2BCA" w:rsidRPr="003067B9">
        <w:rPr>
          <w:szCs w:val="24"/>
          <w:lang w:val="en-NZ"/>
        </w:rPr>
        <w:t xml:space="preserve">of </w:t>
      </w:r>
      <w:r w:rsidRPr="003067B9">
        <w:rPr>
          <w:szCs w:val="24"/>
          <w:lang w:val="en-NZ"/>
        </w:rPr>
        <w:t>patients receiv</w:t>
      </w:r>
      <w:r w:rsidR="00EE2BCA" w:rsidRPr="003067B9">
        <w:rPr>
          <w:szCs w:val="24"/>
          <w:lang w:val="en-NZ"/>
        </w:rPr>
        <w:t>ing</w:t>
      </w:r>
      <w:r w:rsidRPr="003067B9">
        <w:rPr>
          <w:szCs w:val="24"/>
          <w:lang w:val="en-NZ"/>
        </w:rPr>
        <w:t xml:space="preserve"> assessment</w:t>
      </w:r>
      <w:r w:rsidR="00CD7070" w:rsidRPr="003067B9">
        <w:rPr>
          <w:szCs w:val="24"/>
          <w:lang w:val="en-NZ"/>
        </w:rPr>
        <w:t>s</w:t>
      </w:r>
      <w:r w:rsidRPr="003067B9">
        <w:rPr>
          <w:szCs w:val="24"/>
          <w:lang w:val="en-NZ"/>
        </w:rPr>
        <w:t xml:space="preserve">. The prototype is live across multiple areas. </w:t>
      </w:r>
    </w:p>
    <w:p w14:paraId="3F7B27EE" w14:textId="0D2D8375" w:rsidR="00DB7D7D" w:rsidRPr="003067B9" w:rsidRDefault="00DB7D7D" w:rsidP="00A64C0B">
      <w:pPr>
        <w:jc w:val="center"/>
        <w:rPr>
          <w:szCs w:val="24"/>
          <w:lang w:val="en-NZ"/>
        </w:rPr>
      </w:pPr>
      <w:r w:rsidRPr="003067B9">
        <w:rPr>
          <w:noProof/>
          <w:color w:val="FF0000"/>
          <w:lang w:val="en-NZ"/>
        </w:rPr>
        <w:lastRenderedPageBreak/>
        <w:drawing>
          <wp:inline distT="0" distB="0" distL="0" distR="0" wp14:anchorId="2618C545" wp14:editId="19292826">
            <wp:extent cx="3200400" cy="2350948"/>
            <wp:effectExtent l="0" t="0" r="0" b="0"/>
            <wp:docPr id="2038600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0075"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2211" cy="2352278"/>
                    </a:xfrm>
                    <a:prstGeom prst="rect">
                      <a:avLst/>
                    </a:prstGeom>
                  </pic:spPr>
                </pic:pic>
              </a:graphicData>
            </a:graphic>
          </wp:inline>
        </w:drawing>
      </w:r>
    </w:p>
    <w:p w14:paraId="19AF0075" w14:textId="721EBA20" w:rsidR="003E3FE7" w:rsidRPr="006E710F" w:rsidRDefault="0042395B" w:rsidP="00DB7D7D">
      <w:pPr>
        <w:rPr>
          <w:i/>
          <w:iCs/>
          <w:color w:val="000000"/>
          <w:lang w:val="en-NZ"/>
        </w:rPr>
      </w:pPr>
      <w:r w:rsidRPr="006E710F">
        <w:rPr>
          <w:i/>
          <w:iCs/>
          <w:color w:val="000000"/>
          <w:lang w:val="en-NZ"/>
        </w:rPr>
        <w:t xml:space="preserve">Source of data is National Booking Reporting System KPI (NBRS KPI). </w:t>
      </w:r>
      <w:r w:rsidR="00A40CD3" w:rsidRPr="006E710F">
        <w:rPr>
          <w:i/>
          <w:iCs/>
          <w:color w:val="000000"/>
          <w:lang w:val="en-NZ"/>
        </w:rPr>
        <w:t>Ethnicity breakdown is not available for this measure</w:t>
      </w:r>
      <w:r w:rsidR="00E909D4" w:rsidRPr="006E710F">
        <w:rPr>
          <w:color w:val="000000"/>
          <w:lang w:val="en-NZ"/>
        </w:rPr>
        <w:t>.</w:t>
      </w:r>
      <w:r w:rsidR="00761123" w:rsidRPr="006E710F">
        <w:rPr>
          <w:rStyle w:val="FootnoteReference"/>
          <w:color w:val="000000"/>
          <w:szCs w:val="24"/>
          <w:vertAlign w:val="superscript"/>
          <w:lang w:val="en-NZ"/>
        </w:rPr>
        <w:footnoteReference w:id="10"/>
      </w:r>
    </w:p>
    <w:p w14:paraId="51E9B054" w14:textId="77777777" w:rsidR="00C75892" w:rsidRPr="003067B9" w:rsidRDefault="00C75892" w:rsidP="00DB7D7D">
      <w:pPr>
        <w:rPr>
          <w:i/>
          <w:iCs/>
          <w:lang w:val="en-NZ"/>
        </w:rPr>
      </w:pPr>
    </w:p>
    <w:p w14:paraId="611B77F6" w14:textId="77777777" w:rsidR="00C75892" w:rsidRPr="003067B9" w:rsidRDefault="00C75892" w:rsidP="00DB7D7D">
      <w:pPr>
        <w:rPr>
          <w:i/>
          <w:iCs/>
          <w:lang w:val="en-NZ"/>
        </w:rPr>
      </w:pPr>
    </w:p>
    <w:p w14:paraId="1E9B072A" w14:textId="77777777" w:rsidR="00C75892" w:rsidRPr="003067B9" w:rsidRDefault="00C75892" w:rsidP="00DB7D7D">
      <w:pPr>
        <w:rPr>
          <w:i/>
          <w:iCs/>
          <w:lang w:val="en-NZ"/>
        </w:rPr>
      </w:pPr>
    </w:p>
    <w:p w14:paraId="3AB80D3D" w14:textId="77777777" w:rsidR="00C75892" w:rsidRPr="003067B9" w:rsidRDefault="00C75892" w:rsidP="00DB7D7D">
      <w:pPr>
        <w:rPr>
          <w:i/>
          <w:iCs/>
          <w:lang w:val="en-NZ"/>
        </w:rPr>
      </w:pPr>
    </w:p>
    <w:p w14:paraId="3456C4AB" w14:textId="77777777" w:rsidR="00C75892" w:rsidRPr="003067B9" w:rsidRDefault="00C75892" w:rsidP="00DB7D7D">
      <w:pPr>
        <w:rPr>
          <w:i/>
          <w:iCs/>
          <w:lang w:val="en-NZ"/>
        </w:rPr>
      </w:pPr>
    </w:p>
    <w:p w14:paraId="5F281DA1" w14:textId="77777777" w:rsidR="00C75892" w:rsidRPr="003067B9" w:rsidRDefault="00C75892" w:rsidP="00DB7D7D">
      <w:pPr>
        <w:rPr>
          <w:i/>
          <w:iCs/>
          <w:lang w:val="en-NZ"/>
        </w:rPr>
      </w:pPr>
    </w:p>
    <w:p w14:paraId="2CCD88AD" w14:textId="77777777" w:rsidR="00C75892" w:rsidRPr="003067B9" w:rsidRDefault="00C75892" w:rsidP="00DB7D7D">
      <w:pPr>
        <w:rPr>
          <w:i/>
          <w:iCs/>
          <w:lang w:val="en-NZ"/>
        </w:rPr>
      </w:pPr>
    </w:p>
    <w:p w14:paraId="59A281AE" w14:textId="77777777" w:rsidR="00C75892" w:rsidRPr="003067B9" w:rsidRDefault="00C75892" w:rsidP="00DB7D7D">
      <w:pPr>
        <w:rPr>
          <w:i/>
          <w:iCs/>
          <w:lang w:val="en-NZ"/>
        </w:rPr>
      </w:pPr>
    </w:p>
    <w:p w14:paraId="20338EC3" w14:textId="77777777" w:rsidR="00C75892" w:rsidRPr="003067B9" w:rsidRDefault="00C75892" w:rsidP="00DB7D7D">
      <w:pPr>
        <w:rPr>
          <w:i/>
          <w:iCs/>
          <w:lang w:val="en-NZ"/>
        </w:rPr>
      </w:pPr>
    </w:p>
    <w:p w14:paraId="767D1A2F" w14:textId="77777777" w:rsidR="00C75892" w:rsidRPr="003067B9" w:rsidRDefault="00C75892" w:rsidP="00DB7D7D">
      <w:pPr>
        <w:rPr>
          <w:i/>
          <w:iCs/>
          <w:lang w:val="en-NZ"/>
        </w:rPr>
      </w:pPr>
    </w:p>
    <w:p w14:paraId="59634C07" w14:textId="77777777" w:rsidR="00C75892" w:rsidRPr="003067B9" w:rsidRDefault="00C75892" w:rsidP="00DB7D7D">
      <w:pPr>
        <w:rPr>
          <w:i/>
          <w:iCs/>
          <w:lang w:val="en-NZ"/>
        </w:rPr>
      </w:pPr>
    </w:p>
    <w:p w14:paraId="7E753BE7" w14:textId="77777777" w:rsidR="00C75892" w:rsidRPr="003067B9" w:rsidRDefault="00C75892" w:rsidP="00DB7D7D">
      <w:pPr>
        <w:rPr>
          <w:i/>
          <w:iCs/>
          <w:lang w:val="en-NZ"/>
        </w:rPr>
      </w:pPr>
    </w:p>
    <w:p w14:paraId="4CFDD2A5" w14:textId="77777777" w:rsidR="00C75892" w:rsidRPr="003067B9" w:rsidRDefault="00C75892" w:rsidP="00DB7D7D">
      <w:pPr>
        <w:rPr>
          <w:i/>
          <w:iCs/>
          <w:lang w:val="en-NZ"/>
        </w:rPr>
      </w:pPr>
    </w:p>
    <w:p w14:paraId="2FCAE4AD" w14:textId="77777777" w:rsidR="00C75892" w:rsidRPr="003067B9" w:rsidRDefault="00C75892" w:rsidP="00DB7D7D">
      <w:pPr>
        <w:rPr>
          <w:i/>
          <w:iCs/>
          <w:lang w:val="en-NZ"/>
        </w:rPr>
      </w:pPr>
    </w:p>
    <w:p w14:paraId="70F77499" w14:textId="77777777" w:rsidR="00C75892" w:rsidRPr="003067B9" w:rsidRDefault="00C75892" w:rsidP="00DB7D7D">
      <w:pPr>
        <w:rPr>
          <w:i/>
          <w:iCs/>
          <w:lang w:val="en-NZ"/>
        </w:rPr>
      </w:pPr>
    </w:p>
    <w:p w14:paraId="1B602778" w14:textId="77777777" w:rsidR="00C75892" w:rsidRPr="003067B9" w:rsidRDefault="00C75892" w:rsidP="00DB7D7D">
      <w:pPr>
        <w:rPr>
          <w:b/>
          <w:i/>
          <w:iCs/>
          <w:lang w:val="en-NZ"/>
        </w:rPr>
      </w:pPr>
    </w:p>
    <w:p w14:paraId="130883B9" w14:textId="23FDC213" w:rsidR="001C43EB" w:rsidRPr="00D4706E" w:rsidRDefault="00C75892" w:rsidP="00C75892">
      <w:pPr>
        <w:pStyle w:val="Heading2"/>
        <w:rPr>
          <w:color w:val="15284C"/>
          <w:sz w:val="32"/>
          <w:szCs w:val="32"/>
        </w:rPr>
      </w:pPr>
      <w:bookmarkStart w:id="57" w:name="_Toc170199162"/>
      <w:r w:rsidRPr="00D4706E">
        <w:rPr>
          <w:color w:val="15284C"/>
          <w:sz w:val="32"/>
          <w:szCs w:val="32"/>
        </w:rPr>
        <w:lastRenderedPageBreak/>
        <w:t xml:space="preserve">4 </w:t>
      </w:r>
      <w:r w:rsidR="001C43EB" w:rsidRPr="00D4706E">
        <w:rPr>
          <w:color w:val="15284C"/>
          <w:sz w:val="32"/>
          <w:szCs w:val="32"/>
        </w:rPr>
        <w:t>People waiting more than four months for a procedure</w:t>
      </w:r>
      <w:bookmarkEnd w:id="57"/>
    </w:p>
    <w:p w14:paraId="48B1FE5D" w14:textId="43F0350A" w:rsidR="001C43EB" w:rsidRPr="003067B9" w:rsidRDefault="001C43EB" w:rsidP="00347CAF">
      <w:pPr>
        <w:rPr>
          <w:lang w:val="en-NZ"/>
        </w:rPr>
      </w:pPr>
      <w:r w:rsidRPr="003067B9">
        <w:rPr>
          <w:lang w:val="en-NZ"/>
        </w:rPr>
        <w:t xml:space="preserve">This measure reports people given a commitment to treatment but not treated within four months as a proportion of all people waiting for a procedure. This measure is also known as Elective Services Performance Indicator 5 (ESPI5). </w:t>
      </w:r>
    </w:p>
    <w:p w14:paraId="6F780B6D" w14:textId="4E37435B" w:rsidR="001C43EB" w:rsidRPr="003067B9" w:rsidRDefault="001C43EB" w:rsidP="00347CAF">
      <w:pPr>
        <w:rPr>
          <w:strike/>
          <w:szCs w:val="24"/>
          <w:highlight w:val="yellow"/>
          <w:lang w:val="en-NZ"/>
        </w:rPr>
      </w:pPr>
      <w:r w:rsidRPr="003067B9">
        <w:rPr>
          <w:szCs w:val="24"/>
          <w:lang w:val="en-NZ"/>
        </w:rPr>
        <w:t xml:space="preserve">The total treatment waitlist continued to increase in quarter three across all ethnicities and regions. </w:t>
      </w:r>
    </w:p>
    <w:p w14:paraId="6B5B4609" w14:textId="72021313" w:rsidR="001C43EB" w:rsidRPr="003067B9" w:rsidRDefault="001C43EB" w:rsidP="00347CAF">
      <w:pPr>
        <w:rPr>
          <w:szCs w:val="24"/>
          <w:lang w:val="en-NZ"/>
        </w:rPr>
      </w:pPr>
      <w:r w:rsidRPr="003067B9">
        <w:rPr>
          <w:szCs w:val="24"/>
          <w:lang w:val="en-NZ"/>
        </w:rPr>
        <w:t>A national performance monitoring framework is now operational, providing insights for regions and locations to focus improvement plans. An Intensive Support Team has been created, which along with other functions will work with underperforming areas in April for acute care, followed by planned care in May 2024, focusing on Canterbury, Southern, Bay of Plenty, and Taranaki.</w:t>
      </w:r>
      <w:r w:rsidR="00690B80" w:rsidRPr="003067B9">
        <w:rPr>
          <w:szCs w:val="24"/>
          <w:lang w:val="en-NZ"/>
        </w:rPr>
        <w:t xml:space="preserve"> A key focus will also be </w:t>
      </w:r>
      <w:r w:rsidR="00141812" w:rsidRPr="003067B9">
        <w:rPr>
          <w:szCs w:val="24"/>
          <w:lang w:val="en-NZ"/>
        </w:rPr>
        <w:t>Mid</w:t>
      </w:r>
      <w:r w:rsidR="00FD0619">
        <w:rPr>
          <w:szCs w:val="24"/>
          <w:lang w:val="en-NZ"/>
        </w:rPr>
        <w:t>C</w:t>
      </w:r>
      <w:r w:rsidR="00141812" w:rsidRPr="003067B9">
        <w:rPr>
          <w:szCs w:val="24"/>
          <w:lang w:val="en-NZ"/>
        </w:rPr>
        <w:t>entral</w:t>
      </w:r>
      <w:r w:rsidR="00690B80" w:rsidRPr="003067B9">
        <w:rPr>
          <w:szCs w:val="24"/>
          <w:lang w:val="en-NZ"/>
        </w:rPr>
        <w:t xml:space="preserve"> give</w:t>
      </w:r>
      <w:r w:rsidR="00062649" w:rsidRPr="003067B9">
        <w:rPr>
          <w:szCs w:val="24"/>
          <w:lang w:val="en-NZ"/>
        </w:rPr>
        <w:t>n</w:t>
      </w:r>
      <w:r w:rsidR="00690B80" w:rsidRPr="003067B9">
        <w:rPr>
          <w:szCs w:val="24"/>
          <w:lang w:val="en-NZ"/>
        </w:rPr>
        <w:t xml:space="preserve"> systemic challenges with performance. </w:t>
      </w:r>
    </w:p>
    <w:p w14:paraId="279AC7C6" w14:textId="16A05018" w:rsidR="001C43EB" w:rsidRPr="003067B9" w:rsidRDefault="001C43EB" w:rsidP="00347CAF">
      <w:pPr>
        <w:rPr>
          <w:szCs w:val="24"/>
          <w:lang w:val="en-NZ"/>
        </w:rPr>
      </w:pPr>
      <w:r w:rsidRPr="003067B9">
        <w:rPr>
          <w:szCs w:val="24"/>
          <w:lang w:val="en-NZ"/>
        </w:rPr>
        <w:t xml:space="preserve">A national Theatre Metrics dashboard </w:t>
      </w:r>
      <w:r w:rsidR="0073340F" w:rsidRPr="003067B9">
        <w:rPr>
          <w:szCs w:val="24"/>
          <w:lang w:val="en-NZ"/>
        </w:rPr>
        <w:t xml:space="preserve">using </w:t>
      </w:r>
      <w:r w:rsidRPr="003067B9">
        <w:rPr>
          <w:szCs w:val="24"/>
          <w:lang w:val="en-NZ"/>
        </w:rPr>
        <w:t xml:space="preserve">operational data is now live and informing local and regional improvement plans. Specific areas for improvement include: </w:t>
      </w:r>
    </w:p>
    <w:p w14:paraId="77EEBE2F" w14:textId="72834074" w:rsidR="001C43EB" w:rsidRPr="003067B9" w:rsidRDefault="007815E3" w:rsidP="00347CAF">
      <w:pPr>
        <w:pStyle w:val="Bulletpoints"/>
        <w:rPr>
          <w:szCs w:val="24"/>
          <w:lang w:val="en-NZ"/>
        </w:rPr>
      </w:pPr>
      <w:r>
        <w:rPr>
          <w:szCs w:val="24"/>
          <w:lang w:val="en-NZ"/>
        </w:rPr>
        <w:t>t</w:t>
      </w:r>
      <w:r w:rsidR="001C43EB" w:rsidRPr="003067B9">
        <w:rPr>
          <w:szCs w:val="24"/>
          <w:lang w:val="en-NZ"/>
        </w:rPr>
        <w:t xml:space="preserve">heatre productivity, including reducing hospital-initiated day of surgery cancellations (continuing to trend downwards in quarter three to 5%) </w:t>
      </w:r>
    </w:p>
    <w:p w14:paraId="1D030750" w14:textId="0BC92F9B" w:rsidR="001C43EB" w:rsidRPr="003067B9" w:rsidRDefault="00CA2C52" w:rsidP="00347CAF">
      <w:pPr>
        <w:pStyle w:val="Bulletpoints"/>
        <w:rPr>
          <w:szCs w:val="24"/>
          <w:lang w:val="en-NZ"/>
        </w:rPr>
      </w:pPr>
      <w:r>
        <w:rPr>
          <w:szCs w:val="24"/>
          <w:lang w:val="en-NZ"/>
        </w:rPr>
        <w:t>i</w:t>
      </w:r>
      <w:r w:rsidR="001C43EB" w:rsidRPr="003067B9">
        <w:rPr>
          <w:szCs w:val="24"/>
          <w:lang w:val="en-NZ"/>
        </w:rPr>
        <w:t>ncreasing day of surgery admissions and exploring options such as standing up additional weekend theatre capacity to protect delivery during periods of higher acute demand (included in our System Pressures Plan for 2024)</w:t>
      </w:r>
    </w:p>
    <w:p w14:paraId="183C53D1" w14:textId="2B350BB9" w:rsidR="001C43EB" w:rsidRPr="003067B9" w:rsidRDefault="00CA2C52" w:rsidP="00347CAF">
      <w:pPr>
        <w:pStyle w:val="Bulletpoints"/>
        <w:rPr>
          <w:szCs w:val="24"/>
          <w:lang w:val="en-NZ"/>
        </w:rPr>
      </w:pPr>
      <w:r>
        <w:rPr>
          <w:szCs w:val="24"/>
          <w:lang w:val="en-NZ"/>
        </w:rPr>
        <w:t>a</w:t>
      </w:r>
      <w:r w:rsidR="001C43EB" w:rsidRPr="003067B9">
        <w:rPr>
          <w:szCs w:val="24"/>
          <w:lang w:val="en-NZ"/>
        </w:rPr>
        <w:t xml:space="preserve"> focus on late starts - early finishes and theatre session utilisation </w:t>
      </w:r>
    </w:p>
    <w:p w14:paraId="5D6844E7" w14:textId="3F11E9B3" w:rsidR="001C43EB" w:rsidRPr="003067B9" w:rsidRDefault="00CA2C52" w:rsidP="00347CAF">
      <w:pPr>
        <w:pStyle w:val="Bulletpoints"/>
        <w:rPr>
          <w:szCs w:val="24"/>
          <w:lang w:val="en-NZ"/>
        </w:rPr>
      </w:pPr>
      <w:r>
        <w:rPr>
          <w:szCs w:val="24"/>
          <w:lang w:val="en-NZ"/>
        </w:rPr>
        <w:t>h</w:t>
      </w:r>
      <w:r w:rsidR="001C43EB" w:rsidRPr="003067B9">
        <w:rPr>
          <w:szCs w:val="24"/>
          <w:lang w:val="en-NZ"/>
        </w:rPr>
        <w:t>armonis</w:t>
      </w:r>
      <w:r w:rsidR="145D9538" w:rsidRPr="003067B9">
        <w:rPr>
          <w:szCs w:val="24"/>
          <w:lang w:val="en-NZ"/>
        </w:rPr>
        <w:t>ing</w:t>
      </w:r>
      <w:r w:rsidR="001C43EB" w:rsidRPr="003067B9">
        <w:rPr>
          <w:szCs w:val="24"/>
          <w:lang w:val="en-NZ"/>
        </w:rPr>
        <w:t xml:space="preserve"> rostering across professional groups to optimise in-theatre time.</w:t>
      </w:r>
    </w:p>
    <w:p w14:paraId="1531B6FF" w14:textId="77777777" w:rsidR="001C43EB" w:rsidRPr="003067B9" w:rsidRDefault="001C43EB" w:rsidP="00737231">
      <w:pPr>
        <w:jc w:val="center"/>
        <w:rPr>
          <w:lang w:val="en-NZ"/>
        </w:rPr>
      </w:pPr>
      <w:r w:rsidRPr="003067B9">
        <w:rPr>
          <w:noProof/>
          <w:lang w:val="en-NZ"/>
        </w:rPr>
        <w:drawing>
          <wp:inline distT="0" distB="0" distL="0" distR="0" wp14:anchorId="1F41F718" wp14:editId="5AF5E82F">
            <wp:extent cx="4678878" cy="2180298"/>
            <wp:effectExtent l="0" t="0" r="7620" b="0"/>
            <wp:docPr id="5150126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12683"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4731016" cy="2204594"/>
                    </a:xfrm>
                    <a:prstGeom prst="rect">
                      <a:avLst/>
                    </a:prstGeom>
                  </pic:spPr>
                </pic:pic>
              </a:graphicData>
            </a:graphic>
          </wp:inline>
        </w:drawing>
      </w:r>
    </w:p>
    <w:p w14:paraId="197E2118" w14:textId="7353ED8F" w:rsidR="001C43EB" w:rsidRPr="003067B9" w:rsidRDefault="001C43EB" w:rsidP="005C70CD">
      <w:pPr>
        <w:jc w:val="center"/>
        <w:rPr>
          <w:lang w:val="en-NZ"/>
        </w:rPr>
      </w:pPr>
      <w:r w:rsidRPr="003067B9">
        <w:rPr>
          <w:noProof/>
          <w:lang w:val="en-NZ"/>
        </w:rPr>
        <w:lastRenderedPageBreak/>
        <w:drawing>
          <wp:inline distT="0" distB="0" distL="0" distR="0" wp14:anchorId="640BC836" wp14:editId="5C1A5352">
            <wp:extent cx="2302510" cy="1911207"/>
            <wp:effectExtent l="0" t="0" r="2540" b="0"/>
            <wp:docPr id="17621003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00326" name="Pictur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5846" cy="1913976"/>
                    </a:xfrm>
                    <a:prstGeom prst="rect">
                      <a:avLst/>
                    </a:prstGeom>
                  </pic:spPr>
                </pic:pic>
              </a:graphicData>
            </a:graphic>
          </wp:inline>
        </w:drawing>
      </w:r>
      <w:r w:rsidRPr="003067B9">
        <w:rPr>
          <w:lang w:val="en-NZ"/>
        </w:rPr>
        <w:t xml:space="preserve"> </w:t>
      </w:r>
      <w:r w:rsidR="000B4180">
        <w:rPr>
          <w:noProof/>
          <w:lang w:val="en-NZ"/>
        </w:rPr>
        <w:t xml:space="preserve"> </w:t>
      </w:r>
      <w:r w:rsidR="00BC776D">
        <w:rPr>
          <w:noProof/>
          <w:lang w:val="en-NZ"/>
        </w:rPr>
        <w:t xml:space="preserve"> </w:t>
      </w:r>
      <w:r w:rsidR="00FA510C">
        <w:rPr>
          <w:noProof/>
          <w:lang w:val="en-NZ"/>
        </w:rPr>
        <w:t xml:space="preserve">  </w:t>
      </w:r>
      <w:r w:rsidRPr="003067B9">
        <w:rPr>
          <w:noProof/>
          <w:lang w:val="en-NZ"/>
        </w:rPr>
        <w:drawing>
          <wp:inline distT="0" distB="0" distL="0" distR="0" wp14:anchorId="08648CC7" wp14:editId="408F7F7A">
            <wp:extent cx="2584125" cy="1911600"/>
            <wp:effectExtent l="0" t="0" r="6985" b="0"/>
            <wp:docPr id="18480736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73643" name="Picture 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4125" cy="1911600"/>
                    </a:xfrm>
                    <a:prstGeom prst="rect">
                      <a:avLst/>
                    </a:prstGeom>
                  </pic:spPr>
                </pic:pic>
              </a:graphicData>
            </a:graphic>
          </wp:inline>
        </w:drawing>
      </w:r>
    </w:p>
    <w:p w14:paraId="78DA8974" w14:textId="5DFBCB3F" w:rsidR="00694558" w:rsidRPr="006E710F" w:rsidRDefault="001C43EB" w:rsidP="00694558">
      <w:pPr>
        <w:rPr>
          <w:rStyle w:val="normaltextrun"/>
          <w:i/>
          <w:iCs/>
          <w:color w:val="000000"/>
          <w:shd w:val="clear" w:color="auto" w:fill="FFFFFF"/>
        </w:rPr>
      </w:pPr>
      <w:r w:rsidRPr="00D87C15">
        <w:rPr>
          <w:rStyle w:val="normaltextrun"/>
          <w:i/>
          <w:color w:val="000000"/>
          <w:shd w:val="clear" w:color="auto" w:fill="FFFFFF"/>
        </w:rPr>
        <w:t xml:space="preserve">Source of data is </w:t>
      </w:r>
      <w:r w:rsidR="00062649" w:rsidRPr="00D87C15">
        <w:rPr>
          <w:rStyle w:val="normaltextrun"/>
          <w:i/>
          <w:color w:val="000000"/>
          <w:shd w:val="clear" w:color="auto" w:fill="FFFFFF"/>
        </w:rPr>
        <w:t xml:space="preserve">the </w:t>
      </w:r>
      <w:r w:rsidRPr="00D87C15">
        <w:rPr>
          <w:rStyle w:val="normaltextrun"/>
          <w:i/>
          <w:color w:val="000000"/>
          <w:shd w:val="clear" w:color="auto" w:fill="FFFFFF"/>
        </w:rPr>
        <w:t>National Booking Reporting System (NBRS).</w:t>
      </w:r>
      <w:r w:rsidR="00694558" w:rsidRPr="00D87C15">
        <w:rPr>
          <w:rStyle w:val="normaltextrun"/>
          <w:i/>
          <w:iCs/>
          <w:color w:val="000000"/>
          <w:shd w:val="clear" w:color="auto" w:fill="FFFFFF"/>
        </w:rPr>
        <w:t xml:space="preserve">  </w:t>
      </w:r>
      <w:r w:rsidR="00694558" w:rsidRPr="006E710F">
        <w:rPr>
          <w:rStyle w:val="normaltextrun"/>
          <w:i/>
          <w:iCs/>
          <w:color w:val="000000"/>
          <w:shd w:val="clear" w:color="auto" w:fill="FFFFFF"/>
        </w:rPr>
        <w:t xml:space="preserve">Data for two districts has not been included in regional and national data due to data issues, which will have an effect when our quarter four report is published. Volume in Te Waipounamu for people waiting </w:t>
      </w:r>
      <w:r w:rsidR="004D55E3" w:rsidRPr="006E710F">
        <w:rPr>
          <w:rStyle w:val="normaltextrun"/>
          <w:i/>
          <w:iCs/>
          <w:color w:val="000000"/>
          <w:shd w:val="clear" w:color="auto" w:fill="FFFFFF"/>
        </w:rPr>
        <w:t>more than</w:t>
      </w:r>
      <w:r w:rsidR="00694558" w:rsidRPr="006E710F">
        <w:rPr>
          <w:rStyle w:val="normaltextrun"/>
          <w:i/>
          <w:iCs/>
          <w:color w:val="000000"/>
          <w:shd w:val="clear" w:color="auto" w:fill="FFFFFF"/>
        </w:rPr>
        <w:t xml:space="preserve"> 4 months would have been affected by number of patients waiting </w:t>
      </w:r>
      <w:r w:rsidR="004D55E3" w:rsidRPr="006E710F">
        <w:rPr>
          <w:rStyle w:val="normaltextrun"/>
          <w:i/>
          <w:iCs/>
          <w:color w:val="000000"/>
          <w:shd w:val="clear" w:color="auto" w:fill="FFFFFF"/>
        </w:rPr>
        <w:t>more than</w:t>
      </w:r>
      <w:r w:rsidR="00694558" w:rsidRPr="006E710F">
        <w:rPr>
          <w:rStyle w:val="normaltextrun"/>
          <w:i/>
          <w:iCs/>
          <w:color w:val="000000"/>
          <w:shd w:val="clear" w:color="auto" w:fill="FFFFFF"/>
        </w:rPr>
        <w:t xml:space="preserve"> 12 months.</w:t>
      </w:r>
    </w:p>
    <w:p w14:paraId="47C3BEC6" w14:textId="77777777" w:rsidR="00CA44DB" w:rsidRPr="003067B9" w:rsidRDefault="00CA44DB" w:rsidP="008C0EBC">
      <w:pPr>
        <w:rPr>
          <w:lang w:val="en-NZ"/>
        </w:rPr>
      </w:pPr>
    </w:p>
    <w:p w14:paraId="675975D9" w14:textId="77777777" w:rsidR="00CA44DB" w:rsidRPr="003067B9" w:rsidRDefault="00CA44DB" w:rsidP="008C0EBC">
      <w:pPr>
        <w:rPr>
          <w:lang w:val="en-NZ"/>
        </w:rPr>
      </w:pPr>
    </w:p>
    <w:p w14:paraId="053868D7" w14:textId="77777777" w:rsidR="00CA44DB" w:rsidRPr="003067B9" w:rsidRDefault="00CA44DB" w:rsidP="008C0EBC">
      <w:pPr>
        <w:rPr>
          <w:lang w:val="en-NZ"/>
        </w:rPr>
      </w:pPr>
    </w:p>
    <w:p w14:paraId="167C7671" w14:textId="77777777" w:rsidR="00CA44DB" w:rsidRPr="003067B9" w:rsidRDefault="00CA44DB" w:rsidP="008C0EBC">
      <w:pPr>
        <w:rPr>
          <w:lang w:val="en-NZ"/>
        </w:rPr>
      </w:pPr>
    </w:p>
    <w:p w14:paraId="7054F0E3" w14:textId="77777777" w:rsidR="00CA44DB" w:rsidRPr="003067B9" w:rsidRDefault="00CA44DB" w:rsidP="008C0EBC">
      <w:pPr>
        <w:rPr>
          <w:lang w:val="en-NZ"/>
        </w:rPr>
      </w:pPr>
    </w:p>
    <w:p w14:paraId="40D42937" w14:textId="77777777" w:rsidR="00CA44DB" w:rsidRPr="003067B9" w:rsidRDefault="00CA44DB" w:rsidP="008C0EBC">
      <w:pPr>
        <w:rPr>
          <w:lang w:val="en-NZ"/>
        </w:rPr>
      </w:pPr>
    </w:p>
    <w:p w14:paraId="468F1723" w14:textId="77777777" w:rsidR="00CA44DB" w:rsidRPr="003067B9" w:rsidRDefault="00CA44DB" w:rsidP="008C0EBC">
      <w:pPr>
        <w:rPr>
          <w:lang w:val="en-NZ"/>
        </w:rPr>
      </w:pPr>
    </w:p>
    <w:p w14:paraId="65D50864" w14:textId="77777777" w:rsidR="00CA44DB" w:rsidRPr="003067B9" w:rsidRDefault="00CA44DB" w:rsidP="008C0EBC">
      <w:pPr>
        <w:rPr>
          <w:lang w:val="en-NZ"/>
        </w:rPr>
      </w:pPr>
    </w:p>
    <w:p w14:paraId="6F64E682" w14:textId="77777777" w:rsidR="00CA44DB" w:rsidRPr="003067B9" w:rsidRDefault="00CA44DB" w:rsidP="008C0EBC">
      <w:pPr>
        <w:rPr>
          <w:lang w:val="en-NZ"/>
        </w:rPr>
      </w:pPr>
    </w:p>
    <w:p w14:paraId="0A3FEB78" w14:textId="77777777" w:rsidR="00CA44DB" w:rsidRPr="003067B9" w:rsidRDefault="00CA44DB" w:rsidP="008C0EBC">
      <w:pPr>
        <w:rPr>
          <w:lang w:val="en-NZ"/>
        </w:rPr>
      </w:pPr>
    </w:p>
    <w:p w14:paraId="33ECF534" w14:textId="77777777" w:rsidR="00CA44DB" w:rsidRPr="003067B9" w:rsidRDefault="00CA44DB" w:rsidP="008C0EBC">
      <w:pPr>
        <w:rPr>
          <w:lang w:val="en-NZ"/>
        </w:rPr>
      </w:pPr>
    </w:p>
    <w:p w14:paraId="5D1472C0" w14:textId="77777777" w:rsidR="00CA44DB" w:rsidRPr="003067B9" w:rsidRDefault="00CA44DB" w:rsidP="008C0EBC">
      <w:pPr>
        <w:rPr>
          <w:lang w:val="en-NZ"/>
        </w:rPr>
      </w:pPr>
    </w:p>
    <w:p w14:paraId="35186129" w14:textId="77777777" w:rsidR="00C75892" w:rsidRPr="003067B9" w:rsidRDefault="00C75892" w:rsidP="008C0EBC">
      <w:pPr>
        <w:rPr>
          <w:lang w:val="en-NZ"/>
        </w:rPr>
      </w:pPr>
    </w:p>
    <w:p w14:paraId="1FDF472B" w14:textId="77777777" w:rsidR="00C75892" w:rsidRPr="003067B9" w:rsidRDefault="00C75892" w:rsidP="008C0EBC">
      <w:pPr>
        <w:rPr>
          <w:lang w:val="en-NZ"/>
        </w:rPr>
      </w:pPr>
    </w:p>
    <w:p w14:paraId="6156061C" w14:textId="77777777" w:rsidR="00C75892" w:rsidRPr="003067B9" w:rsidRDefault="00C75892" w:rsidP="008C0EBC">
      <w:pPr>
        <w:rPr>
          <w:lang w:val="en-NZ"/>
        </w:rPr>
      </w:pPr>
    </w:p>
    <w:p w14:paraId="4E6722B0" w14:textId="77777777" w:rsidR="00C75892" w:rsidRPr="003067B9" w:rsidRDefault="00C75892" w:rsidP="008C0EBC">
      <w:pPr>
        <w:rPr>
          <w:lang w:val="en-NZ"/>
        </w:rPr>
      </w:pPr>
    </w:p>
    <w:p w14:paraId="56EC2513" w14:textId="77777777" w:rsidR="00C75892" w:rsidRPr="003067B9" w:rsidRDefault="00C75892" w:rsidP="008C0EBC">
      <w:pPr>
        <w:rPr>
          <w:lang w:val="en-NZ"/>
        </w:rPr>
      </w:pPr>
    </w:p>
    <w:p w14:paraId="4D723C95" w14:textId="77777777" w:rsidR="00C75892" w:rsidRPr="003067B9" w:rsidRDefault="00C75892" w:rsidP="008C0EBC">
      <w:pPr>
        <w:rPr>
          <w:lang w:val="en-NZ"/>
        </w:rPr>
      </w:pPr>
    </w:p>
    <w:p w14:paraId="55D13F6F" w14:textId="1EEE63F7" w:rsidR="001C43EB" w:rsidRPr="00D4706E" w:rsidRDefault="00C75892" w:rsidP="00C75892">
      <w:pPr>
        <w:pStyle w:val="Heading2"/>
        <w:rPr>
          <w:color w:val="15284C"/>
          <w:sz w:val="32"/>
          <w:szCs w:val="32"/>
        </w:rPr>
      </w:pPr>
      <w:r w:rsidRPr="00D4706E">
        <w:rPr>
          <w:color w:val="15284C"/>
          <w:sz w:val="32"/>
          <w:szCs w:val="32"/>
        </w:rPr>
        <w:lastRenderedPageBreak/>
        <w:t xml:space="preserve">5 </w:t>
      </w:r>
      <w:bookmarkStart w:id="58" w:name="_Toc170199163"/>
      <w:r w:rsidR="001C43EB" w:rsidRPr="00D4706E">
        <w:rPr>
          <w:color w:val="15284C"/>
          <w:sz w:val="32"/>
          <w:szCs w:val="32"/>
        </w:rPr>
        <w:t>Cancer patients waiting less than 31 days for first treatment</w:t>
      </w:r>
      <w:bookmarkEnd w:id="58"/>
    </w:p>
    <w:p w14:paraId="577B6F92" w14:textId="77777777" w:rsidR="001C43EB" w:rsidRPr="003067B9" w:rsidRDefault="001C43EB" w:rsidP="001C43EB">
      <w:pPr>
        <w:rPr>
          <w:szCs w:val="24"/>
          <w:lang w:val="en-NZ"/>
        </w:rPr>
      </w:pPr>
      <w:r w:rsidRPr="003067B9">
        <w:rPr>
          <w:szCs w:val="24"/>
          <w:lang w:val="en-NZ"/>
        </w:rPr>
        <w:t>This measure shows the proportion of eligible cancer patients who receive their first treatment within 31 days of a health professional’s decision to treat.</w:t>
      </w:r>
    </w:p>
    <w:p w14:paraId="3574239C" w14:textId="151930F6" w:rsidR="001C43EB" w:rsidRPr="003067B9" w:rsidRDefault="001C43EB" w:rsidP="001C43EB">
      <w:pPr>
        <w:rPr>
          <w:color w:val="FF0000"/>
          <w:szCs w:val="24"/>
          <w:lang w:val="en-NZ"/>
        </w:rPr>
      </w:pPr>
      <w:r w:rsidRPr="003067B9">
        <w:rPr>
          <w:szCs w:val="24"/>
          <w:lang w:val="en-NZ"/>
        </w:rPr>
        <w:t xml:space="preserve">This quarter, the proportion of eligible cancer patients who received their first treatment within 31 days fell by 3.5% compared with quarter two and is now 3.1% below the target. </w:t>
      </w:r>
    </w:p>
    <w:p w14:paraId="4386DCE8" w14:textId="2646BA7D" w:rsidR="001C43EB" w:rsidRPr="003067B9" w:rsidRDefault="001C43EB" w:rsidP="001C43EB">
      <w:pPr>
        <w:rPr>
          <w:szCs w:val="24"/>
          <w:lang w:val="en-NZ"/>
        </w:rPr>
      </w:pPr>
      <w:r w:rsidRPr="003067B9">
        <w:rPr>
          <w:szCs w:val="24"/>
          <w:lang w:val="en-NZ"/>
        </w:rPr>
        <w:t xml:space="preserve">A dashboard is in development which will provide visibility of cancer treatment pressures at a local, </w:t>
      </w:r>
      <w:r w:rsidR="00062649" w:rsidRPr="003067B9">
        <w:rPr>
          <w:szCs w:val="24"/>
          <w:lang w:val="en-NZ"/>
        </w:rPr>
        <w:t>regional,</w:t>
      </w:r>
      <w:r w:rsidRPr="003067B9">
        <w:rPr>
          <w:szCs w:val="24"/>
          <w:lang w:val="en-NZ"/>
        </w:rPr>
        <w:t xml:space="preserve"> and national level, acting as a tool for service improvement. In addition, a national cancer performance operating framework is being developed to provide a real time view of patients in the system, including waitlist data, volumes of patients receiving treatment and follow up. This will enable national, regional, and local teams to understand the demand and plan effectively to provide timely treatment and care. </w:t>
      </w:r>
    </w:p>
    <w:p w14:paraId="27D583D4" w14:textId="6804E8E9" w:rsidR="001C43EB" w:rsidRPr="003067B9" w:rsidRDefault="001C43EB" w:rsidP="001C43EB">
      <w:pPr>
        <w:rPr>
          <w:szCs w:val="24"/>
          <w:lang w:val="en-NZ"/>
        </w:rPr>
      </w:pPr>
      <w:r w:rsidRPr="003067B9">
        <w:rPr>
          <w:szCs w:val="24"/>
          <w:lang w:val="en-NZ"/>
        </w:rPr>
        <w:t xml:space="preserve">National programmes in progress include the abnormal uterine bleeding pathway which will be completed for review by </w:t>
      </w:r>
      <w:r w:rsidR="00520F37" w:rsidRPr="003067B9">
        <w:rPr>
          <w:szCs w:val="24"/>
          <w:lang w:val="en-NZ"/>
        </w:rPr>
        <w:t>the Royal Australian and New Zealand College of Obstetricians and Gynaecologists</w:t>
      </w:r>
      <w:r w:rsidRPr="003067B9">
        <w:rPr>
          <w:szCs w:val="24"/>
          <w:lang w:val="en-NZ"/>
        </w:rPr>
        <w:t xml:space="preserve">. We anticipate this will show challenges for Pacific and Māori women with endometrial cancer. </w:t>
      </w:r>
    </w:p>
    <w:p w14:paraId="452F23CC" w14:textId="01DA4E30" w:rsidR="001C43EB" w:rsidRPr="003067B9" w:rsidRDefault="001C43EB" w:rsidP="001C43EB">
      <w:pPr>
        <w:rPr>
          <w:szCs w:val="24"/>
          <w:lang w:val="en-NZ"/>
        </w:rPr>
      </w:pPr>
      <w:r w:rsidRPr="003067B9">
        <w:rPr>
          <w:szCs w:val="24"/>
          <w:lang w:val="en-NZ"/>
        </w:rPr>
        <w:t xml:space="preserve">Workforce, </w:t>
      </w:r>
      <w:r w:rsidR="00C55BA4" w:rsidRPr="003067B9">
        <w:rPr>
          <w:szCs w:val="24"/>
          <w:lang w:val="en-NZ"/>
        </w:rPr>
        <w:t>diagnostics,</w:t>
      </w:r>
      <w:r w:rsidRPr="003067B9">
        <w:rPr>
          <w:szCs w:val="24"/>
          <w:lang w:val="en-NZ"/>
        </w:rPr>
        <w:t xml:space="preserve"> and access to diagnostic equipment are currently key areas of focus for improving our timely cancer service delivery. Initiatives to improve performance include:</w:t>
      </w:r>
    </w:p>
    <w:p w14:paraId="3C7D2366" w14:textId="3CDE60CD" w:rsidR="001C43EB" w:rsidRPr="003067B9" w:rsidRDefault="00372597" w:rsidP="009252A0">
      <w:pPr>
        <w:pStyle w:val="Bulletpoints"/>
        <w:rPr>
          <w:lang w:val="en-NZ"/>
        </w:rPr>
      </w:pPr>
      <w:r>
        <w:rPr>
          <w:lang w:val="en-NZ"/>
        </w:rPr>
        <w:t>i</w:t>
      </w:r>
      <w:r w:rsidR="001C43EB" w:rsidRPr="003067B9">
        <w:rPr>
          <w:lang w:val="en-NZ"/>
        </w:rPr>
        <w:t>nternational recruitment for radiation therapists and oncologists</w:t>
      </w:r>
    </w:p>
    <w:p w14:paraId="4C7D13E4" w14:textId="684D4F41" w:rsidR="001D5C32" w:rsidRPr="003067B9" w:rsidRDefault="00372597" w:rsidP="009252A0">
      <w:pPr>
        <w:pStyle w:val="Bulletpoints"/>
        <w:rPr>
          <w:lang w:val="en-NZ"/>
        </w:rPr>
      </w:pPr>
      <w:r>
        <w:rPr>
          <w:lang w:val="en-NZ"/>
        </w:rPr>
        <w:t>d</w:t>
      </w:r>
      <w:r w:rsidR="001C43EB" w:rsidRPr="003067B9">
        <w:rPr>
          <w:lang w:val="en-NZ"/>
        </w:rPr>
        <w:t>eveloping national clinical pathways to facilitate rapid diagnosis of suspected cancer and to eliminate unwarranted variation in the system</w:t>
      </w:r>
      <w:r w:rsidR="00F27E24" w:rsidRPr="003067B9">
        <w:rPr>
          <w:lang w:val="en-NZ"/>
        </w:rPr>
        <w:t xml:space="preserve"> </w:t>
      </w:r>
    </w:p>
    <w:p w14:paraId="27C3D52D" w14:textId="5A790638" w:rsidR="001C43EB" w:rsidRPr="003067B9" w:rsidRDefault="00CD2BDE" w:rsidP="009252A0">
      <w:pPr>
        <w:pStyle w:val="Bulletpoints"/>
        <w:rPr>
          <w:lang w:val="en-NZ"/>
        </w:rPr>
      </w:pPr>
      <w:r>
        <w:rPr>
          <w:lang w:val="en-NZ"/>
        </w:rPr>
        <w:t>o</w:t>
      </w:r>
      <w:r w:rsidR="002A7A9B" w:rsidRPr="003067B9">
        <w:rPr>
          <w:lang w:val="en-NZ"/>
        </w:rPr>
        <w:t>ur</w:t>
      </w:r>
      <w:r w:rsidR="001C43EB" w:rsidRPr="003067B9">
        <w:rPr>
          <w:lang w:val="en-NZ"/>
        </w:rPr>
        <w:t xml:space="preserve"> National Bowel Screening Unit commenc</w:t>
      </w:r>
      <w:r w:rsidR="00E04C76" w:rsidRPr="003067B9">
        <w:rPr>
          <w:lang w:val="en-NZ"/>
        </w:rPr>
        <w:t>ing</w:t>
      </w:r>
      <w:r w:rsidR="001C43EB" w:rsidRPr="003067B9">
        <w:rPr>
          <w:lang w:val="en-NZ"/>
        </w:rPr>
        <w:t xml:space="preserve"> planning for the roll out of the faecal immunochemical test (FIT) for </w:t>
      </w:r>
      <w:r w:rsidR="4D71C1E8" w:rsidRPr="003067B9">
        <w:rPr>
          <w:lang w:val="en-NZ"/>
        </w:rPr>
        <w:t>s</w:t>
      </w:r>
      <w:r w:rsidR="001C43EB" w:rsidRPr="003067B9">
        <w:rPr>
          <w:lang w:val="en-NZ"/>
        </w:rPr>
        <w:t>ymptomatic pathway for patients on the colonoscopy waiting list</w:t>
      </w:r>
      <w:r w:rsidR="4D000EDF" w:rsidRPr="003067B9">
        <w:rPr>
          <w:lang w:val="en-NZ"/>
        </w:rPr>
        <w:t>,</w:t>
      </w:r>
      <w:r w:rsidR="001C43EB" w:rsidRPr="003067B9">
        <w:rPr>
          <w:lang w:val="en-NZ"/>
        </w:rPr>
        <w:t xml:space="preserve"> to four sites in 25/26</w:t>
      </w:r>
      <w:r w:rsidR="00F27E24" w:rsidRPr="003067B9">
        <w:rPr>
          <w:lang w:val="en-NZ"/>
        </w:rPr>
        <w:t>,</w:t>
      </w:r>
      <w:r w:rsidR="001C43EB" w:rsidRPr="003067B9">
        <w:rPr>
          <w:lang w:val="en-NZ"/>
        </w:rPr>
        <w:t xml:space="preserve"> and an evaluation before rolling </w:t>
      </w:r>
      <w:r w:rsidR="76D3BC37" w:rsidRPr="003067B9">
        <w:rPr>
          <w:lang w:val="en-NZ"/>
        </w:rPr>
        <w:t>the pathway</w:t>
      </w:r>
      <w:r w:rsidR="001C43EB" w:rsidRPr="003067B9">
        <w:rPr>
          <w:lang w:val="en-NZ"/>
        </w:rPr>
        <w:t xml:space="preserve"> out nationwide. Th</w:t>
      </w:r>
      <w:r w:rsidR="0DFDE188" w:rsidRPr="003067B9">
        <w:rPr>
          <w:lang w:val="en-NZ"/>
        </w:rPr>
        <w:t>e</w:t>
      </w:r>
      <w:r w:rsidR="001C43EB" w:rsidRPr="003067B9">
        <w:rPr>
          <w:lang w:val="en-NZ"/>
        </w:rPr>
        <w:t xml:space="preserve"> aim</w:t>
      </w:r>
      <w:r w:rsidR="5FD918EB" w:rsidRPr="003067B9">
        <w:rPr>
          <w:lang w:val="en-NZ"/>
        </w:rPr>
        <w:t xml:space="preserve"> of the pathway</w:t>
      </w:r>
      <w:r w:rsidR="001C43EB" w:rsidRPr="003067B9">
        <w:rPr>
          <w:lang w:val="en-NZ"/>
        </w:rPr>
        <w:t xml:space="preserve"> </w:t>
      </w:r>
      <w:r w:rsidR="00DC6615" w:rsidRPr="003067B9">
        <w:rPr>
          <w:lang w:val="en-NZ"/>
        </w:rPr>
        <w:t xml:space="preserve">is </w:t>
      </w:r>
      <w:r w:rsidR="001C43EB" w:rsidRPr="003067B9">
        <w:rPr>
          <w:lang w:val="en-NZ"/>
        </w:rPr>
        <w:t xml:space="preserve">to ensure patients are prioritised appropriately. </w:t>
      </w:r>
    </w:p>
    <w:p w14:paraId="1ED5E003" w14:textId="40CAF3CC" w:rsidR="001C43EB" w:rsidRPr="003067B9" w:rsidRDefault="001C43EB" w:rsidP="001C43EB">
      <w:pPr>
        <w:rPr>
          <w:szCs w:val="24"/>
          <w:lang w:val="en-NZ"/>
        </w:rPr>
      </w:pPr>
      <w:r w:rsidRPr="003067B9">
        <w:rPr>
          <w:szCs w:val="24"/>
          <w:lang w:val="en-NZ"/>
        </w:rPr>
        <w:t xml:space="preserve">Planned </w:t>
      </w:r>
      <w:r w:rsidR="001969C6">
        <w:rPr>
          <w:szCs w:val="24"/>
          <w:lang w:val="en-NZ"/>
        </w:rPr>
        <w:t>C</w:t>
      </w:r>
      <w:r w:rsidRPr="003067B9">
        <w:rPr>
          <w:szCs w:val="24"/>
          <w:lang w:val="en-NZ"/>
        </w:rPr>
        <w:t xml:space="preserve">are and the radiology transformation programmes will also impact the cancer pathway through standardisation, efficiencies and pathway improvements. </w:t>
      </w:r>
    </w:p>
    <w:p w14:paraId="0DFFA391" w14:textId="77777777" w:rsidR="001C43EB" w:rsidRPr="003067B9" w:rsidRDefault="001C43EB" w:rsidP="00CA44DB">
      <w:pPr>
        <w:jc w:val="center"/>
        <w:rPr>
          <w:lang w:val="en-NZ"/>
        </w:rPr>
      </w:pPr>
      <w:r w:rsidRPr="003067B9">
        <w:rPr>
          <w:noProof/>
          <w:lang w:val="en-NZ"/>
        </w:rPr>
        <w:drawing>
          <wp:inline distT="0" distB="0" distL="0" distR="0" wp14:anchorId="2CD637EC" wp14:editId="7913E42A">
            <wp:extent cx="3957605" cy="1988289"/>
            <wp:effectExtent l="0" t="0" r="5080" b="0"/>
            <wp:docPr id="7258224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22442" name="Picture 1">
                      <a:extLst>
                        <a:ext uri="{C183D7F6-B498-43B3-948B-1728B52AA6E4}">
                          <adec:decorative xmlns:adec="http://schemas.microsoft.com/office/drawing/2017/decorative" val="1"/>
                        </a:ext>
                      </a:extLst>
                    </pic:cNvPr>
                    <pic:cNvPicPr/>
                  </pic:nvPicPr>
                  <pic:blipFill rotWithShape="1">
                    <a:blip r:embed="rId29"/>
                    <a:srcRect t="-1" b="2898"/>
                    <a:stretch/>
                  </pic:blipFill>
                  <pic:spPr bwMode="auto">
                    <a:xfrm>
                      <a:off x="0" y="0"/>
                      <a:ext cx="3957605" cy="1988289"/>
                    </a:xfrm>
                    <a:prstGeom prst="rect">
                      <a:avLst/>
                    </a:prstGeom>
                    <a:ln>
                      <a:noFill/>
                    </a:ln>
                    <a:extLst>
                      <a:ext uri="{53640926-AAD7-44D8-BBD7-CCE9431645EC}">
                        <a14:shadowObscured xmlns:a14="http://schemas.microsoft.com/office/drawing/2010/main"/>
                      </a:ext>
                    </a:extLst>
                  </pic:spPr>
                </pic:pic>
              </a:graphicData>
            </a:graphic>
          </wp:inline>
        </w:drawing>
      </w:r>
    </w:p>
    <w:p w14:paraId="696F5568" w14:textId="36294B50" w:rsidR="001C43EB" w:rsidRPr="003067B9" w:rsidRDefault="001C43EB" w:rsidP="001C43EB">
      <w:pPr>
        <w:rPr>
          <w:szCs w:val="24"/>
          <w:lang w:val="en-NZ"/>
        </w:rPr>
      </w:pPr>
      <w:r w:rsidRPr="003067B9">
        <w:rPr>
          <w:szCs w:val="24"/>
          <w:lang w:val="en-NZ"/>
        </w:rPr>
        <w:lastRenderedPageBreak/>
        <w:t xml:space="preserve">Addressing constraints across the cancer pathway is a focus in all regions with service improvement plans in place. Examples include a focus on gynaecology in the Northern region, theatre utilisation in Te Manawa Taki, Central and Te Waipounamu, and addressing workforce vacancies through recruitment and retention. </w:t>
      </w:r>
    </w:p>
    <w:p w14:paraId="6F2C62E6" w14:textId="0FFFE44C" w:rsidR="001C43EB" w:rsidRPr="003067B9" w:rsidRDefault="001C43EB" w:rsidP="000D2003">
      <w:pPr>
        <w:jc w:val="center"/>
        <w:rPr>
          <w:szCs w:val="24"/>
          <w:lang w:val="en-NZ"/>
        </w:rPr>
      </w:pPr>
      <w:r w:rsidRPr="003067B9">
        <w:rPr>
          <w:noProof/>
          <w:szCs w:val="24"/>
          <w:lang w:val="en-NZ"/>
        </w:rPr>
        <w:drawing>
          <wp:inline distT="0" distB="0" distL="0" distR="0" wp14:anchorId="07B9C1C9" wp14:editId="3CDE3447">
            <wp:extent cx="2430996" cy="1943100"/>
            <wp:effectExtent l="0" t="0" r="7620" b="0"/>
            <wp:docPr id="5613066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06699"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2442734" cy="1952482"/>
                    </a:xfrm>
                    <a:prstGeom prst="rect">
                      <a:avLst/>
                    </a:prstGeom>
                  </pic:spPr>
                </pic:pic>
              </a:graphicData>
            </a:graphic>
          </wp:inline>
        </w:drawing>
      </w:r>
      <w:r w:rsidR="00917D6C">
        <w:rPr>
          <w:noProof/>
          <w:szCs w:val="24"/>
          <w:lang w:val="en-NZ"/>
        </w:rPr>
        <w:t xml:space="preserve">   </w:t>
      </w:r>
      <w:r w:rsidR="00FA510C">
        <w:rPr>
          <w:noProof/>
          <w:szCs w:val="24"/>
          <w:lang w:val="en-NZ"/>
        </w:rPr>
        <w:t xml:space="preserve">  </w:t>
      </w:r>
      <w:r w:rsidRPr="003067B9">
        <w:rPr>
          <w:noProof/>
          <w:szCs w:val="24"/>
          <w:lang w:val="en-NZ"/>
        </w:rPr>
        <w:drawing>
          <wp:inline distT="0" distB="0" distL="0" distR="0" wp14:anchorId="07B13281" wp14:editId="3D648A28">
            <wp:extent cx="2581275" cy="1868779"/>
            <wp:effectExtent l="0" t="0" r="0" b="0"/>
            <wp:docPr id="126655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596"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2589872" cy="1875003"/>
                    </a:xfrm>
                    <a:prstGeom prst="rect">
                      <a:avLst/>
                    </a:prstGeom>
                  </pic:spPr>
                </pic:pic>
              </a:graphicData>
            </a:graphic>
          </wp:inline>
        </w:drawing>
      </w:r>
    </w:p>
    <w:p w14:paraId="1A0D4334" w14:textId="44205EC7" w:rsidR="00916342" w:rsidRPr="006E710F" w:rsidRDefault="001C43EB" w:rsidP="009252A0">
      <w:pPr>
        <w:rPr>
          <w:i/>
          <w:iCs/>
          <w:color w:val="000000"/>
          <w:lang w:val="en-NZ"/>
        </w:rPr>
      </w:pPr>
      <w:r w:rsidRPr="006E710F">
        <w:rPr>
          <w:i/>
          <w:iCs/>
          <w:color w:val="000000"/>
          <w:lang w:val="en-NZ"/>
        </w:rPr>
        <w:t xml:space="preserve">Source of data is Faster Cancer Treatment Data (FCT). </w:t>
      </w:r>
      <w:r w:rsidR="00916342" w:rsidRPr="006E710F">
        <w:rPr>
          <w:i/>
          <w:iCs/>
          <w:color w:val="000000"/>
          <w:shd w:val="clear" w:color="auto" w:fill="FFFFFF"/>
          <w:lang w:val="en-NZ"/>
        </w:rPr>
        <w:t>Data</w:t>
      </w:r>
      <w:r w:rsidRPr="006E710F">
        <w:rPr>
          <w:i/>
          <w:iCs/>
          <w:color w:val="000000"/>
          <w:shd w:val="clear" w:color="auto" w:fill="FFFFFF"/>
          <w:lang w:val="en-NZ"/>
        </w:rPr>
        <w:t xml:space="preserve"> for </w:t>
      </w:r>
      <w:r w:rsidR="00916342" w:rsidRPr="006E710F">
        <w:rPr>
          <w:i/>
          <w:iCs/>
          <w:color w:val="000000"/>
          <w:shd w:val="clear" w:color="auto" w:fill="FFFFFF"/>
          <w:lang w:val="en-NZ"/>
        </w:rPr>
        <w:t>two districts has not been included in regional and national data</w:t>
      </w:r>
      <w:r w:rsidRPr="006E710F">
        <w:rPr>
          <w:i/>
          <w:iCs/>
          <w:color w:val="000000"/>
          <w:shd w:val="clear" w:color="auto" w:fill="FFFFFF"/>
          <w:lang w:val="en-NZ"/>
        </w:rPr>
        <w:t xml:space="preserve"> due to </w:t>
      </w:r>
      <w:r w:rsidR="00916342" w:rsidRPr="006E710F">
        <w:rPr>
          <w:i/>
          <w:iCs/>
          <w:color w:val="000000"/>
          <w:shd w:val="clear" w:color="auto" w:fill="FFFFFF"/>
          <w:lang w:val="en-NZ"/>
        </w:rPr>
        <w:t>data</w:t>
      </w:r>
      <w:r w:rsidRPr="006E710F">
        <w:rPr>
          <w:i/>
          <w:iCs/>
          <w:color w:val="000000"/>
          <w:shd w:val="clear" w:color="auto" w:fill="FFFFFF"/>
          <w:lang w:val="en-NZ"/>
        </w:rPr>
        <w:t xml:space="preserve"> issues</w:t>
      </w:r>
      <w:r w:rsidR="00916342" w:rsidRPr="006E710F">
        <w:rPr>
          <w:i/>
          <w:iCs/>
          <w:color w:val="000000"/>
          <w:shd w:val="clear" w:color="auto" w:fill="FFFFFF"/>
          <w:lang w:val="en-NZ"/>
        </w:rPr>
        <w:t>, which will</w:t>
      </w:r>
      <w:r w:rsidRPr="006E710F">
        <w:rPr>
          <w:i/>
          <w:iCs/>
          <w:color w:val="000000"/>
          <w:shd w:val="clear" w:color="auto" w:fill="FFFFFF"/>
          <w:lang w:val="en-NZ"/>
        </w:rPr>
        <w:t xml:space="preserve"> have a small effect </w:t>
      </w:r>
      <w:r w:rsidRPr="006E710F">
        <w:rPr>
          <w:i/>
          <w:iCs/>
          <w:color w:val="000000"/>
          <w:lang w:val="en-NZ"/>
        </w:rPr>
        <w:t>when our quarter four report is published.</w:t>
      </w:r>
    </w:p>
    <w:p w14:paraId="77738430" w14:textId="77777777" w:rsidR="00CA44DB" w:rsidRPr="003067B9" w:rsidRDefault="00CA44DB" w:rsidP="0029398C">
      <w:pPr>
        <w:jc w:val="center"/>
        <w:rPr>
          <w:lang w:val="en-NZ"/>
        </w:rPr>
      </w:pPr>
    </w:p>
    <w:p w14:paraId="6107349B" w14:textId="77777777" w:rsidR="00CA44DB" w:rsidRPr="003067B9" w:rsidRDefault="00CA44DB" w:rsidP="009252A0">
      <w:pPr>
        <w:rPr>
          <w:lang w:val="en-NZ"/>
        </w:rPr>
      </w:pPr>
    </w:p>
    <w:p w14:paraId="5B486492" w14:textId="77777777" w:rsidR="00CA44DB" w:rsidRPr="003067B9" w:rsidRDefault="00CA44DB" w:rsidP="009252A0">
      <w:pPr>
        <w:rPr>
          <w:lang w:val="en-NZ"/>
        </w:rPr>
      </w:pPr>
    </w:p>
    <w:p w14:paraId="64B503BC" w14:textId="77777777" w:rsidR="00CA44DB" w:rsidRPr="003067B9" w:rsidRDefault="00CA44DB" w:rsidP="009252A0">
      <w:pPr>
        <w:rPr>
          <w:lang w:val="en-NZ"/>
        </w:rPr>
      </w:pPr>
    </w:p>
    <w:p w14:paraId="5334FD5B" w14:textId="77777777" w:rsidR="00CA44DB" w:rsidRPr="003067B9" w:rsidRDefault="00CA44DB" w:rsidP="009252A0">
      <w:pPr>
        <w:rPr>
          <w:lang w:val="en-NZ"/>
        </w:rPr>
      </w:pPr>
    </w:p>
    <w:p w14:paraId="5155D850" w14:textId="77777777" w:rsidR="00CA44DB" w:rsidRPr="003067B9" w:rsidRDefault="00CA44DB" w:rsidP="009252A0">
      <w:pPr>
        <w:rPr>
          <w:lang w:val="en-NZ"/>
        </w:rPr>
      </w:pPr>
    </w:p>
    <w:p w14:paraId="12D7E090" w14:textId="77777777" w:rsidR="00CA44DB" w:rsidRPr="003067B9" w:rsidRDefault="00CA44DB" w:rsidP="009252A0">
      <w:pPr>
        <w:rPr>
          <w:lang w:val="en-NZ"/>
        </w:rPr>
      </w:pPr>
    </w:p>
    <w:p w14:paraId="09D99ACD" w14:textId="77777777" w:rsidR="00CA44DB" w:rsidRPr="003067B9" w:rsidRDefault="00CA44DB" w:rsidP="009252A0">
      <w:pPr>
        <w:rPr>
          <w:lang w:val="en-NZ"/>
        </w:rPr>
      </w:pPr>
    </w:p>
    <w:p w14:paraId="1DA16F80" w14:textId="77777777" w:rsidR="00CA44DB" w:rsidRPr="003067B9" w:rsidRDefault="00CA44DB" w:rsidP="009252A0">
      <w:pPr>
        <w:rPr>
          <w:lang w:val="en-NZ"/>
        </w:rPr>
      </w:pPr>
    </w:p>
    <w:p w14:paraId="4B6591B8" w14:textId="77777777" w:rsidR="00CA44DB" w:rsidRPr="003067B9" w:rsidRDefault="00CA44DB" w:rsidP="009252A0">
      <w:pPr>
        <w:rPr>
          <w:lang w:val="en-NZ"/>
        </w:rPr>
      </w:pPr>
    </w:p>
    <w:p w14:paraId="4E3F855D" w14:textId="77777777" w:rsidR="00CA44DB" w:rsidRPr="003067B9" w:rsidRDefault="00CA44DB" w:rsidP="009252A0">
      <w:pPr>
        <w:rPr>
          <w:lang w:val="en-NZ"/>
        </w:rPr>
      </w:pPr>
    </w:p>
    <w:p w14:paraId="4AEA35AE" w14:textId="77777777" w:rsidR="00B32C53" w:rsidRDefault="00B32C53">
      <w:pPr>
        <w:spacing w:line="259" w:lineRule="auto"/>
        <w:rPr>
          <w:rFonts w:eastAsiaTheme="majorEastAsia"/>
          <w:b/>
          <w:bCs/>
          <w:noProof/>
          <w:color w:val="15284C"/>
          <w:sz w:val="32"/>
          <w:szCs w:val="120"/>
          <w:lang w:val="en-NZ"/>
        </w:rPr>
      </w:pPr>
      <w:bookmarkStart w:id="59" w:name="_Toc162008448"/>
      <w:bookmarkStart w:id="60" w:name="_Toc170199164"/>
      <w:bookmarkEnd w:id="54"/>
      <w:r>
        <w:rPr>
          <w:color w:val="15284C"/>
        </w:rPr>
        <w:br w:type="page"/>
      </w:r>
    </w:p>
    <w:p w14:paraId="17E74EA9" w14:textId="4846A6DE" w:rsidR="00D02262" w:rsidRPr="00D4706E" w:rsidRDefault="00EE3657" w:rsidP="00C75892">
      <w:pPr>
        <w:pStyle w:val="NumberedHeading1"/>
        <w:rPr>
          <w:color w:val="15284C"/>
        </w:rPr>
      </w:pPr>
      <w:r w:rsidRPr="00D4706E">
        <w:rPr>
          <w:color w:val="15284C"/>
        </w:rPr>
        <w:lastRenderedPageBreak/>
        <w:t xml:space="preserve">6 </w:t>
      </w:r>
      <w:r w:rsidR="00D02262" w:rsidRPr="00D4706E">
        <w:rPr>
          <w:color w:val="15284C"/>
        </w:rPr>
        <w:t>Primary care enrolment</w:t>
      </w:r>
      <w:bookmarkEnd w:id="59"/>
      <w:bookmarkEnd w:id="60"/>
    </w:p>
    <w:p w14:paraId="1FC17958" w14:textId="743D3B8B" w:rsidR="00D02262" w:rsidRPr="003067B9" w:rsidRDefault="00D02262" w:rsidP="00D02262">
      <w:pPr>
        <w:rPr>
          <w:szCs w:val="24"/>
          <w:lang w:val="en-NZ"/>
        </w:rPr>
      </w:pPr>
      <w:r w:rsidRPr="003067B9">
        <w:rPr>
          <w:szCs w:val="24"/>
          <w:lang w:val="en-NZ"/>
        </w:rPr>
        <w:t xml:space="preserve">This measure shows people enrolled with a general practice (or Kaupapa Māori provider delivering general practice care), as a percentage of </w:t>
      </w:r>
      <w:r w:rsidR="00DC6615" w:rsidRPr="003067B9">
        <w:rPr>
          <w:szCs w:val="24"/>
          <w:lang w:val="en-NZ"/>
        </w:rPr>
        <w:t>the</w:t>
      </w:r>
      <w:r w:rsidR="0003082F" w:rsidRPr="003067B9">
        <w:rPr>
          <w:szCs w:val="24"/>
          <w:lang w:val="en-NZ"/>
        </w:rPr>
        <w:t xml:space="preserve"> Stats NZ</w:t>
      </w:r>
      <w:r w:rsidR="00DC6615" w:rsidRPr="003067B9">
        <w:rPr>
          <w:szCs w:val="24"/>
          <w:lang w:val="en-NZ"/>
        </w:rPr>
        <w:t xml:space="preserve"> </w:t>
      </w:r>
      <w:r w:rsidRPr="003067B9">
        <w:rPr>
          <w:szCs w:val="24"/>
          <w:lang w:val="en-NZ"/>
        </w:rPr>
        <w:t>estimated resident population</w:t>
      </w:r>
      <w:r w:rsidR="003F07F9" w:rsidRPr="003067B9">
        <w:rPr>
          <w:szCs w:val="24"/>
          <w:lang w:val="en-NZ"/>
        </w:rPr>
        <w:t>.</w:t>
      </w:r>
    </w:p>
    <w:p w14:paraId="5C58F78A" w14:textId="77777777" w:rsidR="00D02262" w:rsidRPr="003067B9" w:rsidRDefault="00D02262" w:rsidP="00D02262">
      <w:pPr>
        <w:rPr>
          <w:color w:val="FF0000"/>
          <w:szCs w:val="24"/>
          <w:lang w:val="en-NZ"/>
        </w:rPr>
      </w:pPr>
      <w:r w:rsidRPr="003067B9">
        <w:rPr>
          <w:szCs w:val="24"/>
          <w:lang w:val="en-NZ"/>
        </w:rPr>
        <w:t>Overall, the proportion of people enrolled decreased slightly in quarter three. The health system continues to experience high rates of patient enrolment. Primary care continues to manage workforce and resourcing constraints, resulting in some being unable to enrol new patients. This may continue into quarter four. Despite these pressures, enrolment has remained close to the 95% target. Primary Healthcare Organisations (PHOs) are working with general practices to encourage enrolment based on capacity constraints and local priorities. PHOs continue to provide information about which practices are open to new enrolments. </w:t>
      </w:r>
    </w:p>
    <w:p w14:paraId="5C1D496A" w14:textId="0185094C" w:rsidR="00D02262" w:rsidRPr="003067B9" w:rsidRDefault="00D02262" w:rsidP="00CA44DB">
      <w:pPr>
        <w:jc w:val="center"/>
        <w:rPr>
          <w:szCs w:val="24"/>
          <w:lang w:val="en-NZ"/>
        </w:rPr>
      </w:pPr>
      <w:r w:rsidRPr="003067B9">
        <w:rPr>
          <w:noProof/>
          <w:lang w:val="en-NZ"/>
        </w:rPr>
        <w:drawing>
          <wp:inline distT="0" distB="0" distL="0" distR="0" wp14:anchorId="3046E592" wp14:editId="48836CB8">
            <wp:extent cx="3960000" cy="2012400"/>
            <wp:effectExtent l="0" t="0" r="2540" b="6985"/>
            <wp:docPr id="20820956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95665"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3960000" cy="2012400"/>
                    </a:xfrm>
                    <a:prstGeom prst="rect">
                      <a:avLst/>
                    </a:prstGeom>
                  </pic:spPr>
                </pic:pic>
              </a:graphicData>
            </a:graphic>
          </wp:inline>
        </w:drawing>
      </w:r>
    </w:p>
    <w:p w14:paraId="23AE89FA" w14:textId="6C9344EE" w:rsidR="00D02262" w:rsidRPr="00CB0424" w:rsidRDefault="00D02262" w:rsidP="009252A0">
      <w:pPr>
        <w:rPr>
          <w:szCs w:val="24"/>
          <w:lang w:val="en-NZ"/>
        </w:rPr>
      </w:pPr>
      <w:r w:rsidRPr="003067B9">
        <w:rPr>
          <w:lang w:val="en-NZ"/>
        </w:rPr>
        <w:t xml:space="preserve">We have seen small fluctuations in enrolment rates over the past 12-months across all ethnic groups. </w:t>
      </w:r>
      <w:r w:rsidR="00F74D8E">
        <w:rPr>
          <w:lang w:val="en-NZ"/>
        </w:rPr>
        <w:t xml:space="preserve"> </w:t>
      </w:r>
      <w:r w:rsidR="00F74D8E" w:rsidRPr="00646CD6">
        <w:rPr>
          <w:color w:val="333333"/>
          <w:szCs w:val="24"/>
          <w:shd w:val="clear" w:color="auto" w:fill="FFFFFF"/>
        </w:rPr>
        <w:t>Enrolment rates for Māori are currently lower than the national average. While it is known there are instances of misclassification of some individuals as Pacific or European in the PHO enrolment system, it is important to note this factor alone does not fully account for the gap in Māori enrolment. The coding of ethnicity is a multifaceted process influenced by various factors. This should improve as we move to unify ethnicity coding protocols within commissioning frameworks</w:t>
      </w:r>
      <w:r w:rsidR="00181DF8">
        <w:rPr>
          <w:color w:val="333333"/>
          <w:szCs w:val="24"/>
          <w:shd w:val="clear" w:color="auto" w:fill="FFFFFF"/>
        </w:rPr>
        <w:t>.</w:t>
      </w:r>
    </w:p>
    <w:p w14:paraId="79F003E6" w14:textId="577CD66A" w:rsidR="00D02262" w:rsidRPr="003067B9" w:rsidRDefault="0013615D" w:rsidP="00CA44DB">
      <w:pPr>
        <w:jc w:val="center"/>
        <w:rPr>
          <w:szCs w:val="24"/>
          <w:lang w:val="en-NZ"/>
        </w:rPr>
      </w:pPr>
      <w:r w:rsidRPr="003067B9">
        <w:rPr>
          <w:noProof/>
          <w:szCs w:val="24"/>
          <w:lang w:val="en-NZ"/>
        </w:rPr>
        <w:drawing>
          <wp:inline distT="0" distB="0" distL="0" distR="0" wp14:anchorId="106DC2A5" wp14:editId="74EE9A38">
            <wp:extent cx="2408282" cy="1911600"/>
            <wp:effectExtent l="0" t="0" r="0" b="0"/>
            <wp:docPr id="14357467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46775"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2408282" cy="1911600"/>
                    </a:xfrm>
                    <a:prstGeom prst="rect">
                      <a:avLst/>
                    </a:prstGeom>
                  </pic:spPr>
                </pic:pic>
              </a:graphicData>
            </a:graphic>
          </wp:inline>
        </w:drawing>
      </w:r>
      <w:r w:rsidR="005C5644">
        <w:rPr>
          <w:noProof/>
          <w:szCs w:val="24"/>
          <w:lang w:val="en-NZ"/>
        </w:rPr>
        <w:t xml:space="preserve">     </w:t>
      </w:r>
      <w:r w:rsidR="004A219C" w:rsidRPr="003067B9">
        <w:rPr>
          <w:noProof/>
          <w:szCs w:val="24"/>
          <w:lang w:val="en-NZ"/>
        </w:rPr>
        <w:drawing>
          <wp:inline distT="0" distB="0" distL="0" distR="0" wp14:anchorId="5B269F81" wp14:editId="009F4C36">
            <wp:extent cx="2408400" cy="1739821"/>
            <wp:effectExtent l="0" t="0" r="0" b="0"/>
            <wp:docPr id="14510643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4316" name="Picture 1">
                      <a:extLst>
                        <a:ext uri="{C183D7F6-B498-43B3-948B-1728B52AA6E4}">
                          <adec:decorative xmlns:adec="http://schemas.microsoft.com/office/drawing/2017/decorative" val="1"/>
                        </a:ext>
                      </a:extLst>
                    </pic:cNvPr>
                    <pic:cNvPicPr/>
                  </pic:nvPicPr>
                  <pic:blipFill>
                    <a:blip r:embed="rId34"/>
                    <a:stretch>
                      <a:fillRect/>
                    </a:stretch>
                  </pic:blipFill>
                  <pic:spPr>
                    <a:xfrm>
                      <a:off x="0" y="0"/>
                      <a:ext cx="2408400" cy="1739821"/>
                    </a:xfrm>
                    <a:prstGeom prst="rect">
                      <a:avLst/>
                    </a:prstGeom>
                  </pic:spPr>
                </pic:pic>
              </a:graphicData>
            </a:graphic>
          </wp:inline>
        </w:drawing>
      </w:r>
    </w:p>
    <w:p w14:paraId="07D284B8" w14:textId="403AF0E8" w:rsidR="00D02262" w:rsidRPr="00181DF8" w:rsidRDefault="00D02262" w:rsidP="009252A0">
      <w:pPr>
        <w:rPr>
          <w:i/>
          <w:iCs/>
          <w:color w:val="000000"/>
          <w:lang w:val="en-NZ" w:eastAsia="en-NZ"/>
        </w:rPr>
      </w:pPr>
      <w:r w:rsidRPr="00181DF8">
        <w:rPr>
          <w:i/>
          <w:iCs/>
          <w:color w:val="000000"/>
          <w:lang w:val="en-NZ" w:eastAsia="en-NZ"/>
        </w:rPr>
        <w:t>Source of data is</w:t>
      </w:r>
      <w:r w:rsidR="00735C46" w:rsidRPr="00181DF8">
        <w:rPr>
          <w:i/>
          <w:iCs/>
          <w:color w:val="000000"/>
          <w:lang w:val="en-NZ" w:eastAsia="en-NZ"/>
        </w:rPr>
        <w:t xml:space="preserve"> the</w:t>
      </w:r>
      <w:r w:rsidRPr="00181DF8">
        <w:rPr>
          <w:i/>
          <w:iCs/>
          <w:color w:val="000000"/>
          <w:lang w:val="en-NZ" w:eastAsia="en-NZ"/>
        </w:rPr>
        <w:t xml:space="preserve"> Primary Care Enrolment System (PES). This metric is not yet available with an ethnicity breakdown for Asian people.</w:t>
      </w:r>
    </w:p>
    <w:p w14:paraId="323A4B8E" w14:textId="0CA00AE6" w:rsidR="00D02262" w:rsidRPr="00D4706E" w:rsidRDefault="00EE3657" w:rsidP="00C75892">
      <w:pPr>
        <w:pStyle w:val="NumberedHeading1"/>
        <w:rPr>
          <w:color w:val="15284C"/>
        </w:rPr>
      </w:pPr>
      <w:bookmarkStart w:id="61" w:name="_Toc162008449"/>
      <w:bookmarkStart w:id="62" w:name="_Toc170199165"/>
      <w:r w:rsidRPr="00D4706E">
        <w:rPr>
          <w:color w:val="15284C"/>
        </w:rPr>
        <w:lastRenderedPageBreak/>
        <w:t xml:space="preserve">7 </w:t>
      </w:r>
      <w:r w:rsidR="00D02262" w:rsidRPr="00D4706E">
        <w:rPr>
          <w:color w:val="15284C"/>
        </w:rPr>
        <w:t>Involvement in care decisions – primary care</w:t>
      </w:r>
      <w:bookmarkEnd w:id="61"/>
      <w:bookmarkEnd w:id="62"/>
    </w:p>
    <w:p w14:paraId="01714FB8" w14:textId="06C30E26" w:rsidR="00D02262" w:rsidRPr="003067B9" w:rsidRDefault="00D02262" w:rsidP="00D02262">
      <w:pPr>
        <w:keepNext/>
        <w:keepLines/>
        <w:spacing w:after="120"/>
        <w:textAlignment w:val="baseline"/>
        <w:rPr>
          <w:rFonts w:eastAsia="Times New Roman"/>
          <w:szCs w:val="24"/>
          <w:lang w:val="en-NZ" w:eastAsia="en-NZ"/>
        </w:rPr>
      </w:pPr>
      <w:r w:rsidRPr="003067B9">
        <w:rPr>
          <w:rFonts w:eastAsia="Times New Roman"/>
          <w:szCs w:val="24"/>
          <w:lang w:val="en-NZ" w:eastAsia="en-NZ"/>
        </w:rPr>
        <w:t>This measure reports the proportion of people who responded “yes” to the question “Did the health care professional involve you as much as you wanted to be in making decisions about your treatment and care?”</w:t>
      </w:r>
      <w:r w:rsidR="1083FD45" w:rsidRPr="003067B9">
        <w:rPr>
          <w:rFonts w:eastAsia="Times New Roman"/>
          <w:szCs w:val="24"/>
          <w:lang w:val="en-NZ" w:eastAsia="en-NZ"/>
        </w:rPr>
        <w:t>,</w:t>
      </w:r>
      <w:r w:rsidRPr="003067B9">
        <w:rPr>
          <w:rFonts w:eastAsia="Times New Roman"/>
          <w:szCs w:val="24"/>
          <w:lang w:val="en-NZ" w:eastAsia="en-NZ"/>
        </w:rPr>
        <w:t xml:space="preserve"> in a Health Quality and Safety Commission (HQSC) quarterly survey of primary care patients.</w:t>
      </w:r>
    </w:p>
    <w:p w14:paraId="730C041B" w14:textId="77777777" w:rsidR="00D02262" w:rsidRPr="003067B9" w:rsidRDefault="00D02262" w:rsidP="00D02262">
      <w:pPr>
        <w:spacing w:after="120"/>
        <w:rPr>
          <w:rFonts w:eastAsia="Times New Roman"/>
          <w:szCs w:val="24"/>
          <w:lang w:val="en-NZ" w:eastAsia="en-NZ"/>
        </w:rPr>
      </w:pPr>
      <w:r w:rsidRPr="003067B9">
        <w:rPr>
          <w:rFonts w:eastAsia="Times New Roman"/>
          <w:szCs w:val="24"/>
          <w:lang w:val="en-NZ" w:eastAsia="en-NZ"/>
        </w:rPr>
        <w:t>Results show that most people feel involved in the care delivered by their general practice team.</w:t>
      </w:r>
    </w:p>
    <w:p w14:paraId="2F067DD7" w14:textId="77777777" w:rsidR="00D02262" w:rsidRPr="003067B9" w:rsidRDefault="00D02262" w:rsidP="00D02262">
      <w:pPr>
        <w:rPr>
          <w:lang w:val="en-NZ"/>
        </w:rPr>
      </w:pPr>
    </w:p>
    <w:p w14:paraId="2716740E" w14:textId="67C24B73" w:rsidR="00D02262" w:rsidRPr="003067B9" w:rsidRDefault="00D02262" w:rsidP="00CA44DB">
      <w:pPr>
        <w:pStyle w:val="Graphs"/>
        <w:jc w:val="center"/>
        <w:rPr>
          <w:rFonts w:eastAsia="Times New Roman"/>
          <w:szCs w:val="24"/>
          <w:lang w:val="en-NZ" w:eastAsia="en-NZ"/>
        </w:rPr>
      </w:pPr>
      <w:bookmarkStart w:id="63" w:name="_Toc162008450"/>
      <w:r w:rsidRPr="003067B9">
        <w:rPr>
          <w:noProof/>
          <w:lang w:val="en-NZ"/>
        </w:rPr>
        <w:drawing>
          <wp:inline distT="0" distB="0" distL="0" distR="0" wp14:anchorId="2C1C9C2A" wp14:editId="7A3B5C73">
            <wp:extent cx="4060800" cy="2095674"/>
            <wp:effectExtent l="0" t="0" r="0" b="0"/>
            <wp:docPr id="3040993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99331" name="Picture 1">
                      <a:extLst>
                        <a:ext uri="{C183D7F6-B498-43B3-948B-1728B52AA6E4}">
                          <adec:decorative xmlns:adec="http://schemas.microsoft.com/office/drawing/2017/decorative" val="1"/>
                        </a:ext>
                      </a:extLst>
                    </pic:cNvPr>
                    <pic:cNvPicPr/>
                  </pic:nvPicPr>
                  <pic:blipFill rotWithShape="1">
                    <a:blip r:embed="rId35"/>
                    <a:srcRect b="1499"/>
                    <a:stretch/>
                  </pic:blipFill>
                  <pic:spPr bwMode="auto">
                    <a:xfrm>
                      <a:off x="0" y="0"/>
                      <a:ext cx="4060800" cy="2095674"/>
                    </a:xfrm>
                    <a:prstGeom prst="rect">
                      <a:avLst/>
                    </a:prstGeom>
                    <a:ln>
                      <a:noFill/>
                    </a:ln>
                    <a:extLst>
                      <a:ext uri="{53640926-AAD7-44D8-BBD7-CCE9431645EC}">
                        <a14:shadowObscured xmlns:a14="http://schemas.microsoft.com/office/drawing/2010/main"/>
                      </a:ext>
                    </a:extLst>
                  </pic:spPr>
                </pic:pic>
              </a:graphicData>
            </a:graphic>
          </wp:inline>
        </w:drawing>
      </w:r>
    </w:p>
    <w:p w14:paraId="236EF37C" w14:textId="1E935A80" w:rsidR="00D02262" w:rsidRPr="003067B9" w:rsidRDefault="00D02262" w:rsidP="00D02262">
      <w:pPr>
        <w:spacing w:after="120"/>
        <w:rPr>
          <w:rFonts w:eastAsia="Times New Roman"/>
          <w:szCs w:val="24"/>
          <w:lang w:val="en-NZ" w:eastAsia="en-NZ"/>
        </w:rPr>
      </w:pPr>
      <w:r w:rsidRPr="003067B9">
        <w:rPr>
          <w:rFonts w:eastAsia="Times New Roman"/>
          <w:szCs w:val="24"/>
          <w:lang w:val="en-NZ" w:eastAsia="en-NZ"/>
        </w:rPr>
        <w:t>National results for European/Other, Māori, Pacific</w:t>
      </w:r>
      <w:r w:rsidR="00B03492" w:rsidRPr="003067B9">
        <w:rPr>
          <w:rFonts w:eastAsia="Times New Roman"/>
          <w:szCs w:val="24"/>
          <w:lang w:val="en-NZ" w:eastAsia="en-NZ"/>
        </w:rPr>
        <w:t xml:space="preserve"> and </w:t>
      </w:r>
      <w:r w:rsidRPr="003067B9">
        <w:rPr>
          <w:rFonts w:eastAsia="Times New Roman"/>
          <w:szCs w:val="24"/>
          <w:lang w:val="en-NZ" w:eastAsia="en-NZ"/>
        </w:rPr>
        <w:t>Asian remained relatively stable over the last quarter.  Regional results have also remained stable compared to quarter two.</w:t>
      </w:r>
    </w:p>
    <w:p w14:paraId="780C834E" w14:textId="77777777" w:rsidR="008C09EB" w:rsidRPr="003067B9" w:rsidRDefault="008C09EB" w:rsidP="00D02262">
      <w:pPr>
        <w:spacing w:after="120"/>
        <w:rPr>
          <w:rFonts w:eastAsia="Times New Roman"/>
          <w:szCs w:val="24"/>
          <w:lang w:val="en-NZ" w:eastAsia="en-NZ"/>
        </w:rPr>
      </w:pPr>
    </w:p>
    <w:p w14:paraId="727FB0F0" w14:textId="489747A5" w:rsidR="00D02262" w:rsidRPr="003067B9" w:rsidRDefault="003C12CE" w:rsidP="00CA44DB">
      <w:pPr>
        <w:jc w:val="center"/>
        <w:rPr>
          <w:lang w:val="en-NZ"/>
        </w:rPr>
      </w:pPr>
      <w:r w:rsidRPr="003067B9">
        <w:rPr>
          <w:noProof/>
          <w:lang w:val="en-NZ"/>
        </w:rPr>
        <w:drawing>
          <wp:inline distT="0" distB="0" distL="0" distR="0" wp14:anchorId="48C25C95" wp14:editId="3BE6C946">
            <wp:extent cx="2400300" cy="1911274"/>
            <wp:effectExtent l="0" t="0" r="0" b="0"/>
            <wp:docPr id="3575548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54867" name="Pictur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2402775" cy="1913245"/>
                    </a:xfrm>
                    <a:prstGeom prst="rect">
                      <a:avLst/>
                    </a:prstGeom>
                  </pic:spPr>
                </pic:pic>
              </a:graphicData>
            </a:graphic>
          </wp:inline>
        </w:drawing>
      </w:r>
      <w:r w:rsidR="005C5644">
        <w:rPr>
          <w:noProof/>
          <w:lang w:val="en-NZ"/>
        </w:rPr>
        <w:t xml:space="preserve">     </w:t>
      </w:r>
      <w:r w:rsidR="008C09EB" w:rsidRPr="003067B9">
        <w:rPr>
          <w:noProof/>
          <w:lang w:val="en-NZ"/>
        </w:rPr>
        <w:drawing>
          <wp:inline distT="0" distB="0" distL="0" distR="0" wp14:anchorId="34F90F1A" wp14:editId="0877F609">
            <wp:extent cx="2578735" cy="1911538"/>
            <wp:effectExtent l="0" t="0" r="0" b="0"/>
            <wp:docPr id="8359519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51958"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2581552" cy="1913626"/>
                    </a:xfrm>
                    <a:prstGeom prst="rect">
                      <a:avLst/>
                    </a:prstGeom>
                  </pic:spPr>
                </pic:pic>
              </a:graphicData>
            </a:graphic>
          </wp:inline>
        </w:drawing>
      </w:r>
    </w:p>
    <w:p w14:paraId="27B3DFAD" w14:textId="77777777" w:rsidR="00D02262" w:rsidRPr="001C1632" w:rsidRDefault="00D02262" w:rsidP="00CA44DB">
      <w:pPr>
        <w:rPr>
          <w:i/>
          <w:color w:val="000000"/>
          <w:bdr w:val="none" w:sz="0" w:space="0" w:color="auto" w:frame="1"/>
          <w:lang w:val="en-NZ"/>
        </w:rPr>
      </w:pPr>
      <w:r w:rsidRPr="001C1632">
        <w:rPr>
          <w:i/>
          <w:color w:val="000000"/>
          <w:bdr w:val="none" w:sz="0" w:space="0" w:color="auto" w:frame="1"/>
          <w:lang w:val="en-NZ"/>
        </w:rPr>
        <w:t>Source of data is the Adult primary care patient experience survey from HQSC.  Results are based on weighted data.</w:t>
      </w:r>
    </w:p>
    <w:p w14:paraId="3A98A652" w14:textId="77777777" w:rsidR="00D02262" w:rsidRPr="003067B9" w:rsidRDefault="00D02262" w:rsidP="00D02262">
      <w:pPr>
        <w:pStyle w:val="NormalWeb"/>
        <w:shd w:val="clear" w:color="auto" w:fill="FFFFFF"/>
        <w:spacing w:before="120" w:beforeAutospacing="0" w:after="120" w:afterAutospacing="0" w:line="288" w:lineRule="auto"/>
        <w:rPr>
          <w:rFonts w:ascii="Arial" w:hAnsi="Arial" w:cs="Arial"/>
          <w:color w:val="000000"/>
          <w:bdr w:val="none" w:sz="0" w:space="0" w:color="auto" w:frame="1"/>
          <w:lang w:val="en-NZ"/>
        </w:rPr>
      </w:pPr>
    </w:p>
    <w:p w14:paraId="0D3173A8" w14:textId="77777777" w:rsidR="00D02262" w:rsidRPr="003067B9" w:rsidRDefault="00D02262" w:rsidP="00D02262">
      <w:pPr>
        <w:rPr>
          <w:rFonts w:ascii="Poppins" w:hAnsi="Poppins" w:cs="Poppins"/>
          <w:b/>
          <w:bCs/>
          <w:color w:val="15284C"/>
          <w:sz w:val="36"/>
          <w:szCs w:val="36"/>
          <w:lang w:val="en-NZ"/>
        </w:rPr>
      </w:pPr>
      <w:r w:rsidRPr="003067B9">
        <w:rPr>
          <w:sz w:val="36"/>
          <w:szCs w:val="36"/>
          <w:lang w:val="en-NZ"/>
        </w:rPr>
        <w:br w:type="page"/>
      </w:r>
    </w:p>
    <w:p w14:paraId="3D2E9BAB" w14:textId="7BA97EE2" w:rsidR="00D02262" w:rsidRPr="00D4706E" w:rsidRDefault="00EE3657" w:rsidP="00C75892">
      <w:pPr>
        <w:pStyle w:val="NumberedHeading1"/>
        <w:rPr>
          <w:color w:val="15284C"/>
        </w:rPr>
      </w:pPr>
      <w:bookmarkStart w:id="64" w:name="_Toc170199166"/>
      <w:r w:rsidRPr="00D4706E">
        <w:rPr>
          <w:color w:val="15284C"/>
        </w:rPr>
        <w:lastRenderedPageBreak/>
        <w:t xml:space="preserve">8 </w:t>
      </w:r>
      <w:r w:rsidR="00D02262" w:rsidRPr="00D4706E">
        <w:rPr>
          <w:color w:val="15284C"/>
        </w:rPr>
        <w:t>Ambulatory sensitive hospitalisations 0-4 years</w:t>
      </w:r>
      <w:bookmarkEnd w:id="63"/>
      <w:bookmarkEnd w:id="64"/>
    </w:p>
    <w:p w14:paraId="4016CC55" w14:textId="77777777" w:rsidR="00D02262" w:rsidRPr="003067B9" w:rsidRDefault="00D02262" w:rsidP="009E162B">
      <w:pPr>
        <w:rPr>
          <w:lang w:val="en-NZ"/>
        </w:rPr>
      </w:pPr>
      <w:r w:rsidRPr="003067B9">
        <w:rPr>
          <w:lang w:val="en-NZ"/>
        </w:rPr>
        <w:t>This measure shows hospitalisations for children aged 0-4 years for an illness that might have been prevented or better managed in a primary care setting, as a rate per 100,000 population (ASH 0-4).</w:t>
      </w:r>
    </w:p>
    <w:p w14:paraId="45A9B138" w14:textId="77777777" w:rsidR="00D02262" w:rsidRPr="003067B9" w:rsidRDefault="00D02262" w:rsidP="009E162B">
      <w:pPr>
        <w:rPr>
          <w:lang w:val="en-NZ"/>
        </w:rPr>
      </w:pPr>
      <w:r w:rsidRPr="003067B9">
        <w:rPr>
          <w:lang w:val="en-NZ"/>
        </w:rPr>
        <w:t xml:space="preserve">The national results show a slight decrease in quarter three. Primary care initiatives at the PHO and regional level such as newborn enrolment and immunisation help reduce the risk of hospitalisations. </w:t>
      </w:r>
    </w:p>
    <w:p w14:paraId="1A00911B" w14:textId="77777777" w:rsidR="00D02262" w:rsidRPr="003067B9" w:rsidRDefault="00D02262" w:rsidP="00CA44DB">
      <w:pPr>
        <w:jc w:val="center"/>
        <w:rPr>
          <w:szCs w:val="24"/>
          <w:lang w:val="en-NZ"/>
        </w:rPr>
      </w:pPr>
      <w:bookmarkStart w:id="65" w:name="_Toc162008451"/>
      <w:r w:rsidRPr="003067B9">
        <w:rPr>
          <w:noProof/>
          <w:lang w:val="en-NZ"/>
        </w:rPr>
        <w:drawing>
          <wp:inline distT="0" distB="0" distL="0" distR="0" wp14:anchorId="75EA491B" wp14:editId="298339AD">
            <wp:extent cx="4060800" cy="2098785"/>
            <wp:effectExtent l="0" t="0" r="0" b="0"/>
            <wp:docPr id="11382397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39744" name="Picture 1">
                      <a:extLst>
                        <a:ext uri="{C183D7F6-B498-43B3-948B-1728B52AA6E4}">
                          <adec:decorative xmlns:adec="http://schemas.microsoft.com/office/drawing/2017/decorative" val="1"/>
                        </a:ext>
                      </a:extLst>
                    </pic:cNvPr>
                    <pic:cNvPicPr/>
                  </pic:nvPicPr>
                  <pic:blipFill>
                    <a:blip r:embed="rId38"/>
                    <a:stretch>
                      <a:fillRect/>
                    </a:stretch>
                  </pic:blipFill>
                  <pic:spPr>
                    <a:xfrm>
                      <a:off x="0" y="0"/>
                      <a:ext cx="4060800" cy="2098785"/>
                    </a:xfrm>
                    <a:prstGeom prst="rect">
                      <a:avLst/>
                    </a:prstGeom>
                  </pic:spPr>
                </pic:pic>
              </a:graphicData>
            </a:graphic>
          </wp:inline>
        </w:drawing>
      </w:r>
    </w:p>
    <w:p w14:paraId="22CB7188" w14:textId="6975DE5A" w:rsidR="00D02262" w:rsidRPr="003067B9" w:rsidRDefault="00D02262" w:rsidP="00D02262">
      <w:pPr>
        <w:rPr>
          <w:szCs w:val="24"/>
          <w:lang w:val="en-NZ"/>
        </w:rPr>
      </w:pPr>
      <w:r w:rsidRPr="003067B9">
        <w:rPr>
          <w:szCs w:val="24"/>
          <w:lang w:val="en-NZ"/>
        </w:rPr>
        <w:t>Differences in rates for Māori</w:t>
      </w:r>
      <w:r w:rsidR="00C4347D">
        <w:rPr>
          <w:szCs w:val="24"/>
          <w:lang w:val="en-NZ"/>
        </w:rPr>
        <w:t xml:space="preserve"> and Pacific</w:t>
      </w:r>
      <w:r w:rsidRPr="003067B9">
        <w:rPr>
          <w:szCs w:val="24"/>
          <w:lang w:val="en-NZ"/>
        </w:rPr>
        <w:t xml:space="preserve">, compared to other children, remain higher than those for other groups. </w:t>
      </w:r>
    </w:p>
    <w:p w14:paraId="71CF3523" w14:textId="408EE348" w:rsidR="00D02262" w:rsidRPr="003067B9" w:rsidRDefault="00D02262" w:rsidP="00D02262">
      <w:pPr>
        <w:rPr>
          <w:szCs w:val="24"/>
          <w:lang w:val="en-NZ"/>
        </w:rPr>
      </w:pPr>
      <w:r w:rsidRPr="003067B9">
        <w:rPr>
          <w:szCs w:val="24"/>
          <w:lang w:val="en-NZ"/>
        </w:rPr>
        <w:t xml:space="preserve">The Northern </w:t>
      </w:r>
      <w:r w:rsidR="00C172CB" w:rsidRPr="003067B9">
        <w:rPr>
          <w:szCs w:val="24"/>
          <w:lang w:val="en-NZ"/>
        </w:rPr>
        <w:t>R</w:t>
      </w:r>
      <w:r w:rsidRPr="003067B9">
        <w:rPr>
          <w:szCs w:val="24"/>
          <w:lang w:val="en-NZ"/>
        </w:rPr>
        <w:t xml:space="preserve">egion has the highest number of hospitalisations. There are various local initiatives tailored to </w:t>
      </w:r>
      <w:r w:rsidR="36AADF77" w:rsidRPr="003067B9">
        <w:rPr>
          <w:szCs w:val="24"/>
          <w:lang w:val="en-NZ"/>
        </w:rPr>
        <w:t>reduce</w:t>
      </w:r>
      <w:r w:rsidRPr="003067B9">
        <w:rPr>
          <w:szCs w:val="24"/>
          <w:lang w:val="en-NZ"/>
        </w:rPr>
        <w:t xml:space="preserve"> ASH </w:t>
      </w:r>
      <w:r w:rsidR="4F1EC325" w:rsidRPr="003067B9">
        <w:rPr>
          <w:szCs w:val="24"/>
          <w:lang w:val="en-NZ"/>
        </w:rPr>
        <w:t>rates for</w:t>
      </w:r>
      <w:r w:rsidRPr="003067B9">
        <w:rPr>
          <w:szCs w:val="24"/>
          <w:lang w:val="en-NZ"/>
        </w:rPr>
        <w:t xml:space="preserve"> 0-4 years, such as supporting immunisation, implementing childhood respiratory pathways, and improving childhood dental services.</w:t>
      </w:r>
    </w:p>
    <w:p w14:paraId="35366B8A" w14:textId="1B312B24" w:rsidR="00D02262" w:rsidRPr="003067B9" w:rsidRDefault="00A36E4C" w:rsidP="00CA44DB">
      <w:pPr>
        <w:jc w:val="center"/>
        <w:rPr>
          <w:szCs w:val="24"/>
          <w:lang w:val="en-NZ"/>
        </w:rPr>
      </w:pPr>
      <w:r w:rsidRPr="003067B9">
        <w:rPr>
          <w:noProof/>
          <w:szCs w:val="24"/>
          <w:lang w:val="en-NZ"/>
        </w:rPr>
        <w:drawing>
          <wp:inline distT="0" distB="0" distL="0" distR="0" wp14:anchorId="0DABE218" wp14:editId="5386A9C6">
            <wp:extent cx="2413551" cy="1911600"/>
            <wp:effectExtent l="0" t="0" r="6350" b="0"/>
            <wp:docPr id="7663973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97336" name="Picture 1">
                      <a:extLst>
                        <a:ext uri="{C183D7F6-B498-43B3-948B-1728B52AA6E4}">
                          <adec:decorative xmlns:adec="http://schemas.microsoft.com/office/drawing/2017/decorative" val="1"/>
                        </a:ext>
                      </a:extLst>
                    </pic:cNvPr>
                    <pic:cNvPicPr/>
                  </pic:nvPicPr>
                  <pic:blipFill>
                    <a:blip r:embed="rId39"/>
                    <a:stretch>
                      <a:fillRect/>
                    </a:stretch>
                  </pic:blipFill>
                  <pic:spPr>
                    <a:xfrm>
                      <a:off x="0" y="0"/>
                      <a:ext cx="2413551" cy="1911600"/>
                    </a:xfrm>
                    <a:prstGeom prst="rect">
                      <a:avLst/>
                    </a:prstGeom>
                  </pic:spPr>
                </pic:pic>
              </a:graphicData>
            </a:graphic>
          </wp:inline>
        </w:drawing>
      </w:r>
      <w:r w:rsidR="005C5644">
        <w:rPr>
          <w:noProof/>
          <w:szCs w:val="24"/>
          <w:lang w:val="en-NZ"/>
        </w:rPr>
        <w:t xml:space="preserve">   </w:t>
      </w:r>
      <w:r w:rsidR="001F23FF">
        <w:rPr>
          <w:noProof/>
          <w:szCs w:val="24"/>
          <w:lang w:val="en-NZ"/>
        </w:rPr>
        <w:t xml:space="preserve"> </w:t>
      </w:r>
      <w:r w:rsidR="005C5644">
        <w:rPr>
          <w:noProof/>
          <w:szCs w:val="24"/>
          <w:lang w:val="en-NZ"/>
        </w:rPr>
        <w:t xml:space="preserve"> </w:t>
      </w:r>
      <w:r w:rsidR="004A66E6" w:rsidRPr="003067B9">
        <w:rPr>
          <w:noProof/>
          <w:szCs w:val="24"/>
          <w:lang w:val="en-NZ"/>
        </w:rPr>
        <w:drawing>
          <wp:inline distT="0" distB="0" distL="0" distR="0" wp14:anchorId="1A5EEA47" wp14:editId="2A48680F">
            <wp:extent cx="2629494" cy="1911600"/>
            <wp:effectExtent l="0" t="0" r="0" b="0"/>
            <wp:docPr id="18106185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18572" name="Picture 1">
                      <a:extLst>
                        <a:ext uri="{C183D7F6-B498-43B3-948B-1728B52AA6E4}">
                          <adec:decorative xmlns:adec="http://schemas.microsoft.com/office/drawing/2017/decorative" val="1"/>
                        </a:ext>
                      </a:extLst>
                    </pic:cNvPr>
                    <pic:cNvPicPr/>
                  </pic:nvPicPr>
                  <pic:blipFill>
                    <a:blip r:embed="rId40"/>
                    <a:stretch>
                      <a:fillRect/>
                    </a:stretch>
                  </pic:blipFill>
                  <pic:spPr>
                    <a:xfrm>
                      <a:off x="0" y="0"/>
                      <a:ext cx="2629494" cy="1911600"/>
                    </a:xfrm>
                    <a:prstGeom prst="rect">
                      <a:avLst/>
                    </a:prstGeom>
                  </pic:spPr>
                </pic:pic>
              </a:graphicData>
            </a:graphic>
          </wp:inline>
        </w:drawing>
      </w:r>
    </w:p>
    <w:p w14:paraId="03C84F4C" w14:textId="4C0A2E95" w:rsidR="00D02262" w:rsidRPr="00AD780D" w:rsidRDefault="00D02262" w:rsidP="00E52E1E">
      <w:pPr>
        <w:rPr>
          <w:rFonts w:ascii="Poppins" w:hAnsi="Poppins" w:cs="Poppins"/>
          <w:b/>
          <w:i/>
          <w:iCs/>
          <w:color w:val="15284C"/>
          <w:sz w:val="36"/>
          <w:szCs w:val="36"/>
          <w:lang w:val="en-NZ"/>
        </w:rPr>
      </w:pPr>
      <w:r w:rsidRPr="00181DF8">
        <w:rPr>
          <w:i/>
          <w:iCs/>
          <w:color w:val="000000"/>
          <w:lang w:val="en-NZ"/>
        </w:rPr>
        <w:t>Source of data is</w:t>
      </w:r>
      <w:r w:rsidR="00B64F90" w:rsidRPr="00181DF8">
        <w:rPr>
          <w:i/>
          <w:iCs/>
          <w:color w:val="000000"/>
          <w:lang w:val="en-NZ"/>
        </w:rPr>
        <w:t xml:space="preserve"> the</w:t>
      </w:r>
      <w:r w:rsidRPr="00181DF8">
        <w:rPr>
          <w:i/>
          <w:iCs/>
          <w:color w:val="000000"/>
          <w:lang w:val="en-NZ"/>
        </w:rPr>
        <w:t xml:space="preserve"> National Minimum Data Set (NMDS). </w:t>
      </w:r>
      <w:r w:rsidRPr="00AD780D">
        <w:rPr>
          <w:i/>
          <w:iCs/>
          <w:sz w:val="36"/>
          <w:szCs w:val="36"/>
          <w:lang w:val="en-NZ"/>
        </w:rPr>
        <w:br w:type="page"/>
      </w:r>
    </w:p>
    <w:p w14:paraId="3696D8FF" w14:textId="0F9D02CE" w:rsidR="00D02262" w:rsidRPr="00D4706E" w:rsidRDefault="00EE3657" w:rsidP="00C75892">
      <w:pPr>
        <w:pStyle w:val="NumberedHeading1"/>
        <w:rPr>
          <w:color w:val="15284C"/>
        </w:rPr>
      </w:pPr>
      <w:bookmarkStart w:id="66" w:name="_Toc170199167"/>
      <w:r w:rsidRPr="00D4706E">
        <w:rPr>
          <w:color w:val="15284C"/>
        </w:rPr>
        <w:lastRenderedPageBreak/>
        <w:t xml:space="preserve">9 </w:t>
      </w:r>
      <w:r w:rsidR="00D02262" w:rsidRPr="00D4706E">
        <w:rPr>
          <w:color w:val="15284C"/>
        </w:rPr>
        <w:t>Ambulatory sensitive hospitalisations 45-64 years</w:t>
      </w:r>
      <w:bookmarkEnd w:id="65"/>
      <w:bookmarkEnd w:id="66"/>
    </w:p>
    <w:p w14:paraId="540F85ED" w14:textId="77777777" w:rsidR="00D02262" w:rsidRPr="003067B9" w:rsidRDefault="00D02262" w:rsidP="00D02262">
      <w:pPr>
        <w:rPr>
          <w:szCs w:val="24"/>
          <w:lang w:val="en-NZ"/>
        </w:rPr>
      </w:pPr>
      <w:r w:rsidRPr="003067B9">
        <w:rPr>
          <w:szCs w:val="24"/>
          <w:lang w:val="en-NZ"/>
        </w:rPr>
        <w:t>This measure shows hospitalisations for people aged 45-64 years for an illness that might have been prevented or better managed in a primary care setting, presented as a rate per 100,000 population (ASH 45-64).</w:t>
      </w:r>
    </w:p>
    <w:p w14:paraId="7291C663" w14:textId="77777777" w:rsidR="00D02262" w:rsidRPr="003067B9" w:rsidRDefault="00D02262" w:rsidP="00D02262">
      <w:pPr>
        <w:pStyle w:val="NormalWeb"/>
        <w:rPr>
          <w:rFonts w:ascii="Arial" w:hAnsi="Arial" w:cs="Arial"/>
          <w:color w:val="FF0000"/>
          <w:sz w:val="22"/>
          <w:szCs w:val="22"/>
          <w:lang w:val="en-NZ"/>
        </w:rPr>
      </w:pPr>
      <w:r w:rsidRPr="003067B9">
        <w:rPr>
          <w:rFonts w:ascii="Arial" w:hAnsi="Arial" w:cs="Arial"/>
          <w:lang w:val="en-NZ"/>
        </w:rPr>
        <w:t xml:space="preserve">The national result has remained relatively stable.  Primary care services are focused on providing better support for acute and proactive care in the community at a PHO and regional level. The key area of focus is better management of long-term conditions, which contribute to these admissions. The Health Navigator Charitable Trust is upgrading guidelines on self-management support for people with long-term conditions, working with a user focus group which includes Māori and Pacific providers, primary health organisations and kaimahi.  </w:t>
      </w:r>
    </w:p>
    <w:p w14:paraId="5D74B661" w14:textId="2310E13D" w:rsidR="00D02262" w:rsidRPr="003067B9" w:rsidRDefault="00D02262" w:rsidP="00210BD7">
      <w:pPr>
        <w:jc w:val="center"/>
        <w:rPr>
          <w:lang w:val="en-NZ"/>
        </w:rPr>
      </w:pPr>
      <w:r w:rsidRPr="003067B9">
        <w:rPr>
          <w:b/>
          <w:bCs/>
          <w:noProof/>
          <w:color w:val="FF0000"/>
          <w:shd w:val="clear" w:color="auto" w:fill="FFFFFF"/>
          <w:lang w:val="en-NZ"/>
        </w:rPr>
        <w:drawing>
          <wp:inline distT="0" distB="0" distL="0" distR="0" wp14:anchorId="532A0E4F" wp14:editId="36CCC27E">
            <wp:extent cx="4060800" cy="2094286"/>
            <wp:effectExtent l="0" t="0" r="0" b="1270"/>
            <wp:docPr id="1479077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7718" name="Picture 1">
                      <a:extLst>
                        <a:ext uri="{C183D7F6-B498-43B3-948B-1728B52AA6E4}">
                          <adec:decorative xmlns:adec="http://schemas.microsoft.com/office/drawing/2017/decorative" val="1"/>
                        </a:ext>
                      </a:extLst>
                    </pic:cNvPr>
                    <pic:cNvPicPr/>
                  </pic:nvPicPr>
                  <pic:blipFill>
                    <a:blip r:embed="rId41"/>
                    <a:stretch>
                      <a:fillRect/>
                    </a:stretch>
                  </pic:blipFill>
                  <pic:spPr>
                    <a:xfrm>
                      <a:off x="0" y="0"/>
                      <a:ext cx="4060800" cy="2094286"/>
                    </a:xfrm>
                    <a:prstGeom prst="rect">
                      <a:avLst/>
                    </a:prstGeom>
                  </pic:spPr>
                </pic:pic>
              </a:graphicData>
            </a:graphic>
          </wp:inline>
        </w:drawing>
      </w:r>
    </w:p>
    <w:p w14:paraId="61858F29" w14:textId="70ABEC84" w:rsidR="00D02262" w:rsidRPr="003067B9" w:rsidRDefault="00D02262" w:rsidP="00D02262">
      <w:pPr>
        <w:pStyle w:val="NormalWeb"/>
        <w:rPr>
          <w:rFonts w:ascii="Arial" w:hAnsi="Arial" w:cs="Arial"/>
          <w:lang w:val="en-NZ"/>
        </w:rPr>
      </w:pPr>
      <w:r w:rsidRPr="003067B9">
        <w:rPr>
          <w:rFonts w:ascii="Arial" w:hAnsi="Arial" w:cs="Arial"/>
          <w:lang w:val="en-NZ"/>
        </w:rPr>
        <w:t xml:space="preserve">The rates for Māori </w:t>
      </w:r>
      <w:r w:rsidR="00DF4862">
        <w:rPr>
          <w:rFonts w:ascii="Arial" w:hAnsi="Arial" w:cs="Arial"/>
          <w:lang w:val="en-NZ"/>
        </w:rPr>
        <w:t xml:space="preserve">and Pacific </w:t>
      </w:r>
      <w:r w:rsidRPr="003067B9">
        <w:rPr>
          <w:rFonts w:ascii="Arial" w:hAnsi="Arial" w:cs="Arial"/>
          <w:lang w:val="en-NZ"/>
        </w:rPr>
        <w:t xml:space="preserve">remain higher when compared to other populations. Te Waipounamu has the lowest rate </w:t>
      </w:r>
      <w:r w:rsidR="2E000BE0" w:rsidRPr="003067B9">
        <w:rPr>
          <w:rFonts w:ascii="Arial" w:hAnsi="Arial" w:cs="Arial"/>
          <w:lang w:val="en-NZ"/>
        </w:rPr>
        <w:t>of</w:t>
      </w:r>
      <w:r w:rsidRPr="003067B9">
        <w:rPr>
          <w:rFonts w:ascii="Arial" w:hAnsi="Arial" w:cs="Arial"/>
          <w:lang w:val="en-NZ"/>
        </w:rPr>
        <w:t> </w:t>
      </w:r>
      <w:r w:rsidR="00CF1A44">
        <w:rPr>
          <w:rFonts w:ascii="Arial" w:hAnsi="Arial" w:cs="Arial"/>
          <w:lang w:val="en-NZ"/>
        </w:rPr>
        <w:t>a</w:t>
      </w:r>
      <w:r w:rsidRPr="003067B9">
        <w:rPr>
          <w:rFonts w:ascii="Arial" w:hAnsi="Arial" w:cs="Arial"/>
          <w:lang w:val="en-NZ"/>
        </w:rPr>
        <w:t>mbulatory sensitive hospitalisation</w:t>
      </w:r>
      <w:r w:rsidR="27BCF50B" w:rsidRPr="003067B9">
        <w:rPr>
          <w:rFonts w:ascii="Arial" w:hAnsi="Arial" w:cs="Arial"/>
          <w:lang w:val="en-NZ"/>
        </w:rPr>
        <w:t xml:space="preserve"> for people aged 45-64</w:t>
      </w:r>
      <w:r w:rsidR="00FD3239" w:rsidRPr="003067B9">
        <w:rPr>
          <w:rFonts w:ascii="Arial" w:hAnsi="Arial" w:cs="Arial"/>
          <w:lang w:val="en-NZ"/>
        </w:rPr>
        <w:t xml:space="preserve"> years</w:t>
      </w:r>
      <w:r w:rsidRPr="003067B9">
        <w:rPr>
          <w:rFonts w:ascii="Arial" w:hAnsi="Arial" w:cs="Arial"/>
          <w:lang w:val="en-NZ"/>
        </w:rPr>
        <w:t xml:space="preserve">. </w:t>
      </w:r>
    </w:p>
    <w:p w14:paraId="5BD2159F" w14:textId="77777777" w:rsidR="00D02262" w:rsidRPr="003067B9" w:rsidRDefault="00D02262" w:rsidP="00D02262">
      <w:pPr>
        <w:pStyle w:val="NormalWeb"/>
        <w:rPr>
          <w:b/>
          <w:color w:val="FF0000"/>
          <w:shd w:val="clear" w:color="auto" w:fill="FFFFFF"/>
          <w:lang w:val="en-NZ"/>
        </w:rPr>
      </w:pPr>
      <w:r w:rsidRPr="003067B9">
        <w:rPr>
          <w:rFonts w:ascii="Arial" w:hAnsi="Arial" w:cs="Arial"/>
          <w:lang w:val="en-NZ"/>
        </w:rPr>
        <w:t xml:space="preserve">A number of initiatives to improve rates are locally tailored based on need. Examples of local initiatives include the completion of cardiovascular risk assessments, diabetes checks and the roll-out of comprehensive primary care teams.  </w:t>
      </w:r>
    </w:p>
    <w:p w14:paraId="28E27E63" w14:textId="3F8300A3" w:rsidR="00D04855" w:rsidRPr="003067B9" w:rsidRDefault="00D04855" w:rsidP="00210BD7">
      <w:pPr>
        <w:jc w:val="center"/>
        <w:rPr>
          <w:lang w:val="en-NZ"/>
        </w:rPr>
      </w:pPr>
      <w:bookmarkStart w:id="67" w:name="_Toc162008452"/>
      <w:r w:rsidRPr="003067B9">
        <w:rPr>
          <w:noProof/>
          <w:lang w:val="en-NZ"/>
        </w:rPr>
        <w:drawing>
          <wp:inline distT="0" distB="0" distL="0" distR="0" wp14:anchorId="291D0176" wp14:editId="58A644E4">
            <wp:extent cx="2412658" cy="1911600"/>
            <wp:effectExtent l="0" t="0" r="6985" b="0"/>
            <wp:docPr id="1517485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8584" name="Picture 1">
                      <a:extLst>
                        <a:ext uri="{C183D7F6-B498-43B3-948B-1728B52AA6E4}">
                          <adec:decorative xmlns:adec="http://schemas.microsoft.com/office/drawing/2017/decorative" val="1"/>
                        </a:ext>
                      </a:extLst>
                    </pic:cNvPr>
                    <pic:cNvPicPr/>
                  </pic:nvPicPr>
                  <pic:blipFill>
                    <a:blip r:embed="rId42"/>
                    <a:stretch>
                      <a:fillRect/>
                    </a:stretch>
                  </pic:blipFill>
                  <pic:spPr>
                    <a:xfrm>
                      <a:off x="0" y="0"/>
                      <a:ext cx="2412658" cy="1911600"/>
                    </a:xfrm>
                    <a:prstGeom prst="rect">
                      <a:avLst/>
                    </a:prstGeom>
                  </pic:spPr>
                </pic:pic>
              </a:graphicData>
            </a:graphic>
          </wp:inline>
        </w:drawing>
      </w:r>
      <w:r w:rsidR="005C5644">
        <w:rPr>
          <w:noProof/>
          <w:lang w:val="en-NZ"/>
        </w:rPr>
        <w:t xml:space="preserve">     </w:t>
      </w:r>
      <w:r w:rsidR="00026BC1" w:rsidRPr="003067B9">
        <w:rPr>
          <w:noProof/>
          <w:lang w:val="en-NZ"/>
        </w:rPr>
        <w:drawing>
          <wp:inline distT="0" distB="0" distL="0" distR="0" wp14:anchorId="2CCBC04A" wp14:editId="4D4114BA">
            <wp:extent cx="2651033" cy="1911600"/>
            <wp:effectExtent l="0" t="0" r="0" b="0"/>
            <wp:docPr id="14604828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82866" name="Picture 1">
                      <a:extLst>
                        <a:ext uri="{C183D7F6-B498-43B3-948B-1728B52AA6E4}">
                          <adec:decorative xmlns:adec="http://schemas.microsoft.com/office/drawing/2017/decorative" val="1"/>
                        </a:ext>
                      </a:extLst>
                    </pic:cNvPr>
                    <pic:cNvPicPr/>
                  </pic:nvPicPr>
                  <pic:blipFill>
                    <a:blip r:embed="rId43"/>
                    <a:stretch>
                      <a:fillRect/>
                    </a:stretch>
                  </pic:blipFill>
                  <pic:spPr>
                    <a:xfrm>
                      <a:off x="0" y="0"/>
                      <a:ext cx="2651033" cy="1911600"/>
                    </a:xfrm>
                    <a:prstGeom prst="rect">
                      <a:avLst/>
                    </a:prstGeom>
                  </pic:spPr>
                </pic:pic>
              </a:graphicData>
            </a:graphic>
          </wp:inline>
        </w:drawing>
      </w:r>
    </w:p>
    <w:p w14:paraId="4A27471C" w14:textId="6E391B5D" w:rsidR="00D02262" w:rsidRPr="00AD780D" w:rsidRDefault="00D02262" w:rsidP="00B32C53">
      <w:pPr>
        <w:rPr>
          <w:i/>
          <w:iCs/>
          <w:lang w:val="en-NZ"/>
        </w:rPr>
      </w:pPr>
      <w:r w:rsidRPr="00AD780D">
        <w:rPr>
          <w:i/>
          <w:iCs/>
          <w:lang w:val="en-NZ"/>
        </w:rPr>
        <w:t>Source of data is National Minimum Data Set (NMDS).</w:t>
      </w:r>
    </w:p>
    <w:p w14:paraId="5FDFE565" w14:textId="2D58EDA2" w:rsidR="00D02262" w:rsidRPr="00D4706E" w:rsidRDefault="00EE3657" w:rsidP="00BA36AC">
      <w:pPr>
        <w:pStyle w:val="NumberedHeading1"/>
        <w:rPr>
          <w:color w:val="15284C"/>
        </w:rPr>
      </w:pPr>
      <w:bookmarkStart w:id="68" w:name="_Toc170199168"/>
      <w:r w:rsidRPr="00D4706E">
        <w:rPr>
          <w:color w:val="15284C"/>
        </w:rPr>
        <w:lastRenderedPageBreak/>
        <w:t xml:space="preserve">10 </w:t>
      </w:r>
      <w:r w:rsidR="00D02262" w:rsidRPr="00D4706E">
        <w:rPr>
          <w:color w:val="15284C"/>
        </w:rPr>
        <w:t>Access to primary mental health and addiction services</w:t>
      </w:r>
      <w:bookmarkEnd w:id="67"/>
      <w:bookmarkEnd w:id="68"/>
    </w:p>
    <w:p w14:paraId="2B7046EF" w14:textId="3A61BBB7" w:rsidR="00D02262" w:rsidRPr="003067B9" w:rsidRDefault="00D02262" w:rsidP="00D02262">
      <w:pPr>
        <w:rPr>
          <w:szCs w:val="24"/>
          <w:lang w:val="en-NZ"/>
        </w:rPr>
      </w:pPr>
      <w:r w:rsidRPr="003067B9">
        <w:rPr>
          <w:szCs w:val="24"/>
          <w:lang w:val="en-NZ"/>
        </w:rPr>
        <w:t xml:space="preserve">This measure reports the rate of people accessing primary mental health and addiction services (Health NZ and NGO combined) per </w:t>
      </w:r>
      <w:r w:rsidR="008F6700" w:rsidRPr="003067B9">
        <w:rPr>
          <w:szCs w:val="24"/>
          <w:lang w:val="en-NZ"/>
        </w:rPr>
        <w:t>100,000 people</w:t>
      </w:r>
      <w:r w:rsidR="006F5D13">
        <w:rPr>
          <w:szCs w:val="24"/>
          <w:lang w:val="en-NZ"/>
        </w:rPr>
        <w:t>.</w:t>
      </w:r>
      <w:r w:rsidRPr="003067B9">
        <w:rPr>
          <w:rStyle w:val="FootnoteReference"/>
          <w:szCs w:val="24"/>
          <w:vertAlign w:val="superscript"/>
          <w:lang w:val="en-NZ"/>
        </w:rPr>
        <w:footnoteReference w:id="11"/>
      </w:r>
    </w:p>
    <w:p w14:paraId="0D5E003D" w14:textId="4F3C4703" w:rsidR="00D02262" w:rsidRPr="003067B9" w:rsidRDefault="00D02262" w:rsidP="00D02262">
      <w:pPr>
        <w:rPr>
          <w:szCs w:val="24"/>
          <w:lang w:val="en-NZ"/>
        </w:rPr>
      </w:pPr>
      <w:r w:rsidRPr="003067B9">
        <w:rPr>
          <w:szCs w:val="24"/>
          <w:lang w:val="en-NZ"/>
        </w:rPr>
        <w:t xml:space="preserve">The decrease in access to primary mental health this quarter </w:t>
      </w:r>
      <w:r w:rsidR="00E83ECF" w:rsidRPr="003067B9">
        <w:rPr>
          <w:szCs w:val="24"/>
          <w:lang w:val="en-NZ"/>
        </w:rPr>
        <w:t xml:space="preserve">is likely to be </w:t>
      </w:r>
      <w:r w:rsidRPr="003067B9">
        <w:rPr>
          <w:szCs w:val="24"/>
          <w:lang w:val="en-NZ"/>
        </w:rPr>
        <w:t>a seasonal variance</w:t>
      </w:r>
      <w:r w:rsidR="00E83ECF" w:rsidRPr="003067B9">
        <w:rPr>
          <w:szCs w:val="24"/>
          <w:lang w:val="en-NZ"/>
        </w:rPr>
        <w:t>,</w:t>
      </w:r>
      <w:r w:rsidRPr="003067B9">
        <w:rPr>
          <w:szCs w:val="24"/>
          <w:lang w:val="en-NZ"/>
        </w:rPr>
        <w:t xml:space="preserve"> with decreased access experienced over the summer holiday period.</w:t>
      </w:r>
      <w:r w:rsidRPr="003067B9" w:rsidDel="007860F3">
        <w:rPr>
          <w:szCs w:val="24"/>
          <w:lang w:val="en-NZ"/>
        </w:rPr>
        <w:t xml:space="preserve"> </w:t>
      </w:r>
      <w:r w:rsidR="6738CE0F" w:rsidRPr="003067B9">
        <w:rPr>
          <w:szCs w:val="24"/>
          <w:lang w:val="en-NZ"/>
        </w:rPr>
        <w:t xml:space="preserve">In addition, challenges with reporting, such as not receiving reporting from some </w:t>
      </w:r>
      <w:r w:rsidR="00DD41BC" w:rsidRPr="003067B9">
        <w:rPr>
          <w:szCs w:val="24"/>
          <w:lang w:val="en-NZ"/>
        </w:rPr>
        <w:t>districts</w:t>
      </w:r>
      <w:r w:rsidR="6738CE0F" w:rsidRPr="003067B9">
        <w:rPr>
          <w:szCs w:val="24"/>
          <w:lang w:val="en-NZ"/>
        </w:rPr>
        <w:t xml:space="preserve">, may </w:t>
      </w:r>
      <w:r w:rsidR="70C0FC19" w:rsidRPr="003067B9">
        <w:rPr>
          <w:szCs w:val="24"/>
          <w:lang w:val="en-NZ"/>
        </w:rPr>
        <w:t xml:space="preserve">have </w:t>
      </w:r>
      <w:r w:rsidR="7065C496" w:rsidRPr="003067B9">
        <w:rPr>
          <w:szCs w:val="24"/>
          <w:lang w:val="en-NZ"/>
        </w:rPr>
        <w:t>contributed to the decrease</w:t>
      </w:r>
      <w:r w:rsidR="00A62B94" w:rsidRPr="003067B9">
        <w:rPr>
          <w:szCs w:val="24"/>
          <w:lang w:val="en-NZ"/>
        </w:rPr>
        <w:t>.</w:t>
      </w:r>
      <w:r w:rsidR="7E068F16" w:rsidRPr="003067B9">
        <w:rPr>
          <w:szCs w:val="24"/>
          <w:lang w:val="en-NZ"/>
        </w:rPr>
        <w:t xml:space="preserve"> </w:t>
      </w:r>
      <w:r w:rsidR="00A62B94" w:rsidRPr="003067B9">
        <w:rPr>
          <w:szCs w:val="24"/>
          <w:lang w:val="en-NZ"/>
        </w:rPr>
        <w:t>T</w:t>
      </w:r>
      <w:r w:rsidR="7E068F16" w:rsidRPr="003067B9">
        <w:rPr>
          <w:szCs w:val="24"/>
          <w:lang w:val="en-NZ"/>
        </w:rPr>
        <w:t>his is being investigated and should be resolved</w:t>
      </w:r>
      <w:r w:rsidR="00FF066B" w:rsidRPr="003067B9" w:rsidDel="00D02262">
        <w:rPr>
          <w:szCs w:val="24"/>
          <w:lang w:val="en-NZ"/>
        </w:rPr>
        <w:t xml:space="preserve"> </w:t>
      </w:r>
      <w:r w:rsidR="7E068F16" w:rsidRPr="003067B9">
        <w:rPr>
          <w:szCs w:val="24"/>
          <w:lang w:val="en-NZ"/>
        </w:rPr>
        <w:t>in the next quarter.</w:t>
      </w:r>
      <w:r w:rsidR="00FF066B" w:rsidRPr="003067B9" w:rsidDel="00D02262">
        <w:rPr>
          <w:szCs w:val="24"/>
          <w:lang w:val="en-NZ"/>
        </w:rPr>
        <w:t xml:space="preserve"> </w:t>
      </w:r>
      <w:r w:rsidR="1A4EEE6F" w:rsidRPr="003067B9">
        <w:rPr>
          <w:szCs w:val="24"/>
          <w:lang w:val="en-NZ"/>
        </w:rPr>
        <w:t xml:space="preserve">  </w:t>
      </w:r>
    </w:p>
    <w:p w14:paraId="6A3BED96" w14:textId="77777777" w:rsidR="00D02262" w:rsidRPr="003067B9" w:rsidRDefault="00D02262" w:rsidP="00210BD7">
      <w:pPr>
        <w:jc w:val="center"/>
        <w:rPr>
          <w:szCs w:val="24"/>
          <w:lang w:val="en-NZ"/>
        </w:rPr>
      </w:pPr>
      <w:r w:rsidRPr="003067B9">
        <w:rPr>
          <w:noProof/>
          <w:lang w:val="en-NZ"/>
        </w:rPr>
        <w:drawing>
          <wp:inline distT="0" distB="0" distL="0" distR="0" wp14:anchorId="139360C1" wp14:editId="5EF5AF25">
            <wp:extent cx="3604437" cy="1850114"/>
            <wp:effectExtent l="0" t="0" r="0" b="0"/>
            <wp:docPr id="9011832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83244" name="Picture 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95482" cy="1896846"/>
                    </a:xfrm>
                    <a:prstGeom prst="rect">
                      <a:avLst/>
                    </a:prstGeom>
                  </pic:spPr>
                </pic:pic>
              </a:graphicData>
            </a:graphic>
          </wp:inline>
        </w:drawing>
      </w:r>
    </w:p>
    <w:p w14:paraId="181693FF" w14:textId="5C6E2133" w:rsidR="00D02262" w:rsidRPr="003067B9" w:rsidRDefault="00D02262" w:rsidP="00D02262">
      <w:pPr>
        <w:rPr>
          <w:szCs w:val="24"/>
          <w:lang w:val="en-NZ"/>
        </w:rPr>
      </w:pPr>
      <w:r w:rsidRPr="003067B9">
        <w:rPr>
          <w:szCs w:val="24"/>
          <w:lang w:val="en-NZ"/>
        </w:rPr>
        <w:t xml:space="preserve">The access rates for Māori and Pacific are higher than </w:t>
      </w:r>
      <w:r w:rsidR="006F4BF8" w:rsidRPr="003067B9">
        <w:rPr>
          <w:szCs w:val="24"/>
          <w:lang w:val="en-NZ"/>
        </w:rPr>
        <w:t xml:space="preserve">for </w:t>
      </w:r>
      <w:r w:rsidRPr="003067B9">
        <w:rPr>
          <w:szCs w:val="24"/>
          <w:lang w:val="en-NZ"/>
        </w:rPr>
        <w:t xml:space="preserve">other </w:t>
      </w:r>
      <w:r w:rsidR="00383BF3" w:rsidRPr="003067B9">
        <w:rPr>
          <w:szCs w:val="24"/>
          <w:lang w:val="en-NZ"/>
        </w:rPr>
        <w:t>ethnicities</w:t>
      </w:r>
      <w:r w:rsidRPr="003067B9">
        <w:rPr>
          <w:szCs w:val="24"/>
          <w:lang w:val="en-NZ"/>
        </w:rPr>
        <w:t>.</w:t>
      </w:r>
      <w:r w:rsidRPr="003067B9">
        <w:rPr>
          <w:rStyle w:val="Strong"/>
          <w:color w:val="0E101A"/>
          <w:szCs w:val="24"/>
          <w:lang w:val="en-NZ"/>
        </w:rPr>
        <w:t xml:space="preserve"> </w:t>
      </w:r>
      <w:r w:rsidRPr="003067B9">
        <w:rPr>
          <w:szCs w:val="24"/>
          <w:lang w:val="en-NZ"/>
        </w:rPr>
        <w:t>Access is low among Asian populations when compared to all other population groups, and Asian access to services will be a focus for future planning and improvement.</w:t>
      </w:r>
    </w:p>
    <w:p w14:paraId="52A451E6" w14:textId="72B155BE" w:rsidR="00D02262" w:rsidRPr="003067B9" w:rsidRDefault="004340F2" w:rsidP="00210BD7">
      <w:pPr>
        <w:jc w:val="center"/>
        <w:rPr>
          <w:szCs w:val="24"/>
          <w:lang w:val="en-NZ"/>
        </w:rPr>
      </w:pPr>
      <w:r w:rsidRPr="003067B9">
        <w:rPr>
          <w:noProof/>
          <w:szCs w:val="24"/>
          <w:lang w:val="en-NZ"/>
        </w:rPr>
        <w:drawing>
          <wp:inline distT="0" distB="0" distL="0" distR="0" wp14:anchorId="75663119" wp14:editId="235BCE08">
            <wp:extent cx="2753833" cy="2255337"/>
            <wp:effectExtent l="0" t="0" r="8890" b="0"/>
            <wp:docPr id="11238348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34803" name="Picture 1">
                      <a:extLst>
                        <a:ext uri="{C183D7F6-B498-43B3-948B-1728B52AA6E4}">
                          <adec:decorative xmlns:adec="http://schemas.microsoft.com/office/drawing/2017/decorative" val="1"/>
                        </a:ext>
                      </a:extLst>
                    </pic:cNvPr>
                    <pic:cNvPicPr/>
                  </pic:nvPicPr>
                  <pic:blipFill>
                    <a:blip r:embed="rId45"/>
                    <a:stretch>
                      <a:fillRect/>
                    </a:stretch>
                  </pic:blipFill>
                  <pic:spPr>
                    <a:xfrm>
                      <a:off x="0" y="0"/>
                      <a:ext cx="2758749" cy="2259363"/>
                    </a:xfrm>
                    <a:prstGeom prst="rect">
                      <a:avLst/>
                    </a:prstGeom>
                  </pic:spPr>
                </pic:pic>
              </a:graphicData>
            </a:graphic>
          </wp:inline>
        </w:drawing>
      </w:r>
    </w:p>
    <w:p w14:paraId="4F809532" w14:textId="79B385FC" w:rsidR="00D02262" w:rsidRPr="00B85FE7" w:rsidRDefault="00D02262" w:rsidP="00F75DAF">
      <w:pPr>
        <w:rPr>
          <w:b/>
          <w:i/>
          <w:iCs/>
          <w:lang w:val="en-NZ"/>
        </w:rPr>
      </w:pPr>
      <w:bookmarkStart w:id="69" w:name="_Toc162008453"/>
      <w:r w:rsidRPr="00B85FE7">
        <w:rPr>
          <w:i/>
          <w:iCs/>
          <w:lang w:val="en-NZ"/>
        </w:rPr>
        <w:t xml:space="preserve">Source of data is </w:t>
      </w:r>
      <w:r w:rsidR="006F4BF8" w:rsidRPr="00B85FE7">
        <w:rPr>
          <w:i/>
          <w:iCs/>
          <w:lang w:val="en-NZ"/>
        </w:rPr>
        <w:t xml:space="preserve">the </w:t>
      </w:r>
      <w:r w:rsidRPr="00B85FE7">
        <w:rPr>
          <w:i/>
          <w:iCs/>
          <w:lang w:val="en-NZ"/>
        </w:rPr>
        <w:t>Access and Choice System and Population Statistics from Stats NZ.  Results are presented as a rate per 100,000 population. Regional breakdown of th</w:t>
      </w:r>
      <w:r w:rsidR="00DC2174" w:rsidRPr="00B85FE7">
        <w:rPr>
          <w:i/>
          <w:iCs/>
          <w:lang w:val="en-NZ"/>
        </w:rPr>
        <w:t>is</w:t>
      </w:r>
      <w:r w:rsidRPr="00B85FE7">
        <w:rPr>
          <w:i/>
          <w:iCs/>
          <w:lang w:val="en-NZ"/>
        </w:rPr>
        <w:t xml:space="preserve"> data is not available. </w:t>
      </w:r>
    </w:p>
    <w:p w14:paraId="250B99FF" w14:textId="77777777" w:rsidR="00040C35" w:rsidRPr="003067B9" w:rsidRDefault="00040C35" w:rsidP="00040C35">
      <w:pPr>
        <w:rPr>
          <w:lang w:val="en-NZ"/>
        </w:rPr>
      </w:pPr>
    </w:p>
    <w:p w14:paraId="12E86EE4" w14:textId="374E3EED" w:rsidR="00D02262" w:rsidRPr="00D4706E" w:rsidRDefault="00EE3657" w:rsidP="00BA36AC">
      <w:pPr>
        <w:pStyle w:val="NumberedHeading1"/>
        <w:rPr>
          <w:color w:val="15284C"/>
        </w:rPr>
      </w:pPr>
      <w:bookmarkStart w:id="70" w:name="_Toc170199169"/>
      <w:r w:rsidRPr="00D4706E">
        <w:rPr>
          <w:color w:val="15284C"/>
        </w:rPr>
        <w:lastRenderedPageBreak/>
        <w:t xml:space="preserve">11 </w:t>
      </w:r>
      <w:r w:rsidR="00D02262" w:rsidRPr="00D4706E">
        <w:rPr>
          <w:color w:val="15284C"/>
        </w:rPr>
        <w:t>Access rates for specialist mental health services</w:t>
      </w:r>
      <w:bookmarkEnd w:id="69"/>
      <w:bookmarkEnd w:id="70"/>
    </w:p>
    <w:p w14:paraId="79F2DE7E" w14:textId="77777777" w:rsidR="00D02262" w:rsidRPr="003067B9" w:rsidRDefault="00D02262" w:rsidP="00D02262">
      <w:pPr>
        <w:rPr>
          <w:szCs w:val="24"/>
          <w:lang w:val="en-NZ"/>
        </w:rPr>
      </w:pPr>
      <w:r w:rsidRPr="003067B9">
        <w:rPr>
          <w:szCs w:val="24"/>
          <w:lang w:val="en-NZ"/>
        </w:rPr>
        <w:t>This measure reports the rate of people per capita served by specialist mental health services (Health NZ and NGO combined).</w:t>
      </w:r>
    </w:p>
    <w:p w14:paraId="754E746B" w14:textId="421DE1C4" w:rsidR="00D02262" w:rsidRPr="003067B9" w:rsidRDefault="00D02262" w:rsidP="00D02262">
      <w:pPr>
        <w:rPr>
          <w:szCs w:val="24"/>
          <w:lang w:val="en-NZ"/>
        </w:rPr>
      </w:pPr>
      <w:r w:rsidRPr="003067B9">
        <w:rPr>
          <w:szCs w:val="24"/>
          <w:lang w:val="en-NZ"/>
        </w:rPr>
        <w:t xml:space="preserve">Access rates have </w:t>
      </w:r>
      <w:r w:rsidR="000148B6" w:rsidRPr="003067B9">
        <w:rPr>
          <w:szCs w:val="24"/>
          <w:lang w:val="en-NZ"/>
        </w:rPr>
        <w:t xml:space="preserve">slipped </w:t>
      </w:r>
      <w:r w:rsidR="007D317D" w:rsidRPr="003067B9">
        <w:rPr>
          <w:szCs w:val="24"/>
          <w:lang w:val="en-NZ"/>
        </w:rPr>
        <w:t xml:space="preserve">over the last three quarters, and for quarter three </w:t>
      </w:r>
      <w:r w:rsidR="00866C33" w:rsidRPr="003067B9">
        <w:rPr>
          <w:szCs w:val="24"/>
          <w:lang w:val="en-NZ"/>
        </w:rPr>
        <w:t xml:space="preserve">are </w:t>
      </w:r>
      <w:r w:rsidR="007D317D" w:rsidRPr="003067B9">
        <w:rPr>
          <w:szCs w:val="24"/>
          <w:lang w:val="en-NZ"/>
        </w:rPr>
        <w:t xml:space="preserve">the lowest since </w:t>
      </w:r>
      <w:r w:rsidRPr="003067B9">
        <w:rPr>
          <w:szCs w:val="24"/>
          <w:lang w:val="en-NZ"/>
        </w:rPr>
        <w:t xml:space="preserve">the baseline in 2022/23. Access rates for Māori </w:t>
      </w:r>
      <w:r w:rsidR="006C562C" w:rsidRPr="003067B9">
        <w:rPr>
          <w:szCs w:val="24"/>
          <w:lang w:val="en-NZ"/>
        </w:rPr>
        <w:t xml:space="preserve">remain </w:t>
      </w:r>
      <w:r w:rsidRPr="003067B9">
        <w:rPr>
          <w:szCs w:val="24"/>
          <w:lang w:val="en-NZ"/>
        </w:rPr>
        <w:t xml:space="preserve">significantly higher than the national </w:t>
      </w:r>
      <w:r w:rsidR="00161379" w:rsidRPr="003067B9">
        <w:rPr>
          <w:szCs w:val="24"/>
          <w:lang w:val="en-NZ"/>
        </w:rPr>
        <w:t>rate</w:t>
      </w:r>
      <w:r w:rsidRPr="003067B9">
        <w:rPr>
          <w:szCs w:val="24"/>
          <w:lang w:val="en-NZ"/>
        </w:rPr>
        <w:t xml:space="preserve">, while rates for Asian populations </w:t>
      </w:r>
      <w:r w:rsidR="006C562C" w:rsidRPr="003067B9">
        <w:rPr>
          <w:szCs w:val="24"/>
          <w:lang w:val="en-NZ"/>
        </w:rPr>
        <w:t xml:space="preserve">remain </w:t>
      </w:r>
      <w:r w:rsidRPr="003067B9">
        <w:rPr>
          <w:szCs w:val="24"/>
          <w:lang w:val="en-NZ"/>
        </w:rPr>
        <w:t>significantly lower.</w:t>
      </w:r>
    </w:p>
    <w:p w14:paraId="5DD51565" w14:textId="77777777" w:rsidR="00D02262" w:rsidRPr="003067B9" w:rsidRDefault="00D02262" w:rsidP="00D02262">
      <w:pPr>
        <w:rPr>
          <w:szCs w:val="24"/>
          <w:lang w:val="en-NZ"/>
        </w:rPr>
      </w:pPr>
      <w:r w:rsidRPr="003067B9">
        <w:rPr>
          <w:szCs w:val="24"/>
          <w:lang w:val="en-NZ"/>
        </w:rPr>
        <w:t xml:space="preserve">These access rates reflect referrals to specialist mental health services based on need. Access to specialist mental health services for all population groups is a priority element of future planning and improvement. </w:t>
      </w:r>
    </w:p>
    <w:p w14:paraId="52A2AC84" w14:textId="77777777" w:rsidR="00D02262" w:rsidRPr="003067B9" w:rsidRDefault="00D02262" w:rsidP="00D02262">
      <w:pPr>
        <w:rPr>
          <w:szCs w:val="24"/>
          <w:lang w:val="en-NZ"/>
        </w:rPr>
      </w:pPr>
      <w:r w:rsidRPr="003067B9">
        <w:rPr>
          <w:szCs w:val="24"/>
          <w:lang w:val="en-NZ"/>
        </w:rPr>
        <w:t xml:space="preserve">There continues to be evidence of increased demand, particularly in younger age groups, with workforce constraints impacting access rates. </w:t>
      </w:r>
    </w:p>
    <w:p w14:paraId="45C12236" w14:textId="745CE393" w:rsidR="00D02262" w:rsidRPr="003067B9" w:rsidRDefault="00B15BC6" w:rsidP="00210BD7">
      <w:pPr>
        <w:jc w:val="center"/>
        <w:rPr>
          <w:lang w:val="en-NZ"/>
        </w:rPr>
      </w:pPr>
      <w:r w:rsidRPr="003067B9">
        <w:rPr>
          <w:noProof/>
          <w:szCs w:val="24"/>
          <w:lang w:val="en-NZ"/>
        </w:rPr>
        <w:drawing>
          <wp:inline distT="0" distB="0" distL="0" distR="0" wp14:anchorId="2A0317B5" wp14:editId="0BC30F70">
            <wp:extent cx="3727992" cy="1935125"/>
            <wp:effectExtent l="0" t="0" r="6350" b="8255"/>
            <wp:docPr id="16078857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85701" name="Picture 1">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33433" cy="1937949"/>
                    </a:xfrm>
                    <a:prstGeom prst="rect">
                      <a:avLst/>
                    </a:prstGeom>
                  </pic:spPr>
                </pic:pic>
              </a:graphicData>
            </a:graphic>
          </wp:inline>
        </w:drawing>
      </w:r>
    </w:p>
    <w:p w14:paraId="6018FE64" w14:textId="73AC9D6F" w:rsidR="00D02262" w:rsidRPr="003067B9" w:rsidRDefault="00C06E7F" w:rsidP="00210BD7">
      <w:pPr>
        <w:jc w:val="center"/>
        <w:rPr>
          <w:szCs w:val="24"/>
          <w:lang w:val="en-NZ"/>
        </w:rPr>
      </w:pPr>
      <w:r w:rsidRPr="003067B9">
        <w:rPr>
          <w:noProof/>
          <w:szCs w:val="24"/>
          <w:lang w:val="en-NZ"/>
        </w:rPr>
        <w:drawing>
          <wp:inline distT="0" distB="0" distL="0" distR="0" wp14:anchorId="4020A8C1" wp14:editId="7C6EA298">
            <wp:extent cx="2987749" cy="2348604"/>
            <wp:effectExtent l="0" t="0" r="3175" b="0"/>
            <wp:docPr id="6384043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04317" name="Picture 1">
                      <a:extLst>
                        <a:ext uri="{C183D7F6-B498-43B3-948B-1728B52AA6E4}">
                          <adec:decorative xmlns:adec="http://schemas.microsoft.com/office/drawing/2017/decorative" val="1"/>
                        </a:ext>
                      </a:extLst>
                    </pic:cNvPr>
                    <pic:cNvPicPr/>
                  </pic:nvPicPr>
                  <pic:blipFill>
                    <a:blip r:embed="rId47"/>
                    <a:stretch>
                      <a:fillRect/>
                    </a:stretch>
                  </pic:blipFill>
                  <pic:spPr>
                    <a:xfrm>
                      <a:off x="0" y="0"/>
                      <a:ext cx="2993131" cy="2352835"/>
                    </a:xfrm>
                    <a:prstGeom prst="rect">
                      <a:avLst/>
                    </a:prstGeom>
                  </pic:spPr>
                </pic:pic>
              </a:graphicData>
            </a:graphic>
          </wp:inline>
        </w:drawing>
      </w:r>
    </w:p>
    <w:p w14:paraId="2E30EF34" w14:textId="24699476" w:rsidR="00D02262" w:rsidRPr="006A1553" w:rsidRDefault="00D02262" w:rsidP="00404A3A">
      <w:pPr>
        <w:rPr>
          <w:i/>
          <w:iCs/>
          <w:lang w:val="en-NZ"/>
        </w:rPr>
      </w:pPr>
      <w:r w:rsidRPr="006A1553">
        <w:rPr>
          <w:i/>
          <w:iCs/>
          <w:lang w:val="en-NZ"/>
        </w:rPr>
        <w:t xml:space="preserve">Source of data is </w:t>
      </w:r>
      <w:r w:rsidR="006F4BF8" w:rsidRPr="006A1553">
        <w:rPr>
          <w:i/>
          <w:iCs/>
          <w:lang w:val="en-NZ"/>
        </w:rPr>
        <w:t xml:space="preserve">the </w:t>
      </w:r>
      <w:r w:rsidR="00DE33B2" w:rsidRPr="006A1553">
        <w:rPr>
          <w:i/>
          <w:iCs/>
          <w:lang w:val="en-NZ"/>
        </w:rPr>
        <w:t>Programme for the Integration of Mental Health Data (PRIMHD)</w:t>
      </w:r>
      <w:r w:rsidRPr="006A1553">
        <w:rPr>
          <w:i/>
          <w:iCs/>
          <w:lang w:val="en-NZ"/>
        </w:rPr>
        <w:t xml:space="preserve"> and Population Statistics from Stats NZ. Reporting by region is not currently possible but is </w:t>
      </w:r>
      <w:r w:rsidR="00866C33" w:rsidRPr="006A1553">
        <w:rPr>
          <w:i/>
          <w:iCs/>
          <w:lang w:val="en-NZ"/>
        </w:rPr>
        <w:t xml:space="preserve">expected </w:t>
      </w:r>
      <w:r w:rsidRPr="006A1553">
        <w:rPr>
          <w:i/>
          <w:iCs/>
          <w:lang w:val="en-NZ"/>
        </w:rPr>
        <w:t>to be available from quarter four.</w:t>
      </w:r>
    </w:p>
    <w:p w14:paraId="337B252C" w14:textId="77777777" w:rsidR="00D02262" w:rsidRPr="003067B9" w:rsidRDefault="00D02262" w:rsidP="00D02262">
      <w:pPr>
        <w:rPr>
          <w:szCs w:val="24"/>
          <w:lang w:val="en-NZ"/>
        </w:rPr>
      </w:pPr>
    </w:p>
    <w:p w14:paraId="5CFC2F46" w14:textId="77777777" w:rsidR="00DE33B2" w:rsidRPr="003067B9" w:rsidRDefault="00DE33B2" w:rsidP="00D02262">
      <w:pPr>
        <w:rPr>
          <w:szCs w:val="24"/>
          <w:lang w:val="en-NZ"/>
        </w:rPr>
      </w:pPr>
    </w:p>
    <w:p w14:paraId="7A6265BE" w14:textId="77777777" w:rsidR="004B37D4" w:rsidRPr="003067B9" w:rsidRDefault="004B37D4" w:rsidP="00D02262">
      <w:pPr>
        <w:rPr>
          <w:szCs w:val="24"/>
          <w:lang w:val="en-NZ"/>
        </w:rPr>
      </w:pPr>
    </w:p>
    <w:p w14:paraId="164DE274" w14:textId="052CBC57" w:rsidR="00D02262" w:rsidRPr="00D4706E" w:rsidRDefault="00EE3657" w:rsidP="00BA36AC">
      <w:pPr>
        <w:pStyle w:val="NumberedHeading1"/>
        <w:rPr>
          <w:color w:val="15284C"/>
        </w:rPr>
      </w:pPr>
      <w:bookmarkStart w:id="71" w:name="_Toc162008454"/>
      <w:bookmarkStart w:id="72" w:name="_Toc170199170"/>
      <w:r w:rsidRPr="00D4706E">
        <w:rPr>
          <w:color w:val="15284C"/>
        </w:rPr>
        <w:lastRenderedPageBreak/>
        <w:t xml:space="preserve">12 </w:t>
      </w:r>
      <w:r w:rsidR="00D02262" w:rsidRPr="00D4706E">
        <w:rPr>
          <w:color w:val="15284C"/>
        </w:rPr>
        <w:t>Mental health wait times for under 25-year-olds</w:t>
      </w:r>
      <w:bookmarkEnd w:id="71"/>
      <w:bookmarkEnd w:id="72"/>
    </w:p>
    <w:p w14:paraId="44F52AF9" w14:textId="288C6A51" w:rsidR="00D02262" w:rsidRPr="003067B9" w:rsidRDefault="00D02262" w:rsidP="00D02262">
      <w:pPr>
        <w:rPr>
          <w:szCs w:val="24"/>
          <w:lang w:val="en-NZ"/>
        </w:rPr>
      </w:pPr>
      <w:r w:rsidRPr="003067B9">
        <w:rPr>
          <w:szCs w:val="24"/>
          <w:lang w:val="en-NZ"/>
        </w:rPr>
        <w:t>This measure reports under 25</w:t>
      </w:r>
      <w:r w:rsidR="0057467C">
        <w:rPr>
          <w:szCs w:val="24"/>
          <w:lang w:val="en-NZ"/>
        </w:rPr>
        <w:t xml:space="preserve"> </w:t>
      </w:r>
      <w:r w:rsidRPr="003067B9">
        <w:rPr>
          <w:szCs w:val="24"/>
          <w:lang w:val="en-NZ"/>
        </w:rPr>
        <w:t>year</w:t>
      </w:r>
      <w:r w:rsidR="0057467C">
        <w:rPr>
          <w:szCs w:val="24"/>
          <w:lang w:val="en-NZ"/>
        </w:rPr>
        <w:t xml:space="preserve"> </w:t>
      </w:r>
      <w:r w:rsidRPr="003067B9">
        <w:rPr>
          <w:szCs w:val="24"/>
          <w:lang w:val="en-NZ"/>
        </w:rPr>
        <w:t>olds being seen by specialist mental health services within three weeks of referral as a proportion of referrals received.</w:t>
      </w:r>
      <w:r w:rsidRPr="003067B9" w:rsidDel="007838DD">
        <w:rPr>
          <w:szCs w:val="24"/>
          <w:lang w:val="en-NZ"/>
        </w:rPr>
        <w:t xml:space="preserve"> </w:t>
      </w:r>
    </w:p>
    <w:p w14:paraId="0C7E5A18" w14:textId="77777777" w:rsidR="00D02262" w:rsidRPr="003067B9" w:rsidRDefault="00D02262" w:rsidP="00D02262">
      <w:pPr>
        <w:rPr>
          <w:szCs w:val="24"/>
          <w:lang w:val="en-NZ"/>
        </w:rPr>
      </w:pPr>
      <w:r w:rsidRPr="003067B9">
        <w:rPr>
          <w:szCs w:val="24"/>
          <w:lang w:val="en-NZ"/>
        </w:rPr>
        <w:t>The national result has remained relatively stable.</w:t>
      </w:r>
      <w:r w:rsidRPr="003067B9">
        <w:rPr>
          <w:lang w:val="en-NZ"/>
        </w:rPr>
        <w:t xml:space="preserve">  </w:t>
      </w:r>
      <w:r w:rsidRPr="003067B9">
        <w:rPr>
          <w:szCs w:val="24"/>
          <w:lang w:val="en-NZ"/>
        </w:rPr>
        <w:t>Data continues to show an increase in demand from this age group for specialist mental health services. Workforce shortages impact our ability to meet this demand.</w:t>
      </w:r>
    </w:p>
    <w:p w14:paraId="6652F0B5" w14:textId="0C6CA231" w:rsidR="00D02262" w:rsidRPr="003067B9" w:rsidRDefault="00D02262" w:rsidP="00D02262">
      <w:pPr>
        <w:rPr>
          <w:szCs w:val="24"/>
          <w:lang w:val="en-NZ"/>
        </w:rPr>
      </w:pPr>
      <w:r w:rsidRPr="003067B9">
        <w:rPr>
          <w:szCs w:val="24"/>
          <w:lang w:val="en-NZ"/>
        </w:rPr>
        <w:t xml:space="preserve">Workforce development initiatives to increase training opportunities and international recruitment to key clinical professions are having some impact, but vacancy concerns continue. </w:t>
      </w:r>
    </w:p>
    <w:p w14:paraId="16E92D1E" w14:textId="599D9935" w:rsidR="00D02262" w:rsidRPr="003067B9" w:rsidRDefault="00D02262" w:rsidP="00210BD7">
      <w:pPr>
        <w:jc w:val="center"/>
        <w:rPr>
          <w:szCs w:val="24"/>
          <w:lang w:val="en-NZ"/>
        </w:rPr>
      </w:pPr>
      <w:r w:rsidRPr="003067B9">
        <w:rPr>
          <w:noProof/>
          <w:lang w:val="en-NZ"/>
        </w:rPr>
        <w:drawing>
          <wp:inline distT="0" distB="0" distL="0" distR="0" wp14:anchorId="458CA90F" wp14:editId="294D9825">
            <wp:extent cx="4357509" cy="2222204"/>
            <wp:effectExtent l="0" t="0" r="5080" b="6985"/>
            <wp:docPr id="2067529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2919" name="Picture 1">
                      <a:extLst>
                        <a:ext uri="{C183D7F6-B498-43B3-948B-1728B52AA6E4}">
                          <adec:decorative xmlns:adec="http://schemas.microsoft.com/office/drawing/2017/decorative" val="1"/>
                        </a:ext>
                      </a:extLst>
                    </pic:cNvPr>
                    <pic:cNvPicPr/>
                  </pic:nvPicPr>
                  <pic:blipFill>
                    <a:blip r:embed="rId48"/>
                    <a:stretch>
                      <a:fillRect/>
                    </a:stretch>
                  </pic:blipFill>
                  <pic:spPr>
                    <a:xfrm>
                      <a:off x="0" y="0"/>
                      <a:ext cx="4361633" cy="2224307"/>
                    </a:xfrm>
                    <a:prstGeom prst="rect">
                      <a:avLst/>
                    </a:prstGeom>
                  </pic:spPr>
                </pic:pic>
              </a:graphicData>
            </a:graphic>
          </wp:inline>
        </w:drawing>
      </w:r>
    </w:p>
    <w:p w14:paraId="0A7497D1" w14:textId="74393B08" w:rsidR="00D02262" w:rsidRPr="003067B9" w:rsidRDefault="00D02262" w:rsidP="00D02262">
      <w:pPr>
        <w:rPr>
          <w:szCs w:val="24"/>
          <w:lang w:val="en-NZ"/>
        </w:rPr>
      </w:pPr>
      <w:r w:rsidRPr="003067B9">
        <w:rPr>
          <w:szCs w:val="24"/>
          <w:lang w:val="en-NZ"/>
        </w:rPr>
        <w:t xml:space="preserve">Overall performance remained stable </w:t>
      </w:r>
      <w:r w:rsidR="179FA0C2" w:rsidRPr="003067B9">
        <w:rPr>
          <w:szCs w:val="24"/>
          <w:lang w:val="en-NZ"/>
        </w:rPr>
        <w:t>across</w:t>
      </w:r>
      <w:r w:rsidRPr="003067B9">
        <w:rPr>
          <w:szCs w:val="24"/>
          <w:lang w:val="en-NZ"/>
        </w:rPr>
        <w:t xml:space="preserve"> ethnicities. </w:t>
      </w:r>
      <w:r w:rsidR="00241BD8" w:rsidRPr="003067B9">
        <w:rPr>
          <w:szCs w:val="24"/>
          <w:lang w:val="en-NZ"/>
        </w:rPr>
        <w:t xml:space="preserve">Te Manawa Taki </w:t>
      </w:r>
      <w:r w:rsidR="00D75F29" w:rsidRPr="003067B9">
        <w:rPr>
          <w:szCs w:val="24"/>
          <w:lang w:val="en-NZ"/>
        </w:rPr>
        <w:t xml:space="preserve">increased </w:t>
      </w:r>
      <w:r w:rsidR="006F4BF8" w:rsidRPr="003067B9">
        <w:rPr>
          <w:szCs w:val="24"/>
          <w:lang w:val="en-NZ"/>
        </w:rPr>
        <w:t>its p</w:t>
      </w:r>
      <w:r w:rsidR="00D75F29" w:rsidRPr="003067B9">
        <w:rPr>
          <w:szCs w:val="24"/>
          <w:lang w:val="en-NZ"/>
        </w:rPr>
        <w:t>erformance</w:t>
      </w:r>
      <w:r w:rsidR="00B06780" w:rsidRPr="003067B9">
        <w:rPr>
          <w:szCs w:val="24"/>
          <w:lang w:val="en-NZ"/>
        </w:rPr>
        <w:t>, while</w:t>
      </w:r>
      <w:r w:rsidRPr="003067B9">
        <w:rPr>
          <w:szCs w:val="24"/>
          <w:lang w:val="en-NZ"/>
        </w:rPr>
        <w:t xml:space="preserve"> Central Region’s performance decreased in quarter three when compared to quarter two.</w:t>
      </w:r>
      <w:r w:rsidR="00306ED0" w:rsidRPr="003067B9">
        <w:rPr>
          <w:color w:val="1C1C1C"/>
          <w:szCs w:val="24"/>
          <w:shd w:val="clear" w:color="auto" w:fill="FFFFFF"/>
          <w:lang w:val="en-NZ"/>
        </w:rPr>
        <w:t xml:space="preserve"> Northern and Te Waipounamu remained stable compared to quarter two.</w:t>
      </w:r>
    </w:p>
    <w:p w14:paraId="64D3FB0B" w14:textId="0295AF0E" w:rsidR="0022044C" w:rsidRPr="003067B9" w:rsidRDefault="0022044C" w:rsidP="00210BD7">
      <w:pPr>
        <w:jc w:val="center"/>
        <w:rPr>
          <w:szCs w:val="24"/>
          <w:lang w:val="en-NZ"/>
        </w:rPr>
      </w:pPr>
      <w:r w:rsidRPr="003067B9">
        <w:rPr>
          <w:noProof/>
          <w:szCs w:val="24"/>
          <w:lang w:val="en-NZ"/>
        </w:rPr>
        <w:drawing>
          <wp:inline distT="0" distB="0" distL="0" distR="0" wp14:anchorId="3C38DFE9" wp14:editId="47E0A79A">
            <wp:extent cx="2456121" cy="1971755"/>
            <wp:effectExtent l="0" t="0" r="1905" b="0"/>
            <wp:docPr id="9608561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56180" name="Picture 1">
                      <a:extLst>
                        <a:ext uri="{C183D7F6-B498-43B3-948B-1728B52AA6E4}">
                          <adec:decorative xmlns:adec="http://schemas.microsoft.com/office/drawing/2017/decorative" val="1"/>
                        </a:ext>
                      </a:extLst>
                    </pic:cNvPr>
                    <pic:cNvPicPr/>
                  </pic:nvPicPr>
                  <pic:blipFill>
                    <a:blip r:embed="rId49"/>
                    <a:stretch>
                      <a:fillRect/>
                    </a:stretch>
                  </pic:blipFill>
                  <pic:spPr>
                    <a:xfrm>
                      <a:off x="0" y="0"/>
                      <a:ext cx="2459201" cy="1974227"/>
                    </a:xfrm>
                    <a:prstGeom prst="rect">
                      <a:avLst/>
                    </a:prstGeom>
                  </pic:spPr>
                </pic:pic>
              </a:graphicData>
            </a:graphic>
          </wp:inline>
        </w:drawing>
      </w:r>
      <w:r w:rsidR="00122FE5">
        <w:rPr>
          <w:noProof/>
          <w:szCs w:val="24"/>
          <w:lang w:val="en-NZ"/>
        </w:rPr>
        <w:t xml:space="preserve">     </w:t>
      </w:r>
      <w:r w:rsidR="009D1EA7" w:rsidRPr="003067B9">
        <w:rPr>
          <w:noProof/>
          <w:szCs w:val="24"/>
          <w:lang w:val="en-NZ"/>
        </w:rPr>
        <w:drawing>
          <wp:inline distT="0" distB="0" distL="0" distR="0" wp14:anchorId="4A9A14BA" wp14:editId="12F3AC19">
            <wp:extent cx="2754702" cy="1967023"/>
            <wp:effectExtent l="0" t="0" r="7620" b="0"/>
            <wp:docPr id="1991391827" name="Picture 1" descr="A graph of health wait times for under 25-year-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91827" name="Picture 1" descr="A graph of health wait times for under 25-year-old&#10;&#10;Description automatically generated"/>
                    <pic:cNvPicPr/>
                  </pic:nvPicPr>
                  <pic:blipFill>
                    <a:blip r:embed="rId50"/>
                    <a:stretch>
                      <a:fillRect/>
                    </a:stretch>
                  </pic:blipFill>
                  <pic:spPr>
                    <a:xfrm>
                      <a:off x="0" y="0"/>
                      <a:ext cx="2759886" cy="1970725"/>
                    </a:xfrm>
                    <a:prstGeom prst="rect">
                      <a:avLst/>
                    </a:prstGeom>
                  </pic:spPr>
                </pic:pic>
              </a:graphicData>
            </a:graphic>
          </wp:inline>
        </w:drawing>
      </w:r>
    </w:p>
    <w:p w14:paraId="74848519" w14:textId="7ED17CD3" w:rsidR="00D02262" w:rsidRPr="00FA62CF" w:rsidRDefault="00D02262" w:rsidP="00404A3A">
      <w:pPr>
        <w:rPr>
          <w:rFonts w:ascii="Poppins" w:hAnsi="Poppins" w:cs="Poppins"/>
          <w:b/>
          <w:i/>
          <w:iCs/>
          <w:color w:val="15284C"/>
          <w:sz w:val="36"/>
          <w:szCs w:val="36"/>
          <w:lang w:val="en-NZ"/>
        </w:rPr>
      </w:pPr>
      <w:r w:rsidRPr="00FA62CF">
        <w:rPr>
          <w:i/>
          <w:iCs/>
          <w:lang w:val="en-NZ"/>
        </w:rPr>
        <w:t>Source of data is</w:t>
      </w:r>
      <w:r w:rsidR="006F4BF8" w:rsidRPr="00FA62CF">
        <w:rPr>
          <w:i/>
          <w:iCs/>
          <w:lang w:val="en-NZ"/>
        </w:rPr>
        <w:t xml:space="preserve"> the</w:t>
      </w:r>
      <w:r w:rsidRPr="00FA62CF">
        <w:rPr>
          <w:i/>
          <w:iCs/>
          <w:lang w:val="en-NZ"/>
        </w:rPr>
        <w:t xml:space="preserve"> Programme for the Integration of Mental Health Data (PRIMHD).  With effect from July 2023, the data presented for this measure includes updated PRIMHD data for the two latest 12-month periods, ending with the relevant quarter.  Previously published data has been removed and replaced with the latest information. Measure is presented as a rolling 12 months to the quarter.</w:t>
      </w:r>
      <w:bookmarkStart w:id="73" w:name="_Toc162008455"/>
      <w:r w:rsidRPr="00FA62CF">
        <w:rPr>
          <w:i/>
          <w:iCs/>
          <w:sz w:val="36"/>
          <w:szCs w:val="36"/>
          <w:lang w:val="en-NZ"/>
        </w:rPr>
        <w:br w:type="page"/>
      </w:r>
    </w:p>
    <w:p w14:paraId="01691C7D" w14:textId="610FA997" w:rsidR="00D02262" w:rsidRPr="00D4706E" w:rsidRDefault="00EE3657" w:rsidP="00BA36AC">
      <w:pPr>
        <w:pStyle w:val="NumberedHeading1"/>
        <w:rPr>
          <w:color w:val="15284C"/>
          <w:lang w:eastAsia="en-NZ"/>
        </w:rPr>
      </w:pPr>
      <w:bookmarkStart w:id="74" w:name="_Toc160462561"/>
      <w:bookmarkStart w:id="75" w:name="_Toc162008456"/>
      <w:bookmarkStart w:id="76" w:name="_Toc170199171"/>
      <w:bookmarkEnd w:id="73"/>
      <w:r w:rsidRPr="00D4706E">
        <w:rPr>
          <w:color w:val="15284C"/>
          <w:lang w:eastAsia="en-NZ"/>
        </w:rPr>
        <w:lastRenderedPageBreak/>
        <w:t xml:space="preserve">13 </w:t>
      </w:r>
      <w:r w:rsidR="00D02262" w:rsidRPr="00D4706E">
        <w:rPr>
          <w:color w:val="15284C"/>
          <w:lang w:eastAsia="en-NZ"/>
        </w:rPr>
        <w:t>Emergency Department presentations</w:t>
      </w:r>
      <w:bookmarkEnd w:id="74"/>
      <w:bookmarkEnd w:id="75"/>
      <w:bookmarkEnd w:id="76"/>
      <w:r w:rsidR="00D02262" w:rsidRPr="00D4706E">
        <w:rPr>
          <w:color w:val="15284C"/>
          <w:lang w:eastAsia="en-NZ"/>
        </w:rPr>
        <w:t xml:space="preserve"> </w:t>
      </w:r>
    </w:p>
    <w:p w14:paraId="387697E4" w14:textId="0505A40F" w:rsidR="00D02262" w:rsidRPr="003067B9" w:rsidRDefault="00D02262" w:rsidP="00D02262">
      <w:pPr>
        <w:spacing w:after="120"/>
        <w:rPr>
          <w:color w:val="000000"/>
          <w:szCs w:val="28"/>
          <w:bdr w:val="none" w:sz="0" w:space="0" w:color="auto" w:frame="1"/>
          <w:lang w:val="en-NZ"/>
        </w:rPr>
      </w:pPr>
      <w:r w:rsidRPr="003067B9">
        <w:rPr>
          <w:color w:val="000000"/>
          <w:szCs w:val="28"/>
          <w:bdr w:val="none" w:sz="0" w:space="0" w:color="auto" w:frame="1"/>
          <w:lang w:val="en-NZ"/>
        </w:rPr>
        <w:t xml:space="preserve">This measure reports the number of people who present to an emergency department including those </w:t>
      </w:r>
      <w:r w:rsidR="00866C33" w:rsidRPr="003067B9">
        <w:rPr>
          <w:color w:val="000000"/>
          <w:szCs w:val="28"/>
          <w:bdr w:val="none" w:sz="0" w:space="0" w:color="auto" w:frame="1"/>
          <w:lang w:val="en-NZ"/>
        </w:rPr>
        <w:t xml:space="preserve">who </w:t>
      </w:r>
      <w:r w:rsidRPr="003067B9">
        <w:rPr>
          <w:color w:val="000000"/>
          <w:szCs w:val="28"/>
          <w:bdr w:val="none" w:sz="0" w:space="0" w:color="auto" w:frame="1"/>
          <w:lang w:val="en-NZ"/>
        </w:rPr>
        <w:t xml:space="preserve">did not wait to be seen. </w:t>
      </w:r>
    </w:p>
    <w:p w14:paraId="5015D91A" w14:textId="77777777" w:rsidR="006E5684" w:rsidRPr="00C04BD4" w:rsidRDefault="006E5684" w:rsidP="006E5684">
      <w:pPr>
        <w:rPr>
          <w:szCs w:val="24"/>
        </w:rPr>
      </w:pPr>
      <w:r w:rsidRPr="00C04BD4">
        <w:rPr>
          <w:szCs w:val="24"/>
        </w:rPr>
        <w:t>Q</w:t>
      </w:r>
      <w:r>
        <w:rPr>
          <w:szCs w:val="24"/>
        </w:rPr>
        <w:t>uarter three</w:t>
      </w:r>
      <w:r w:rsidRPr="00C04BD4">
        <w:rPr>
          <w:szCs w:val="24"/>
        </w:rPr>
        <w:t xml:space="preserve"> 2023/2024 has experienced a 4% increase in presentations compared to </w:t>
      </w:r>
      <w:r>
        <w:rPr>
          <w:szCs w:val="24"/>
        </w:rPr>
        <w:t>quarter three</w:t>
      </w:r>
      <w:r w:rsidRPr="00C04BD4">
        <w:rPr>
          <w:szCs w:val="24"/>
        </w:rPr>
        <w:t xml:space="preserve"> 2022/2023</w:t>
      </w:r>
      <w:r w:rsidRPr="00C04BD4">
        <w:rPr>
          <w:rStyle w:val="normaltextrun"/>
          <w:color w:val="000000"/>
          <w:szCs w:val="24"/>
          <w:shd w:val="clear" w:color="auto" w:fill="FFFFFF"/>
        </w:rPr>
        <w:t>.</w:t>
      </w:r>
    </w:p>
    <w:p w14:paraId="7EAA3FF0" w14:textId="77777777" w:rsidR="00D02262" w:rsidRPr="003067B9" w:rsidRDefault="00D02262" w:rsidP="00D02262">
      <w:pPr>
        <w:rPr>
          <w:lang w:val="en-NZ"/>
        </w:rPr>
      </w:pPr>
    </w:p>
    <w:p w14:paraId="6463DE22" w14:textId="77777777" w:rsidR="00D02262" w:rsidRPr="003067B9" w:rsidRDefault="00D02262" w:rsidP="00210BD7">
      <w:pPr>
        <w:jc w:val="center"/>
        <w:rPr>
          <w:szCs w:val="24"/>
          <w:lang w:val="en-NZ"/>
        </w:rPr>
      </w:pPr>
      <w:r w:rsidRPr="003067B9">
        <w:rPr>
          <w:noProof/>
          <w:lang w:val="en-NZ"/>
        </w:rPr>
        <w:drawing>
          <wp:inline distT="0" distB="0" distL="0" distR="0" wp14:anchorId="338224DC" wp14:editId="0E9BF2E0">
            <wp:extent cx="4060800" cy="2066842"/>
            <wp:effectExtent l="0" t="0" r="0" b="0"/>
            <wp:docPr id="8924106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10693" name="Picture 1">
                      <a:extLst>
                        <a:ext uri="{C183D7F6-B498-43B3-948B-1728B52AA6E4}">
                          <adec:decorative xmlns:adec="http://schemas.microsoft.com/office/drawing/2017/decorative" val="1"/>
                        </a:ext>
                      </a:extLst>
                    </pic:cNvPr>
                    <pic:cNvPicPr/>
                  </pic:nvPicPr>
                  <pic:blipFill>
                    <a:blip r:embed="rId51"/>
                    <a:stretch>
                      <a:fillRect/>
                    </a:stretch>
                  </pic:blipFill>
                  <pic:spPr>
                    <a:xfrm>
                      <a:off x="0" y="0"/>
                      <a:ext cx="4060800" cy="2066842"/>
                    </a:xfrm>
                    <a:prstGeom prst="rect">
                      <a:avLst/>
                    </a:prstGeom>
                  </pic:spPr>
                </pic:pic>
              </a:graphicData>
            </a:graphic>
          </wp:inline>
        </w:drawing>
      </w:r>
    </w:p>
    <w:p w14:paraId="4ED667CB" w14:textId="6DD2DAD6" w:rsidR="00D02262" w:rsidRPr="003067B9" w:rsidRDefault="00D02262" w:rsidP="00D02262">
      <w:pPr>
        <w:rPr>
          <w:szCs w:val="24"/>
          <w:lang w:val="en-NZ"/>
        </w:rPr>
      </w:pPr>
      <w:r w:rsidRPr="003067B9">
        <w:rPr>
          <w:szCs w:val="24"/>
          <w:lang w:val="en-NZ"/>
        </w:rPr>
        <w:t xml:space="preserve">Europeans have the highest number of Emergency Department presentations, </w:t>
      </w:r>
      <w:r w:rsidR="00852C3F">
        <w:rPr>
          <w:szCs w:val="24"/>
          <w:lang w:val="en-NZ"/>
        </w:rPr>
        <w:t>in proportion</w:t>
      </w:r>
      <w:r w:rsidR="000F2F2E">
        <w:rPr>
          <w:szCs w:val="24"/>
          <w:lang w:val="en-NZ"/>
        </w:rPr>
        <w:t xml:space="preserve"> to</w:t>
      </w:r>
      <w:r w:rsidRPr="003067B9">
        <w:rPr>
          <w:szCs w:val="24"/>
          <w:lang w:val="en-NZ"/>
        </w:rPr>
        <w:t xml:space="preserve"> their population size</w:t>
      </w:r>
      <w:r w:rsidRPr="003067B9" w:rsidDel="00542E4D">
        <w:rPr>
          <w:szCs w:val="24"/>
          <w:lang w:val="en-NZ"/>
        </w:rPr>
        <w:t>.</w:t>
      </w:r>
      <w:r w:rsidRPr="003067B9">
        <w:rPr>
          <w:szCs w:val="24"/>
          <w:lang w:val="en-NZ"/>
        </w:rPr>
        <w:t xml:space="preserve"> </w:t>
      </w:r>
    </w:p>
    <w:p w14:paraId="1258B396" w14:textId="35762A3D" w:rsidR="00D02262" w:rsidRPr="003067B9" w:rsidRDefault="00942AA0" w:rsidP="00210BD7">
      <w:pPr>
        <w:jc w:val="center"/>
        <w:rPr>
          <w:szCs w:val="24"/>
          <w:lang w:val="en-NZ"/>
        </w:rPr>
      </w:pPr>
      <w:r w:rsidRPr="003067B9">
        <w:rPr>
          <w:noProof/>
          <w:szCs w:val="24"/>
          <w:lang w:val="en-NZ"/>
        </w:rPr>
        <w:drawing>
          <wp:inline distT="0" distB="0" distL="0" distR="0" wp14:anchorId="53ECC310" wp14:editId="0FC14170">
            <wp:extent cx="2394706" cy="1911600"/>
            <wp:effectExtent l="0" t="0" r="5715" b="0"/>
            <wp:docPr id="6991891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89122"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2394706" cy="1911600"/>
                    </a:xfrm>
                    <a:prstGeom prst="rect">
                      <a:avLst/>
                    </a:prstGeom>
                  </pic:spPr>
                </pic:pic>
              </a:graphicData>
            </a:graphic>
          </wp:inline>
        </w:drawing>
      </w:r>
      <w:r w:rsidR="00122FE5">
        <w:rPr>
          <w:noProof/>
          <w:szCs w:val="24"/>
          <w:lang w:val="en-NZ"/>
        </w:rPr>
        <w:t xml:space="preserve">     </w:t>
      </w:r>
      <w:r w:rsidR="00EC30C1" w:rsidRPr="003067B9">
        <w:rPr>
          <w:noProof/>
          <w:szCs w:val="24"/>
          <w:lang w:val="en-NZ"/>
        </w:rPr>
        <w:drawing>
          <wp:inline distT="0" distB="0" distL="0" distR="0" wp14:anchorId="1D3EC9C3" wp14:editId="565707CE">
            <wp:extent cx="2652398" cy="1911600"/>
            <wp:effectExtent l="0" t="0" r="0" b="0"/>
            <wp:docPr id="145616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60" name="Picture 1" descr="A graph of a number of people&#10;&#10;Description automatically generated with medium confidence"/>
                    <pic:cNvPicPr/>
                  </pic:nvPicPr>
                  <pic:blipFill>
                    <a:blip r:embed="rId53"/>
                    <a:stretch>
                      <a:fillRect/>
                    </a:stretch>
                  </pic:blipFill>
                  <pic:spPr>
                    <a:xfrm>
                      <a:off x="0" y="0"/>
                      <a:ext cx="2652398" cy="1911600"/>
                    </a:xfrm>
                    <a:prstGeom prst="rect">
                      <a:avLst/>
                    </a:prstGeom>
                  </pic:spPr>
                </pic:pic>
              </a:graphicData>
            </a:graphic>
          </wp:inline>
        </w:drawing>
      </w:r>
    </w:p>
    <w:p w14:paraId="53D00E03" w14:textId="3334D1FC" w:rsidR="00D74FA1" w:rsidRPr="00B32C53" w:rsidRDefault="00D02262" w:rsidP="00D74FA1">
      <w:pPr>
        <w:rPr>
          <w:i/>
          <w:szCs w:val="24"/>
        </w:rPr>
      </w:pPr>
      <w:r w:rsidRPr="00B32C53" w:rsidDel="00BF6F90">
        <w:rPr>
          <w:i/>
          <w:szCs w:val="24"/>
        </w:rPr>
        <w:t>Source of data is</w:t>
      </w:r>
      <w:r w:rsidR="006F4BF8" w:rsidRPr="00B32C53" w:rsidDel="00BF6F90">
        <w:rPr>
          <w:i/>
          <w:szCs w:val="24"/>
        </w:rPr>
        <w:t xml:space="preserve"> the</w:t>
      </w:r>
      <w:r w:rsidRPr="00B32C53" w:rsidDel="00BF6F90">
        <w:rPr>
          <w:i/>
          <w:szCs w:val="24"/>
        </w:rPr>
        <w:t xml:space="preserve"> National Non-Admitted Patient Collection (NNPAC). </w:t>
      </w:r>
      <w:bookmarkStart w:id="77" w:name="_Hlk170379576"/>
      <w:r w:rsidR="00D74FA1" w:rsidRPr="00B32C53">
        <w:rPr>
          <w:i/>
          <w:szCs w:val="24"/>
          <w:shd w:val="clear" w:color="auto" w:fill="FFFFFF"/>
        </w:rPr>
        <w:t xml:space="preserve">There is a material data gap for Southern at the end of 2023 due to system change. This impacts </w:t>
      </w:r>
      <w:r w:rsidR="00482C00" w:rsidRPr="00B32C53">
        <w:rPr>
          <w:i/>
          <w:szCs w:val="24"/>
          <w:shd w:val="clear" w:color="auto" w:fill="FFFFFF"/>
        </w:rPr>
        <w:t xml:space="preserve">the </w:t>
      </w:r>
      <w:r w:rsidR="00D74FA1" w:rsidRPr="00B32C53">
        <w:rPr>
          <w:i/>
          <w:szCs w:val="24"/>
          <w:shd w:val="clear" w:color="auto" w:fill="FFFFFF"/>
        </w:rPr>
        <w:t>previous quarter result (Q2 23/24 period).</w:t>
      </w:r>
      <w:bookmarkEnd w:id="77"/>
    </w:p>
    <w:p w14:paraId="6FEE36FD" w14:textId="6FB6761C" w:rsidR="00D02262" w:rsidRPr="0030680D" w:rsidRDefault="00D02262" w:rsidP="00404A3A">
      <w:pPr>
        <w:rPr>
          <w:i/>
          <w:iCs/>
          <w:lang w:val="en-NZ"/>
        </w:rPr>
      </w:pPr>
    </w:p>
    <w:p w14:paraId="7588BEF2" w14:textId="77777777" w:rsidR="00BA36AC" w:rsidRPr="003067B9" w:rsidRDefault="00BA36AC" w:rsidP="00404A3A">
      <w:pPr>
        <w:rPr>
          <w:lang w:val="en-NZ"/>
        </w:rPr>
      </w:pPr>
    </w:p>
    <w:p w14:paraId="4B111CB0" w14:textId="77777777" w:rsidR="00BA36AC" w:rsidRPr="003067B9" w:rsidRDefault="00BA36AC" w:rsidP="00404A3A">
      <w:pPr>
        <w:rPr>
          <w:lang w:val="en-NZ"/>
        </w:rPr>
      </w:pPr>
    </w:p>
    <w:p w14:paraId="27C99850" w14:textId="77777777" w:rsidR="00BA36AC" w:rsidRPr="003067B9" w:rsidRDefault="00BA36AC" w:rsidP="00404A3A">
      <w:pPr>
        <w:rPr>
          <w:lang w:val="en-NZ"/>
        </w:rPr>
      </w:pPr>
    </w:p>
    <w:p w14:paraId="56EC6056" w14:textId="77777777" w:rsidR="00BA36AC" w:rsidRPr="003067B9" w:rsidRDefault="00BA36AC" w:rsidP="00404A3A">
      <w:pPr>
        <w:rPr>
          <w:lang w:val="en-NZ"/>
        </w:rPr>
      </w:pPr>
    </w:p>
    <w:p w14:paraId="555A7605" w14:textId="798E1F97" w:rsidR="00D02262" w:rsidRPr="00D4706E" w:rsidRDefault="00EE3657" w:rsidP="00BA36AC">
      <w:pPr>
        <w:pStyle w:val="NumberedHeading1"/>
        <w:rPr>
          <w:color w:val="15284C"/>
        </w:rPr>
      </w:pPr>
      <w:bookmarkStart w:id="78" w:name="_Toc162008457"/>
      <w:bookmarkStart w:id="79" w:name="_Toc170199172"/>
      <w:r w:rsidRPr="00D4706E">
        <w:rPr>
          <w:color w:val="15284C"/>
        </w:rPr>
        <w:lastRenderedPageBreak/>
        <w:t xml:space="preserve">14 </w:t>
      </w:r>
      <w:r w:rsidR="00D02262" w:rsidRPr="00D4706E">
        <w:rPr>
          <w:color w:val="15284C"/>
        </w:rPr>
        <w:t>Admissions from Emergency Departments</w:t>
      </w:r>
      <w:bookmarkEnd w:id="78"/>
      <w:bookmarkEnd w:id="79"/>
    </w:p>
    <w:p w14:paraId="0A6E7D47" w14:textId="0933476B" w:rsidR="00D02262" w:rsidRPr="003067B9" w:rsidRDefault="00D02262" w:rsidP="00D02262">
      <w:pPr>
        <w:rPr>
          <w:szCs w:val="24"/>
          <w:lang w:val="en-NZ"/>
        </w:rPr>
      </w:pPr>
      <w:r w:rsidRPr="003067B9">
        <w:rPr>
          <w:szCs w:val="24"/>
          <w:lang w:val="en-NZ"/>
        </w:rPr>
        <w:t xml:space="preserve">This measure reports patients admitted to a hospital ward following attendance at an </w:t>
      </w:r>
      <w:r w:rsidR="00E52F2D">
        <w:rPr>
          <w:szCs w:val="24"/>
          <w:lang w:val="en-NZ"/>
        </w:rPr>
        <w:t>E</w:t>
      </w:r>
      <w:r w:rsidRPr="003067B9">
        <w:rPr>
          <w:szCs w:val="24"/>
          <w:lang w:val="en-NZ"/>
        </w:rPr>
        <w:t xml:space="preserve">mergency </w:t>
      </w:r>
      <w:r w:rsidR="00E52F2D">
        <w:rPr>
          <w:szCs w:val="24"/>
          <w:lang w:val="en-NZ"/>
        </w:rPr>
        <w:t>D</w:t>
      </w:r>
      <w:r w:rsidRPr="003067B9">
        <w:rPr>
          <w:szCs w:val="24"/>
          <w:lang w:val="en-NZ"/>
        </w:rPr>
        <w:t>epartment (ED) as a proportion of all patients who attended an ED.</w:t>
      </w:r>
    </w:p>
    <w:p w14:paraId="4BC8D001" w14:textId="37EBC5DC" w:rsidR="00D02262" w:rsidRPr="003067B9" w:rsidRDefault="00D02262" w:rsidP="00D02262">
      <w:pPr>
        <w:rPr>
          <w:lang w:val="en-NZ"/>
        </w:rPr>
      </w:pPr>
      <w:r w:rsidRPr="7499BE2B">
        <w:rPr>
          <w:lang w:val="en-NZ"/>
        </w:rPr>
        <w:t xml:space="preserve">There has been a rise in ED presentations over time which is largely in line with population growth. </w:t>
      </w:r>
      <w:r w:rsidR="5DD5587C" w:rsidRPr="7499BE2B">
        <w:rPr>
          <w:lang w:val="en-NZ"/>
        </w:rPr>
        <w:t xml:space="preserve">For example, </w:t>
      </w:r>
      <w:r w:rsidR="265EB262" w:rsidRPr="7499BE2B">
        <w:rPr>
          <w:lang w:val="en-NZ"/>
        </w:rPr>
        <w:t>i</w:t>
      </w:r>
      <w:r w:rsidRPr="7499BE2B">
        <w:rPr>
          <w:lang w:val="en-NZ"/>
        </w:rPr>
        <w:t xml:space="preserve">n the 2018-2023 </w:t>
      </w:r>
      <w:r w:rsidR="007C4949" w:rsidRPr="7499BE2B">
        <w:rPr>
          <w:lang w:val="en-NZ"/>
        </w:rPr>
        <w:t>period there</w:t>
      </w:r>
      <w:r w:rsidRPr="7499BE2B">
        <w:rPr>
          <w:lang w:val="en-NZ"/>
        </w:rPr>
        <w:t xml:space="preserve"> was a 6.7% growth in population</w:t>
      </w:r>
      <w:r w:rsidR="008444AE" w:rsidRPr="7499BE2B">
        <w:rPr>
          <w:lang w:val="en-NZ"/>
        </w:rPr>
        <w:t xml:space="preserve"> and</w:t>
      </w:r>
      <w:r w:rsidRPr="7499BE2B">
        <w:rPr>
          <w:lang w:val="en-NZ"/>
        </w:rPr>
        <w:t xml:space="preserve"> a 7% increase in acute adult admission events.</w:t>
      </w:r>
    </w:p>
    <w:p w14:paraId="71E08D94" w14:textId="2F931F2A" w:rsidR="00D02262" w:rsidRDefault="00D02262" w:rsidP="00D02262">
      <w:pPr>
        <w:rPr>
          <w:szCs w:val="24"/>
          <w:lang w:val="en-NZ"/>
        </w:rPr>
      </w:pPr>
      <w:r w:rsidRPr="003067B9">
        <w:rPr>
          <w:szCs w:val="24"/>
          <w:lang w:val="en-NZ"/>
        </w:rPr>
        <w:t xml:space="preserve">As the total number of </w:t>
      </w:r>
      <w:r w:rsidR="001E7AD9">
        <w:rPr>
          <w:szCs w:val="24"/>
          <w:lang w:val="en-NZ"/>
        </w:rPr>
        <w:t>presentations</w:t>
      </w:r>
      <w:r w:rsidR="001E7AD9" w:rsidRPr="003067B9">
        <w:rPr>
          <w:szCs w:val="24"/>
          <w:lang w:val="en-NZ"/>
        </w:rPr>
        <w:t xml:space="preserve"> </w:t>
      </w:r>
      <w:r w:rsidRPr="003067B9">
        <w:rPr>
          <w:szCs w:val="24"/>
          <w:lang w:val="en-NZ"/>
        </w:rPr>
        <w:t xml:space="preserve">and admissions rises, we </w:t>
      </w:r>
      <w:r w:rsidR="63D9F35B" w:rsidRPr="003067B9">
        <w:rPr>
          <w:szCs w:val="24"/>
          <w:lang w:val="en-NZ"/>
        </w:rPr>
        <w:t xml:space="preserve">are </w:t>
      </w:r>
      <w:r w:rsidRPr="003067B9">
        <w:rPr>
          <w:szCs w:val="24"/>
          <w:lang w:val="en-NZ"/>
        </w:rPr>
        <w:t>focus</w:t>
      </w:r>
      <w:r w:rsidR="014ABE8C" w:rsidRPr="003067B9">
        <w:rPr>
          <w:szCs w:val="24"/>
          <w:lang w:val="en-NZ"/>
        </w:rPr>
        <w:t>ing</w:t>
      </w:r>
      <w:r w:rsidRPr="003067B9">
        <w:rPr>
          <w:szCs w:val="24"/>
          <w:lang w:val="en-NZ"/>
        </w:rPr>
        <w:t xml:space="preserve"> on ensuring supportive and accessible primary, urgent and after-hours care</w:t>
      </w:r>
      <w:r w:rsidR="22F0D675" w:rsidRPr="003067B9">
        <w:rPr>
          <w:szCs w:val="24"/>
          <w:lang w:val="en-NZ"/>
        </w:rPr>
        <w:t xml:space="preserve"> which is part of a</w:t>
      </w:r>
      <w:r w:rsidRPr="003067B9">
        <w:rPr>
          <w:szCs w:val="24"/>
          <w:lang w:val="en-NZ"/>
        </w:rPr>
        <w:t xml:space="preserve"> national acute care programme of work. </w:t>
      </w:r>
    </w:p>
    <w:p w14:paraId="74CEC9A2" w14:textId="506C9061" w:rsidR="000364A7" w:rsidRPr="003067B9" w:rsidRDefault="001C1DDF" w:rsidP="00D02262">
      <w:pPr>
        <w:rPr>
          <w:szCs w:val="24"/>
          <w:lang w:val="en-NZ"/>
        </w:rPr>
      </w:pPr>
      <w:r>
        <w:rPr>
          <w:szCs w:val="24"/>
          <w:lang w:val="en-NZ"/>
        </w:rPr>
        <w:t xml:space="preserve">Although presentations are increasing, we have seen a </w:t>
      </w:r>
      <w:r w:rsidR="000364A7">
        <w:rPr>
          <w:szCs w:val="24"/>
          <w:lang w:val="en-NZ"/>
        </w:rPr>
        <w:t xml:space="preserve">slight decrease in admissions </w:t>
      </w:r>
      <w:r w:rsidR="00A61112">
        <w:rPr>
          <w:szCs w:val="24"/>
          <w:lang w:val="en-NZ"/>
        </w:rPr>
        <w:t>between quarters two and three.</w:t>
      </w:r>
    </w:p>
    <w:p w14:paraId="4EA45117" w14:textId="21E89728" w:rsidR="00D02262" w:rsidRPr="003067B9" w:rsidRDefault="00D02262" w:rsidP="00210BD7">
      <w:pPr>
        <w:jc w:val="center"/>
        <w:rPr>
          <w:szCs w:val="24"/>
          <w:shd w:val="clear" w:color="auto" w:fill="FFFFFF"/>
          <w:lang w:val="en-NZ"/>
        </w:rPr>
      </w:pPr>
      <w:r w:rsidRPr="003067B9">
        <w:rPr>
          <w:noProof/>
          <w:szCs w:val="24"/>
          <w:lang w:val="en-NZ"/>
        </w:rPr>
        <w:drawing>
          <wp:inline distT="0" distB="0" distL="0" distR="0" wp14:anchorId="59873F8D" wp14:editId="461A927B">
            <wp:extent cx="4060800" cy="2061893"/>
            <wp:effectExtent l="0" t="0" r="0" b="0"/>
            <wp:docPr id="483756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5647" name="Picture 1">
                      <a:extLst>
                        <a:ext uri="{C183D7F6-B498-43B3-948B-1728B52AA6E4}">
                          <adec:decorative xmlns:adec="http://schemas.microsoft.com/office/drawing/2017/decorative" val="1"/>
                        </a:ext>
                      </a:extLst>
                    </pic:cNvPr>
                    <pic:cNvPicPr/>
                  </pic:nvPicPr>
                  <pic:blipFill>
                    <a:blip r:embed="rId54"/>
                    <a:stretch>
                      <a:fillRect/>
                    </a:stretch>
                  </pic:blipFill>
                  <pic:spPr>
                    <a:xfrm>
                      <a:off x="0" y="0"/>
                      <a:ext cx="4060800" cy="2061893"/>
                    </a:xfrm>
                    <a:prstGeom prst="rect">
                      <a:avLst/>
                    </a:prstGeom>
                  </pic:spPr>
                </pic:pic>
              </a:graphicData>
            </a:graphic>
          </wp:inline>
        </w:drawing>
      </w:r>
    </w:p>
    <w:p w14:paraId="6C8CAFFD" w14:textId="36063356" w:rsidR="004C3764" w:rsidRPr="003067B9" w:rsidRDefault="00D02262" w:rsidP="00842B9A">
      <w:pPr>
        <w:rPr>
          <w:noProof/>
          <w:szCs w:val="24"/>
          <w:lang w:val="en-NZ"/>
        </w:rPr>
      </w:pPr>
      <w:r w:rsidRPr="003067B9">
        <w:rPr>
          <w:szCs w:val="24"/>
          <w:shd w:val="clear" w:color="auto" w:fill="FFFFFF"/>
          <w:lang w:val="en-NZ"/>
        </w:rPr>
        <w:t xml:space="preserve">The admission rates </w:t>
      </w:r>
      <w:r w:rsidR="00EA0053" w:rsidRPr="003067B9">
        <w:rPr>
          <w:szCs w:val="24"/>
          <w:shd w:val="clear" w:color="auto" w:fill="FFFFFF"/>
          <w:lang w:val="en-NZ"/>
        </w:rPr>
        <w:t xml:space="preserve">are higher </w:t>
      </w:r>
      <w:r w:rsidRPr="003067B9">
        <w:rPr>
          <w:szCs w:val="24"/>
          <w:shd w:val="clear" w:color="auto" w:fill="FFFFFF"/>
          <w:lang w:val="en-NZ"/>
        </w:rPr>
        <w:t>for European</w:t>
      </w:r>
      <w:r w:rsidR="00C85D07">
        <w:rPr>
          <w:szCs w:val="24"/>
          <w:shd w:val="clear" w:color="auto" w:fill="FFFFFF"/>
          <w:lang w:val="en-NZ"/>
        </w:rPr>
        <w:t xml:space="preserve"> </w:t>
      </w:r>
      <w:r w:rsidR="00A927D5" w:rsidRPr="003067B9">
        <w:rPr>
          <w:szCs w:val="24"/>
          <w:shd w:val="clear" w:color="auto" w:fill="FFFFFF"/>
          <w:lang w:val="en-NZ"/>
        </w:rPr>
        <w:t>/</w:t>
      </w:r>
      <w:r w:rsidR="00C85D07">
        <w:rPr>
          <w:szCs w:val="24"/>
          <w:shd w:val="clear" w:color="auto" w:fill="FFFFFF"/>
          <w:lang w:val="en-NZ"/>
        </w:rPr>
        <w:t xml:space="preserve"> </w:t>
      </w:r>
      <w:r w:rsidR="00A927D5" w:rsidRPr="003067B9">
        <w:rPr>
          <w:szCs w:val="24"/>
          <w:shd w:val="clear" w:color="auto" w:fill="FFFFFF"/>
          <w:lang w:val="en-NZ"/>
        </w:rPr>
        <w:t>Other</w:t>
      </w:r>
      <w:r w:rsidRPr="003067B9">
        <w:rPr>
          <w:szCs w:val="24"/>
          <w:shd w:val="clear" w:color="auto" w:fill="FFFFFF"/>
          <w:lang w:val="en-NZ"/>
        </w:rPr>
        <w:t xml:space="preserve"> than</w:t>
      </w:r>
      <w:r w:rsidR="00EA0053" w:rsidRPr="003067B9">
        <w:rPr>
          <w:szCs w:val="24"/>
          <w:shd w:val="clear" w:color="auto" w:fill="FFFFFF"/>
          <w:lang w:val="en-NZ"/>
        </w:rPr>
        <w:t xml:space="preserve"> for</w:t>
      </w:r>
      <w:r w:rsidRPr="003067B9">
        <w:rPr>
          <w:szCs w:val="24"/>
          <w:shd w:val="clear" w:color="auto" w:fill="FFFFFF"/>
          <w:lang w:val="en-NZ"/>
        </w:rPr>
        <w:t xml:space="preserve"> Māori, Pacific and Asian populations. This is because European</w:t>
      </w:r>
      <w:r w:rsidR="00C85D07">
        <w:rPr>
          <w:szCs w:val="24"/>
          <w:shd w:val="clear" w:color="auto" w:fill="FFFFFF"/>
          <w:lang w:val="en-NZ"/>
        </w:rPr>
        <w:t xml:space="preserve"> </w:t>
      </w:r>
      <w:r w:rsidR="00CA5710" w:rsidRPr="003067B9">
        <w:rPr>
          <w:szCs w:val="24"/>
          <w:shd w:val="clear" w:color="auto" w:fill="FFFFFF"/>
          <w:lang w:val="en-NZ"/>
        </w:rPr>
        <w:t>/</w:t>
      </w:r>
      <w:r w:rsidR="00C85D07">
        <w:rPr>
          <w:szCs w:val="24"/>
          <w:shd w:val="clear" w:color="auto" w:fill="FFFFFF"/>
          <w:lang w:val="en-NZ"/>
        </w:rPr>
        <w:t xml:space="preserve"> </w:t>
      </w:r>
      <w:r w:rsidR="00CA5710" w:rsidRPr="003067B9">
        <w:rPr>
          <w:szCs w:val="24"/>
          <w:shd w:val="clear" w:color="auto" w:fill="FFFFFF"/>
          <w:lang w:val="en-NZ"/>
        </w:rPr>
        <w:t>Other</w:t>
      </w:r>
      <w:r w:rsidRPr="003067B9">
        <w:rPr>
          <w:szCs w:val="24"/>
          <w:shd w:val="clear" w:color="auto" w:fill="FFFFFF"/>
          <w:lang w:val="en-NZ"/>
        </w:rPr>
        <w:t xml:space="preserve"> have a higher percentage of older people compared to other ethnic groups. Additionally, Te Manawa Taki and the Northern </w:t>
      </w:r>
      <w:r w:rsidR="0035681E" w:rsidRPr="003067B9">
        <w:rPr>
          <w:szCs w:val="24"/>
          <w:shd w:val="clear" w:color="auto" w:fill="FFFFFF"/>
          <w:lang w:val="en-NZ"/>
        </w:rPr>
        <w:t>R</w:t>
      </w:r>
      <w:r w:rsidRPr="003067B9">
        <w:rPr>
          <w:szCs w:val="24"/>
          <w:shd w:val="clear" w:color="auto" w:fill="FFFFFF"/>
          <w:lang w:val="en-NZ"/>
        </w:rPr>
        <w:t>egion have higher admission rates compared to other areas.</w:t>
      </w:r>
      <w:r w:rsidR="004B37D4" w:rsidRPr="003067B9">
        <w:rPr>
          <w:noProof/>
          <w:szCs w:val="24"/>
          <w:lang w:val="en-NZ"/>
        </w:rPr>
        <w:t xml:space="preserve"> </w:t>
      </w:r>
    </w:p>
    <w:p w14:paraId="10C7AF9B" w14:textId="7783C081" w:rsidR="00D02262" w:rsidRPr="003067B9" w:rsidRDefault="004C3764" w:rsidP="00210BD7">
      <w:pPr>
        <w:jc w:val="center"/>
        <w:rPr>
          <w:noProof/>
          <w:szCs w:val="24"/>
          <w:lang w:val="en-NZ"/>
        </w:rPr>
      </w:pPr>
      <w:r w:rsidRPr="003067B9">
        <w:rPr>
          <w:noProof/>
          <w:szCs w:val="24"/>
          <w:lang w:val="en-NZ"/>
        </w:rPr>
        <w:drawing>
          <wp:inline distT="0" distB="0" distL="0" distR="0" wp14:anchorId="624DCA59" wp14:editId="6B7D3FA4">
            <wp:extent cx="2329367" cy="1911600"/>
            <wp:effectExtent l="0" t="0" r="0" b="0"/>
            <wp:docPr id="694354233" name="Picture 1" descr="A graph of emergency depart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54233" name="Picture 1" descr="A graph of emergency departments&#10;&#10;Description automatically generated"/>
                    <pic:cNvPicPr/>
                  </pic:nvPicPr>
                  <pic:blipFill>
                    <a:blip r:embed="rId55"/>
                    <a:stretch>
                      <a:fillRect/>
                    </a:stretch>
                  </pic:blipFill>
                  <pic:spPr>
                    <a:xfrm>
                      <a:off x="0" y="0"/>
                      <a:ext cx="2329367" cy="1911600"/>
                    </a:xfrm>
                    <a:prstGeom prst="rect">
                      <a:avLst/>
                    </a:prstGeom>
                  </pic:spPr>
                </pic:pic>
              </a:graphicData>
            </a:graphic>
          </wp:inline>
        </w:drawing>
      </w:r>
      <w:r w:rsidR="00BF10EE">
        <w:rPr>
          <w:noProof/>
          <w:szCs w:val="24"/>
          <w:lang w:val="en-NZ"/>
        </w:rPr>
        <w:t xml:space="preserve">     </w:t>
      </w:r>
      <w:r w:rsidR="00C627C6" w:rsidRPr="003067B9">
        <w:rPr>
          <w:noProof/>
          <w:szCs w:val="24"/>
          <w:lang w:val="en-NZ"/>
        </w:rPr>
        <w:drawing>
          <wp:inline distT="0" distB="0" distL="0" distR="0" wp14:anchorId="380FFDE9" wp14:editId="1E0E8800">
            <wp:extent cx="2610150" cy="1911600"/>
            <wp:effectExtent l="0" t="0" r="0" b="0"/>
            <wp:docPr id="1377612037" name="Picture 1" descr="A graph of emergency depart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12037" name="Picture 1" descr="A graph of emergency departments&#10;&#10;Description automatically generated"/>
                    <pic:cNvPicPr/>
                  </pic:nvPicPr>
                  <pic:blipFill>
                    <a:blip r:embed="rId56"/>
                    <a:stretch>
                      <a:fillRect/>
                    </a:stretch>
                  </pic:blipFill>
                  <pic:spPr>
                    <a:xfrm>
                      <a:off x="0" y="0"/>
                      <a:ext cx="2610150" cy="1911600"/>
                    </a:xfrm>
                    <a:prstGeom prst="rect">
                      <a:avLst/>
                    </a:prstGeom>
                  </pic:spPr>
                </pic:pic>
              </a:graphicData>
            </a:graphic>
          </wp:inline>
        </w:drawing>
      </w:r>
    </w:p>
    <w:p w14:paraId="659BC5A9" w14:textId="51129895" w:rsidR="00210BD7" w:rsidRPr="00B32C53" w:rsidRDefault="00D02262" w:rsidP="00DB1DD9">
      <w:pPr>
        <w:rPr>
          <w:i/>
          <w:szCs w:val="24"/>
        </w:rPr>
      </w:pPr>
      <w:r w:rsidRPr="00B32C53" w:rsidDel="00246D39">
        <w:rPr>
          <w:i/>
          <w:szCs w:val="24"/>
        </w:rPr>
        <w:t xml:space="preserve">Source of data is </w:t>
      </w:r>
      <w:r w:rsidR="006F4BF8" w:rsidRPr="00B32C53" w:rsidDel="00246D39">
        <w:rPr>
          <w:i/>
          <w:szCs w:val="24"/>
        </w:rPr>
        <w:t xml:space="preserve">the </w:t>
      </w:r>
      <w:r w:rsidRPr="00B32C53" w:rsidDel="00246D39">
        <w:rPr>
          <w:i/>
          <w:szCs w:val="24"/>
        </w:rPr>
        <w:t>National Non-Admitted Patient Collection (NNPAC</w:t>
      </w:r>
      <w:r w:rsidRPr="00B32C53">
        <w:rPr>
          <w:i/>
          <w:szCs w:val="24"/>
        </w:rPr>
        <w:t>).</w:t>
      </w:r>
      <w:r w:rsidR="00D74FA1" w:rsidRPr="00B32C53">
        <w:rPr>
          <w:i/>
          <w:szCs w:val="24"/>
        </w:rPr>
        <w:t xml:space="preserve"> </w:t>
      </w:r>
      <w:r w:rsidR="00D74FA1" w:rsidRPr="00B32C53">
        <w:rPr>
          <w:i/>
          <w:szCs w:val="24"/>
          <w:shd w:val="clear" w:color="auto" w:fill="FFFFFF"/>
        </w:rPr>
        <w:t xml:space="preserve">There is a material data gap for Southern at the end of 2023 due to system change. This impacts </w:t>
      </w:r>
      <w:r w:rsidR="00C47C83" w:rsidRPr="00B32C53">
        <w:rPr>
          <w:i/>
          <w:szCs w:val="24"/>
          <w:shd w:val="clear" w:color="auto" w:fill="FFFFFF"/>
        </w:rPr>
        <w:t xml:space="preserve">the </w:t>
      </w:r>
      <w:r w:rsidR="00D74FA1" w:rsidRPr="00B32C53">
        <w:rPr>
          <w:i/>
          <w:szCs w:val="24"/>
          <w:shd w:val="clear" w:color="auto" w:fill="FFFFFF"/>
        </w:rPr>
        <w:t>previous quarter result (Q2 23/24 period).</w:t>
      </w:r>
    </w:p>
    <w:p w14:paraId="5F2F871C" w14:textId="77777777" w:rsidR="007E1D20" w:rsidRDefault="007E1D20">
      <w:pPr>
        <w:spacing w:line="259" w:lineRule="auto"/>
        <w:rPr>
          <w:rFonts w:eastAsiaTheme="majorEastAsia"/>
          <w:b/>
          <w:bCs/>
          <w:noProof/>
          <w:color w:val="15284C"/>
          <w:sz w:val="32"/>
          <w:szCs w:val="120"/>
          <w:lang w:val="en-NZ"/>
        </w:rPr>
      </w:pPr>
      <w:bookmarkStart w:id="80" w:name="_Toc162008458"/>
      <w:bookmarkStart w:id="81" w:name="_Toc170199173"/>
      <w:r>
        <w:rPr>
          <w:color w:val="15284C"/>
        </w:rPr>
        <w:br w:type="page"/>
      </w:r>
    </w:p>
    <w:p w14:paraId="711DAC44" w14:textId="06895FDE" w:rsidR="00D02262" w:rsidRPr="00D4706E" w:rsidRDefault="00EE3657" w:rsidP="00BA36AC">
      <w:pPr>
        <w:pStyle w:val="NumberedHeading1"/>
        <w:rPr>
          <w:color w:val="15284C"/>
        </w:rPr>
      </w:pPr>
      <w:r w:rsidRPr="00D4706E">
        <w:rPr>
          <w:color w:val="15284C"/>
        </w:rPr>
        <w:lastRenderedPageBreak/>
        <w:t xml:space="preserve">15 </w:t>
      </w:r>
      <w:r w:rsidR="00D02262" w:rsidRPr="00D4706E">
        <w:rPr>
          <w:color w:val="15284C"/>
        </w:rPr>
        <w:t>Acute bed days per capita</w:t>
      </w:r>
      <w:bookmarkEnd w:id="80"/>
      <w:bookmarkEnd w:id="81"/>
    </w:p>
    <w:p w14:paraId="1A66AA5C" w14:textId="77777777" w:rsidR="00D02262" w:rsidRPr="003067B9" w:rsidRDefault="00D02262" w:rsidP="00D02262">
      <w:pPr>
        <w:rPr>
          <w:szCs w:val="24"/>
          <w:lang w:val="en-NZ"/>
        </w:rPr>
      </w:pPr>
      <w:r w:rsidRPr="003067B9">
        <w:rPr>
          <w:szCs w:val="24"/>
          <w:lang w:val="en-NZ"/>
        </w:rPr>
        <w:t>This measure reports bed days spent in hospital following an acute admission per 1,000 population, age standardised.</w:t>
      </w:r>
    </w:p>
    <w:p w14:paraId="6FA2566C" w14:textId="77777777" w:rsidR="00D02262" w:rsidRPr="003067B9" w:rsidRDefault="00D02262" w:rsidP="00D02262">
      <w:pPr>
        <w:pStyle w:val="NormalWeb"/>
        <w:spacing w:before="0" w:beforeAutospacing="0" w:after="160" w:afterAutospacing="0" w:line="259" w:lineRule="auto"/>
        <w:rPr>
          <w:rFonts w:ascii="Arial" w:hAnsi="Arial" w:cs="Arial"/>
          <w:lang w:val="en-NZ"/>
        </w:rPr>
      </w:pPr>
      <w:r w:rsidRPr="003067B9">
        <w:rPr>
          <w:rFonts w:ascii="Arial" w:hAnsi="Arial" w:cs="Arial"/>
          <w:lang w:val="en-NZ"/>
        </w:rPr>
        <w:t xml:space="preserve">The demand for acute care has remained relatively stable over the past 12 months. </w:t>
      </w:r>
    </w:p>
    <w:p w14:paraId="41DA669E" w14:textId="1CCC9E9F" w:rsidR="00D02262" w:rsidRPr="003067B9" w:rsidRDefault="00D02262" w:rsidP="00D02262">
      <w:pPr>
        <w:pStyle w:val="NormalWeb"/>
        <w:spacing w:before="0" w:beforeAutospacing="0" w:after="160" w:afterAutospacing="0" w:line="259" w:lineRule="auto"/>
        <w:rPr>
          <w:rFonts w:ascii="Arial" w:hAnsi="Arial" w:cs="Arial"/>
          <w:lang w:val="en-NZ"/>
        </w:rPr>
      </w:pPr>
      <w:r w:rsidRPr="003067B9">
        <w:rPr>
          <w:rFonts w:ascii="Arial" w:hAnsi="Arial" w:cs="Arial"/>
          <w:lang w:val="en-NZ"/>
        </w:rPr>
        <w:t>We are continuing to focus on primary care services (at a PHO and regional level) to provide better support for chronic conditions in the community. For example, increasing the number of vaccinations delivered over the winter period for high-risk populations is expected to result in</w:t>
      </w:r>
      <w:r w:rsidR="006F4BF8" w:rsidRPr="003067B9">
        <w:rPr>
          <w:rFonts w:ascii="Arial" w:hAnsi="Arial" w:cs="Arial"/>
          <w:lang w:val="en-NZ"/>
        </w:rPr>
        <w:t xml:space="preserve"> a</w:t>
      </w:r>
      <w:r w:rsidRPr="003067B9">
        <w:rPr>
          <w:rFonts w:ascii="Arial" w:hAnsi="Arial" w:cs="Arial"/>
          <w:lang w:val="en-NZ"/>
        </w:rPr>
        <w:t xml:space="preserve"> lower chance of hospitalisation over winter months, impacting acute bed days. </w:t>
      </w:r>
    </w:p>
    <w:p w14:paraId="729F9F20" w14:textId="72FB8E47" w:rsidR="00D02262" w:rsidRPr="003067B9" w:rsidRDefault="00D02262" w:rsidP="00210BD7">
      <w:pPr>
        <w:pStyle w:val="NormalWeb"/>
        <w:jc w:val="center"/>
        <w:rPr>
          <w:rFonts w:ascii="Arial" w:hAnsi="Arial" w:cs="Arial"/>
          <w:lang w:val="en-NZ"/>
        </w:rPr>
      </w:pPr>
      <w:r w:rsidRPr="003067B9">
        <w:rPr>
          <w:noProof/>
          <w:lang w:val="en-NZ"/>
        </w:rPr>
        <w:drawing>
          <wp:inline distT="0" distB="0" distL="0" distR="0" wp14:anchorId="3827C663" wp14:editId="26D93DA0">
            <wp:extent cx="4060800" cy="2101202"/>
            <wp:effectExtent l="0" t="0" r="0" b="0"/>
            <wp:docPr id="1602688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8846" name="Picture 1">
                      <a:extLst>
                        <a:ext uri="{C183D7F6-B498-43B3-948B-1728B52AA6E4}">
                          <adec:decorative xmlns:adec="http://schemas.microsoft.com/office/drawing/2017/decorative" val="1"/>
                        </a:ext>
                      </a:extLst>
                    </pic:cNvPr>
                    <pic:cNvPicPr/>
                  </pic:nvPicPr>
                  <pic:blipFill>
                    <a:blip r:embed="rId57"/>
                    <a:stretch>
                      <a:fillRect/>
                    </a:stretch>
                  </pic:blipFill>
                  <pic:spPr>
                    <a:xfrm>
                      <a:off x="0" y="0"/>
                      <a:ext cx="4060800" cy="2101202"/>
                    </a:xfrm>
                    <a:prstGeom prst="rect">
                      <a:avLst/>
                    </a:prstGeom>
                  </pic:spPr>
                </pic:pic>
              </a:graphicData>
            </a:graphic>
          </wp:inline>
        </w:drawing>
      </w:r>
    </w:p>
    <w:p w14:paraId="70A885C2" w14:textId="4A0DEFA9" w:rsidR="00D02262" w:rsidRPr="003067B9" w:rsidRDefault="00D02262" w:rsidP="00D02262">
      <w:pPr>
        <w:pStyle w:val="NormalWeb"/>
        <w:rPr>
          <w:rFonts w:ascii="Arial" w:hAnsi="Arial" w:cs="Arial"/>
          <w:strike/>
          <w:sz w:val="22"/>
          <w:szCs w:val="22"/>
          <w:lang w:val="en-NZ"/>
        </w:rPr>
      </w:pPr>
      <w:r w:rsidRPr="003067B9">
        <w:rPr>
          <w:rFonts w:ascii="Arial" w:hAnsi="Arial" w:cs="Arial"/>
          <w:lang w:val="en-NZ"/>
        </w:rPr>
        <w:t xml:space="preserve">Māori and Pacific have more acute bed days when compared to other ethnicities. This is </w:t>
      </w:r>
      <w:r w:rsidR="00100C9C" w:rsidRPr="003067B9">
        <w:rPr>
          <w:rFonts w:ascii="Arial" w:hAnsi="Arial" w:cs="Arial"/>
          <w:lang w:val="en-NZ"/>
        </w:rPr>
        <w:t>part</w:t>
      </w:r>
      <w:r w:rsidR="00E572AB" w:rsidRPr="003067B9">
        <w:rPr>
          <w:rFonts w:ascii="Arial" w:hAnsi="Arial" w:cs="Arial"/>
          <w:lang w:val="en-NZ"/>
        </w:rPr>
        <w:t>ly explained by</w:t>
      </w:r>
      <w:r w:rsidRPr="003067B9">
        <w:rPr>
          <w:rFonts w:ascii="Arial" w:hAnsi="Arial" w:cs="Arial"/>
          <w:lang w:val="en-NZ"/>
        </w:rPr>
        <w:t xml:space="preserve"> the rate of paediatric admissions and inequities in health outcomes and access to healthcare resulting in a greater rate of underlying chronic conditions for these population groups. </w:t>
      </w:r>
    </w:p>
    <w:p w14:paraId="0C205C7D" w14:textId="77777777" w:rsidR="00D02262" w:rsidRPr="003067B9" w:rsidRDefault="00D02262" w:rsidP="00210BD7">
      <w:pPr>
        <w:pStyle w:val="NormalWeb"/>
        <w:jc w:val="center"/>
        <w:rPr>
          <w:rFonts w:ascii="Arial" w:hAnsi="Arial" w:cs="Arial"/>
          <w:strike/>
          <w:sz w:val="22"/>
          <w:szCs w:val="22"/>
          <w:lang w:val="en-NZ"/>
        </w:rPr>
      </w:pPr>
      <w:r w:rsidRPr="003067B9">
        <w:rPr>
          <w:noProof/>
          <w:lang w:val="en-NZ"/>
        </w:rPr>
        <w:drawing>
          <wp:inline distT="0" distB="0" distL="0" distR="0" wp14:anchorId="3D7D4671" wp14:editId="771DE1D6">
            <wp:extent cx="2404892" cy="1893600"/>
            <wp:effectExtent l="0" t="0" r="0" b="0"/>
            <wp:docPr id="17360025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02526" name="Picture 1">
                      <a:extLst>
                        <a:ext uri="{C183D7F6-B498-43B3-948B-1728B52AA6E4}">
                          <adec:decorative xmlns:adec="http://schemas.microsoft.com/office/drawing/2017/decorative" val="1"/>
                        </a:ext>
                      </a:extLst>
                    </pic:cNvPr>
                    <pic:cNvPicPr/>
                  </pic:nvPicPr>
                  <pic:blipFill rotWithShape="1">
                    <a:blip r:embed="rId58"/>
                    <a:srcRect t="742"/>
                    <a:stretch/>
                  </pic:blipFill>
                  <pic:spPr bwMode="auto">
                    <a:xfrm>
                      <a:off x="0" y="0"/>
                      <a:ext cx="2404892" cy="1893600"/>
                    </a:xfrm>
                    <a:prstGeom prst="rect">
                      <a:avLst/>
                    </a:prstGeom>
                    <a:ln>
                      <a:noFill/>
                    </a:ln>
                    <a:extLst>
                      <a:ext uri="{53640926-AAD7-44D8-BBD7-CCE9431645EC}">
                        <a14:shadowObscured xmlns:a14="http://schemas.microsoft.com/office/drawing/2010/main"/>
                      </a:ext>
                    </a:extLst>
                  </pic:spPr>
                </pic:pic>
              </a:graphicData>
            </a:graphic>
          </wp:inline>
        </w:drawing>
      </w:r>
    </w:p>
    <w:p w14:paraId="5088E85F" w14:textId="4B891E5B" w:rsidR="00D02262" w:rsidRPr="007C4949" w:rsidRDefault="00D02262" w:rsidP="00DB1DD9">
      <w:pPr>
        <w:rPr>
          <w:i/>
          <w:iCs/>
          <w:lang w:val="en-NZ"/>
        </w:rPr>
      </w:pPr>
      <w:r w:rsidRPr="00044F98">
        <w:rPr>
          <w:i/>
          <w:iCs/>
          <w:color w:val="000000"/>
          <w:lang w:val="en-NZ"/>
        </w:rPr>
        <w:t xml:space="preserve">Source of data is </w:t>
      </w:r>
      <w:r w:rsidR="008C0DBA" w:rsidRPr="00044F98">
        <w:rPr>
          <w:i/>
          <w:iCs/>
          <w:color w:val="000000"/>
          <w:lang w:val="en-NZ"/>
        </w:rPr>
        <w:t xml:space="preserve">the </w:t>
      </w:r>
      <w:r w:rsidRPr="00044F98">
        <w:rPr>
          <w:i/>
          <w:iCs/>
          <w:color w:val="000000"/>
          <w:lang w:val="en-NZ"/>
        </w:rPr>
        <w:t xml:space="preserve">National Minimum Data Set (NMDS) and Population Statistics from Stats NZ. </w:t>
      </w:r>
      <w:r w:rsidR="002E62B8" w:rsidRPr="00044F98">
        <w:rPr>
          <w:i/>
          <w:iCs/>
          <w:color w:val="000000"/>
          <w:lang w:val="en-NZ"/>
        </w:rPr>
        <w:t xml:space="preserve">Due to this measure being created in legacy systems, the Asian split is not yet available. However, this should be available shortly. </w:t>
      </w:r>
      <w:r w:rsidRPr="00044F98">
        <w:rPr>
          <w:i/>
          <w:iCs/>
          <w:color w:val="000000"/>
          <w:lang w:val="en-NZ"/>
        </w:rPr>
        <w:t xml:space="preserve">Regional results are not available for this measure. </w:t>
      </w:r>
      <w:r w:rsidRPr="00044F98">
        <w:rPr>
          <w:i/>
          <w:iCs/>
          <w:color w:val="000000"/>
          <w:lang w:val="en-NZ"/>
        </w:rPr>
        <w:tab/>
      </w:r>
      <w:r w:rsidRPr="007C4949">
        <w:rPr>
          <w:i/>
          <w:iCs/>
          <w:lang w:val="en-NZ"/>
        </w:rPr>
        <w:tab/>
      </w:r>
      <w:r w:rsidRPr="007C4949">
        <w:rPr>
          <w:i/>
          <w:iCs/>
          <w:lang w:val="en-NZ"/>
        </w:rPr>
        <w:tab/>
      </w:r>
      <w:r w:rsidRPr="007C4949">
        <w:rPr>
          <w:i/>
          <w:iCs/>
          <w:lang w:val="en-NZ"/>
        </w:rPr>
        <w:tab/>
      </w:r>
      <w:r w:rsidRPr="007C4949">
        <w:rPr>
          <w:i/>
          <w:iCs/>
          <w:lang w:val="en-NZ"/>
        </w:rPr>
        <w:tab/>
      </w:r>
      <w:r w:rsidRPr="007C4949">
        <w:rPr>
          <w:i/>
          <w:iCs/>
          <w:lang w:val="en-NZ"/>
        </w:rPr>
        <w:tab/>
      </w:r>
      <w:r w:rsidRPr="007C4949">
        <w:rPr>
          <w:i/>
          <w:iCs/>
          <w:lang w:val="en-NZ"/>
        </w:rPr>
        <w:tab/>
      </w:r>
      <w:r w:rsidRPr="007C4949">
        <w:rPr>
          <w:i/>
          <w:iCs/>
          <w:lang w:val="en-NZ"/>
        </w:rPr>
        <w:tab/>
      </w:r>
    </w:p>
    <w:p w14:paraId="62C1746C" w14:textId="17C856FA" w:rsidR="00D02262" w:rsidRPr="00D4706E" w:rsidRDefault="00EE3657" w:rsidP="00BA36AC">
      <w:pPr>
        <w:pStyle w:val="NumberedHeading1"/>
        <w:rPr>
          <w:color w:val="15284C"/>
        </w:rPr>
      </w:pPr>
      <w:bookmarkStart w:id="82" w:name="_Toc162008459"/>
      <w:bookmarkStart w:id="83" w:name="_Toc170199174"/>
      <w:r w:rsidRPr="00D4706E">
        <w:rPr>
          <w:color w:val="15284C"/>
        </w:rPr>
        <w:lastRenderedPageBreak/>
        <w:t xml:space="preserve">16 </w:t>
      </w:r>
      <w:r w:rsidR="00D02262" w:rsidRPr="00D4706E">
        <w:rPr>
          <w:color w:val="15284C"/>
        </w:rPr>
        <w:t>Inpatient length of stay &gt;7 days</w:t>
      </w:r>
      <w:bookmarkEnd w:id="82"/>
      <w:bookmarkEnd w:id="83"/>
    </w:p>
    <w:p w14:paraId="329C3E88" w14:textId="77777777" w:rsidR="00D02262" w:rsidRPr="003067B9" w:rsidRDefault="00D02262" w:rsidP="00D02262">
      <w:pPr>
        <w:rPr>
          <w:szCs w:val="24"/>
          <w:lang w:val="en-NZ"/>
        </w:rPr>
      </w:pPr>
      <w:r w:rsidRPr="003067B9">
        <w:rPr>
          <w:szCs w:val="24"/>
          <w:lang w:val="en-NZ"/>
        </w:rPr>
        <w:t>This measure reports hospital discharges with an inpatient length of stay of greater than seven days as a proportion of all discharges in the period.</w:t>
      </w:r>
    </w:p>
    <w:p w14:paraId="2F17C571" w14:textId="5B2EAB3F" w:rsidR="00D02262" w:rsidRPr="003067B9" w:rsidRDefault="00D02262" w:rsidP="00D02262">
      <w:pPr>
        <w:rPr>
          <w:szCs w:val="24"/>
          <w:lang w:val="en-NZ"/>
        </w:rPr>
      </w:pPr>
      <w:r w:rsidRPr="003067B9">
        <w:rPr>
          <w:szCs w:val="24"/>
          <w:lang w:val="en-NZ"/>
        </w:rPr>
        <w:t>Long inpatient stays are an indicator of system performance in relation to hospital flow, impacted by complexity, aging and, in some areas, delays in discharge caused by lack of access to suitable community or residential care facilities.</w:t>
      </w:r>
      <w:r w:rsidRPr="003067B9">
        <w:rPr>
          <w:rFonts w:eastAsia="Arial"/>
          <w:szCs w:val="24"/>
          <w:lang w:val="en-NZ"/>
        </w:rPr>
        <w:t xml:space="preserve"> </w:t>
      </w:r>
      <w:r w:rsidR="00A61112">
        <w:rPr>
          <w:rFonts w:eastAsia="Arial"/>
          <w:szCs w:val="24"/>
          <w:lang w:val="en-NZ"/>
        </w:rPr>
        <w:t>There was a slight decrease in</w:t>
      </w:r>
      <w:r w:rsidR="00CC28B3">
        <w:rPr>
          <w:rFonts w:eastAsia="Arial"/>
          <w:szCs w:val="24"/>
          <w:lang w:val="en-NZ"/>
        </w:rPr>
        <w:t xml:space="preserve"> inpatient length of stay greater than seven days between quarters two and three. </w:t>
      </w:r>
      <w:r w:rsidRPr="003067B9">
        <w:rPr>
          <w:rFonts w:eastAsia="Arial"/>
          <w:szCs w:val="24"/>
          <w:lang w:val="en-NZ"/>
        </w:rPr>
        <w:t xml:space="preserve">A national set of actions are being progressed to improve long length of stays, these include setting expectations for discharge planning and developing an escalation pathway framework for complex discharges back into the community. </w:t>
      </w:r>
    </w:p>
    <w:p w14:paraId="3DFE5851" w14:textId="77777777" w:rsidR="00D02262" w:rsidRPr="003067B9" w:rsidRDefault="00D02262" w:rsidP="00BE3591">
      <w:pPr>
        <w:jc w:val="center"/>
        <w:rPr>
          <w:szCs w:val="24"/>
          <w:lang w:val="en-NZ"/>
        </w:rPr>
      </w:pPr>
      <w:r w:rsidRPr="003067B9">
        <w:rPr>
          <w:noProof/>
          <w:lang w:val="en-NZ"/>
        </w:rPr>
        <w:drawing>
          <wp:inline distT="0" distB="0" distL="0" distR="0" wp14:anchorId="5D2DEC58" wp14:editId="45D0E4FA">
            <wp:extent cx="4060800" cy="2096086"/>
            <wp:effectExtent l="0" t="0" r="0" b="0"/>
            <wp:docPr id="1922782183" name="Picture 1" descr="A graph with a lin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82183" name="Picture 1" descr="A graph with a line and numbers&#10;&#10;Description automatically generated"/>
                    <pic:cNvPicPr/>
                  </pic:nvPicPr>
                  <pic:blipFill>
                    <a:blip r:embed="rId59"/>
                    <a:stretch>
                      <a:fillRect/>
                    </a:stretch>
                  </pic:blipFill>
                  <pic:spPr>
                    <a:xfrm>
                      <a:off x="0" y="0"/>
                      <a:ext cx="4060800" cy="2096086"/>
                    </a:xfrm>
                    <a:prstGeom prst="rect">
                      <a:avLst/>
                    </a:prstGeom>
                  </pic:spPr>
                </pic:pic>
              </a:graphicData>
            </a:graphic>
          </wp:inline>
        </w:drawing>
      </w:r>
    </w:p>
    <w:p w14:paraId="618EF437" w14:textId="3C65B7EF" w:rsidR="00D02262" w:rsidRPr="003067B9" w:rsidRDefault="00D02262" w:rsidP="00D02262">
      <w:pPr>
        <w:rPr>
          <w:szCs w:val="24"/>
          <w:lang w:val="en-NZ"/>
        </w:rPr>
      </w:pPr>
      <w:r w:rsidRPr="003067B9">
        <w:rPr>
          <w:szCs w:val="24"/>
          <w:lang w:val="en-NZ"/>
        </w:rPr>
        <w:t>Long-stay rates for Māori</w:t>
      </w:r>
      <w:r w:rsidR="4A2C25E6" w:rsidRPr="003067B9">
        <w:rPr>
          <w:szCs w:val="24"/>
          <w:lang w:val="en-NZ"/>
        </w:rPr>
        <w:t>, Pacific</w:t>
      </w:r>
      <w:r w:rsidRPr="003067B9">
        <w:rPr>
          <w:szCs w:val="24"/>
          <w:lang w:val="en-NZ"/>
        </w:rPr>
        <w:t xml:space="preserve"> and Asian populations are lower than </w:t>
      </w:r>
      <w:r w:rsidR="00E332DC" w:rsidRPr="003067B9">
        <w:rPr>
          <w:szCs w:val="24"/>
          <w:lang w:val="en-NZ"/>
        </w:rPr>
        <w:t xml:space="preserve">for </w:t>
      </w:r>
      <w:r w:rsidRPr="003067B9">
        <w:rPr>
          <w:szCs w:val="24"/>
          <w:lang w:val="en-NZ"/>
        </w:rPr>
        <w:t xml:space="preserve">the </w:t>
      </w:r>
      <w:r w:rsidR="00F03BC7" w:rsidRPr="003067B9">
        <w:rPr>
          <w:szCs w:val="24"/>
          <w:lang w:val="en-NZ"/>
        </w:rPr>
        <w:t>European</w:t>
      </w:r>
      <w:r w:rsidR="00C85D07">
        <w:rPr>
          <w:szCs w:val="24"/>
          <w:lang w:val="en-NZ"/>
        </w:rPr>
        <w:t xml:space="preserve"> </w:t>
      </w:r>
      <w:r w:rsidR="00E332DC" w:rsidRPr="003067B9">
        <w:rPr>
          <w:szCs w:val="24"/>
          <w:lang w:val="en-NZ"/>
        </w:rPr>
        <w:t>/</w:t>
      </w:r>
      <w:r w:rsidR="00C85D07">
        <w:rPr>
          <w:szCs w:val="24"/>
          <w:lang w:val="en-NZ"/>
        </w:rPr>
        <w:t xml:space="preserve"> </w:t>
      </w:r>
      <w:r w:rsidR="00F03BC7" w:rsidRPr="003067B9">
        <w:rPr>
          <w:szCs w:val="24"/>
          <w:lang w:val="en-NZ"/>
        </w:rPr>
        <w:t>O</w:t>
      </w:r>
      <w:r w:rsidR="00E332DC" w:rsidRPr="003067B9">
        <w:rPr>
          <w:szCs w:val="24"/>
          <w:lang w:val="en-NZ"/>
        </w:rPr>
        <w:t xml:space="preserve">ther </w:t>
      </w:r>
      <w:r w:rsidR="00B06780" w:rsidRPr="003067B9">
        <w:rPr>
          <w:szCs w:val="24"/>
          <w:lang w:val="en-NZ"/>
        </w:rPr>
        <w:t>population</w:t>
      </w:r>
      <w:r w:rsidR="00100C9C" w:rsidRPr="003067B9">
        <w:rPr>
          <w:szCs w:val="24"/>
          <w:lang w:val="en-NZ"/>
        </w:rPr>
        <w:t>.</w:t>
      </w:r>
      <w:r w:rsidRPr="003067B9">
        <w:rPr>
          <w:szCs w:val="24"/>
          <w:lang w:val="en-NZ"/>
        </w:rPr>
        <w:t xml:space="preserve"> Rates for Asian have decreased by just over 3% from quarter two</w:t>
      </w:r>
      <w:r w:rsidR="0043061E" w:rsidRPr="003067B9">
        <w:rPr>
          <w:szCs w:val="24"/>
          <w:lang w:val="en-NZ"/>
        </w:rPr>
        <w:t>,</w:t>
      </w:r>
      <w:r w:rsidRPr="003067B9">
        <w:rPr>
          <w:szCs w:val="24"/>
          <w:lang w:val="en-NZ"/>
        </w:rPr>
        <w:t xml:space="preserve"> </w:t>
      </w:r>
      <w:r w:rsidR="0043061E" w:rsidRPr="003067B9">
        <w:rPr>
          <w:szCs w:val="24"/>
          <w:lang w:val="en-NZ"/>
        </w:rPr>
        <w:t xml:space="preserve">while </w:t>
      </w:r>
      <w:r w:rsidRPr="003067B9">
        <w:rPr>
          <w:szCs w:val="24"/>
          <w:lang w:val="en-NZ"/>
        </w:rPr>
        <w:t xml:space="preserve">rates have increased by just over 3% for European/Other. </w:t>
      </w:r>
    </w:p>
    <w:p w14:paraId="440888CC" w14:textId="2610A91C" w:rsidR="00D02262" w:rsidRPr="003067B9" w:rsidRDefault="0073386F" w:rsidP="00BE3591">
      <w:pPr>
        <w:pStyle w:val="NormalWeb"/>
        <w:jc w:val="center"/>
        <w:rPr>
          <w:rFonts w:ascii="Arial" w:hAnsi="Arial" w:cs="Arial"/>
          <w:lang w:val="en-NZ"/>
        </w:rPr>
      </w:pPr>
      <w:r w:rsidRPr="003067B9">
        <w:rPr>
          <w:rFonts w:ascii="Arial" w:hAnsi="Arial" w:cs="Arial"/>
          <w:noProof/>
          <w:lang w:val="en-NZ"/>
        </w:rPr>
        <w:drawing>
          <wp:inline distT="0" distB="0" distL="0" distR="0" wp14:anchorId="29351E61" wp14:editId="41F41519">
            <wp:extent cx="2398953" cy="1911600"/>
            <wp:effectExtent l="0" t="0" r="1905" b="0"/>
            <wp:docPr id="1386938922" name="Picture 1" descr="A graph with different colored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38922" name="Picture 1" descr="A graph with different colored rectangles&#10;&#10;Description automatically generated"/>
                    <pic:cNvPicPr/>
                  </pic:nvPicPr>
                  <pic:blipFill>
                    <a:blip r:embed="rId60"/>
                    <a:stretch>
                      <a:fillRect/>
                    </a:stretch>
                  </pic:blipFill>
                  <pic:spPr>
                    <a:xfrm>
                      <a:off x="0" y="0"/>
                      <a:ext cx="2398953" cy="1911600"/>
                    </a:xfrm>
                    <a:prstGeom prst="rect">
                      <a:avLst/>
                    </a:prstGeom>
                  </pic:spPr>
                </pic:pic>
              </a:graphicData>
            </a:graphic>
          </wp:inline>
        </w:drawing>
      </w:r>
      <w:r w:rsidR="00E52E1E">
        <w:rPr>
          <w:rFonts w:ascii="Arial" w:hAnsi="Arial" w:cs="Arial"/>
          <w:noProof/>
          <w:lang w:val="en-NZ"/>
        </w:rPr>
        <w:t xml:space="preserve">   </w:t>
      </w:r>
      <w:r w:rsidR="001F23FF">
        <w:rPr>
          <w:rFonts w:ascii="Arial" w:hAnsi="Arial" w:cs="Arial"/>
          <w:noProof/>
          <w:lang w:val="en-NZ"/>
        </w:rPr>
        <w:t xml:space="preserve"> </w:t>
      </w:r>
      <w:r w:rsidR="00E52E1E">
        <w:rPr>
          <w:rFonts w:ascii="Arial" w:hAnsi="Arial" w:cs="Arial"/>
          <w:noProof/>
          <w:lang w:val="en-NZ"/>
        </w:rPr>
        <w:t xml:space="preserve"> </w:t>
      </w:r>
      <w:r w:rsidR="00E5792B" w:rsidRPr="003067B9">
        <w:rPr>
          <w:rFonts w:ascii="Arial" w:hAnsi="Arial" w:cs="Arial"/>
          <w:noProof/>
          <w:lang w:val="en-NZ"/>
        </w:rPr>
        <w:drawing>
          <wp:inline distT="0" distB="0" distL="0" distR="0" wp14:anchorId="0F4A3FAE" wp14:editId="7D969184">
            <wp:extent cx="2647796" cy="1911600"/>
            <wp:effectExtent l="0" t="0" r="635" b="0"/>
            <wp:docPr id="198072329"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2329" name="Picture 1" descr="A graph of a number of people&#10;&#10;Description automatically generated"/>
                    <pic:cNvPicPr/>
                  </pic:nvPicPr>
                  <pic:blipFill>
                    <a:blip r:embed="rId61"/>
                    <a:stretch>
                      <a:fillRect/>
                    </a:stretch>
                  </pic:blipFill>
                  <pic:spPr>
                    <a:xfrm>
                      <a:off x="0" y="0"/>
                      <a:ext cx="2647796" cy="1911600"/>
                    </a:xfrm>
                    <a:prstGeom prst="rect">
                      <a:avLst/>
                    </a:prstGeom>
                  </pic:spPr>
                </pic:pic>
              </a:graphicData>
            </a:graphic>
          </wp:inline>
        </w:drawing>
      </w:r>
    </w:p>
    <w:p w14:paraId="1674C318" w14:textId="0CDC0445" w:rsidR="00D02262" w:rsidRPr="007C4949" w:rsidRDefault="00D02262" w:rsidP="00DB1DD9">
      <w:pPr>
        <w:rPr>
          <w:i/>
          <w:iCs/>
          <w:lang w:val="en-NZ"/>
        </w:rPr>
      </w:pPr>
      <w:r w:rsidRPr="007C4949">
        <w:rPr>
          <w:i/>
          <w:iCs/>
          <w:lang w:val="en-NZ"/>
        </w:rPr>
        <w:t xml:space="preserve">Source of data is </w:t>
      </w:r>
      <w:r w:rsidR="008C0DBA" w:rsidRPr="007C4949">
        <w:rPr>
          <w:i/>
          <w:iCs/>
          <w:lang w:val="en-NZ"/>
        </w:rPr>
        <w:t xml:space="preserve">the </w:t>
      </w:r>
      <w:r w:rsidRPr="007C4949">
        <w:rPr>
          <w:i/>
          <w:iCs/>
          <w:lang w:val="en-NZ"/>
        </w:rPr>
        <w:t>National Minimum Data Set (NMDS).  Results are presented as a percentage of acute discharges after more than seven nights in medical or surgical specialties, divided by all acute discharges in medical or surgical specialties.</w:t>
      </w:r>
    </w:p>
    <w:p w14:paraId="15FE4A04" w14:textId="77777777" w:rsidR="00210BD7" w:rsidRPr="003067B9" w:rsidRDefault="00210BD7" w:rsidP="00DB1DD9">
      <w:pPr>
        <w:rPr>
          <w:lang w:val="en-NZ"/>
        </w:rPr>
      </w:pPr>
    </w:p>
    <w:p w14:paraId="257138DE" w14:textId="77777777" w:rsidR="00210BD7" w:rsidRPr="003067B9" w:rsidRDefault="00210BD7" w:rsidP="00DB1DD9">
      <w:pPr>
        <w:rPr>
          <w:lang w:val="en-NZ"/>
        </w:rPr>
      </w:pPr>
    </w:p>
    <w:p w14:paraId="74DAAE00" w14:textId="77777777" w:rsidR="00210BD7" w:rsidRPr="003067B9" w:rsidRDefault="00210BD7" w:rsidP="00DB1DD9">
      <w:pPr>
        <w:rPr>
          <w:lang w:val="en-NZ"/>
        </w:rPr>
      </w:pPr>
    </w:p>
    <w:p w14:paraId="2D734C45" w14:textId="3CF16354" w:rsidR="00D02262" w:rsidRPr="00D4706E" w:rsidRDefault="00EE3657" w:rsidP="00BA36AC">
      <w:pPr>
        <w:pStyle w:val="NumberedHeading1"/>
        <w:rPr>
          <w:color w:val="15284C"/>
        </w:rPr>
      </w:pPr>
      <w:bookmarkStart w:id="84" w:name="_Toc162008460"/>
      <w:bookmarkStart w:id="85" w:name="_Toc170199175"/>
      <w:r w:rsidRPr="00D4706E">
        <w:rPr>
          <w:color w:val="15284C"/>
        </w:rPr>
        <w:lastRenderedPageBreak/>
        <w:t xml:space="preserve">17 </w:t>
      </w:r>
      <w:r w:rsidR="00D02262" w:rsidRPr="00D4706E">
        <w:rPr>
          <w:color w:val="15284C"/>
        </w:rPr>
        <w:t>Involvement in care decisions – in hospital</w:t>
      </w:r>
      <w:bookmarkEnd w:id="84"/>
      <w:bookmarkEnd w:id="85"/>
    </w:p>
    <w:p w14:paraId="3B41B9B9" w14:textId="77777777" w:rsidR="00D02262" w:rsidRPr="003067B9" w:rsidRDefault="00D02262" w:rsidP="00D02262">
      <w:pPr>
        <w:rPr>
          <w:szCs w:val="24"/>
          <w:lang w:val="en-NZ"/>
        </w:rPr>
      </w:pPr>
      <w:r w:rsidRPr="003067B9">
        <w:rPr>
          <w:szCs w:val="24"/>
          <w:lang w:val="en-NZ"/>
        </w:rPr>
        <w:t>This measure shows the people who report they were involved as much as they wanted to be in decisions about their treatment as a proportion of all adult inpatients who responded to the Health Quality and Safety Commission (HQSC) quarterly survey of hospital patients.</w:t>
      </w:r>
    </w:p>
    <w:p w14:paraId="637ED30F" w14:textId="0754E034" w:rsidR="00D02262" w:rsidRPr="003067B9" w:rsidRDefault="00D02262" w:rsidP="00D02262">
      <w:pPr>
        <w:rPr>
          <w:color w:val="1C1C1C"/>
          <w:szCs w:val="24"/>
          <w:shd w:val="clear" w:color="auto" w:fill="FFFFFF"/>
          <w:lang w:val="en-NZ"/>
        </w:rPr>
      </w:pPr>
      <w:r w:rsidRPr="003067B9">
        <w:rPr>
          <w:color w:val="1C1C1C"/>
          <w:szCs w:val="24"/>
          <w:shd w:val="clear" w:color="auto" w:fill="FFFFFF"/>
          <w:lang w:val="en-NZ"/>
        </w:rPr>
        <w:t>The proportion of patients reporting involvement in care decisions through the HQSC survey increase</w:t>
      </w:r>
      <w:r w:rsidR="00BA0E8E" w:rsidRPr="003067B9">
        <w:rPr>
          <w:color w:val="1C1C1C"/>
          <w:szCs w:val="24"/>
          <w:shd w:val="clear" w:color="auto" w:fill="FFFFFF"/>
          <w:lang w:val="en-NZ"/>
        </w:rPr>
        <w:t>d</w:t>
      </w:r>
      <w:r w:rsidRPr="003067B9" w:rsidDel="00BA0E8E">
        <w:rPr>
          <w:color w:val="1C1C1C"/>
          <w:szCs w:val="24"/>
          <w:shd w:val="clear" w:color="auto" w:fill="FFFFFF"/>
          <w:lang w:val="en-NZ"/>
        </w:rPr>
        <w:t xml:space="preserve"> </w:t>
      </w:r>
      <w:r w:rsidR="008C0DBA" w:rsidRPr="003067B9">
        <w:rPr>
          <w:color w:val="1C1C1C"/>
          <w:szCs w:val="24"/>
          <w:shd w:val="clear" w:color="auto" w:fill="FFFFFF"/>
          <w:lang w:val="en-NZ"/>
        </w:rPr>
        <w:t xml:space="preserve">by </w:t>
      </w:r>
      <w:r w:rsidRPr="003067B9">
        <w:rPr>
          <w:color w:val="1C1C1C"/>
          <w:szCs w:val="24"/>
          <w:shd w:val="clear" w:color="auto" w:fill="FFFFFF"/>
          <w:lang w:val="en-NZ"/>
        </w:rPr>
        <w:t>5% compared to the baseline in quarter one 2022/23</w:t>
      </w:r>
      <w:r w:rsidR="008C0DBA" w:rsidRPr="003067B9">
        <w:rPr>
          <w:color w:val="1C1C1C"/>
          <w:szCs w:val="24"/>
          <w:shd w:val="clear" w:color="auto" w:fill="FFFFFF"/>
          <w:lang w:val="en-NZ"/>
        </w:rPr>
        <w:t xml:space="preserve">. </w:t>
      </w:r>
      <w:r w:rsidR="00437E4F" w:rsidRPr="003067B9">
        <w:rPr>
          <w:color w:val="1C1C1C"/>
          <w:szCs w:val="24"/>
          <w:shd w:val="clear" w:color="auto" w:fill="FFFFFF"/>
          <w:lang w:val="en-NZ"/>
        </w:rPr>
        <w:t>Involvement in care decisions remained static</w:t>
      </w:r>
      <w:r w:rsidRPr="003067B9" w:rsidDel="002C2671">
        <w:rPr>
          <w:color w:val="1C1C1C"/>
          <w:szCs w:val="24"/>
          <w:shd w:val="clear" w:color="auto" w:fill="FFFFFF"/>
          <w:lang w:val="en-NZ"/>
        </w:rPr>
        <w:t xml:space="preserve"> </w:t>
      </w:r>
      <w:r w:rsidR="00D57718" w:rsidRPr="003067B9">
        <w:rPr>
          <w:color w:val="1C1C1C"/>
          <w:szCs w:val="24"/>
          <w:shd w:val="clear" w:color="auto" w:fill="FFFFFF"/>
          <w:lang w:val="en-NZ"/>
        </w:rPr>
        <w:t>nationally between quarter</w:t>
      </w:r>
      <w:r w:rsidR="009241EA" w:rsidRPr="003067B9">
        <w:rPr>
          <w:color w:val="1C1C1C"/>
          <w:szCs w:val="24"/>
          <w:shd w:val="clear" w:color="auto" w:fill="FFFFFF"/>
          <w:lang w:val="en-NZ"/>
        </w:rPr>
        <w:t>s</w:t>
      </w:r>
      <w:r w:rsidR="00D57718" w:rsidRPr="003067B9">
        <w:rPr>
          <w:color w:val="1C1C1C"/>
          <w:szCs w:val="24"/>
          <w:shd w:val="clear" w:color="auto" w:fill="FFFFFF"/>
          <w:lang w:val="en-NZ"/>
        </w:rPr>
        <w:t xml:space="preserve"> two and </w:t>
      </w:r>
      <w:r w:rsidR="00D57718" w:rsidRPr="003067B9" w:rsidDel="00E21B47">
        <w:rPr>
          <w:color w:val="1C1C1C"/>
          <w:szCs w:val="24"/>
          <w:shd w:val="clear" w:color="auto" w:fill="FFFFFF"/>
          <w:lang w:val="en-NZ"/>
        </w:rPr>
        <w:t>three.</w:t>
      </w:r>
      <w:r w:rsidRPr="003067B9" w:rsidDel="00E21B47">
        <w:rPr>
          <w:color w:val="1C1C1C"/>
          <w:szCs w:val="24"/>
          <w:shd w:val="clear" w:color="auto" w:fill="FFFFFF"/>
          <w:lang w:val="en-NZ"/>
        </w:rPr>
        <w:t xml:space="preserve"> </w:t>
      </w:r>
      <w:r w:rsidR="00E21B47" w:rsidRPr="003067B9">
        <w:rPr>
          <w:color w:val="1C1C1C"/>
          <w:szCs w:val="24"/>
          <w:shd w:val="clear" w:color="auto" w:fill="FFFFFF"/>
          <w:lang w:val="en-NZ"/>
        </w:rPr>
        <w:t>This</w:t>
      </w:r>
      <w:r w:rsidRPr="003067B9">
        <w:rPr>
          <w:color w:val="1C1C1C"/>
          <w:szCs w:val="24"/>
          <w:shd w:val="clear" w:color="auto" w:fill="FFFFFF"/>
          <w:lang w:val="en-NZ"/>
        </w:rPr>
        <w:t xml:space="preserve"> </w:t>
      </w:r>
      <w:r w:rsidR="06393D72" w:rsidRPr="003067B9">
        <w:rPr>
          <w:color w:val="1C1C1C"/>
          <w:szCs w:val="24"/>
          <w:shd w:val="clear" w:color="auto" w:fill="FFFFFF"/>
          <w:lang w:val="en-NZ"/>
        </w:rPr>
        <w:t>result</w:t>
      </w:r>
      <w:r w:rsidRPr="003067B9">
        <w:rPr>
          <w:color w:val="1C1C1C"/>
          <w:szCs w:val="24"/>
          <w:shd w:val="clear" w:color="auto" w:fill="FFFFFF"/>
          <w:lang w:val="en-NZ"/>
        </w:rPr>
        <w:t xml:space="preserve"> shows that our hospital staff keep working hard to ensure consumers and whānau are involved in decisions about their care. </w:t>
      </w:r>
    </w:p>
    <w:p w14:paraId="08F0D1D3" w14:textId="676B1CDC" w:rsidR="00D62281" w:rsidRPr="003067B9" w:rsidRDefault="00D62281" w:rsidP="00D02262">
      <w:pPr>
        <w:rPr>
          <w:color w:val="1C1C1C"/>
          <w:szCs w:val="24"/>
          <w:shd w:val="clear" w:color="auto" w:fill="FFFFFF"/>
          <w:lang w:val="en-NZ"/>
        </w:rPr>
      </w:pPr>
      <w:r w:rsidRPr="003067B9">
        <w:rPr>
          <w:color w:val="1C1C1C"/>
          <w:szCs w:val="24"/>
          <w:shd w:val="clear" w:color="auto" w:fill="FFFFFF"/>
          <w:lang w:val="en-NZ"/>
        </w:rPr>
        <w:t>Performance continues to improve</w:t>
      </w:r>
      <w:r w:rsidR="00493DAE" w:rsidRPr="003067B9">
        <w:rPr>
          <w:color w:val="1C1C1C"/>
          <w:szCs w:val="24"/>
          <w:shd w:val="clear" w:color="auto" w:fill="FFFFFF"/>
          <w:lang w:val="en-NZ"/>
        </w:rPr>
        <w:t xml:space="preserve"> incrementally.</w:t>
      </w:r>
      <w:r w:rsidR="004E54D7" w:rsidRPr="003067B9">
        <w:rPr>
          <w:color w:val="1C1C1C"/>
          <w:szCs w:val="24"/>
          <w:shd w:val="clear" w:color="auto" w:fill="FFFFFF"/>
          <w:lang w:val="en-NZ"/>
        </w:rPr>
        <w:t xml:space="preserve"> </w:t>
      </w:r>
      <w:r w:rsidR="0073442A" w:rsidRPr="003067B9">
        <w:rPr>
          <w:color w:val="1C1C1C"/>
          <w:szCs w:val="24"/>
          <w:shd w:val="clear" w:color="auto" w:fill="FFFFFF"/>
          <w:lang w:val="en-NZ"/>
        </w:rPr>
        <w:t>We would expect performance to remain stable.</w:t>
      </w:r>
    </w:p>
    <w:p w14:paraId="5D734839" w14:textId="485B70E9" w:rsidR="00D02262" w:rsidRPr="003067B9" w:rsidRDefault="00D02262" w:rsidP="00BE3591">
      <w:pPr>
        <w:jc w:val="center"/>
        <w:rPr>
          <w:color w:val="1C1C1C"/>
          <w:szCs w:val="24"/>
          <w:shd w:val="clear" w:color="auto" w:fill="FFFFFF"/>
          <w:lang w:val="en-NZ"/>
        </w:rPr>
      </w:pPr>
      <w:r w:rsidRPr="003067B9">
        <w:rPr>
          <w:noProof/>
          <w:szCs w:val="24"/>
          <w:lang w:val="en-NZ"/>
        </w:rPr>
        <w:drawing>
          <wp:inline distT="0" distB="0" distL="0" distR="0" wp14:anchorId="670C3C9C" wp14:editId="5B7E19FE">
            <wp:extent cx="4060800" cy="2128029"/>
            <wp:effectExtent l="0" t="0" r="0" b="5715"/>
            <wp:docPr id="51237914" name="Picture 1" descr="A graph with a line and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7914" name="Picture 1" descr="A graph with a line and a graph&#10;&#10;Description automatically generated with medium confidence"/>
                    <pic:cNvPicPr/>
                  </pic:nvPicPr>
                  <pic:blipFill>
                    <a:blip r:embed="rId62"/>
                    <a:stretch>
                      <a:fillRect/>
                    </a:stretch>
                  </pic:blipFill>
                  <pic:spPr>
                    <a:xfrm>
                      <a:off x="0" y="0"/>
                      <a:ext cx="4060800" cy="2128029"/>
                    </a:xfrm>
                    <a:prstGeom prst="rect">
                      <a:avLst/>
                    </a:prstGeom>
                  </pic:spPr>
                </pic:pic>
              </a:graphicData>
            </a:graphic>
          </wp:inline>
        </w:drawing>
      </w:r>
    </w:p>
    <w:p w14:paraId="7F0E584D" w14:textId="7E17EE7D" w:rsidR="00A2115E" w:rsidRPr="003067B9" w:rsidRDefault="002F4471" w:rsidP="00D02262">
      <w:pPr>
        <w:rPr>
          <w:color w:val="1C1C1C"/>
          <w:szCs w:val="24"/>
          <w:shd w:val="clear" w:color="auto" w:fill="FFFFFF"/>
          <w:lang w:val="en-NZ"/>
        </w:rPr>
      </w:pPr>
      <w:r w:rsidRPr="003067B9">
        <w:rPr>
          <w:color w:val="1C1C1C"/>
          <w:szCs w:val="24"/>
          <w:shd w:val="clear" w:color="auto" w:fill="FFFFFF"/>
          <w:lang w:val="en-NZ"/>
        </w:rPr>
        <w:t xml:space="preserve">Experience for </w:t>
      </w:r>
      <w:r w:rsidR="00986952" w:rsidRPr="003067B9">
        <w:rPr>
          <w:color w:val="1C1C1C"/>
          <w:szCs w:val="24"/>
          <w:shd w:val="clear" w:color="auto" w:fill="FFFFFF"/>
          <w:lang w:val="en-NZ"/>
        </w:rPr>
        <w:t xml:space="preserve">Asian and Pacific </w:t>
      </w:r>
      <w:r w:rsidR="0069410F" w:rsidRPr="003067B9">
        <w:rPr>
          <w:color w:val="1C1C1C"/>
          <w:szCs w:val="24"/>
          <w:shd w:val="clear" w:color="auto" w:fill="FFFFFF"/>
          <w:lang w:val="en-NZ"/>
        </w:rPr>
        <w:t>is</w:t>
      </w:r>
      <w:r w:rsidR="00986952" w:rsidRPr="003067B9">
        <w:rPr>
          <w:color w:val="1C1C1C"/>
          <w:szCs w:val="24"/>
          <w:shd w:val="clear" w:color="auto" w:fill="FFFFFF"/>
          <w:lang w:val="en-NZ"/>
        </w:rPr>
        <w:t xml:space="preserve"> higher than </w:t>
      </w:r>
      <w:r w:rsidR="00622329" w:rsidRPr="003067B9">
        <w:rPr>
          <w:color w:val="1C1C1C"/>
          <w:szCs w:val="24"/>
          <w:shd w:val="clear" w:color="auto" w:fill="FFFFFF"/>
          <w:lang w:val="en-NZ"/>
        </w:rPr>
        <w:t>that</w:t>
      </w:r>
      <w:r w:rsidR="00986952" w:rsidRPr="003067B9">
        <w:rPr>
          <w:color w:val="1C1C1C"/>
          <w:szCs w:val="24"/>
          <w:shd w:val="clear" w:color="auto" w:fill="FFFFFF"/>
          <w:lang w:val="en-NZ"/>
        </w:rPr>
        <w:t xml:space="preserve"> </w:t>
      </w:r>
      <w:r w:rsidR="00924F60" w:rsidRPr="003067B9">
        <w:rPr>
          <w:color w:val="1C1C1C"/>
          <w:szCs w:val="24"/>
          <w:shd w:val="clear" w:color="auto" w:fill="FFFFFF"/>
          <w:lang w:val="en-NZ"/>
        </w:rPr>
        <w:t>for Māori and</w:t>
      </w:r>
      <w:r w:rsidR="00986952" w:rsidRPr="003067B9">
        <w:rPr>
          <w:color w:val="1C1C1C"/>
          <w:szCs w:val="24"/>
          <w:shd w:val="clear" w:color="auto" w:fill="FFFFFF"/>
          <w:lang w:val="en-NZ"/>
        </w:rPr>
        <w:t xml:space="preserve"> European</w:t>
      </w:r>
      <w:r w:rsidR="00A96132">
        <w:rPr>
          <w:color w:val="1C1C1C"/>
          <w:szCs w:val="24"/>
          <w:shd w:val="clear" w:color="auto" w:fill="FFFFFF"/>
          <w:lang w:val="en-NZ"/>
        </w:rPr>
        <w:t xml:space="preserve"> </w:t>
      </w:r>
      <w:r w:rsidR="00622329" w:rsidRPr="003067B9">
        <w:rPr>
          <w:color w:val="1C1C1C"/>
          <w:szCs w:val="24"/>
          <w:shd w:val="clear" w:color="auto" w:fill="FFFFFF"/>
          <w:lang w:val="en-NZ"/>
        </w:rPr>
        <w:t>/</w:t>
      </w:r>
      <w:r w:rsidR="00A96132">
        <w:rPr>
          <w:color w:val="1C1C1C"/>
          <w:szCs w:val="24"/>
          <w:shd w:val="clear" w:color="auto" w:fill="FFFFFF"/>
          <w:lang w:val="en-NZ"/>
        </w:rPr>
        <w:t xml:space="preserve"> </w:t>
      </w:r>
      <w:r w:rsidR="00622329" w:rsidRPr="003067B9">
        <w:rPr>
          <w:color w:val="1C1C1C"/>
          <w:szCs w:val="24"/>
          <w:shd w:val="clear" w:color="auto" w:fill="FFFFFF"/>
          <w:lang w:val="en-NZ"/>
        </w:rPr>
        <w:t>Other</w:t>
      </w:r>
      <w:r w:rsidR="00986952" w:rsidRPr="003067B9">
        <w:rPr>
          <w:color w:val="1C1C1C"/>
          <w:szCs w:val="24"/>
          <w:shd w:val="clear" w:color="auto" w:fill="FFFFFF"/>
          <w:lang w:val="en-NZ"/>
        </w:rPr>
        <w:t xml:space="preserve">. </w:t>
      </w:r>
      <w:r w:rsidR="00C453E7" w:rsidRPr="003067B9">
        <w:rPr>
          <w:color w:val="1C1C1C"/>
          <w:szCs w:val="24"/>
          <w:shd w:val="clear" w:color="auto" w:fill="FFFFFF"/>
          <w:lang w:val="en-NZ"/>
        </w:rPr>
        <w:t xml:space="preserve">Experience remains lowest for Māori, in comparison to other ethnic groups. </w:t>
      </w:r>
      <w:r w:rsidR="00D02262" w:rsidRPr="003067B9">
        <w:rPr>
          <w:color w:val="1C1C1C"/>
          <w:szCs w:val="24"/>
          <w:shd w:val="clear" w:color="auto" w:fill="FFFFFF"/>
          <w:lang w:val="en-NZ"/>
        </w:rPr>
        <w:t xml:space="preserve">There is work to do to ensure that this improves, along with performance </w:t>
      </w:r>
      <w:r w:rsidR="3D8565AF" w:rsidRPr="003067B9">
        <w:rPr>
          <w:color w:val="1C1C1C"/>
          <w:szCs w:val="24"/>
          <w:shd w:val="clear" w:color="auto" w:fill="FFFFFF"/>
          <w:lang w:val="en-NZ"/>
        </w:rPr>
        <w:t xml:space="preserve">in </w:t>
      </w:r>
      <w:r w:rsidR="00E53DAF" w:rsidRPr="003067B9">
        <w:rPr>
          <w:color w:val="1C1C1C"/>
          <w:szCs w:val="24"/>
          <w:shd w:val="clear" w:color="auto" w:fill="FFFFFF"/>
          <w:lang w:val="en-NZ"/>
        </w:rPr>
        <w:t>particular</w:t>
      </w:r>
      <w:r w:rsidR="00D02262" w:rsidRPr="003067B9">
        <w:rPr>
          <w:color w:val="1C1C1C"/>
          <w:szCs w:val="24"/>
          <w:shd w:val="clear" w:color="auto" w:fill="FFFFFF"/>
          <w:lang w:val="en-NZ"/>
        </w:rPr>
        <w:t xml:space="preserve"> regions</w:t>
      </w:r>
      <w:r w:rsidR="00E53DAF" w:rsidRPr="003067B9">
        <w:rPr>
          <w:color w:val="1C1C1C"/>
          <w:szCs w:val="24"/>
          <w:shd w:val="clear" w:color="auto" w:fill="FFFFFF"/>
          <w:lang w:val="en-NZ"/>
        </w:rPr>
        <w:t>.</w:t>
      </w:r>
      <w:r w:rsidR="00D02262" w:rsidRPr="003067B9">
        <w:rPr>
          <w:color w:val="1C1C1C"/>
          <w:szCs w:val="24"/>
          <w:shd w:val="clear" w:color="auto" w:fill="FFFFFF"/>
          <w:lang w:val="en-NZ"/>
        </w:rPr>
        <w:t xml:space="preserve"> </w:t>
      </w:r>
    </w:p>
    <w:p w14:paraId="2B84635D" w14:textId="2EB54881" w:rsidR="00D02262" w:rsidRPr="003067B9" w:rsidRDefault="00A2115E" w:rsidP="00BE3591">
      <w:pPr>
        <w:jc w:val="center"/>
        <w:rPr>
          <w:color w:val="1C1C1C"/>
          <w:szCs w:val="24"/>
          <w:shd w:val="clear" w:color="auto" w:fill="FFFFFF"/>
          <w:lang w:val="en-NZ"/>
        </w:rPr>
      </w:pPr>
      <w:r w:rsidRPr="003067B9">
        <w:rPr>
          <w:noProof/>
          <w:color w:val="1C1C1C"/>
          <w:szCs w:val="24"/>
          <w:shd w:val="clear" w:color="auto" w:fill="FFFFFF"/>
          <w:lang w:val="en-NZ"/>
        </w:rPr>
        <w:drawing>
          <wp:inline distT="0" distB="0" distL="0" distR="0" wp14:anchorId="6EDB3196" wp14:editId="702BED8A">
            <wp:extent cx="2416164" cy="1911600"/>
            <wp:effectExtent l="0" t="0" r="3810" b="0"/>
            <wp:docPr id="15493652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65276"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2416164" cy="1911600"/>
                    </a:xfrm>
                    <a:prstGeom prst="rect">
                      <a:avLst/>
                    </a:prstGeom>
                  </pic:spPr>
                </pic:pic>
              </a:graphicData>
            </a:graphic>
          </wp:inline>
        </w:drawing>
      </w:r>
      <w:r w:rsidR="00E52E1E">
        <w:rPr>
          <w:noProof/>
          <w:color w:val="1C1C1C"/>
          <w:szCs w:val="24"/>
          <w:shd w:val="clear" w:color="auto" w:fill="FFFFFF"/>
          <w:lang w:val="en-NZ"/>
        </w:rPr>
        <w:t xml:space="preserve">   </w:t>
      </w:r>
      <w:r w:rsidR="001F23FF">
        <w:rPr>
          <w:noProof/>
          <w:color w:val="1C1C1C"/>
          <w:szCs w:val="24"/>
          <w:shd w:val="clear" w:color="auto" w:fill="FFFFFF"/>
          <w:lang w:val="en-NZ"/>
        </w:rPr>
        <w:t xml:space="preserve">  </w:t>
      </w:r>
      <w:r w:rsidR="00C35508" w:rsidRPr="003067B9">
        <w:rPr>
          <w:noProof/>
          <w:color w:val="1C1C1C"/>
          <w:szCs w:val="24"/>
          <w:shd w:val="clear" w:color="auto" w:fill="FFFFFF"/>
          <w:lang w:val="en-NZ"/>
        </w:rPr>
        <w:drawing>
          <wp:inline distT="0" distB="0" distL="0" distR="0" wp14:anchorId="34A338A3" wp14:editId="6044BFEA">
            <wp:extent cx="2594315" cy="1911600"/>
            <wp:effectExtent l="0" t="0" r="0" b="0"/>
            <wp:docPr id="10072308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0867" name="Picture 1">
                      <a:extLst>
                        <a:ext uri="{C183D7F6-B498-43B3-948B-1728B52AA6E4}">
                          <adec:decorative xmlns:adec="http://schemas.microsoft.com/office/drawing/2017/decorative" val="1"/>
                        </a:ext>
                      </a:extLst>
                    </pic:cNvPr>
                    <pic:cNvPicPr/>
                  </pic:nvPicPr>
                  <pic:blipFill>
                    <a:blip r:embed="rId64"/>
                    <a:stretch>
                      <a:fillRect/>
                    </a:stretch>
                  </pic:blipFill>
                  <pic:spPr>
                    <a:xfrm>
                      <a:off x="0" y="0"/>
                      <a:ext cx="2594315" cy="1911600"/>
                    </a:xfrm>
                    <a:prstGeom prst="rect">
                      <a:avLst/>
                    </a:prstGeom>
                  </pic:spPr>
                </pic:pic>
              </a:graphicData>
            </a:graphic>
          </wp:inline>
        </w:drawing>
      </w:r>
    </w:p>
    <w:p w14:paraId="184B88AE" w14:textId="6414765F" w:rsidR="00624750" w:rsidRPr="007C4949" w:rsidRDefault="00D02262" w:rsidP="00D02262">
      <w:pPr>
        <w:rPr>
          <w:i/>
          <w:iCs/>
          <w:lang w:val="en-NZ"/>
        </w:rPr>
      </w:pPr>
      <w:r w:rsidRPr="007C4949">
        <w:rPr>
          <w:i/>
          <w:iCs/>
          <w:lang w:val="en-NZ"/>
        </w:rPr>
        <w:t xml:space="preserve">Source of data is the HQSC Adult Hospital Inpatient Experience Survey.  Results are based on weighted data.  </w:t>
      </w:r>
    </w:p>
    <w:p w14:paraId="0B57CD4D" w14:textId="77777777" w:rsidR="00210BD7" w:rsidRPr="003067B9" w:rsidRDefault="00210BD7" w:rsidP="00D02262">
      <w:pPr>
        <w:rPr>
          <w:lang w:val="en-NZ"/>
        </w:rPr>
      </w:pPr>
    </w:p>
    <w:p w14:paraId="6DEC247B" w14:textId="18CAD6AB" w:rsidR="00D02262" w:rsidRPr="00D4706E" w:rsidRDefault="00EE3657" w:rsidP="00D12986">
      <w:pPr>
        <w:pStyle w:val="NumberedHeading1"/>
        <w:rPr>
          <w:color w:val="15284C"/>
        </w:rPr>
      </w:pPr>
      <w:bookmarkStart w:id="86" w:name="_Toc162008463"/>
      <w:bookmarkStart w:id="87" w:name="_Toc170199176"/>
      <w:r w:rsidRPr="00D4706E">
        <w:rPr>
          <w:color w:val="15284C"/>
        </w:rPr>
        <w:lastRenderedPageBreak/>
        <w:t xml:space="preserve">18 </w:t>
      </w:r>
      <w:r w:rsidR="00D02262" w:rsidRPr="00D4706E">
        <w:rPr>
          <w:color w:val="15284C"/>
        </w:rPr>
        <w:t>People waiting more than 365 days for a procedure</w:t>
      </w:r>
      <w:bookmarkEnd w:id="86"/>
      <w:bookmarkEnd w:id="87"/>
    </w:p>
    <w:p w14:paraId="17407999" w14:textId="77777777" w:rsidR="00D02262" w:rsidRPr="003067B9" w:rsidRDefault="00D02262" w:rsidP="00D02262">
      <w:pPr>
        <w:rPr>
          <w:szCs w:val="24"/>
          <w:lang w:val="en-NZ"/>
        </w:rPr>
      </w:pPr>
      <w:r w:rsidRPr="003067B9">
        <w:rPr>
          <w:szCs w:val="24"/>
          <w:lang w:val="en-NZ"/>
        </w:rPr>
        <w:t>This measure reports the number of people who have been waiting for a procedure for more than 365 days from when they were ready for treatment.</w:t>
      </w:r>
    </w:p>
    <w:p w14:paraId="1F85A040" w14:textId="58B41DA8" w:rsidR="00D02262" w:rsidRPr="003067B9" w:rsidRDefault="00D02262" w:rsidP="00D02262">
      <w:pPr>
        <w:rPr>
          <w:szCs w:val="24"/>
          <w:lang w:val="en-NZ"/>
        </w:rPr>
      </w:pPr>
      <w:r w:rsidRPr="003067B9">
        <w:rPr>
          <w:szCs w:val="24"/>
          <w:lang w:val="en-NZ"/>
        </w:rPr>
        <w:t xml:space="preserve">There has been a decrease in the number of people waiting more than 365 days for a procedure compared with 12 months ago. </w:t>
      </w:r>
      <w:r w:rsidRPr="003067B9">
        <w:rPr>
          <w:color w:val="1C1C1C"/>
          <w:szCs w:val="24"/>
          <w:shd w:val="clear" w:color="auto" w:fill="FFFFFF"/>
          <w:lang w:val="en-NZ"/>
        </w:rPr>
        <w:t xml:space="preserve">Improved booking processes have contributed to this. Regions are collaborating to identify and address local issues. This includes improving outsourcing processes and promoting the </w:t>
      </w:r>
      <w:r w:rsidR="0069410F" w:rsidRPr="003067B9">
        <w:rPr>
          <w:color w:val="1C1C1C"/>
          <w:szCs w:val="24"/>
          <w:shd w:val="clear" w:color="auto" w:fill="FFFFFF"/>
          <w:lang w:val="en-NZ"/>
        </w:rPr>
        <w:t>N</w:t>
      </w:r>
      <w:r w:rsidRPr="003067B9">
        <w:rPr>
          <w:color w:val="1C1C1C"/>
          <w:szCs w:val="24"/>
          <w:shd w:val="clear" w:color="auto" w:fill="FFFFFF"/>
          <w:lang w:val="en-NZ"/>
        </w:rPr>
        <w:t>ational Travel Assistance Scheme to support patients to access the care they need outside their home area.</w:t>
      </w:r>
    </w:p>
    <w:p w14:paraId="64617D88" w14:textId="2830613A" w:rsidR="00D02262" w:rsidRPr="003067B9" w:rsidRDefault="00D02262" w:rsidP="00D02262">
      <w:pPr>
        <w:rPr>
          <w:szCs w:val="24"/>
          <w:lang w:val="en-NZ"/>
        </w:rPr>
      </w:pPr>
      <w:r w:rsidRPr="003067B9">
        <w:rPr>
          <w:szCs w:val="24"/>
          <w:lang w:val="en-NZ"/>
        </w:rPr>
        <w:t xml:space="preserve">We have embedded operational tools such as the national Rapid data set and processes for weekly long-waiter reporting to regional </w:t>
      </w:r>
      <w:r w:rsidR="00F1782D">
        <w:rPr>
          <w:szCs w:val="24"/>
          <w:lang w:val="en-NZ"/>
        </w:rPr>
        <w:t>d</w:t>
      </w:r>
      <w:r w:rsidRPr="003067B9">
        <w:rPr>
          <w:szCs w:val="24"/>
          <w:lang w:val="en-NZ"/>
        </w:rPr>
        <w:t xml:space="preserve">irectors and Planned Care senior responsible officers. </w:t>
      </w:r>
      <w:r w:rsidR="16ED79D2" w:rsidRPr="003067B9">
        <w:rPr>
          <w:szCs w:val="24"/>
          <w:lang w:val="en-NZ"/>
        </w:rPr>
        <w:t>R</w:t>
      </w:r>
      <w:r w:rsidRPr="003067B9">
        <w:rPr>
          <w:szCs w:val="24"/>
          <w:lang w:val="en-NZ"/>
        </w:rPr>
        <w:t xml:space="preserve">egions use a 300-day flag to predict upcoming demand and enable appropriate planning. </w:t>
      </w:r>
    </w:p>
    <w:p w14:paraId="73EC7D77" w14:textId="4553A859" w:rsidR="00D02262" w:rsidRPr="003067B9" w:rsidRDefault="00D02262" w:rsidP="00307599">
      <w:pPr>
        <w:jc w:val="center"/>
        <w:rPr>
          <w:noProof/>
          <w:lang w:val="en-NZ"/>
        </w:rPr>
      </w:pPr>
      <w:r w:rsidRPr="003067B9">
        <w:rPr>
          <w:noProof/>
          <w:lang w:val="en-NZ"/>
        </w:rPr>
        <w:drawing>
          <wp:inline distT="0" distB="0" distL="0" distR="0" wp14:anchorId="2EC12B6A" wp14:editId="6DC45626">
            <wp:extent cx="3846367" cy="2296632"/>
            <wp:effectExtent l="0" t="0" r="1905" b="889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62184" cy="2306076"/>
                    </a:xfrm>
                    <a:prstGeom prst="rect">
                      <a:avLst/>
                    </a:prstGeom>
                    <a:noFill/>
                  </pic:spPr>
                </pic:pic>
              </a:graphicData>
            </a:graphic>
          </wp:inline>
        </w:drawing>
      </w:r>
    </w:p>
    <w:p w14:paraId="52964420" w14:textId="274D3BB6" w:rsidR="00D02262" w:rsidRPr="007C4949" w:rsidRDefault="00D02262" w:rsidP="00EB2BCC">
      <w:pPr>
        <w:rPr>
          <w:i/>
          <w:iCs/>
          <w:lang w:val="en-NZ"/>
        </w:rPr>
      </w:pPr>
      <w:r w:rsidRPr="007C4949">
        <w:rPr>
          <w:i/>
          <w:iCs/>
          <w:lang w:val="en-NZ"/>
        </w:rPr>
        <w:t xml:space="preserve">Source of data is </w:t>
      </w:r>
      <w:r w:rsidR="0069410F" w:rsidRPr="007C4949">
        <w:rPr>
          <w:i/>
          <w:iCs/>
          <w:lang w:val="en-NZ"/>
        </w:rPr>
        <w:t xml:space="preserve">the </w:t>
      </w:r>
      <w:r w:rsidRPr="007C4949">
        <w:rPr>
          <w:i/>
          <w:iCs/>
          <w:lang w:val="en-NZ"/>
        </w:rPr>
        <w:t xml:space="preserve">National Booking Reporting System (NBRS). Results for Canterbury, Nelson Marlborough, Southern and West Coast areas are not validated for quarter three. These areas are omitted from the above chart and local area-specific charts in </w:t>
      </w:r>
      <w:r w:rsidR="0069410F" w:rsidRPr="007C4949">
        <w:rPr>
          <w:i/>
          <w:iCs/>
          <w:lang w:val="en-NZ"/>
        </w:rPr>
        <w:t>A</w:t>
      </w:r>
      <w:r w:rsidRPr="007C4949">
        <w:rPr>
          <w:i/>
          <w:iCs/>
          <w:lang w:val="en-NZ"/>
        </w:rPr>
        <w:t xml:space="preserve">ppendix </w:t>
      </w:r>
      <w:r w:rsidR="0069410F" w:rsidRPr="007C4949">
        <w:rPr>
          <w:i/>
          <w:iCs/>
          <w:lang w:val="en-NZ"/>
        </w:rPr>
        <w:t>T</w:t>
      </w:r>
      <w:r w:rsidRPr="007C4949">
        <w:rPr>
          <w:i/>
          <w:iCs/>
          <w:lang w:val="en-NZ"/>
        </w:rPr>
        <w:t xml:space="preserve">wo. Ethnicity and regional breakdowns have been withheld for this quarter because of the distortion </w:t>
      </w:r>
      <w:r w:rsidR="00A008DE" w:rsidRPr="007C4949">
        <w:rPr>
          <w:i/>
          <w:iCs/>
          <w:lang w:val="en-NZ"/>
        </w:rPr>
        <w:t>caused</w:t>
      </w:r>
      <w:r w:rsidRPr="007C4949">
        <w:rPr>
          <w:i/>
          <w:iCs/>
          <w:lang w:val="en-NZ"/>
        </w:rPr>
        <w:t xml:space="preserve"> by the omission of these four local areas.</w:t>
      </w:r>
    </w:p>
    <w:p w14:paraId="6347E0CE" w14:textId="77777777" w:rsidR="00307599" w:rsidRPr="003067B9" w:rsidRDefault="00307599" w:rsidP="00EB2BCC">
      <w:pPr>
        <w:rPr>
          <w:lang w:val="en-NZ"/>
        </w:rPr>
      </w:pPr>
    </w:p>
    <w:p w14:paraId="1F3247F7" w14:textId="77777777" w:rsidR="00307599" w:rsidRPr="003067B9" w:rsidRDefault="00307599" w:rsidP="00EB2BCC">
      <w:pPr>
        <w:rPr>
          <w:lang w:val="en-NZ"/>
        </w:rPr>
      </w:pPr>
    </w:p>
    <w:p w14:paraId="0F3C189E" w14:textId="77777777" w:rsidR="00307599" w:rsidRPr="003067B9" w:rsidRDefault="00307599" w:rsidP="00EB2BCC">
      <w:pPr>
        <w:rPr>
          <w:lang w:val="en-NZ"/>
        </w:rPr>
      </w:pPr>
    </w:p>
    <w:p w14:paraId="676385B9" w14:textId="77777777" w:rsidR="00307599" w:rsidRPr="003067B9" w:rsidRDefault="00307599" w:rsidP="00EB2BCC">
      <w:pPr>
        <w:rPr>
          <w:lang w:val="en-NZ"/>
        </w:rPr>
      </w:pPr>
    </w:p>
    <w:p w14:paraId="751D5A66" w14:textId="77777777" w:rsidR="00307599" w:rsidRPr="003067B9" w:rsidRDefault="00307599" w:rsidP="00EB2BCC">
      <w:pPr>
        <w:rPr>
          <w:lang w:val="en-NZ"/>
        </w:rPr>
      </w:pPr>
    </w:p>
    <w:p w14:paraId="0AAE022B" w14:textId="77777777" w:rsidR="00307599" w:rsidRPr="003067B9" w:rsidRDefault="00307599" w:rsidP="00EB2BCC">
      <w:pPr>
        <w:rPr>
          <w:lang w:val="en-NZ"/>
        </w:rPr>
      </w:pPr>
    </w:p>
    <w:p w14:paraId="6EDF3793" w14:textId="77777777" w:rsidR="00307599" w:rsidRPr="003067B9" w:rsidRDefault="00307599" w:rsidP="00EB2BCC">
      <w:pPr>
        <w:rPr>
          <w:lang w:val="en-NZ"/>
        </w:rPr>
      </w:pPr>
    </w:p>
    <w:p w14:paraId="169ED497" w14:textId="5B2D7643" w:rsidR="00D02262" w:rsidRPr="00D4706E" w:rsidRDefault="00EE3657" w:rsidP="00D12986">
      <w:pPr>
        <w:pStyle w:val="NumberedHeading1"/>
        <w:rPr>
          <w:color w:val="15284C"/>
        </w:rPr>
      </w:pPr>
      <w:bookmarkStart w:id="88" w:name="_Toc162008464"/>
      <w:bookmarkStart w:id="89" w:name="_Toc170199177"/>
      <w:r w:rsidRPr="00D4706E">
        <w:rPr>
          <w:color w:val="15284C"/>
        </w:rPr>
        <w:lastRenderedPageBreak/>
        <w:t xml:space="preserve">19 </w:t>
      </w:r>
      <w:r w:rsidR="00D02262" w:rsidRPr="00D4706E">
        <w:rPr>
          <w:color w:val="15284C"/>
        </w:rPr>
        <w:t>Medical appointments through digital channels</w:t>
      </w:r>
      <w:bookmarkEnd w:id="88"/>
      <w:bookmarkEnd w:id="89"/>
    </w:p>
    <w:p w14:paraId="664E6511" w14:textId="22F93113" w:rsidR="00D02262" w:rsidRPr="003067B9" w:rsidRDefault="00D02262" w:rsidP="00D02262">
      <w:pPr>
        <w:rPr>
          <w:szCs w:val="24"/>
          <w:lang w:val="en-NZ"/>
        </w:rPr>
      </w:pPr>
      <w:r w:rsidRPr="003067B9">
        <w:rPr>
          <w:szCs w:val="24"/>
          <w:lang w:val="en-NZ"/>
        </w:rPr>
        <w:t>This measure reports outpatient attendances completed via telephone or video as a proportion of all outpatient attendances.</w:t>
      </w:r>
    </w:p>
    <w:p w14:paraId="68883090" w14:textId="7390D98C" w:rsidR="00D02262" w:rsidRPr="003067B9" w:rsidRDefault="00D02262" w:rsidP="00D02262">
      <w:pPr>
        <w:rPr>
          <w:szCs w:val="24"/>
          <w:lang w:val="en-NZ"/>
        </w:rPr>
      </w:pPr>
      <w:r w:rsidRPr="003067B9">
        <w:rPr>
          <w:szCs w:val="24"/>
          <w:lang w:val="en-NZ"/>
        </w:rPr>
        <w:t xml:space="preserve">The number of medical appointments through digital channels slightly decreased in quarter three. </w:t>
      </w:r>
    </w:p>
    <w:p w14:paraId="4BBBFA06" w14:textId="52D57E67" w:rsidR="00D02262" w:rsidRPr="003067B9" w:rsidRDefault="00D02262" w:rsidP="00D02262">
      <w:pPr>
        <w:rPr>
          <w:sz w:val="28"/>
          <w:szCs w:val="28"/>
          <w:lang w:val="en-NZ"/>
        </w:rPr>
      </w:pPr>
      <w:r w:rsidRPr="003067B9">
        <w:rPr>
          <w:szCs w:val="24"/>
          <w:lang w:val="en-NZ"/>
        </w:rPr>
        <w:t xml:space="preserve">Our primary focus is on delivering targeted initiatives to significantly improve digital access to health services. This includes Remote Patient Monitoring, which </w:t>
      </w:r>
      <w:r w:rsidR="0043061E" w:rsidRPr="003067B9">
        <w:rPr>
          <w:szCs w:val="24"/>
          <w:lang w:val="en-NZ"/>
        </w:rPr>
        <w:t xml:space="preserve">enables </w:t>
      </w:r>
      <w:r w:rsidRPr="003067B9">
        <w:rPr>
          <w:szCs w:val="24"/>
          <w:lang w:val="en-NZ"/>
        </w:rPr>
        <w:t>healthcare providers to collect and monitor health information from patients in remote or rural areas and</w:t>
      </w:r>
      <w:r w:rsidR="0043061E" w:rsidRPr="003067B9">
        <w:rPr>
          <w:szCs w:val="24"/>
          <w:lang w:val="en-NZ"/>
        </w:rPr>
        <w:t xml:space="preserve"> the</w:t>
      </w:r>
      <w:r w:rsidRPr="003067B9">
        <w:rPr>
          <w:szCs w:val="24"/>
          <w:lang w:val="en-NZ"/>
        </w:rPr>
        <w:t xml:space="preserve"> Ka </w:t>
      </w:r>
      <w:r w:rsidR="005570F1">
        <w:rPr>
          <w:szCs w:val="24"/>
          <w:lang w:val="en-NZ"/>
        </w:rPr>
        <w:t>O</w:t>
      </w:r>
      <w:r w:rsidRPr="003067B9">
        <w:rPr>
          <w:szCs w:val="24"/>
          <w:lang w:val="en-NZ"/>
        </w:rPr>
        <w:t xml:space="preserve">ra </w:t>
      </w:r>
      <w:r w:rsidR="005570F1">
        <w:rPr>
          <w:szCs w:val="24"/>
          <w:lang w:val="en-NZ"/>
        </w:rPr>
        <w:t>Telecare</w:t>
      </w:r>
      <w:r w:rsidR="005570F1" w:rsidRPr="003067B9">
        <w:rPr>
          <w:szCs w:val="24"/>
          <w:lang w:val="en-NZ"/>
        </w:rPr>
        <w:t xml:space="preserve"> </w:t>
      </w:r>
      <w:r w:rsidRPr="003067B9">
        <w:rPr>
          <w:szCs w:val="24"/>
          <w:lang w:val="en-NZ"/>
        </w:rPr>
        <w:t>service, which has provided a total of 2,696 appointments since </w:t>
      </w:r>
      <w:r w:rsidR="00103BBD" w:rsidRPr="003067B9">
        <w:rPr>
          <w:szCs w:val="24"/>
          <w:lang w:val="en-NZ"/>
        </w:rPr>
        <w:t>its</w:t>
      </w:r>
      <w:r w:rsidRPr="003067B9">
        <w:rPr>
          <w:szCs w:val="24"/>
          <w:lang w:val="en-NZ"/>
        </w:rPr>
        <w:t> inception in November 2023.</w:t>
      </w:r>
      <w:r w:rsidRPr="003067B9" w:rsidDel="00DD0779">
        <w:rPr>
          <w:sz w:val="28"/>
          <w:szCs w:val="28"/>
          <w:lang w:val="en-NZ"/>
        </w:rPr>
        <w:t xml:space="preserve"> </w:t>
      </w:r>
    </w:p>
    <w:p w14:paraId="170E4878" w14:textId="37423BD1" w:rsidR="00C12C13" w:rsidRPr="003067B9" w:rsidRDefault="00D02262" w:rsidP="00BE3591">
      <w:pPr>
        <w:jc w:val="center"/>
        <w:rPr>
          <w:noProof/>
          <w:lang w:val="en-NZ"/>
        </w:rPr>
      </w:pPr>
      <w:r w:rsidRPr="003067B9">
        <w:rPr>
          <w:noProof/>
          <w:lang w:val="en-NZ"/>
        </w:rPr>
        <w:drawing>
          <wp:inline distT="0" distB="0" distL="0" distR="0" wp14:anchorId="1EA2E51A" wp14:editId="6A3BE4AB">
            <wp:extent cx="4060800" cy="2098785"/>
            <wp:effectExtent l="0" t="0" r="0" b="0"/>
            <wp:docPr id="437200246" name="Picture 1" descr="A graph with a lin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00246" name="Picture 1" descr="A graph with a line and numbers&#10;&#10;Description automatically generated"/>
                    <pic:cNvPicPr/>
                  </pic:nvPicPr>
                  <pic:blipFill>
                    <a:blip r:embed="rId66"/>
                    <a:stretch>
                      <a:fillRect/>
                    </a:stretch>
                  </pic:blipFill>
                  <pic:spPr>
                    <a:xfrm>
                      <a:off x="0" y="0"/>
                      <a:ext cx="4060800" cy="2098785"/>
                    </a:xfrm>
                    <a:prstGeom prst="rect">
                      <a:avLst/>
                    </a:prstGeom>
                  </pic:spPr>
                </pic:pic>
              </a:graphicData>
            </a:graphic>
          </wp:inline>
        </w:drawing>
      </w:r>
    </w:p>
    <w:p w14:paraId="62D81BD4" w14:textId="7B90BEED" w:rsidR="00C12C13" w:rsidRPr="003067B9" w:rsidRDefault="00C12C13" w:rsidP="00BE3591">
      <w:pPr>
        <w:jc w:val="center"/>
        <w:rPr>
          <w:noProof/>
          <w:lang w:val="en-NZ"/>
        </w:rPr>
      </w:pPr>
      <w:r w:rsidRPr="003067B9">
        <w:rPr>
          <w:noProof/>
          <w:lang w:val="en-NZ"/>
        </w:rPr>
        <w:drawing>
          <wp:inline distT="0" distB="0" distL="0" distR="0" wp14:anchorId="2D07E42B" wp14:editId="714F546A">
            <wp:extent cx="2453183" cy="1984065"/>
            <wp:effectExtent l="0" t="0" r="4445" b="0"/>
            <wp:docPr id="12156582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58212" name="Picture 1">
                      <a:extLst>
                        <a:ext uri="{C183D7F6-B498-43B3-948B-1728B52AA6E4}">
                          <adec:decorative xmlns:adec="http://schemas.microsoft.com/office/drawing/2017/decorative" val="1"/>
                        </a:ext>
                      </a:extLst>
                    </pic:cNvPr>
                    <pic:cNvPicPr/>
                  </pic:nvPicPr>
                  <pic:blipFill>
                    <a:blip r:embed="rId67"/>
                    <a:stretch>
                      <a:fillRect/>
                    </a:stretch>
                  </pic:blipFill>
                  <pic:spPr>
                    <a:xfrm>
                      <a:off x="0" y="0"/>
                      <a:ext cx="2463416" cy="1992341"/>
                    </a:xfrm>
                    <a:prstGeom prst="rect">
                      <a:avLst/>
                    </a:prstGeom>
                  </pic:spPr>
                </pic:pic>
              </a:graphicData>
            </a:graphic>
          </wp:inline>
        </w:drawing>
      </w:r>
      <w:r w:rsidR="00E52E1E">
        <w:rPr>
          <w:noProof/>
          <w:lang w:val="en-NZ"/>
        </w:rPr>
        <w:t xml:space="preserve">     </w:t>
      </w:r>
      <w:r w:rsidR="0069310C" w:rsidRPr="003067B9">
        <w:rPr>
          <w:noProof/>
          <w:lang w:val="en-NZ"/>
        </w:rPr>
        <w:drawing>
          <wp:inline distT="0" distB="0" distL="0" distR="0" wp14:anchorId="3734A541" wp14:editId="612F55BC">
            <wp:extent cx="2717800" cy="1971905"/>
            <wp:effectExtent l="0" t="0" r="6350" b="9525"/>
            <wp:docPr id="169964945" name="Picture 1"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4945" name="Picture 1" descr="A graph of a number of individuals&#10;&#10;Description automatically generated with medium confidence"/>
                    <pic:cNvPicPr/>
                  </pic:nvPicPr>
                  <pic:blipFill>
                    <a:blip r:embed="rId68"/>
                    <a:stretch>
                      <a:fillRect/>
                    </a:stretch>
                  </pic:blipFill>
                  <pic:spPr>
                    <a:xfrm>
                      <a:off x="0" y="0"/>
                      <a:ext cx="2726208" cy="1978006"/>
                    </a:xfrm>
                    <a:prstGeom prst="rect">
                      <a:avLst/>
                    </a:prstGeom>
                  </pic:spPr>
                </pic:pic>
              </a:graphicData>
            </a:graphic>
          </wp:inline>
        </w:drawing>
      </w:r>
    </w:p>
    <w:p w14:paraId="4F7095CA" w14:textId="77777777" w:rsidR="00D02262" w:rsidRPr="00092CCA" w:rsidRDefault="00D02262" w:rsidP="005B4C9B">
      <w:pPr>
        <w:rPr>
          <w:i/>
          <w:iCs/>
          <w:lang w:val="en-NZ"/>
        </w:rPr>
      </w:pPr>
      <w:r w:rsidRPr="00092CCA">
        <w:rPr>
          <w:i/>
          <w:iCs/>
          <w:lang w:val="en-NZ"/>
        </w:rPr>
        <w:t>Source of the data is the National Non-Admitted Patient Collection (NNPAC).</w:t>
      </w:r>
    </w:p>
    <w:p w14:paraId="7840EA8C" w14:textId="77777777" w:rsidR="007348EC" w:rsidRPr="003067B9" w:rsidRDefault="007348EC" w:rsidP="005B4C9B">
      <w:pPr>
        <w:rPr>
          <w:lang w:val="en-NZ"/>
        </w:rPr>
      </w:pPr>
    </w:p>
    <w:p w14:paraId="6E12CFC3" w14:textId="77777777" w:rsidR="007348EC" w:rsidRPr="003067B9" w:rsidRDefault="007348EC" w:rsidP="005B4C9B">
      <w:pPr>
        <w:rPr>
          <w:lang w:val="en-NZ"/>
        </w:rPr>
      </w:pPr>
    </w:p>
    <w:p w14:paraId="5D3E59DC" w14:textId="77777777" w:rsidR="007348EC" w:rsidRPr="003067B9" w:rsidRDefault="007348EC" w:rsidP="005B4C9B">
      <w:pPr>
        <w:rPr>
          <w:lang w:val="en-NZ"/>
        </w:rPr>
      </w:pPr>
    </w:p>
    <w:p w14:paraId="0EB8F103" w14:textId="77777777" w:rsidR="007348EC" w:rsidRPr="003067B9" w:rsidRDefault="007348EC" w:rsidP="005B4C9B">
      <w:pPr>
        <w:rPr>
          <w:lang w:val="en-NZ"/>
        </w:rPr>
      </w:pPr>
    </w:p>
    <w:p w14:paraId="35B0A8C5" w14:textId="77777777" w:rsidR="007348EC" w:rsidRPr="003067B9" w:rsidRDefault="007348EC" w:rsidP="005B4C9B">
      <w:pPr>
        <w:rPr>
          <w:lang w:val="en-NZ"/>
        </w:rPr>
      </w:pPr>
    </w:p>
    <w:p w14:paraId="0E15A384" w14:textId="13CE9B64" w:rsidR="00D02262" w:rsidRPr="00D4706E" w:rsidRDefault="00EE3657" w:rsidP="00D12986">
      <w:pPr>
        <w:pStyle w:val="NumberedHeading1"/>
        <w:rPr>
          <w:color w:val="15284C"/>
        </w:rPr>
      </w:pPr>
      <w:bookmarkStart w:id="90" w:name="_Toc162008465"/>
      <w:bookmarkStart w:id="91" w:name="_Toc170199178"/>
      <w:r w:rsidRPr="00D4706E">
        <w:rPr>
          <w:color w:val="15284C"/>
        </w:rPr>
        <w:lastRenderedPageBreak/>
        <w:t xml:space="preserve">20 </w:t>
      </w:r>
      <w:r w:rsidR="00D02262" w:rsidRPr="00D4706E">
        <w:rPr>
          <w:color w:val="15284C"/>
        </w:rPr>
        <w:t>Missed appointments</w:t>
      </w:r>
      <w:bookmarkEnd w:id="90"/>
      <w:bookmarkEnd w:id="91"/>
    </w:p>
    <w:p w14:paraId="6F2EB6FF" w14:textId="3F813F46" w:rsidR="00D02262" w:rsidRPr="003067B9" w:rsidRDefault="00D02262" w:rsidP="00D02262">
      <w:pPr>
        <w:rPr>
          <w:szCs w:val="24"/>
          <w:lang w:val="en-NZ"/>
        </w:rPr>
      </w:pPr>
      <w:r w:rsidRPr="003067B9">
        <w:rPr>
          <w:szCs w:val="24"/>
          <w:lang w:val="en-NZ"/>
        </w:rPr>
        <w:t>This measure reports the proportion of people who did not attend or did not wait for a first specialist assessment or follow-ups.</w:t>
      </w:r>
    </w:p>
    <w:p w14:paraId="6E2F4FBE" w14:textId="3726D280" w:rsidR="00D02262" w:rsidRPr="003067B9" w:rsidRDefault="002364B0" w:rsidP="00D02262">
      <w:pPr>
        <w:rPr>
          <w:szCs w:val="24"/>
          <w:lang w:val="en-NZ"/>
        </w:rPr>
      </w:pPr>
      <w:bookmarkStart w:id="92" w:name="_Toc162008466"/>
      <w:r w:rsidRPr="003067B9">
        <w:rPr>
          <w:szCs w:val="24"/>
          <w:lang w:val="en-NZ"/>
        </w:rPr>
        <w:t xml:space="preserve">The national rate of missed appointments saw a slight </w:t>
      </w:r>
      <w:r w:rsidR="000148B6" w:rsidRPr="003067B9">
        <w:rPr>
          <w:szCs w:val="24"/>
          <w:lang w:val="en-NZ"/>
        </w:rPr>
        <w:t>slip</w:t>
      </w:r>
      <w:r w:rsidRPr="003067B9">
        <w:rPr>
          <w:szCs w:val="24"/>
          <w:lang w:val="en-NZ"/>
        </w:rPr>
        <w:t xml:space="preserve"> in quarter three compared to quarter two. </w:t>
      </w:r>
      <w:r w:rsidR="00F54DA7" w:rsidRPr="003067B9">
        <w:rPr>
          <w:szCs w:val="24"/>
          <w:lang w:val="en-NZ"/>
        </w:rPr>
        <w:t xml:space="preserve"> We are </w:t>
      </w:r>
      <w:r w:rsidR="00F15C2F" w:rsidRPr="003067B9">
        <w:rPr>
          <w:szCs w:val="24"/>
          <w:lang w:val="en-NZ"/>
        </w:rPr>
        <w:t>working on</w:t>
      </w:r>
      <w:r w:rsidR="00F54DA7" w:rsidRPr="003067B9">
        <w:rPr>
          <w:szCs w:val="24"/>
          <w:lang w:val="en-NZ"/>
        </w:rPr>
        <w:t xml:space="preserve"> </w:t>
      </w:r>
      <w:r w:rsidR="00D02262" w:rsidRPr="003067B9">
        <w:rPr>
          <w:szCs w:val="24"/>
          <w:lang w:val="en-NZ"/>
        </w:rPr>
        <w:t>several initiatives to improve rates of missed appointments. These include:</w:t>
      </w:r>
    </w:p>
    <w:p w14:paraId="281316A6" w14:textId="0A31B23B" w:rsidR="00D02262" w:rsidRPr="003067B9" w:rsidRDefault="00087658" w:rsidP="005B4C9B">
      <w:pPr>
        <w:pStyle w:val="Bulletpoints"/>
        <w:rPr>
          <w:lang w:val="en-NZ"/>
        </w:rPr>
      </w:pPr>
      <w:r>
        <w:rPr>
          <w:lang w:val="en-NZ"/>
        </w:rPr>
        <w:t>p</w:t>
      </w:r>
      <w:r w:rsidR="00D02262" w:rsidRPr="003067B9">
        <w:rPr>
          <w:lang w:val="en-NZ"/>
        </w:rPr>
        <w:t>atient communications project and waitlist validation</w:t>
      </w:r>
    </w:p>
    <w:p w14:paraId="069AD7C7" w14:textId="4184342E" w:rsidR="00D02262" w:rsidRPr="003067B9" w:rsidRDefault="00087658" w:rsidP="005B4C9B">
      <w:pPr>
        <w:pStyle w:val="Bulletpoints"/>
        <w:rPr>
          <w:lang w:val="en-NZ"/>
        </w:rPr>
      </w:pPr>
      <w:r>
        <w:rPr>
          <w:lang w:val="en-NZ"/>
        </w:rPr>
        <w:t>r</w:t>
      </w:r>
      <w:r w:rsidR="00D02262" w:rsidRPr="003067B9">
        <w:rPr>
          <w:lang w:val="en-NZ"/>
        </w:rPr>
        <w:t>educing patient-initiated day of surgery cancellations</w:t>
      </w:r>
      <w:r>
        <w:rPr>
          <w:lang w:val="en-NZ"/>
        </w:rPr>
        <w:t>.</w:t>
      </w:r>
    </w:p>
    <w:p w14:paraId="7D549860" w14:textId="0F4A0499" w:rsidR="00D02262" w:rsidRPr="003067B9" w:rsidRDefault="00D02262" w:rsidP="007348EC">
      <w:pPr>
        <w:jc w:val="center"/>
        <w:rPr>
          <w:szCs w:val="24"/>
          <w:lang w:val="en-NZ"/>
        </w:rPr>
      </w:pPr>
      <w:r w:rsidRPr="003067B9">
        <w:rPr>
          <w:noProof/>
          <w:lang w:val="en-NZ"/>
        </w:rPr>
        <w:drawing>
          <wp:inline distT="0" distB="0" distL="0" distR="0" wp14:anchorId="400561F6" wp14:editId="6126D30E">
            <wp:extent cx="3753293" cy="1922805"/>
            <wp:effectExtent l="0" t="0" r="0" b="1270"/>
            <wp:docPr id="23622109" name="Picture 1"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2109" name="Picture 1" descr="A graph with a line and a line&#10;&#10;Description automatically generated"/>
                    <pic:cNvPicPr/>
                  </pic:nvPicPr>
                  <pic:blipFill>
                    <a:blip r:embed="rId69"/>
                    <a:stretch>
                      <a:fillRect/>
                    </a:stretch>
                  </pic:blipFill>
                  <pic:spPr>
                    <a:xfrm>
                      <a:off x="0" y="0"/>
                      <a:ext cx="3793627" cy="1943468"/>
                    </a:xfrm>
                    <a:prstGeom prst="rect">
                      <a:avLst/>
                    </a:prstGeom>
                  </pic:spPr>
                </pic:pic>
              </a:graphicData>
            </a:graphic>
          </wp:inline>
        </w:drawing>
      </w:r>
    </w:p>
    <w:p w14:paraId="316685B9" w14:textId="62ADAEB6" w:rsidR="00D02262" w:rsidRPr="003067B9" w:rsidRDefault="00D02262" w:rsidP="00D02262">
      <w:pPr>
        <w:rPr>
          <w:szCs w:val="24"/>
          <w:lang w:val="en-NZ"/>
        </w:rPr>
      </w:pPr>
      <w:r w:rsidRPr="003067B9">
        <w:rPr>
          <w:szCs w:val="24"/>
          <w:lang w:val="en-NZ"/>
        </w:rPr>
        <w:t>While some progress has been made towards reductions, there is still a much higher rate of missed appointments for Māori and Pacific.</w:t>
      </w:r>
      <w:r w:rsidRPr="003067B9">
        <w:rPr>
          <w:b/>
          <w:szCs w:val="24"/>
          <w:lang w:val="en-NZ"/>
        </w:rPr>
        <w:t xml:space="preserve"> </w:t>
      </w:r>
      <w:r w:rsidR="00356174" w:rsidRPr="003067B9">
        <w:rPr>
          <w:bCs/>
          <w:szCs w:val="24"/>
          <w:lang w:val="en-NZ"/>
        </w:rPr>
        <w:t xml:space="preserve">Target initiatives are being implemented at </w:t>
      </w:r>
      <w:r w:rsidR="00391652" w:rsidRPr="003067B9">
        <w:rPr>
          <w:bCs/>
          <w:szCs w:val="24"/>
          <w:lang w:val="en-NZ"/>
        </w:rPr>
        <w:t xml:space="preserve">a </w:t>
      </w:r>
      <w:r w:rsidR="00356174" w:rsidRPr="003067B9">
        <w:rPr>
          <w:bCs/>
          <w:szCs w:val="24"/>
          <w:lang w:val="en-NZ"/>
        </w:rPr>
        <w:t xml:space="preserve">local level to reduce missed appointments among specific ethnic groups. </w:t>
      </w:r>
      <w:r w:rsidRPr="003067B9">
        <w:rPr>
          <w:szCs w:val="24"/>
          <w:lang w:val="en-NZ"/>
        </w:rPr>
        <w:t xml:space="preserve">Examples of initiatives include </w:t>
      </w:r>
      <w:r w:rsidR="00391652" w:rsidRPr="003067B9">
        <w:rPr>
          <w:szCs w:val="24"/>
          <w:lang w:val="en-NZ"/>
        </w:rPr>
        <w:t xml:space="preserve">the </w:t>
      </w:r>
      <w:r w:rsidRPr="003067B9">
        <w:rPr>
          <w:szCs w:val="24"/>
          <w:lang w:val="en-NZ"/>
        </w:rPr>
        <w:t>establishment of the Kaiarahi Nahi and Pacific navigation teams within Te Toka Tumai Auckland, which support patients to attend appointments and treatment.  Text-reminder functions have been developed regionally to alert patients to their upcoming appointment</w:t>
      </w:r>
      <w:r w:rsidR="00391652" w:rsidRPr="003067B9">
        <w:rPr>
          <w:szCs w:val="24"/>
          <w:lang w:val="en-NZ"/>
        </w:rPr>
        <w:t>s</w:t>
      </w:r>
      <w:r w:rsidRPr="003067B9">
        <w:rPr>
          <w:szCs w:val="24"/>
          <w:lang w:val="en-NZ"/>
        </w:rPr>
        <w:t xml:space="preserve">. </w:t>
      </w:r>
    </w:p>
    <w:p w14:paraId="4524E4F2" w14:textId="12246C26" w:rsidR="00D02262" w:rsidRPr="003067B9" w:rsidRDefault="008762B7" w:rsidP="005B4C9B">
      <w:pPr>
        <w:rPr>
          <w:lang w:val="en-NZ"/>
        </w:rPr>
      </w:pPr>
      <w:r w:rsidRPr="003067B9">
        <w:rPr>
          <w:color w:val="1C1C1C"/>
          <w:shd w:val="clear" w:color="auto" w:fill="FFFFFF"/>
          <w:lang w:val="en-NZ"/>
        </w:rPr>
        <w:t xml:space="preserve">Te Waipounamu </w:t>
      </w:r>
      <w:r w:rsidR="00E94059" w:rsidRPr="003067B9">
        <w:rPr>
          <w:color w:val="1C1C1C"/>
          <w:shd w:val="clear" w:color="auto" w:fill="FFFFFF"/>
          <w:lang w:val="en-NZ"/>
        </w:rPr>
        <w:t xml:space="preserve">and Central regions </w:t>
      </w:r>
      <w:r w:rsidR="00B21B23" w:rsidRPr="003067B9">
        <w:rPr>
          <w:color w:val="1C1C1C"/>
          <w:shd w:val="clear" w:color="auto" w:fill="FFFFFF"/>
          <w:lang w:val="en-NZ"/>
        </w:rPr>
        <w:t xml:space="preserve">had reduced rates of missed appointments in quarter three compared to quarter two. </w:t>
      </w:r>
      <w:r w:rsidR="00094901" w:rsidRPr="003067B9">
        <w:rPr>
          <w:color w:val="1C1C1C"/>
          <w:shd w:val="clear" w:color="auto" w:fill="FFFFFF"/>
          <w:lang w:val="en-NZ"/>
        </w:rPr>
        <w:t xml:space="preserve">However, rates increased slightly for </w:t>
      </w:r>
      <w:r w:rsidR="00E94059" w:rsidRPr="003067B9">
        <w:rPr>
          <w:color w:val="1C1C1C"/>
          <w:shd w:val="clear" w:color="auto" w:fill="FFFFFF"/>
          <w:lang w:val="en-NZ"/>
        </w:rPr>
        <w:t>Northern</w:t>
      </w:r>
      <w:r w:rsidR="00094901" w:rsidRPr="003067B9">
        <w:rPr>
          <w:color w:val="1C1C1C"/>
          <w:shd w:val="clear" w:color="auto" w:fill="FFFFFF"/>
          <w:lang w:val="en-NZ"/>
        </w:rPr>
        <w:t xml:space="preserve">. </w:t>
      </w:r>
      <w:r w:rsidR="00D02262" w:rsidRPr="003067B9">
        <w:rPr>
          <w:lang w:val="en-NZ"/>
        </w:rPr>
        <w:t xml:space="preserve">Regions are working to reduce patient-initiated day of surgery cancellations. </w:t>
      </w:r>
    </w:p>
    <w:p w14:paraId="51B8BFB4" w14:textId="66990BE5" w:rsidR="00E621DF" w:rsidRPr="003067B9" w:rsidRDefault="00E621DF" w:rsidP="007348EC">
      <w:pPr>
        <w:jc w:val="center"/>
        <w:rPr>
          <w:lang w:val="en-NZ"/>
        </w:rPr>
      </w:pPr>
      <w:r w:rsidRPr="003067B9">
        <w:rPr>
          <w:noProof/>
          <w:lang w:val="en-NZ"/>
        </w:rPr>
        <w:drawing>
          <wp:inline distT="0" distB="0" distL="0" distR="0" wp14:anchorId="3914A384" wp14:editId="0C1AF3EE">
            <wp:extent cx="2366369" cy="1882432"/>
            <wp:effectExtent l="0" t="0" r="0" b="3810"/>
            <wp:docPr id="13850655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65518" name="Picture 1">
                      <a:extLst>
                        <a:ext uri="{C183D7F6-B498-43B3-948B-1728B52AA6E4}">
                          <adec:decorative xmlns:adec="http://schemas.microsoft.com/office/drawing/2017/decorative" val="1"/>
                        </a:ext>
                      </a:extLst>
                    </pic:cNvPr>
                    <pic:cNvPicPr/>
                  </pic:nvPicPr>
                  <pic:blipFill>
                    <a:blip r:embed="rId70"/>
                    <a:stretch>
                      <a:fillRect/>
                    </a:stretch>
                  </pic:blipFill>
                  <pic:spPr>
                    <a:xfrm>
                      <a:off x="0" y="0"/>
                      <a:ext cx="2374089" cy="1888573"/>
                    </a:xfrm>
                    <a:prstGeom prst="rect">
                      <a:avLst/>
                    </a:prstGeom>
                  </pic:spPr>
                </pic:pic>
              </a:graphicData>
            </a:graphic>
          </wp:inline>
        </w:drawing>
      </w:r>
      <w:r w:rsidR="00E52E1E">
        <w:rPr>
          <w:noProof/>
          <w:lang w:val="en-NZ"/>
        </w:rPr>
        <w:t xml:space="preserve">     </w:t>
      </w:r>
      <w:r w:rsidR="00EF137A" w:rsidRPr="003067B9">
        <w:rPr>
          <w:noProof/>
          <w:lang w:val="en-NZ"/>
        </w:rPr>
        <w:drawing>
          <wp:inline distT="0" distB="0" distL="0" distR="0" wp14:anchorId="018B8DFC" wp14:editId="6E7E7B5C">
            <wp:extent cx="2819400" cy="1945549"/>
            <wp:effectExtent l="0" t="0" r="0" b="0"/>
            <wp:docPr id="8851462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46290" name="Picture 1">
                      <a:extLst>
                        <a:ext uri="{C183D7F6-B498-43B3-948B-1728B52AA6E4}">
                          <adec:decorative xmlns:adec="http://schemas.microsoft.com/office/drawing/2017/decorative" val="1"/>
                        </a:ext>
                      </a:extLst>
                    </pic:cNvPr>
                    <pic:cNvPicPr/>
                  </pic:nvPicPr>
                  <pic:blipFill rotWithShape="1">
                    <a:blip r:embed="rId71"/>
                    <a:srcRect r="30249"/>
                    <a:stretch/>
                  </pic:blipFill>
                  <pic:spPr bwMode="auto">
                    <a:xfrm>
                      <a:off x="0" y="0"/>
                      <a:ext cx="2830464" cy="1953184"/>
                    </a:xfrm>
                    <a:prstGeom prst="rect">
                      <a:avLst/>
                    </a:prstGeom>
                    <a:ln>
                      <a:noFill/>
                    </a:ln>
                    <a:extLst>
                      <a:ext uri="{53640926-AAD7-44D8-BBD7-CCE9431645EC}">
                        <a14:shadowObscured xmlns:a14="http://schemas.microsoft.com/office/drawing/2010/main"/>
                      </a:ext>
                    </a:extLst>
                  </pic:spPr>
                </pic:pic>
              </a:graphicData>
            </a:graphic>
          </wp:inline>
        </w:drawing>
      </w:r>
    </w:p>
    <w:p w14:paraId="2F86D245" w14:textId="78A0B121" w:rsidR="00D02262" w:rsidRPr="0007128D" w:rsidRDefault="00D02262" w:rsidP="005B4C9B">
      <w:pPr>
        <w:rPr>
          <w:i/>
          <w:iCs/>
          <w:color w:val="000000"/>
          <w:lang w:val="en-NZ"/>
        </w:rPr>
      </w:pPr>
      <w:r w:rsidRPr="0007128D">
        <w:rPr>
          <w:i/>
          <w:iCs/>
          <w:color w:val="000000"/>
          <w:lang w:val="en-NZ"/>
        </w:rPr>
        <w:t xml:space="preserve">Source of data is </w:t>
      </w:r>
      <w:r w:rsidR="00852D02" w:rsidRPr="0007128D">
        <w:rPr>
          <w:i/>
          <w:iCs/>
          <w:color w:val="000000"/>
          <w:lang w:val="en-NZ"/>
        </w:rPr>
        <w:t xml:space="preserve">the </w:t>
      </w:r>
      <w:r w:rsidRPr="0007128D">
        <w:rPr>
          <w:i/>
          <w:iCs/>
          <w:color w:val="000000"/>
          <w:lang w:val="en-NZ"/>
        </w:rPr>
        <w:t>National Non-Admitted Patient Collection (NNPAC).</w:t>
      </w:r>
    </w:p>
    <w:p w14:paraId="68EF06FD" w14:textId="32BE5BE8" w:rsidR="00D02262" w:rsidRPr="00D4706E" w:rsidRDefault="00EE3657" w:rsidP="00D12986">
      <w:pPr>
        <w:pStyle w:val="NumberedHeading1"/>
        <w:rPr>
          <w:color w:val="15284C"/>
        </w:rPr>
      </w:pPr>
      <w:bookmarkStart w:id="93" w:name="_Toc170199179"/>
      <w:r w:rsidRPr="00D4706E">
        <w:rPr>
          <w:color w:val="15284C"/>
        </w:rPr>
        <w:lastRenderedPageBreak/>
        <w:t xml:space="preserve">21 </w:t>
      </w:r>
      <w:r w:rsidR="00D02262" w:rsidRPr="00D4706E">
        <w:rPr>
          <w:color w:val="15284C"/>
        </w:rPr>
        <w:t>Delivery of planned care interventions</w:t>
      </w:r>
      <w:bookmarkEnd w:id="92"/>
      <w:bookmarkEnd w:id="93"/>
    </w:p>
    <w:p w14:paraId="34EC0F46" w14:textId="566B7240" w:rsidR="00D02262" w:rsidRPr="003067B9" w:rsidRDefault="00D02262" w:rsidP="005B4C9B">
      <w:pPr>
        <w:rPr>
          <w:lang w:val="en-NZ"/>
        </w:rPr>
      </w:pPr>
      <w:r w:rsidRPr="003067B9">
        <w:rPr>
          <w:lang w:val="en-NZ"/>
        </w:rPr>
        <w:t>This measure reports the number of planned care interventions including inpatient surgical discharges</w:t>
      </w:r>
      <w:r w:rsidR="37E5BC00" w:rsidRPr="003067B9">
        <w:rPr>
          <w:lang w:val="en-NZ"/>
        </w:rPr>
        <w:t>,</w:t>
      </w:r>
      <w:r w:rsidRPr="003067B9">
        <w:rPr>
          <w:lang w:val="en-NZ"/>
        </w:rPr>
        <w:t xml:space="preserve"> minor procedures delivered in inpatient, outpatient and community settings, and non-surgical interventions.</w:t>
      </w:r>
    </w:p>
    <w:p w14:paraId="5F12B177" w14:textId="78B6D9E3" w:rsidR="00D02262" w:rsidRPr="003067B9" w:rsidRDefault="00D02262" w:rsidP="005B4C9B">
      <w:pPr>
        <w:rPr>
          <w:lang w:val="en-NZ"/>
        </w:rPr>
      </w:pPr>
      <w:r w:rsidRPr="003067B9">
        <w:rPr>
          <w:lang w:val="en-NZ"/>
        </w:rPr>
        <w:t xml:space="preserve">There was an uplift of 6% in </w:t>
      </w:r>
      <w:r w:rsidR="00852D02" w:rsidRPr="003067B9">
        <w:rPr>
          <w:lang w:val="en-NZ"/>
        </w:rPr>
        <w:t xml:space="preserve">the </w:t>
      </w:r>
      <w:r w:rsidRPr="003067B9">
        <w:rPr>
          <w:lang w:val="en-NZ"/>
        </w:rPr>
        <w:t>delivery of planned care interventions in the first three quarters of 2023/24, compared to the same period in the 2022/23 year. Delivery of planned care interventions is seasonal and therefore has been presented differently to other measures.</w:t>
      </w:r>
    </w:p>
    <w:p w14:paraId="6B2F158B" w14:textId="77777777" w:rsidR="00D02262" w:rsidRPr="003067B9" w:rsidRDefault="00D02262" w:rsidP="007348EC">
      <w:pPr>
        <w:jc w:val="center"/>
        <w:rPr>
          <w:lang w:val="en-NZ"/>
        </w:rPr>
      </w:pPr>
      <w:r w:rsidRPr="003067B9">
        <w:rPr>
          <w:noProof/>
          <w:lang w:val="en-NZ"/>
        </w:rPr>
        <w:drawing>
          <wp:inline distT="0" distB="0" distL="0" distR="0" wp14:anchorId="35E96369" wp14:editId="40563E03">
            <wp:extent cx="3976577" cy="2393608"/>
            <wp:effectExtent l="0" t="0" r="5080" b="6985"/>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18099" cy="2418601"/>
                    </a:xfrm>
                    <a:prstGeom prst="rect">
                      <a:avLst/>
                    </a:prstGeom>
                    <a:noFill/>
                  </pic:spPr>
                </pic:pic>
              </a:graphicData>
            </a:graphic>
          </wp:inline>
        </w:drawing>
      </w:r>
    </w:p>
    <w:p w14:paraId="54B8181D" w14:textId="76DE1571" w:rsidR="0094472F" w:rsidRPr="003067B9" w:rsidRDefault="00BE5AE3" w:rsidP="005B4C9B">
      <w:pPr>
        <w:rPr>
          <w:lang w:val="en-NZ"/>
        </w:rPr>
      </w:pPr>
      <w:r w:rsidRPr="003067B9">
        <w:rPr>
          <w:lang w:val="en-NZ"/>
        </w:rPr>
        <w:t>The delivery of planned care interventions for European</w:t>
      </w:r>
      <w:r w:rsidR="005A3CDE">
        <w:rPr>
          <w:lang w:val="en-NZ"/>
        </w:rPr>
        <w:t xml:space="preserve"> </w:t>
      </w:r>
      <w:r w:rsidRPr="003067B9">
        <w:rPr>
          <w:lang w:val="en-NZ"/>
        </w:rPr>
        <w:t>/</w:t>
      </w:r>
      <w:r w:rsidR="005A3CDE">
        <w:rPr>
          <w:lang w:val="en-NZ"/>
        </w:rPr>
        <w:t xml:space="preserve"> </w:t>
      </w:r>
      <w:r w:rsidRPr="003067B9">
        <w:rPr>
          <w:lang w:val="en-NZ"/>
        </w:rPr>
        <w:t xml:space="preserve">Other increased compared to the previous quarter. Similarly, Māori and Pacific populations experienced a slight </w:t>
      </w:r>
      <w:r w:rsidR="005A3CDE">
        <w:rPr>
          <w:lang w:val="en-NZ"/>
        </w:rPr>
        <w:t>increase</w:t>
      </w:r>
      <w:r w:rsidR="005A3CDE" w:rsidRPr="003067B9">
        <w:rPr>
          <w:lang w:val="en-NZ"/>
        </w:rPr>
        <w:t xml:space="preserve"> </w:t>
      </w:r>
      <w:r w:rsidRPr="003067B9">
        <w:rPr>
          <w:lang w:val="en-NZ"/>
        </w:rPr>
        <w:t xml:space="preserve">in planned care interventions, while the Asian demographic saw a </w:t>
      </w:r>
      <w:r w:rsidR="000148B6" w:rsidRPr="003067B9">
        <w:rPr>
          <w:lang w:val="en-NZ"/>
        </w:rPr>
        <w:t>slip</w:t>
      </w:r>
      <w:r w:rsidRPr="003067B9">
        <w:rPr>
          <w:lang w:val="en-NZ"/>
        </w:rPr>
        <w:t xml:space="preserve"> relative to the previous quarter.</w:t>
      </w:r>
      <w:r w:rsidR="00624750" w:rsidRPr="003067B9">
        <w:rPr>
          <w:lang w:val="en-NZ"/>
        </w:rPr>
        <w:t xml:space="preserve"> </w:t>
      </w:r>
      <w:r w:rsidR="00BE2B58" w:rsidRPr="003067B9">
        <w:rPr>
          <w:lang w:val="en-NZ"/>
        </w:rPr>
        <w:t>P</w:t>
      </w:r>
      <w:r w:rsidR="006E03A3" w:rsidRPr="003067B9">
        <w:rPr>
          <w:lang w:val="en-NZ"/>
        </w:rPr>
        <w:t>lanned care intervention</w:t>
      </w:r>
      <w:r w:rsidR="00135117" w:rsidRPr="003067B9">
        <w:rPr>
          <w:lang w:val="en-NZ"/>
        </w:rPr>
        <w:t>s</w:t>
      </w:r>
      <w:r w:rsidR="006E03A3" w:rsidRPr="003067B9">
        <w:rPr>
          <w:lang w:val="en-NZ"/>
        </w:rPr>
        <w:t xml:space="preserve"> decreased in Northern and Central compared to quarter two. Weekly reporting of planned care delivery was rolled out at a local and regional level to support monitoring and targeted waitlist support.</w:t>
      </w:r>
    </w:p>
    <w:p w14:paraId="085A643E" w14:textId="2D7AFF6F" w:rsidR="00D02262" w:rsidRPr="003067B9" w:rsidRDefault="008A2AF1" w:rsidP="007348EC">
      <w:pPr>
        <w:jc w:val="center"/>
        <w:rPr>
          <w:lang w:val="en-NZ"/>
        </w:rPr>
      </w:pPr>
      <w:r w:rsidRPr="003067B9">
        <w:rPr>
          <w:noProof/>
          <w:lang w:val="en-NZ"/>
        </w:rPr>
        <w:drawing>
          <wp:inline distT="0" distB="0" distL="0" distR="0" wp14:anchorId="59E71EAE" wp14:editId="311AC890">
            <wp:extent cx="2594344" cy="2058360"/>
            <wp:effectExtent l="0" t="0" r="0" b="0"/>
            <wp:docPr id="7969147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14774" name="Picture 1">
                      <a:extLst>
                        <a:ext uri="{C183D7F6-B498-43B3-948B-1728B52AA6E4}">
                          <adec:decorative xmlns:adec="http://schemas.microsoft.com/office/drawing/2017/decorative" val="1"/>
                        </a:ext>
                      </a:extLst>
                    </pic:cNvPr>
                    <pic:cNvPicPr/>
                  </pic:nvPicPr>
                  <pic:blipFill>
                    <a:blip r:embed="rId73"/>
                    <a:stretch>
                      <a:fillRect/>
                    </a:stretch>
                  </pic:blipFill>
                  <pic:spPr>
                    <a:xfrm>
                      <a:off x="0" y="0"/>
                      <a:ext cx="2596287" cy="2059901"/>
                    </a:xfrm>
                    <a:prstGeom prst="rect">
                      <a:avLst/>
                    </a:prstGeom>
                  </pic:spPr>
                </pic:pic>
              </a:graphicData>
            </a:graphic>
          </wp:inline>
        </w:drawing>
      </w:r>
      <w:r w:rsidR="00E52E1E">
        <w:rPr>
          <w:noProof/>
          <w:lang w:val="en-NZ"/>
        </w:rPr>
        <w:t xml:space="preserve">     </w:t>
      </w:r>
      <w:r w:rsidR="0083633C" w:rsidRPr="003067B9">
        <w:rPr>
          <w:noProof/>
          <w:lang w:val="en-NZ"/>
        </w:rPr>
        <w:drawing>
          <wp:inline distT="0" distB="0" distL="0" distR="0" wp14:anchorId="673659BE" wp14:editId="3910598B">
            <wp:extent cx="2864811" cy="2061210"/>
            <wp:effectExtent l="0" t="0" r="0" b="0"/>
            <wp:docPr id="232012058" name="Picture 1" descr="A graph of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12058" name="Picture 1" descr="A graph of a patient&#10;&#10;Description automatically generated with medium confidence"/>
                    <pic:cNvPicPr/>
                  </pic:nvPicPr>
                  <pic:blipFill>
                    <a:blip r:embed="rId74"/>
                    <a:stretch>
                      <a:fillRect/>
                    </a:stretch>
                  </pic:blipFill>
                  <pic:spPr>
                    <a:xfrm>
                      <a:off x="0" y="0"/>
                      <a:ext cx="2870392" cy="2065225"/>
                    </a:xfrm>
                    <a:prstGeom prst="rect">
                      <a:avLst/>
                    </a:prstGeom>
                  </pic:spPr>
                </pic:pic>
              </a:graphicData>
            </a:graphic>
          </wp:inline>
        </w:drawing>
      </w:r>
    </w:p>
    <w:p w14:paraId="1E19A480" w14:textId="156A5082" w:rsidR="00D02262" w:rsidRPr="0007128D" w:rsidRDefault="00D02262" w:rsidP="005B4C9B">
      <w:pPr>
        <w:rPr>
          <w:i/>
          <w:iCs/>
          <w:color w:val="000000"/>
          <w:lang w:val="en-NZ"/>
        </w:rPr>
      </w:pPr>
      <w:r w:rsidRPr="0007128D">
        <w:rPr>
          <w:i/>
          <w:iCs/>
          <w:color w:val="000000"/>
          <w:lang w:val="en-NZ"/>
        </w:rPr>
        <w:t xml:space="preserve">Source of data is </w:t>
      </w:r>
      <w:r w:rsidR="001F1488" w:rsidRPr="0007128D">
        <w:rPr>
          <w:i/>
          <w:iCs/>
          <w:color w:val="000000"/>
          <w:lang w:val="en-NZ"/>
        </w:rPr>
        <w:t xml:space="preserve">the </w:t>
      </w:r>
      <w:r w:rsidRPr="0007128D">
        <w:rPr>
          <w:i/>
          <w:iCs/>
          <w:color w:val="000000"/>
          <w:lang w:val="en-NZ"/>
        </w:rPr>
        <w:t xml:space="preserve">National Minimum Data Set (NMDS) and </w:t>
      </w:r>
      <w:r w:rsidR="001F1488" w:rsidRPr="0007128D">
        <w:rPr>
          <w:i/>
          <w:iCs/>
          <w:color w:val="000000"/>
          <w:lang w:val="en-NZ"/>
        </w:rPr>
        <w:t xml:space="preserve">the </w:t>
      </w:r>
      <w:r w:rsidRPr="0007128D">
        <w:rPr>
          <w:i/>
          <w:iCs/>
          <w:color w:val="000000"/>
          <w:lang w:val="en-NZ"/>
        </w:rPr>
        <w:t>National Non-Admitted Patient Collection (NNPAC).  Reporting in previous quarters has excluded two categories of planned care</w:t>
      </w:r>
      <w:r w:rsidR="00070577" w:rsidRPr="0007128D">
        <w:rPr>
          <w:i/>
          <w:iCs/>
          <w:color w:val="000000"/>
          <w:lang w:val="en-NZ"/>
        </w:rPr>
        <w:t>:</w:t>
      </w:r>
      <w:r w:rsidRPr="0007128D">
        <w:rPr>
          <w:i/>
          <w:iCs/>
          <w:color w:val="000000"/>
          <w:lang w:val="en-NZ"/>
        </w:rPr>
        <w:t xml:space="preserve"> minor procedures performed in inpatient setting and surgical interventions discharged under non-surgical specialties. This error has been corrected for all historical quarters.</w:t>
      </w:r>
    </w:p>
    <w:p w14:paraId="209EA440" w14:textId="5870FCFB" w:rsidR="00D02262" w:rsidRPr="00D4706E" w:rsidRDefault="00EE3657" w:rsidP="00D12986">
      <w:pPr>
        <w:pStyle w:val="NumberedHeading1"/>
        <w:rPr>
          <w:color w:val="15284C"/>
        </w:rPr>
      </w:pPr>
      <w:bookmarkStart w:id="94" w:name="_Toc170199180"/>
      <w:r w:rsidRPr="00D4706E">
        <w:rPr>
          <w:color w:val="15284C"/>
        </w:rPr>
        <w:lastRenderedPageBreak/>
        <w:t xml:space="preserve">22 </w:t>
      </w:r>
      <w:r w:rsidR="00D02262" w:rsidRPr="00D4706E">
        <w:rPr>
          <w:color w:val="15284C"/>
        </w:rPr>
        <w:t>Acute readmissions within 28 days of discharge</w:t>
      </w:r>
      <w:bookmarkEnd w:id="94"/>
    </w:p>
    <w:p w14:paraId="010FE0AE" w14:textId="77777777" w:rsidR="00D02262" w:rsidRPr="003067B9" w:rsidRDefault="00D02262" w:rsidP="004C0B42">
      <w:pPr>
        <w:rPr>
          <w:lang w:val="en-NZ"/>
        </w:rPr>
      </w:pPr>
      <w:r w:rsidRPr="003067B9">
        <w:rPr>
          <w:lang w:val="en-NZ"/>
        </w:rPr>
        <w:t>This measure shows the proportion of a</w:t>
      </w:r>
      <w:r w:rsidRPr="003067B9">
        <w:rPr>
          <w:shd w:val="clear" w:color="auto" w:fill="FFFFFF"/>
          <w:lang w:val="en-NZ"/>
        </w:rPr>
        <w:t xml:space="preserve">cute readmissions to hospital within 28 days of discharge. </w:t>
      </w:r>
    </w:p>
    <w:p w14:paraId="592B13E1" w14:textId="79A7D83C" w:rsidR="00D02262" w:rsidRPr="003067B9" w:rsidRDefault="00D02262" w:rsidP="004C0B42">
      <w:pPr>
        <w:rPr>
          <w:lang w:val="en-NZ"/>
        </w:rPr>
      </w:pPr>
      <w:r w:rsidRPr="003067B9">
        <w:rPr>
          <w:lang w:val="en-NZ"/>
        </w:rPr>
        <w:t xml:space="preserve">Performance has remained relatively stable over the past 12 months. Acute readmissions within 28 days of discharge is a </w:t>
      </w:r>
      <w:r w:rsidR="38AF4454" w:rsidRPr="003067B9">
        <w:rPr>
          <w:lang w:val="en-NZ"/>
        </w:rPr>
        <w:t xml:space="preserve">system performance </w:t>
      </w:r>
      <w:r w:rsidR="4707B842" w:rsidRPr="003067B9">
        <w:rPr>
          <w:lang w:val="en-NZ"/>
        </w:rPr>
        <w:t>balance measure: a measure a h</w:t>
      </w:r>
      <w:r w:rsidR="4707B842" w:rsidRPr="003067B9">
        <w:rPr>
          <w:rFonts w:eastAsiaTheme="minorEastAsia"/>
          <w:lang w:val="en-NZ"/>
        </w:rPr>
        <w:t>ealth system should track to ensure an improvement in one area isn’t negatively impacting another area. For example,</w:t>
      </w:r>
      <w:r w:rsidR="641DEFC8" w:rsidRPr="003067B9">
        <w:rPr>
          <w:rFonts w:eastAsiaTheme="minorEastAsia"/>
          <w:lang w:val="en-NZ"/>
        </w:rPr>
        <w:t xml:space="preserve"> in improving hospital flow by</w:t>
      </w:r>
      <w:r w:rsidR="25DD648B" w:rsidRPr="003067B9">
        <w:rPr>
          <w:rFonts w:eastAsiaTheme="minorEastAsia"/>
          <w:lang w:val="en-NZ"/>
        </w:rPr>
        <w:t xml:space="preserve"> reducing</w:t>
      </w:r>
      <w:r w:rsidR="4707B842" w:rsidRPr="003067B9">
        <w:rPr>
          <w:rFonts w:eastAsiaTheme="minorEastAsia"/>
          <w:lang w:val="en-NZ"/>
        </w:rPr>
        <w:t xml:space="preserve"> length of stay (LOS)</w:t>
      </w:r>
      <w:r w:rsidR="2E9C193D" w:rsidRPr="003067B9">
        <w:rPr>
          <w:rFonts w:eastAsiaTheme="minorEastAsia"/>
          <w:lang w:val="en-NZ"/>
        </w:rPr>
        <w:t>,</w:t>
      </w:r>
      <w:r w:rsidR="4707B842" w:rsidRPr="003067B9">
        <w:rPr>
          <w:rFonts w:eastAsiaTheme="minorEastAsia"/>
          <w:lang w:val="en-NZ"/>
        </w:rPr>
        <w:t xml:space="preserve"> </w:t>
      </w:r>
      <w:r w:rsidR="17414102" w:rsidRPr="003067B9">
        <w:rPr>
          <w:rFonts w:eastAsiaTheme="minorEastAsia"/>
          <w:lang w:val="en-NZ"/>
        </w:rPr>
        <w:t>we need to ensure</w:t>
      </w:r>
      <w:r w:rsidR="27514BED" w:rsidRPr="003067B9">
        <w:rPr>
          <w:rFonts w:eastAsiaTheme="minorEastAsia"/>
          <w:lang w:val="en-NZ"/>
        </w:rPr>
        <w:t xml:space="preserve"> the right patients are discharged</w:t>
      </w:r>
      <w:r w:rsidR="4707B842" w:rsidRPr="003067B9">
        <w:rPr>
          <w:rFonts w:eastAsiaTheme="minorEastAsia"/>
          <w:lang w:val="en-NZ"/>
        </w:rPr>
        <w:t xml:space="preserve"> and </w:t>
      </w:r>
      <w:r w:rsidR="27514BED" w:rsidRPr="003067B9">
        <w:rPr>
          <w:rFonts w:eastAsiaTheme="minorEastAsia"/>
          <w:lang w:val="en-NZ"/>
        </w:rPr>
        <w:t>there</w:t>
      </w:r>
      <w:r w:rsidR="4707B842" w:rsidRPr="003067B9">
        <w:rPr>
          <w:rFonts w:eastAsiaTheme="minorEastAsia"/>
          <w:lang w:val="en-NZ"/>
        </w:rPr>
        <w:t xml:space="preserve"> is </w:t>
      </w:r>
      <w:r w:rsidR="27514BED" w:rsidRPr="003067B9">
        <w:rPr>
          <w:rFonts w:eastAsiaTheme="minorEastAsia"/>
          <w:lang w:val="en-NZ"/>
        </w:rPr>
        <w:t>not an inappropriate increase in rea</w:t>
      </w:r>
      <w:r w:rsidR="7EA22445" w:rsidRPr="003067B9">
        <w:rPr>
          <w:rFonts w:eastAsiaTheme="minorEastAsia"/>
          <w:lang w:val="en-NZ"/>
        </w:rPr>
        <w:t>dmission</w:t>
      </w:r>
      <w:r w:rsidR="00070577" w:rsidRPr="003067B9">
        <w:rPr>
          <w:rFonts w:eastAsiaTheme="minorEastAsia"/>
          <w:lang w:val="en-NZ"/>
        </w:rPr>
        <w:t>s</w:t>
      </w:r>
      <w:r w:rsidR="7EA22445" w:rsidRPr="003067B9">
        <w:rPr>
          <w:rFonts w:eastAsiaTheme="minorEastAsia"/>
          <w:lang w:val="en-NZ"/>
        </w:rPr>
        <w:t xml:space="preserve"> to hospital.</w:t>
      </w:r>
      <w:r w:rsidR="4707B842" w:rsidRPr="003067B9">
        <w:rPr>
          <w:rFonts w:eastAsia="Open Sans"/>
          <w:color w:val="333333"/>
          <w:lang w:val="en-NZ"/>
        </w:rPr>
        <w:t xml:space="preserve"> </w:t>
      </w:r>
      <w:r w:rsidR="4707B842" w:rsidRPr="003067B9">
        <w:rPr>
          <w:rFonts w:eastAsia="Arial"/>
          <w:lang w:val="en-NZ"/>
        </w:rPr>
        <w:t xml:space="preserve"> </w:t>
      </w:r>
      <w:r w:rsidRPr="003067B9">
        <w:rPr>
          <w:lang w:val="en-NZ"/>
        </w:rPr>
        <w:t xml:space="preserve">  </w:t>
      </w:r>
    </w:p>
    <w:p w14:paraId="64A68012" w14:textId="77777777" w:rsidR="00D02262" w:rsidRPr="003067B9" w:rsidRDefault="00D02262" w:rsidP="007348EC">
      <w:pPr>
        <w:jc w:val="center"/>
        <w:rPr>
          <w:b/>
          <w:bCs/>
          <w:sz w:val="22"/>
          <w:lang w:val="en-NZ"/>
        </w:rPr>
      </w:pPr>
      <w:r w:rsidRPr="003067B9">
        <w:rPr>
          <w:b/>
          <w:bCs/>
          <w:noProof/>
          <w:sz w:val="22"/>
          <w:lang w:val="en-NZ"/>
        </w:rPr>
        <w:drawing>
          <wp:inline distT="0" distB="0" distL="0" distR="0" wp14:anchorId="4BAFBF40" wp14:editId="06AB2DF7">
            <wp:extent cx="4146698" cy="2116664"/>
            <wp:effectExtent l="0" t="0" r="6350" b="0"/>
            <wp:docPr id="6875674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67473" name="Picture 1">
                      <a:extLst>
                        <a:ext uri="{C183D7F6-B498-43B3-948B-1728B52AA6E4}">
                          <adec:decorative xmlns:adec="http://schemas.microsoft.com/office/drawing/2017/decorative" val="1"/>
                        </a:ext>
                      </a:extLst>
                    </pic:cNvPr>
                    <pic:cNvPicPr/>
                  </pic:nvPicPr>
                  <pic:blipFill rotWithShape="1">
                    <a:blip r:embed="rId75"/>
                    <a:srcRect t="1785"/>
                    <a:stretch/>
                  </pic:blipFill>
                  <pic:spPr bwMode="auto">
                    <a:xfrm>
                      <a:off x="0" y="0"/>
                      <a:ext cx="4148975" cy="2117826"/>
                    </a:xfrm>
                    <a:prstGeom prst="rect">
                      <a:avLst/>
                    </a:prstGeom>
                    <a:ln>
                      <a:noFill/>
                    </a:ln>
                    <a:extLst>
                      <a:ext uri="{53640926-AAD7-44D8-BBD7-CCE9431645EC}">
                        <a14:shadowObscured xmlns:a14="http://schemas.microsoft.com/office/drawing/2010/main"/>
                      </a:ext>
                    </a:extLst>
                  </pic:spPr>
                </pic:pic>
              </a:graphicData>
            </a:graphic>
          </wp:inline>
        </w:drawing>
      </w:r>
    </w:p>
    <w:p w14:paraId="5EEC34FA" w14:textId="4FE17DAB" w:rsidR="009538B8" w:rsidRPr="003067B9" w:rsidRDefault="00454D2A" w:rsidP="007348EC">
      <w:pPr>
        <w:jc w:val="center"/>
        <w:rPr>
          <w:lang w:val="en-NZ"/>
        </w:rPr>
      </w:pPr>
      <w:r w:rsidRPr="003067B9">
        <w:rPr>
          <w:noProof/>
          <w:lang w:val="en-NZ"/>
        </w:rPr>
        <w:drawing>
          <wp:inline distT="0" distB="0" distL="0" distR="0" wp14:anchorId="189EDB9F" wp14:editId="35C702FA">
            <wp:extent cx="2838893" cy="2243872"/>
            <wp:effectExtent l="0" t="0" r="0" b="4445"/>
            <wp:docPr id="811560008" name="Picture 1" descr="A graph of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60008" name="Picture 1" descr="A graph of a patient&#10;&#10;Description automatically generated with medium confidence"/>
                    <pic:cNvPicPr/>
                  </pic:nvPicPr>
                  <pic:blipFill>
                    <a:blip r:embed="rId76"/>
                    <a:stretch>
                      <a:fillRect/>
                    </a:stretch>
                  </pic:blipFill>
                  <pic:spPr>
                    <a:xfrm>
                      <a:off x="0" y="0"/>
                      <a:ext cx="2850203" cy="2252812"/>
                    </a:xfrm>
                    <a:prstGeom prst="rect">
                      <a:avLst/>
                    </a:prstGeom>
                  </pic:spPr>
                </pic:pic>
              </a:graphicData>
            </a:graphic>
          </wp:inline>
        </w:drawing>
      </w:r>
    </w:p>
    <w:p w14:paraId="3333A65C" w14:textId="2CA12682" w:rsidR="00D02262" w:rsidRPr="00544F95" w:rsidRDefault="00D02262" w:rsidP="004C0B42">
      <w:pPr>
        <w:rPr>
          <w:lang w:val="en-NZ"/>
        </w:rPr>
      </w:pPr>
      <w:r w:rsidRPr="00553637">
        <w:rPr>
          <w:i/>
          <w:iCs/>
          <w:lang w:val="en-NZ"/>
        </w:rPr>
        <w:t>Inpatient discharge data is not fully complete for the</w:t>
      </w:r>
      <w:r w:rsidR="00364990" w:rsidRPr="00553637">
        <w:rPr>
          <w:i/>
          <w:iCs/>
          <w:lang w:val="en-NZ"/>
        </w:rPr>
        <w:t xml:space="preserve"> quarter three</w:t>
      </w:r>
      <w:r w:rsidRPr="00553637">
        <w:rPr>
          <w:i/>
          <w:iCs/>
          <w:lang w:val="en-NZ"/>
        </w:rPr>
        <w:t xml:space="preserve"> period to </w:t>
      </w:r>
      <w:r w:rsidR="001B2EEB" w:rsidRPr="00553637">
        <w:rPr>
          <w:i/>
          <w:iCs/>
          <w:lang w:val="en-NZ"/>
        </w:rPr>
        <w:t xml:space="preserve">enable </w:t>
      </w:r>
      <w:r w:rsidRPr="00553637">
        <w:rPr>
          <w:i/>
          <w:iCs/>
          <w:lang w:val="en-NZ"/>
        </w:rPr>
        <w:t xml:space="preserve">a full picture of readmissions </w:t>
      </w:r>
      <w:r w:rsidR="2BFE0914" w:rsidRPr="00553637">
        <w:rPr>
          <w:i/>
          <w:iCs/>
          <w:lang w:val="en-NZ"/>
        </w:rPr>
        <w:t xml:space="preserve">for </w:t>
      </w:r>
      <w:r w:rsidR="004239AB" w:rsidRPr="00553637">
        <w:rPr>
          <w:i/>
          <w:iCs/>
          <w:lang w:val="en-NZ"/>
        </w:rPr>
        <w:t xml:space="preserve">the </w:t>
      </w:r>
      <w:r w:rsidR="2BFE0914" w:rsidRPr="00553637">
        <w:rPr>
          <w:i/>
          <w:iCs/>
          <w:lang w:val="en-NZ"/>
        </w:rPr>
        <w:t>quarter three</w:t>
      </w:r>
      <w:r w:rsidR="000314A0" w:rsidRPr="00553637">
        <w:rPr>
          <w:i/>
          <w:iCs/>
          <w:lang w:val="en-NZ"/>
        </w:rPr>
        <w:t xml:space="preserve"> period</w:t>
      </w:r>
      <w:r w:rsidR="2BFE0914" w:rsidRPr="00553637">
        <w:rPr>
          <w:i/>
          <w:iCs/>
          <w:lang w:val="en-NZ"/>
        </w:rPr>
        <w:t xml:space="preserve">, </w:t>
      </w:r>
      <w:r w:rsidRPr="00553637">
        <w:rPr>
          <w:i/>
          <w:iCs/>
          <w:lang w:val="en-NZ"/>
        </w:rPr>
        <w:t>therefore the data has been updated to quarter two only. Regional results are not available for this measure.</w:t>
      </w:r>
      <w:r w:rsidR="009C3FFF" w:rsidRPr="00553637">
        <w:rPr>
          <w:i/>
          <w:iCs/>
          <w:lang w:val="en-NZ"/>
        </w:rPr>
        <w:t xml:space="preserve"> Due to this measure being created in legacy systems, the Asian split is not yet available</w:t>
      </w:r>
      <w:r w:rsidR="00261928">
        <w:rPr>
          <w:lang w:val="en-NZ"/>
        </w:rPr>
        <w:t xml:space="preserve">, </w:t>
      </w:r>
      <w:r w:rsidR="00261928" w:rsidRPr="00544F95">
        <w:rPr>
          <w:i/>
          <w:iCs/>
          <w:lang w:val="en-NZ"/>
        </w:rPr>
        <w:t>h</w:t>
      </w:r>
      <w:r w:rsidR="009C3FFF" w:rsidRPr="00544F95">
        <w:rPr>
          <w:i/>
          <w:iCs/>
          <w:lang w:val="en-NZ"/>
        </w:rPr>
        <w:t>owever this should be available shortly.</w:t>
      </w:r>
    </w:p>
    <w:p w14:paraId="2A45EEA5" w14:textId="77777777" w:rsidR="007348EC" w:rsidRPr="00D4706E" w:rsidRDefault="007348EC" w:rsidP="004C0B42">
      <w:pPr>
        <w:pStyle w:val="Heading2"/>
      </w:pPr>
      <w:bookmarkStart w:id="95" w:name="_Toc162008468"/>
      <w:bookmarkStart w:id="96" w:name="_Toc163580420"/>
      <w:bookmarkStart w:id="97" w:name="_Toc170199181"/>
    </w:p>
    <w:p w14:paraId="64E289ED" w14:textId="77777777" w:rsidR="007348EC" w:rsidRPr="00D4706E" w:rsidRDefault="007348EC" w:rsidP="007348EC">
      <w:pPr>
        <w:rPr>
          <w:lang w:val="en-NZ"/>
        </w:rPr>
      </w:pPr>
    </w:p>
    <w:p w14:paraId="7788B324" w14:textId="77777777" w:rsidR="007348EC" w:rsidRPr="00D4706E" w:rsidRDefault="007348EC" w:rsidP="007348EC">
      <w:pPr>
        <w:rPr>
          <w:lang w:val="en-NZ"/>
        </w:rPr>
      </w:pPr>
    </w:p>
    <w:p w14:paraId="7B54A51C" w14:textId="77777777" w:rsidR="007348EC" w:rsidRPr="00D4706E" w:rsidRDefault="007348EC" w:rsidP="007348EC">
      <w:pPr>
        <w:rPr>
          <w:lang w:val="en-NZ"/>
        </w:rPr>
      </w:pPr>
    </w:p>
    <w:p w14:paraId="0C416DF7" w14:textId="57E10C2D" w:rsidR="00A45ADF" w:rsidRPr="00D4706E" w:rsidRDefault="00A45ADF" w:rsidP="008337BD">
      <w:pPr>
        <w:pStyle w:val="Heading2"/>
        <w:spacing w:before="480" w:line="288" w:lineRule="auto"/>
        <w:rPr>
          <w:rFonts w:eastAsiaTheme="majorEastAsia"/>
          <w:bCs w:val="0"/>
          <w:color w:val="15284C" w:themeColor="text2"/>
          <w:sz w:val="48"/>
          <w:szCs w:val="26"/>
        </w:rPr>
      </w:pPr>
      <w:r w:rsidRPr="00D4706E">
        <w:rPr>
          <w:rFonts w:eastAsiaTheme="majorEastAsia"/>
          <w:bCs w:val="0"/>
          <w:color w:val="15284C" w:themeColor="text2"/>
          <w:sz w:val="48"/>
          <w:szCs w:val="26"/>
        </w:rPr>
        <w:lastRenderedPageBreak/>
        <w:t>Our milestones</w:t>
      </w:r>
      <w:bookmarkEnd w:id="95"/>
      <w:bookmarkEnd w:id="96"/>
      <w:bookmarkEnd w:id="97"/>
    </w:p>
    <w:p w14:paraId="47656D77" w14:textId="77777777" w:rsidR="000457CE" w:rsidRPr="003067B9" w:rsidRDefault="000457CE" w:rsidP="004C0B42">
      <w:pPr>
        <w:rPr>
          <w:lang w:val="en-NZ"/>
        </w:rPr>
      </w:pPr>
      <w:r w:rsidRPr="003067B9">
        <w:rPr>
          <w:lang w:val="en-NZ"/>
        </w:rPr>
        <w:t xml:space="preserve">The below sets out milestones in our Statement of Performance Expectations  </w:t>
      </w:r>
    </w:p>
    <w:tbl>
      <w:tblPr>
        <w:tblStyle w:val="TeWhatuOra"/>
        <w:tblW w:w="5000" w:type="pct"/>
        <w:tblLook w:val="04A0" w:firstRow="1" w:lastRow="0" w:firstColumn="1" w:lastColumn="0" w:noHBand="0" w:noVBand="1"/>
      </w:tblPr>
      <w:tblGrid>
        <w:gridCol w:w="2273"/>
        <w:gridCol w:w="5177"/>
        <w:gridCol w:w="1732"/>
      </w:tblGrid>
      <w:tr w:rsidR="0083104A" w:rsidRPr="00D4706E" w14:paraId="7272715A" w14:textId="77777777" w:rsidTr="00802B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shd w:val="clear" w:color="auto" w:fill="002060"/>
          </w:tcPr>
          <w:p w14:paraId="0BEF180A" w14:textId="488EB2CB" w:rsidR="0083104A" w:rsidRPr="003067B9" w:rsidDel="00190319" w:rsidRDefault="00382234">
            <w:pPr>
              <w:rPr>
                <w:color w:val="000000"/>
                <w:szCs w:val="24"/>
                <w:bdr w:val="none" w:sz="0" w:space="0" w:color="auto" w:frame="1"/>
                <w:lang w:val="en-NZ"/>
              </w:rPr>
            </w:pPr>
            <w:r w:rsidRPr="003067B9">
              <w:rPr>
                <w:rFonts w:eastAsia="Times New Roman"/>
                <w:szCs w:val="24"/>
                <w:lang w:val="en-NZ" w:eastAsia="en-NZ"/>
              </w:rPr>
              <w:t>Milestones</w:t>
            </w:r>
          </w:p>
        </w:tc>
        <w:tc>
          <w:tcPr>
            <w:tcW w:w="2819" w:type="pct"/>
            <w:shd w:val="clear" w:color="auto" w:fill="002060"/>
          </w:tcPr>
          <w:p w14:paraId="6E79EA22" w14:textId="169C0FD6" w:rsidR="0083104A" w:rsidRPr="003067B9" w:rsidRDefault="00640791">
            <w:pPr>
              <w:cnfStyle w:val="100000000000" w:firstRow="1" w:lastRow="0" w:firstColumn="0" w:lastColumn="0" w:oddVBand="0" w:evenVBand="0" w:oddHBand="0" w:evenHBand="0" w:firstRowFirstColumn="0" w:firstRowLastColumn="0" w:lastRowFirstColumn="0" w:lastRowLastColumn="0"/>
              <w:rPr>
                <w:rFonts w:eastAsia="Times New Roman"/>
                <w:b w:val="0"/>
                <w:bCs/>
                <w:szCs w:val="24"/>
                <w:lang w:val="en-NZ" w:eastAsia="en-NZ"/>
              </w:rPr>
            </w:pPr>
            <w:r w:rsidRPr="003067B9">
              <w:rPr>
                <w:rFonts w:eastAsia="Times New Roman"/>
                <w:szCs w:val="24"/>
                <w:lang w:val="en-NZ" w:eastAsia="en-NZ"/>
              </w:rPr>
              <w:t>Progress made – Quarter Three 2024</w:t>
            </w:r>
          </w:p>
        </w:tc>
        <w:tc>
          <w:tcPr>
            <w:tcW w:w="943" w:type="pct"/>
            <w:shd w:val="clear" w:color="auto" w:fill="002060"/>
          </w:tcPr>
          <w:p w14:paraId="56180486" w14:textId="77777777" w:rsidR="0083104A" w:rsidRPr="003067B9" w:rsidRDefault="0083104A">
            <w:pPr>
              <w:cnfStyle w:val="100000000000" w:firstRow="1" w:lastRow="0" w:firstColumn="0" w:lastColumn="0" w:oddVBand="0" w:evenVBand="0" w:oddHBand="0" w:evenHBand="0" w:firstRowFirstColumn="0" w:firstRowLastColumn="0" w:lastRowFirstColumn="0" w:lastRowLastColumn="0"/>
              <w:rPr>
                <w:szCs w:val="24"/>
                <w:lang w:val="en-NZ" w:eastAsia="en-NZ"/>
              </w:rPr>
            </w:pPr>
          </w:p>
        </w:tc>
      </w:tr>
      <w:tr w:rsidR="00AF5F94" w:rsidRPr="00D4706E" w14:paraId="09A4A7FC" w14:textId="5F749753" w:rsidTr="00802BD4">
        <w:tc>
          <w:tcPr>
            <w:cnfStyle w:val="001000000000" w:firstRow="0" w:lastRow="0" w:firstColumn="1" w:lastColumn="0" w:oddVBand="0" w:evenVBand="0" w:oddHBand="0" w:evenHBand="0" w:firstRowFirstColumn="0" w:firstRowLastColumn="0" w:lastRowFirstColumn="0" w:lastRowLastColumn="0"/>
            <w:tcW w:w="1238" w:type="pct"/>
            <w:shd w:val="clear" w:color="auto" w:fill="auto"/>
          </w:tcPr>
          <w:p w14:paraId="0E89472C" w14:textId="2D99AFF5" w:rsidR="00AF5F94" w:rsidRPr="003067B9" w:rsidRDefault="00AF5F94">
            <w:pPr>
              <w:rPr>
                <w:szCs w:val="24"/>
                <w:lang w:val="en-NZ"/>
              </w:rPr>
            </w:pPr>
            <w:r w:rsidRPr="003067B9" w:rsidDel="00190319">
              <w:rPr>
                <w:color w:val="000000"/>
                <w:szCs w:val="24"/>
                <w:bdr w:val="none" w:sz="0" w:space="0" w:color="auto" w:frame="1"/>
                <w:lang w:val="en-NZ"/>
              </w:rPr>
              <w:t>Continue COVID</w:t>
            </w:r>
            <w:r w:rsidRPr="003067B9">
              <w:rPr>
                <w:color w:val="000000"/>
                <w:szCs w:val="24"/>
                <w:bdr w:val="none" w:sz="0" w:space="0" w:color="auto" w:frame="1"/>
                <w:lang w:val="en-NZ"/>
              </w:rPr>
              <w:t>-</w:t>
            </w:r>
            <w:r w:rsidRPr="003067B9" w:rsidDel="00190319">
              <w:rPr>
                <w:color w:val="000000"/>
                <w:szCs w:val="24"/>
                <w:bdr w:val="none" w:sz="0" w:space="0" w:color="auto" w:frame="1"/>
                <w:lang w:val="en-NZ"/>
              </w:rPr>
              <w:t xml:space="preserve">19 response in line with policy settings and build towards a new business-as-usual pandemic resilient system. </w:t>
            </w:r>
          </w:p>
        </w:tc>
        <w:tc>
          <w:tcPr>
            <w:tcW w:w="2819" w:type="pct"/>
            <w:shd w:val="clear" w:color="auto" w:fill="auto"/>
          </w:tcPr>
          <w:p w14:paraId="4F9E0B27" w14:textId="6B767754" w:rsidR="000D49F5" w:rsidRPr="003067B9" w:rsidRDefault="000D49F5" w:rsidP="000D49F5">
            <w:pPr>
              <w:pStyle w:val="NormalWeb"/>
              <w:spacing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lang w:val="en-NZ"/>
              </w:rPr>
            </w:pPr>
            <w:r w:rsidRPr="003067B9">
              <w:rPr>
                <w:rFonts w:ascii="Arial" w:hAnsi="Arial" w:cs="Arial"/>
                <w:lang w:val="en-NZ"/>
              </w:rPr>
              <w:t>To support COVID-19 community testing, five million Rapid Antigen Tests (RATs) were ordered in January to support the continued provision of publicly funded RATs until June 2024.</w:t>
            </w:r>
            <w:r w:rsidR="004239AB" w:rsidRPr="003067B9">
              <w:rPr>
                <w:rFonts w:ascii="Arial" w:hAnsi="Arial" w:cs="Arial"/>
                <w:lang w:val="en-NZ"/>
              </w:rPr>
              <w:t xml:space="preserve"> </w:t>
            </w:r>
            <w:r w:rsidRPr="003067B9">
              <w:rPr>
                <w:rFonts w:ascii="Arial" w:hAnsi="Arial" w:cs="Arial"/>
                <w:lang w:val="en-NZ"/>
              </w:rPr>
              <w:t xml:space="preserve">The first batch of approximately 2.1 million RATs was received in late February, and the remaining batch arrived at the end of March. These free RATs are available through the established national network of distribution providers, comprising  health providers and some pharmacies. </w:t>
            </w:r>
          </w:p>
          <w:p w14:paraId="437C10FE" w14:textId="7132AE60" w:rsidR="00AF5F94" w:rsidRPr="003067B9" w:rsidRDefault="000D49F5" w:rsidP="000D49F5">
            <w:pPr>
              <w:pStyle w:val="NormalWeb"/>
              <w:spacing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lang w:val="en-NZ"/>
              </w:rPr>
            </w:pPr>
            <w:r w:rsidRPr="003067B9">
              <w:rPr>
                <w:rFonts w:ascii="Arial" w:hAnsi="Arial" w:cs="Arial"/>
                <w:lang w:val="en-NZ"/>
              </w:rPr>
              <w:t>Summer 2023/24 COVID-19 booster vaccinations were recommended for groups at higher risk of becoming severely ill, coinciding with a wave of COVID-19 over the Christmas and summer period.</w:t>
            </w:r>
          </w:p>
        </w:tc>
        <w:tc>
          <w:tcPr>
            <w:tcW w:w="943" w:type="pct"/>
            <w:shd w:val="clear" w:color="auto" w:fill="D9D9D9" w:themeFill="accent6" w:themeFillShade="D9"/>
          </w:tcPr>
          <w:p w14:paraId="16DE425E" w14:textId="3DF6435C" w:rsidR="00AF5F94" w:rsidRPr="003067B9" w:rsidRDefault="00FC758E">
            <w:pPr>
              <w:cnfStyle w:val="000000000000" w:firstRow="0" w:lastRow="0" w:firstColumn="0" w:lastColumn="0" w:oddVBand="0" w:evenVBand="0" w:oddHBand="0" w:evenHBand="0" w:firstRowFirstColumn="0" w:firstRowLastColumn="0" w:lastRowFirstColumn="0" w:lastRowLastColumn="0"/>
              <w:rPr>
                <w:rFonts w:eastAsia="Times New Roman"/>
                <w:szCs w:val="24"/>
                <w:lang w:val="en-NZ" w:eastAsia="en-NZ"/>
              </w:rPr>
            </w:pPr>
            <w:r w:rsidRPr="003067B9">
              <w:rPr>
                <w:szCs w:val="24"/>
                <w:lang w:val="en-NZ" w:eastAsia="en-NZ"/>
              </w:rPr>
              <w:t xml:space="preserve">Te Pae Tata Priority 2 - Embed </w:t>
            </w:r>
            <w:r w:rsidR="00E538C3">
              <w:rPr>
                <w:szCs w:val="24"/>
                <w:lang w:val="en-NZ" w:eastAsia="en-NZ"/>
              </w:rPr>
              <w:t>t</w:t>
            </w:r>
            <w:r w:rsidRPr="003067B9">
              <w:rPr>
                <w:szCs w:val="24"/>
                <w:lang w:val="en-NZ" w:eastAsia="en-NZ"/>
              </w:rPr>
              <w:t>e Tiriti o Waitangi across the health sector</w:t>
            </w:r>
          </w:p>
        </w:tc>
      </w:tr>
      <w:tr w:rsidR="00AF5F94" w:rsidRPr="00D4706E" w14:paraId="0CC65415" w14:textId="479F340C" w:rsidTr="00802BD4">
        <w:tc>
          <w:tcPr>
            <w:cnfStyle w:val="001000000000" w:firstRow="0" w:lastRow="0" w:firstColumn="1" w:lastColumn="0" w:oddVBand="0" w:evenVBand="0" w:oddHBand="0" w:evenHBand="0" w:firstRowFirstColumn="0" w:firstRowLastColumn="0" w:lastRowFirstColumn="0" w:lastRowLastColumn="0"/>
            <w:tcW w:w="1238" w:type="pct"/>
            <w:shd w:val="clear" w:color="auto" w:fill="auto"/>
          </w:tcPr>
          <w:p w14:paraId="33A4FD1B" w14:textId="4374DD09" w:rsidR="00AF5F94" w:rsidRPr="003067B9" w:rsidRDefault="00AF5F94">
            <w:pPr>
              <w:rPr>
                <w:color w:val="000000"/>
                <w:szCs w:val="24"/>
                <w:bdr w:val="none" w:sz="0" w:space="0" w:color="auto" w:frame="1"/>
                <w:lang w:val="en-NZ"/>
              </w:rPr>
            </w:pPr>
            <w:r w:rsidRPr="003067B9">
              <w:rPr>
                <w:color w:val="000000"/>
                <w:szCs w:val="24"/>
                <w:bdr w:val="none" w:sz="0" w:space="0" w:color="auto" w:frame="1"/>
                <w:lang w:val="en-NZ"/>
              </w:rPr>
              <w:t xml:space="preserve">Improve digital access to primary and mental healthcare to improve access and choice, including virtual after-hours and telehealth with a focus on rural communities </w:t>
            </w:r>
          </w:p>
        </w:tc>
        <w:tc>
          <w:tcPr>
            <w:tcW w:w="2819" w:type="pct"/>
            <w:shd w:val="clear" w:color="auto" w:fill="auto"/>
          </w:tcPr>
          <w:p w14:paraId="36D9532C" w14:textId="36DD3B87" w:rsidR="00183EBD" w:rsidRPr="003067B9" w:rsidRDefault="00183EBD" w:rsidP="00183EBD">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szCs w:val="24"/>
                <w:lang w:val="en-NZ" w:eastAsia="en-NZ"/>
              </w:rPr>
            </w:pPr>
            <w:r w:rsidRPr="003067B9">
              <w:rPr>
                <w:rFonts w:eastAsia="Times New Roman"/>
                <w:szCs w:val="24"/>
                <w:lang w:val="en-NZ" w:eastAsia="en-NZ"/>
              </w:rPr>
              <w:t>Of 230 rural practices identified to access the Ka Ora Tele</w:t>
            </w:r>
            <w:r w:rsidR="00E373BC">
              <w:rPr>
                <w:rFonts w:eastAsia="Times New Roman"/>
                <w:szCs w:val="24"/>
                <w:lang w:val="en-NZ" w:eastAsia="en-NZ"/>
              </w:rPr>
              <w:t>care</w:t>
            </w:r>
            <w:r w:rsidRPr="003067B9">
              <w:rPr>
                <w:rFonts w:eastAsia="Times New Roman"/>
                <w:szCs w:val="24"/>
                <w:lang w:val="en-NZ" w:eastAsia="en-NZ"/>
              </w:rPr>
              <w:t xml:space="preserve"> programme, 190 have been approached and offered the service. Of those, 95 practices (41% of all rural practices) have signed up for the service (</w:t>
            </w:r>
            <w:r w:rsidR="00B47C36" w:rsidRPr="003067B9">
              <w:rPr>
                <w:rFonts w:eastAsia="Times New Roman"/>
                <w:szCs w:val="24"/>
                <w:lang w:val="en-NZ" w:eastAsia="en-NZ"/>
              </w:rPr>
              <w:t xml:space="preserve">a </w:t>
            </w:r>
            <w:r w:rsidRPr="003067B9">
              <w:rPr>
                <w:rFonts w:eastAsia="Times New Roman"/>
                <w:szCs w:val="24"/>
                <w:lang w:val="en-NZ" w:eastAsia="en-NZ"/>
              </w:rPr>
              <w:t xml:space="preserve">6% increase from end of last quarter) while five practices (2% of all rural practices) declined. The provider is awaiting responses from the remaining 90 practices, which were approached in the initial tranche of engagement and will, in time, engage with the remaining 40 rural practices. </w:t>
            </w:r>
          </w:p>
          <w:p w14:paraId="5B8EB519" w14:textId="23D2058A" w:rsidR="00AF5F94" w:rsidRPr="003067B9" w:rsidRDefault="00183EBD" w:rsidP="00183EBD">
            <w:pP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000000"/>
                <w:szCs w:val="24"/>
                <w:lang w:val="en-NZ" w:eastAsia="en-NZ"/>
              </w:rPr>
            </w:pPr>
            <w:r w:rsidRPr="003067B9">
              <w:rPr>
                <w:rFonts w:eastAsia="Times New Roman"/>
                <w:szCs w:val="24"/>
                <w:lang w:val="en-NZ" w:eastAsia="en-NZ"/>
              </w:rPr>
              <w:t xml:space="preserve">The Rural Health Conference will be held in quarter </w:t>
            </w:r>
            <w:r w:rsidR="00AF3F58" w:rsidRPr="003067B9">
              <w:rPr>
                <w:rFonts w:eastAsia="Times New Roman"/>
                <w:szCs w:val="24"/>
                <w:lang w:val="en-NZ" w:eastAsia="en-NZ"/>
              </w:rPr>
              <w:t>four</w:t>
            </w:r>
            <w:r w:rsidRPr="003067B9">
              <w:rPr>
                <w:rFonts w:eastAsia="Times New Roman"/>
                <w:szCs w:val="24"/>
                <w:lang w:val="en-NZ" w:eastAsia="en-NZ"/>
              </w:rPr>
              <w:t>, helping to engage with practitioners further and promote the service</w:t>
            </w:r>
          </w:p>
        </w:tc>
        <w:tc>
          <w:tcPr>
            <w:tcW w:w="943" w:type="pct"/>
            <w:shd w:val="clear" w:color="auto" w:fill="D9D9D9" w:themeFill="accent6" w:themeFillShade="D9"/>
          </w:tcPr>
          <w:p w14:paraId="419C7CB6" w14:textId="6C76AB08" w:rsidR="00AF5F94" w:rsidRPr="003067B9" w:rsidRDefault="00AF5F94" w:rsidP="000B647E">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szCs w:val="24"/>
                <w:lang w:val="en-NZ" w:eastAsia="en-NZ"/>
              </w:rPr>
            </w:pPr>
            <w:r w:rsidRPr="003067B9">
              <w:rPr>
                <w:szCs w:val="24"/>
                <w:lang w:val="en-NZ" w:eastAsia="en-NZ"/>
              </w:rPr>
              <w:t>Te Pae Tata Priority 5 - Develop greater use of digital services to provide more care in homes and communities</w:t>
            </w:r>
          </w:p>
        </w:tc>
      </w:tr>
      <w:tr w:rsidR="00CC34D2" w:rsidRPr="00D4706E" w14:paraId="5B8B043E" w14:textId="64946219" w:rsidTr="00802BD4">
        <w:tc>
          <w:tcPr>
            <w:cnfStyle w:val="001000000000" w:firstRow="0" w:lastRow="0" w:firstColumn="1" w:lastColumn="0" w:oddVBand="0" w:evenVBand="0" w:oddHBand="0" w:evenHBand="0" w:firstRowFirstColumn="0" w:firstRowLastColumn="0" w:lastRowFirstColumn="0" w:lastRowLastColumn="0"/>
            <w:tcW w:w="1238" w:type="pct"/>
            <w:shd w:val="clear" w:color="auto" w:fill="auto"/>
          </w:tcPr>
          <w:p w14:paraId="67941FB2" w14:textId="5668CEB5" w:rsidR="00CC34D2" w:rsidRPr="003067B9" w:rsidRDefault="00CC34D2">
            <w:pPr>
              <w:rPr>
                <w:szCs w:val="24"/>
                <w:lang w:val="en-NZ"/>
              </w:rPr>
            </w:pPr>
            <w:r w:rsidRPr="003067B9">
              <w:rPr>
                <w:color w:val="000000"/>
                <w:szCs w:val="24"/>
                <w:bdr w:val="none" w:sz="0" w:space="0" w:color="auto" w:frame="1"/>
                <w:lang w:val="en-NZ"/>
              </w:rPr>
              <w:t xml:space="preserve">Progress the approved capital infrastructure projects that are underway, taking all practicable </w:t>
            </w:r>
            <w:r w:rsidRPr="003067B9">
              <w:rPr>
                <w:color w:val="000000"/>
                <w:szCs w:val="24"/>
                <w:bdr w:val="none" w:sz="0" w:space="0" w:color="auto" w:frame="1"/>
                <w:lang w:val="en-NZ"/>
              </w:rPr>
              <w:lastRenderedPageBreak/>
              <w:t>measures to ensure that project milestones are met, and anticipated benefits are realised, within budget.</w:t>
            </w:r>
            <w:bookmarkStart w:id="98" w:name="_Ref150789015"/>
            <w:r w:rsidRPr="003067B9">
              <w:rPr>
                <w:color w:val="000000"/>
                <w:szCs w:val="24"/>
                <w:bdr w:val="none" w:sz="0" w:space="0" w:color="auto" w:frame="1"/>
                <w:lang w:val="en-NZ"/>
              </w:rPr>
              <w:t xml:space="preserve"> </w:t>
            </w:r>
            <w:bookmarkEnd w:id="98"/>
          </w:p>
        </w:tc>
        <w:tc>
          <w:tcPr>
            <w:tcW w:w="2819" w:type="pct"/>
            <w:shd w:val="clear" w:color="auto" w:fill="auto"/>
          </w:tcPr>
          <w:p w14:paraId="564621C9" w14:textId="35375D40" w:rsidR="00CC34D2" w:rsidRPr="003067B9" w:rsidRDefault="00CC34D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en-NZ"/>
              </w:rPr>
            </w:pPr>
            <w:r w:rsidRPr="003067B9">
              <w:rPr>
                <w:color w:val="000000"/>
                <w:bdr w:val="none" w:sz="0" w:space="0" w:color="auto" w:frame="1"/>
                <w:lang w:val="en-NZ"/>
              </w:rPr>
              <w:lastRenderedPageBreak/>
              <w:t>As of 29 February 2024</w:t>
            </w:r>
            <w:r w:rsidR="002D7036">
              <w:rPr>
                <w:color w:val="000000"/>
                <w:bdr w:val="none" w:sz="0" w:space="0" w:color="auto" w:frame="1"/>
                <w:lang w:val="en-NZ"/>
              </w:rPr>
              <w:t>,</w:t>
            </w:r>
            <w:r w:rsidRPr="003067B9">
              <w:rPr>
                <w:rStyle w:val="FootnoteReference"/>
                <w:color w:val="000000"/>
                <w:bdr w:val="none" w:sz="0" w:space="0" w:color="auto" w:frame="1"/>
                <w:vertAlign w:val="superscript"/>
                <w:lang w:val="en-NZ"/>
              </w:rPr>
              <w:footnoteReference w:id="12"/>
            </w:r>
            <w:r w:rsidRPr="003067B9">
              <w:rPr>
                <w:color w:val="000000"/>
                <w:bdr w:val="none" w:sz="0" w:space="0" w:color="auto" w:frame="1"/>
                <w:lang w:val="en-NZ"/>
              </w:rPr>
              <w:t xml:space="preserve"> we had </w:t>
            </w:r>
            <w:r w:rsidRPr="003067B9">
              <w:rPr>
                <w:lang w:val="en-NZ"/>
              </w:rPr>
              <w:t xml:space="preserve">75 in-flight projects that were </w:t>
            </w:r>
            <w:r w:rsidR="002D7036">
              <w:rPr>
                <w:lang w:val="en-NZ"/>
              </w:rPr>
              <w:t>more than</w:t>
            </w:r>
            <w:r w:rsidRPr="003067B9">
              <w:rPr>
                <w:lang w:val="en-NZ"/>
              </w:rPr>
              <w:t xml:space="preserve"> $10 million or funded from the HCE. Of these, 36 projects were on track with no issues and </w:t>
            </w:r>
            <w:r w:rsidRPr="003067B9">
              <w:rPr>
                <w:color w:val="000000"/>
                <w:bdr w:val="none" w:sz="0" w:space="0" w:color="auto" w:frame="1"/>
                <w:lang w:val="en-NZ"/>
              </w:rPr>
              <w:t xml:space="preserve">17 were identified as having significant budget and milestone risks. Last quarter we had 16 “at </w:t>
            </w:r>
            <w:r w:rsidRPr="003067B9">
              <w:rPr>
                <w:color w:val="000000"/>
                <w:bdr w:val="none" w:sz="0" w:space="0" w:color="auto" w:frame="1"/>
                <w:lang w:val="en-NZ"/>
              </w:rPr>
              <w:lastRenderedPageBreak/>
              <w:t>risk” projects. The increase is based on two new change requests and one project where the issues have been resolved.</w:t>
            </w:r>
          </w:p>
        </w:tc>
        <w:tc>
          <w:tcPr>
            <w:tcW w:w="943" w:type="pct"/>
            <w:shd w:val="clear" w:color="auto" w:fill="D9D9D9" w:themeFill="accent6" w:themeFillShade="D9"/>
          </w:tcPr>
          <w:p w14:paraId="2B8438EB" w14:textId="0382AF7F" w:rsidR="00CC34D2" w:rsidRPr="003067B9" w:rsidRDefault="00CC34D2">
            <w:pPr>
              <w:cnfStyle w:val="000000000000" w:firstRow="0" w:lastRow="0" w:firstColumn="0" w:lastColumn="0" w:oddVBand="0" w:evenVBand="0" w:oddHBand="0" w:evenHBand="0" w:firstRowFirstColumn="0" w:firstRowLastColumn="0" w:lastRowFirstColumn="0" w:lastRowLastColumn="0"/>
              <w:rPr>
                <w:color w:val="000000"/>
                <w:szCs w:val="28"/>
                <w:bdr w:val="none" w:sz="0" w:space="0" w:color="auto" w:frame="1"/>
                <w:lang w:val="en-NZ"/>
              </w:rPr>
            </w:pPr>
            <w:r w:rsidRPr="003067B9">
              <w:rPr>
                <w:rFonts w:eastAsia="Yu Gothic Light"/>
                <w:szCs w:val="24"/>
                <w:lang w:val="en-NZ" w:eastAsia="en-NZ"/>
              </w:rPr>
              <w:lastRenderedPageBreak/>
              <w:t xml:space="preserve">Te Pae Tata Priority 6 - Establish Health NZ and Te Aka Whai Ora to support </w:t>
            </w:r>
            <w:r w:rsidRPr="003067B9">
              <w:rPr>
                <w:rFonts w:eastAsia="Yu Gothic Light"/>
                <w:szCs w:val="24"/>
                <w:lang w:val="en-NZ" w:eastAsia="en-NZ"/>
              </w:rPr>
              <w:lastRenderedPageBreak/>
              <w:t>a financially sustainable system</w:t>
            </w:r>
          </w:p>
        </w:tc>
      </w:tr>
      <w:tr w:rsidR="00CC34D2" w:rsidRPr="00D4706E" w14:paraId="07D6F207" w14:textId="07E7AA6F" w:rsidTr="00CC34D2">
        <w:tc>
          <w:tcPr>
            <w:cnfStyle w:val="001000000000" w:firstRow="0" w:lastRow="0" w:firstColumn="1" w:lastColumn="0" w:oddVBand="0" w:evenVBand="0" w:oddHBand="0" w:evenHBand="0" w:firstRowFirstColumn="0" w:firstRowLastColumn="0" w:lastRowFirstColumn="0" w:lastRowLastColumn="0"/>
            <w:tcW w:w="1238" w:type="pct"/>
            <w:shd w:val="clear" w:color="auto" w:fill="auto"/>
          </w:tcPr>
          <w:p w14:paraId="3D666D9E" w14:textId="27CFF1FA" w:rsidR="00CC34D2" w:rsidRPr="003067B9" w:rsidRDefault="00CC34D2" w:rsidP="00CC34D2">
            <w:pPr>
              <w:rPr>
                <w:color w:val="000000"/>
                <w:szCs w:val="24"/>
                <w:bdr w:val="none" w:sz="0" w:space="0" w:color="auto" w:frame="1"/>
                <w:lang w:val="en-NZ"/>
              </w:rPr>
            </w:pPr>
            <w:r w:rsidRPr="003067B9">
              <w:rPr>
                <w:color w:val="000000"/>
                <w:szCs w:val="24"/>
                <w:bdr w:val="none" w:sz="0" w:space="0" w:color="auto" w:frame="1"/>
                <w:lang w:val="en-NZ"/>
              </w:rPr>
              <w:lastRenderedPageBreak/>
              <w:t xml:space="preserve">Deliver the approved digital capital projects in line with </w:t>
            </w:r>
            <w:r w:rsidR="00ED36CC">
              <w:rPr>
                <w:color w:val="000000"/>
                <w:szCs w:val="24"/>
                <w:bdr w:val="none" w:sz="0" w:space="0" w:color="auto" w:frame="1"/>
                <w:lang w:val="en-NZ"/>
              </w:rPr>
              <w:t>b</w:t>
            </w:r>
            <w:r w:rsidRPr="003067B9">
              <w:rPr>
                <w:color w:val="000000"/>
                <w:szCs w:val="24"/>
                <w:bdr w:val="none" w:sz="0" w:space="0" w:color="auto" w:frame="1"/>
                <w:lang w:val="en-NZ"/>
              </w:rPr>
              <w:t xml:space="preserve">usiness </w:t>
            </w:r>
            <w:r w:rsidR="00ED36CC">
              <w:rPr>
                <w:color w:val="000000"/>
                <w:szCs w:val="24"/>
                <w:bdr w:val="none" w:sz="0" w:space="0" w:color="auto" w:frame="1"/>
                <w:lang w:val="en-NZ"/>
              </w:rPr>
              <w:t>c</w:t>
            </w:r>
            <w:r w:rsidRPr="003067B9">
              <w:rPr>
                <w:color w:val="000000"/>
                <w:szCs w:val="24"/>
                <w:bdr w:val="none" w:sz="0" w:space="0" w:color="auto" w:frame="1"/>
                <w:lang w:val="en-NZ"/>
              </w:rPr>
              <w:t>ases.</w:t>
            </w:r>
            <w:r w:rsidRPr="003067B9">
              <w:rPr>
                <w:color w:val="000000"/>
                <w:szCs w:val="24"/>
                <w:bdr w:val="none" w:sz="0" w:space="0" w:color="auto" w:frame="1"/>
                <w:lang w:val="en-NZ"/>
              </w:rPr>
              <w:fldChar w:fldCharType="begin"/>
            </w:r>
            <w:r w:rsidRPr="003067B9">
              <w:rPr>
                <w:color w:val="000000"/>
                <w:szCs w:val="24"/>
                <w:bdr w:val="none" w:sz="0" w:space="0" w:color="auto" w:frame="1"/>
                <w:lang w:val="en-NZ"/>
              </w:rPr>
              <w:instrText xml:space="preserve"> NOTEREF _Ref150789015 \f \h  \* MERGEFORMAT </w:instrText>
            </w:r>
            <w:r w:rsidRPr="003067B9">
              <w:rPr>
                <w:color w:val="000000"/>
                <w:szCs w:val="24"/>
                <w:bdr w:val="none" w:sz="0" w:space="0" w:color="auto" w:frame="1"/>
                <w:lang w:val="en-NZ"/>
              </w:rPr>
              <w:fldChar w:fldCharType="separate"/>
            </w:r>
            <w:r w:rsidR="003F5ECC">
              <w:rPr>
                <w:b w:val="0"/>
                <w:bCs/>
                <w:color w:val="000000"/>
                <w:szCs w:val="24"/>
                <w:bdr w:val="none" w:sz="0" w:space="0" w:color="auto" w:frame="1"/>
              </w:rPr>
              <w:t>Error! Bookmark not defined.</w:t>
            </w:r>
            <w:r w:rsidRPr="003067B9">
              <w:rPr>
                <w:color w:val="000000"/>
                <w:szCs w:val="24"/>
                <w:bdr w:val="none" w:sz="0" w:space="0" w:color="auto" w:frame="1"/>
                <w:lang w:val="en-NZ"/>
              </w:rPr>
              <w:fldChar w:fldCharType="end"/>
            </w:r>
          </w:p>
        </w:tc>
        <w:tc>
          <w:tcPr>
            <w:tcW w:w="2819" w:type="pct"/>
            <w:shd w:val="clear" w:color="auto" w:fill="auto"/>
          </w:tcPr>
          <w:p w14:paraId="28D33453" w14:textId="77777777" w:rsidR="00CC34D2" w:rsidRPr="00D7381D" w:rsidRDefault="00CC34D2" w:rsidP="00CC34D2">
            <w:pPr>
              <w:cnfStyle w:val="000000000000" w:firstRow="0" w:lastRow="0" w:firstColumn="0" w:lastColumn="0" w:oddVBand="0" w:evenVBand="0" w:oddHBand="0" w:evenHBand="0" w:firstRowFirstColumn="0" w:firstRowLastColumn="0" w:lastRowFirstColumn="0" w:lastRowLastColumn="0"/>
              <w:rPr>
                <w:lang w:val="en-NZ"/>
              </w:rPr>
            </w:pPr>
            <w:r w:rsidRPr="003067B9">
              <w:rPr>
                <w:lang w:val="en-NZ"/>
              </w:rPr>
              <w:t>Overall delivery of capital projects in line with their respective business cases is progressing as planned for the most part. For the 10 most significant projects or programmes currently underway, (based on overall implementation value) none have a red status, and the balance are currently indicating an overall RAG status of green or amber. Common challenges have been highlighted across projects in relation to resource constraints, particularly through the current period of change. While the market appears to be beginning to shift, specialist skills remain scarce and attract a premium.</w:t>
            </w:r>
          </w:p>
        </w:tc>
        <w:tc>
          <w:tcPr>
            <w:tcW w:w="943" w:type="pct"/>
            <w:shd w:val="clear" w:color="auto" w:fill="D9D9D9" w:themeFill="accent6" w:themeFillShade="D9"/>
          </w:tcPr>
          <w:p w14:paraId="5D8222E3" w14:textId="5E23DCCE" w:rsidR="00CC34D2" w:rsidRPr="003067B9" w:rsidRDefault="00CC34D2" w:rsidP="00CC34D2">
            <w:pPr>
              <w:cnfStyle w:val="000000000000" w:firstRow="0" w:lastRow="0" w:firstColumn="0" w:lastColumn="0" w:oddVBand="0" w:evenVBand="0" w:oddHBand="0" w:evenHBand="0" w:firstRowFirstColumn="0" w:firstRowLastColumn="0" w:lastRowFirstColumn="0" w:lastRowLastColumn="0"/>
              <w:rPr>
                <w:lang w:val="en-NZ"/>
              </w:rPr>
            </w:pPr>
            <w:r w:rsidRPr="003067B9">
              <w:rPr>
                <w:rFonts w:eastAsia="Yu Gothic Light"/>
                <w:szCs w:val="24"/>
                <w:lang w:val="en-NZ" w:eastAsia="en-NZ"/>
              </w:rPr>
              <w:t>Te Pae Tata Priority 6 - Establish Health NZ and Te Aka Whai Ora to support a financially sustainable system</w:t>
            </w:r>
          </w:p>
        </w:tc>
      </w:tr>
    </w:tbl>
    <w:p w14:paraId="48CA1982" w14:textId="77777777" w:rsidR="00A45ADF" w:rsidRPr="003067B9" w:rsidRDefault="00A45ADF" w:rsidP="00C54099">
      <w:pPr>
        <w:rPr>
          <w:lang w:val="en-NZ"/>
        </w:rPr>
      </w:pPr>
    </w:p>
    <w:p w14:paraId="54BB9A4A" w14:textId="77777777" w:rsidR="00540E0F" w:rsidRPr="003067B9" w:rsidRDefault="00540E0F" w:rsidP="00C54099">
      <w:pPr>
        <w:rPr>
          <w:lang w:val="en-NZ"/>
        </w:rPr>
      </w:pPr>
    </w:p>
    <w:p w14:paraId="6D6A7108" w14:textId="77777777" w:rsidR="00540E0F" w:rsidRPr="003067B9" w:rsidRDefault="00540E0F" w:rsidP="00C54099">
      <w:pPr>
        <w:rPr>
          <w:lang w:val="en-NZ"/>
        </w:rPr>
      </w:pPr>
    </w:p>
    <w:p w14:paraId="6A743DFE" w14:textId="77777777" w:rsidR="00540E0F" w:rsidRPr="003067B9" w:rsidRDefault="00540E0F" w:rsidP="00C54099">
      <w:pPr>
        <w:rPr>
          <w:lang w:val="en-NZ"/>
        </w:rPr>
      </w:pPr>
    </w:p>
    <w:p w14:paraId="59AC2CEF" w14:textId="77777777" w:rsidR="00540E0F" w:rsidRPr="003067B9" w:rsidRDefault="00540E0F" w:rsidP="00C54099">
      <w:pPr>
        <w:rPr>
          <w:lang w:val="en-NZ"/>
        </w:rPr>
      </w:pPr>
    </w:p>
    <w:p w14:paraId="0B75707C" w14:textId="77777777" w:rsidR="00540E0F" w:rsidRPr="003067B9" w:rsidRDefault="00540E0F" w:rsidP="00C54099">
      <w:pPr>
        <w:rPr>
          <w:lang w:val="en-NZ"/>
        </w:rPr>
      </w:pPr>
    </w:p>
    <w:p w14:paraId="2285BD9F" w14:textId="77777777" w:rsidR="00540E0F" w:rsidRPr="003067B9" w:rsidRDefault="00540E0F" w:rsidP="00C54099">
      <w:pPr>
        <w:rPr>
          <w:lang w:val="en-NZ"/>
        </w:rPr>
      </w:pPr>
    </w:p>
    <w:p w14:paraId="6A6F8130" w14:textId="77777777" w:rsidR="00540E0F" w:rsidRPr="003067B9" w:rsidRDefault="00540E0F" w:rsidP="00C54099">
      <w:pPr>
        <w:rPr>
          <w:lang w:val="en-NZ"/>
        </w:rPr>
      </w:pPr>
    </w:p>
    <w:p w14:paraId="5CFDE05F" w14:textId="77777777" w:rsidR="00540E0F" w:rsidRPr="003067B9" w:rsidRDefault="00540E0F" w:rsidP="00C54099">
      <w:pPr>
        <w:rPr>
          <w:lang w:val="en-NZ"/>
        </w:rPr>
      </w:pPr>
    </w:p>
    <w:p w14:paraId="53F9B300" w14:textId="77777777" w:rsidR="00540E0F" w:rsidRPr="003067B9" w:rsidRDefault="00540E0F" w:rsidP="00C54099">
      <w:pPr>
        <w:rPr>
          <w:lang w:val="en-NZ"/>
        </w:rPr>
      </w:pPr>
    </w:p>
    <w:p w14:paraId="74F58FD5" w14:textId="77777777" w:rsidR="00540E0F" w:rsidRPr="003067B9" w:rsidRDefault="00540E0F" w:rsidP="00C54099">
      <w:pPr>
        <w:rPr>
          <w:lang w:val="en-NZ"/>
        </w:rPr>
      </w:pPr>
    </w:p>
    <w:p w14:paraId="6C62AF0F" w14:textId="77777777" w:rsidR="00540E0F" w:rsidRPr="003067B9" w:rsidRDefault="00540E0F" w:rsidP="00C54099">
      <w:pPr>
        <w:rPr>
          <w:lang w:val="en-NZ"/>
        </w:rPr>
      </w:pPr>
    </w:p>
    <w:p w14:paraId="7F988BB0" w14:textId="77777777" w:rsidR="00540E0F" w:rsidRPr="003067B9" w:rsidRDefault="00540E0F" w:rsidP="00C54099">
      <w:pPr>
        <w:rPr>
          <w:lang w:val="en-NZ"/>
        </w:rPr>
      </w:pPr>
    </w:p>
    <w:p w14:paraId="6B0AFCB8" w14:textId="145C5878" w:rsidR="00215BD7" w:rsidRPr="00D4706E" w:rsidRDefault="00215BD7" w:rsidP="003B4595">
      <w:pPr>
        <w:pStyle w:val="NumberedHeading1"/>
        <w:numPr>
          <w:ilvl w:val="0"/>
          <w:numId w:val="7"/>
        </w:numPr>
        <w:tabs>
          <w:tab w:val="left" w:pos="1021"/>
        </w:tabs>
        <w:spacing w:before="480" w:after="120" w:line="288" w:lineRule="auto"/>
        <w:ind w:left="1021" w:hanging="1021"/>
        <w:rPr>
          <w:color w:val="15284C" w:themeColor="text2"/>
          <w:sz w:val="72"/>
          <w:szCs w:val="72"/>
        </w:rPr>
      </w:pPr>
      <w:bookmarkStart w:id="99" w:name="_Toc162008469"/>
      <w:bookmarkStart w:id="100" w:name="_Toc163580421"/>
      <w:bookmarkStart w:id="101" w:name="_Toc170199182"/>
      <w:r w:rsidRPr="3F3C7943">
        <w:rPr>
          <w:color w:val="15284C" w:themeColor="accent5"/>
          <w:sz w:val="72"/>
          <w:szCs w:val="72"/>
        </w:rPr>
        <w:lastRenderedPageBreak/>
        <w:t xml:space="preserve">Financial </w:t>
      </w:r>
      <w:r w:rsidR="006E8585" w:rsidRPr="5EC3BB6C">
        <w:rPr>
          <w:noProof w:val="0"/>
          <w:color w:val="15284C" w:themeColor="accent5"/>
          <w:sz w:val="72"/>
          <w:szCs w:val="72"/>
        </w:rPr>
        <w:t>p</w:t>
      </w:r>
      <w:r w:rsidRPr="3F3C7943">
        <w:rPr>
          <w:color w:val="15284C" w:themeColor="accent5"/>
          <w:sz w:val="72"/>
          <w:szCs w:val="72"/>
        </w:rPr>
        <w:t>erformance</w:t>
      </w:r>
      <w:bookmarkEnd w:id="99"/>
      <w:bookmarkEnd w:id="100"/>
      <w:bookmarkEnd w:id="101"/>
    </w:p>
    <w:p w14:paraId="18AA72E1" w14:textId="52E8D582" w:rsidR="002A78ED" w:rsidRPr="00D4706E" w:rsidRDefault="002A78ED" w:rsidP="00FA0616">
      <w:pPr>
        <w:pStyle w:val="Heading3"/>
        <w:rPr>
          <w:i/>
        </w:rPr>
      </w:pPr>
      <w:r w:rsidRPr="00D4706E">
        <w:t>High-level summary</w:t>
      </w:r>
      <w:r w:rsidR="244C6719">
        <w:t>:</w:t>
      </w:r>
      <w:r w:rsidRPr="00D4706E">
        <w:t xml:space="preserve"> key issues, risks and work plan</w:t>
      </w:r>
    </w:p>
    <w:p w14:paraId="5E05DE81" w14:textId="72AE4EE9" w:rsidR="002A78ED" w:rsidRPr="003067B9" w:rsidRDefault="002A78ED" w:rsidP="00FA0616">
      <w:pPr>
        <w:pStyle w:val="Bulletpoints"/>
        <w:rPr>
          <w:lang w:val="en-NZ"/>
        </w:rPr>
      </w:pPr>
      <w:r w:rsidRPr="003067B9">
        <w:rPr>
          <w:lang w:val="en-NZ"/>
        </w:rPr>
        <w:t xml:space="preserve">The operating result for the month of March </w:t>
      </w:r>
      <w:r w:rsidR="002B6DCD" w:rsidRPr="003067B9">
        <w:rPr>
          <w:lang w:val="en-NZ"/>
        </w:rPr>
        <w:t>wa</w:t>
      </w:r>
      <w:r w:rsidRPr="003067B9">
        <w:rPr>
          <w:lang w:val="en-NZ"/>
        </w:rPr>
        <w:t xml:space="preserve">s a $196 million surplus, which </w:t>
      </w:r>
      <w:r w:rsidR="002B6DCD" w:rsidRPr="003067B9">
        <w:rPr>
          <w:lang w:val="en-NZ"/>
        </w:rPr>
        <w:t>wa</w:t>
      </w:r>
      <w:r w:rsidRPr="003067B9">
        <w:rPr>
          <w:lang w:val="en-NZ"/>
        </w:rPr>
        <w:t xml:space="preserve">s $220 million favourable to budget. The year-to-date result </w:t>
      </w:r>
      <w:r w:rsidR="00A612F0" w:rsidRPr="003067B9">
        <w:rPr>
          <w:lang w:val="en-NZ"/>
        </w:rPr>
        <w:t>as at</w:t>
      </w:r>
      <w:r w:rsidR="00E31597" w:rsidRPr="003067B9">
        <w:rPr>
          <w:lang w:val="en-NZ"/>
        </w:rPr>
        <w:t xml:space="preserve"> 31</w:t>
      </w:r>
      <w:r w:rsidR="00A612F0" w:rsidRPr="003067B9">
        <w:rPr>
          <w:lang w:val="en-NZ"/>
        </w:rPr>
        <w:t xml:space="preserve"> March was</w:t>
      </w:r>
      <w:r w:rsidRPr="003067B9">
        <w:rPr>
          <w:lang w:val="en-NZ"/>
        </w:rPr>
        <w:t xml:space="preserve"> a surplus of $299 million, which </w:t>
      </w:r>
      <w:r w:rsidR="00A612F0" w:rsidRPr="003067B9">
        <w:rPr>
          <w:lang w:val="en-NZ"/>
        </w:rPr>
        <w:t>wa</w:t>
      </w:r>
      <w:r w:rsidRPr="003067B9">
        <w:rPr>
          <w:lang w:val="en-NZ"/>
        </w:rPr>
        <w:t xml:space="preserve">s $300 million favourable to budget.  </w:t>
      </w:r>
    </w:p>
    <w:p w14:paraId="2235E09E" w14:textId="253B573F" w:rsidR="002A78ED" w:rsidRPr="003067B9" w:rsidRDefault="002A78ED" w:rsidP="00FA0616">
      <w:pPr>
        <w:pStyle w:val="Bulletpoints"/>
        <w:rPr>
          <w:lang w:val="en-NZ"/>
        </w:rPr>
      </w:pPr>
      <w:r w:rsidRPr="003067B9">
        <w:rPr>
          <w:lang w:val="en-NZ"/>
        </w:rPr>
        <w:t xml:space="preserve">Movements in </w:t>
      </w:r>
      <w:r w:rsidR="00D70358" w:rsidRPr="003067B9">
        <w:rPr>
          <w:lang w:val="en-NZ"/>
        </w:rPr>
        <w:t>March</w:t>
      </w:r>
      <w:r w:rsidRPr="003067B9">
        <w:rPr>
          <w:lang w:val="en-NZ"/>
        </w:rPr>
        <w:t xml:space="preserve"> were in line with the previous month’s forecast track</w:t>
      </w:r>
      <w:r w:rsidR="00E31597" w:rsidRPr="003067B9">
        <w:rPr>
          <w:lang w:val="en-NZ"/>
        </w:rPr>
        <w:t>,</w:t>
      </w:r>
      <w:r w:rsidRPr="003067B9">
        <w:rPr>
          <w:lang w:val="en-NZ"/>
        </w:rPr>
        <w:t xml:space="preserve"> and there was an improvement in the run rate for Hospital &amp; Specialist Services and Infrastructure &amp; Investment.  The major items that improved the result in March were Pharmac revenue for pharmaceutical cancer treatments and hospital medicines catching up with the spend</w:t>
      </w:r>
      <w:r w:rsidR="000C0624" w:rsidRPr="003067B9">
        <w:rPr>
          <w:lang w:val="en-NZ"/>
        </w:rPr>
        <w:t>ing</w:t>
      </w:r>
      <w:r w:rsidRPr="003067B9">
        <w:rPr>
          <w:lang w:val="en-NZ"/>
        </w:rPr>
        <w:t xml:space="preserve">, release of expenditure accruals not required, release of income in advance, and expected upsides for nursing costs.  </w:t>
      </w:r>
    </w:p>
    <w:p w14:paraId="242936D2" w14:textId="45CD7DFD" w:rsidR="002A78ED" w:rsidRPr="003067B9" w:rsidRDefault="002A78ED" w:rsidP="00FA0616">
      <w:pPr>
        <w:pStyle w:val="Bulletpoints"/>
        <w:rPr>
          <w:lang w:val="en-NZ"/>
        </w:rPr>
      </w:pPr>
      <w:r w:rsidRPr="003067B9">
        <w:rPr>
          <w:lang w:val="en-NZ"/>
        </w:rPr>
        <w:t xml:space="preserve">Closing cash for Te Whatu Ora </w:t>
      </w:r>
      <w:r w:rsidR="000A43ED">
        <w:rPr>
          <w:lang w:val="en-NZ"/>
        </w:rPr>
        <w:t xml:space="preserve">as </w:t>
      </w:r>
      <w:r w:rsidRPr="003067B9">
        <w:rPr>
          <w:lang w:val="en-NZ"/>
        </w:rPr>
        <w:t>at 31 March 2024 was $1.73 billion</w:t>
      </w:r>
      <w:r w:rsidR="00F83AB0" w:rsidRPr="003067B9">
        <w:rPr>
          <w:lang w:val="en-NZ"/>
        </w:rPr>
        <w:t>,</w:t>
      </w:r>
      <w:r w:rsidRPr="003067B9">
        <w:rPr>
          <w:lang w:val="en-NZ"/>
        </w:rPr>
        <w:t xml:space="preserve"> including trust funds.  </w:t>
      </w:r>
    </w:p>
    <w:p w14:paraId="5C28D35B" w14:textId="69743DAA" w:rsidR="002A78ED" w:rsidRPr="00D4706E" w:rsidRDefault="002A78ED" w:rsidP="00FA0616">
      <w:pPr>
        <w:pStyle w:val="Bulletpoints"/>
      </w:pPr>
      <w:r w:rsidRPr="0EFA21DB">
        <w:t>Savings achieved for the nine months to 31 March 2024 amount</w:t>
      </w:r>
      <w:r w:rsidR="00C44A16" w:rsidRPr="0EFA21DB">
        <w:t>ed</w:t>
      </w:r>
      <w:r w:rsidRPr="0EFA21DB">
        <w:t xml:space="preserve"> to $409 million and include unplanned savings and budget improvements amounting to $184.7 million. The full year savings target is $</w:t>
      </w:r>
      <w:r>
        <w:t>540</w:t>
      </w:r>
      <w:r w:rsidR="11E9D07A">
        <w:t xml:space="preserve"> </w:t>
      </w:r>
      <w:r>
        <w:t>m</w:t>
      </w:r>
      <w:r w:rsidR="00DA336E">
        <w:t>illion</w:t>
      </w:r>
      <w:r w:rsidRPr="0EFA21DB">
        <w:t xml:space="preserve">.  </w:t>
      </w:r>
    </w:p>
    <w:p w14:paraId="25412553" w14:textId="5DE4E5E3" w:rsidR="002A78ED" w:rsidRPr="003067B9" w:rsidRDefault="002A78ED" w:rsidP="00FA0616">
      <w:pPr>
        <w:pStyle w:val="Bulletpoints"/>
        <w:rPr>
          <w:szCs w:val="24"/>
          <w:lang w:val="en-NZ"/>
        </w:rPr>
      </w:pPr>
      <w:r w:rsidRPr="003067B9">
        <w:rPr>
          <w:szCs w:val="24"/>
          <w:lang w:val="en-NZ"/>
        </w:rPr>
        <w:t>In March, nursing FTEs were greater than budget by 2,079 in the month and 878 year-to-date. Unbudgeted C</w:t>
      </w:r>
      <w:r w:rsidR="766681B1" w:rsidRPr="003067B9">
        <w:rPr>
          <w:szCs w:val="24"/>
          <w:lang w:val="en-NZ"/>
        </w:rPr>
        <w:t>are Capacity and Demand Management (</w:t>
      </w:r>
      <w:r w:rsidRPr="003067B9">
        <w:rPr>
          <w:szCs w:val="24"/>
          <w:lang w:val="en-NZ"/>
        </w:rPr>
        <w:t>CCDM</w:t>
      </w:r>
      <w:r w:rsidR="56B95415" w:rsidRPr="003067B9">
        <w:rPr>
          <w:szCs w:val="24"/>
          <w:lang w:val="en-NZ"/>
        </w:rPr>
        <w:t>)</w:t>
      </w:r>
      <w:r w:rsidRPr="003067B9">
        <w:rPr>
          <w:szCs w:val="24"/>
          <w:lang w:val="en-NZ"/>
        </w:rPr>
        <w:t xml:space="preserve"> costs resulting in payment of higher</w:t>
      </w:r>
      <w:r w:rsidR="00DA336E" w:rsidRPr="003067B9">
        <w:rPr>
          <w:szCs w:val="24"/>
          <w:lang w:val="en-NZ"/>
        </w:rPr>
        <w:t>-</w:t>
      </w:r>
      <w:r w:rsidRPr="003067B9">
        <w:rPr>
          <w:szCs w:val="24"/>
          <w:lang w:val="en-NZ"/>
        </w:rPr>
        <w:t>than</w:t>
      </w:r>
      <w:r w:rsidR="00DA336E" w:rsidRPr="003067B9">
        <w:rPr>
          <w:szCs w:val="24"/>
          <w:lang w:val="en-NZ"/>
        </w:rPr>
        <w:t>-</w:t>
      </w:r>
      <w:r w:rsidRPr="003067B9">
        <w:rPr>
          <w:szCs w:val="24"/>
          <w:lang w:val="en-NZ"/>
        </w:rPr>
        <w:t>budgeted ordinary hours for nursing are the largest risk to achieving the desired surplus. In addition, settlement of collective agreements above budgeted levels</w:t>
      </w:r>
      <w:r w:rsidR="4098BB9B" w:rsidRPr="003067B9">
        <w:rPr>
          <w:szCs w:val="24"/>
          <w:lang w:val="en-NZ"/>
        </w:rPr>
        <w:t>,</w:t>
      </w:r>
      <w:r w:rsidRPr="003067B9">
        <w:rPr>
          <w:szCs w:val="24"/>
          <w:lang w:val="en-NZ"/>
        </w:rPr>
        <w:t xml:space="preserve"> unfunded impact of pay equity</w:t>
      </w:r>
      <w:r w:rsidR="57395F49" w:rsidRPr="003067B9">
        <w:rPr>
          <w:szCs w:val="24"/>
          <w:lang w:val="en-NZ"/>
        </w:rPr>
        <w:t>,</w:t>
      </w:r>
      <w:r w:rsidRPr="003067B9">
        <w:rPr>
          <w:szCs w:val="24"/>
          <w:lang w:val="en-NZ"/>
        </w:rPr>
        <w:t xml:space="preserve"> and Holidays Act payments on leave revaluations</w:t>
      </w:r>
      <w:r w:rsidR="44BFB9AC" w:rsidRPr="003067B9">
        <w:rPr>
          <w:szCs w:val="24"/>
          <w:lang w:val="en-NZ"/>
        </w:rPr>
        <w:t>,</w:t>
      </w:r>
      <w:r w:rsidRPr="003067B9">
        <w:rPr>
          <w:szCs w:val="24"/>
          <w:lang w:val="en-NZ"/>
        </w:rPr>
        <w:t xml:space="preserve"> are also increasing pressure on the budgeted expenditure levels.   </w:t>
      </w:r>
    </w:p>
    <w:p w14:paraId="4F419DC5" w14:textId="1C3D8022" w:rsidR="002A78ED" w:rsidRPr="003067B9" w:rsidRDefault="002A78ED" w:rsidP="00FA0616">
      <w:pPr>
        <w:pStyle w:val="Bulletpoints"/>
        <w:rPr>
          <w:lang w:val="en-NZ"/>
        </w:rPr>
      </w:pPr>
      <w:r w:rsidRPr="003067B9">
        <w:rPr>
          <w:lang w:val="en-NZ"/>
        </w:rPr>
        <w:t>Capital Expenditure (Capex) for the year-to-date to 29 February 2024 is $935 million, against a budget of $1.827 billion, thus $892 million below plan. Work is ongoing to develop the medium to long-term Capex intentions for asset portfolios and to develop indicative capital intentions for the medium</w:t>
      </w:r>
      <w:r w:rsidR="00AB1AF3">
        <w:rPr>
          <w:lang w:val="en-NZ"/>
        </w:rPr>
        <w:t>-</w:t>
      </w:r>
      <w:r w:rsidRPr="003067B9">
        <w:rPr>
          <w:lang w:val="en-NZ"/>
        </w:rPr>
        <w:t>to</w:t>
      </w:r>
      <w:r w:rsidR="00BD1BB6">
        <w:rPr>
          <w:lang w:val="en-NZ"/>
        </w:rPr>
        <w:t>-</w:t>
      </w:r>
      <w:r w:rsidRPr="003067B9">
        <w:rPr>
          <w:lang w:val="en-NZ"/>
        </w:rPr>
        <w:t>long</w:t>
      </w:r>
      <w:r w:rsidR="00E8040F">
        <w:rPr>
          <w:lang w:val="en-NZ"/>
        </w:rPr>
        <w:t>-</w:t>
      </w:r>
      <w:r w:rsidRPr="003067B9">
        <w:rPr>
          <w:lang w:val="en-NZ"/>
        </w:rPr>
        <w:t>term. Current Capex performance is also being reviewed as part of the 2024/25 Capex planning processes.  </w:t>
      </w:r>
    </w:p>
    <w:p w14:paraId="234E6662" w14:textId="4C791FA2" w:rsidR="002A78ED" w:rsidRPr="003067B9" w:rsidRDefault="002A78ED" w:rsidP="00FA0616">
      <w:pPr>
        <w:pStyle w:val="Bulletpoints"/>
        <w:rPr>
          <w:lang w:val="en-NZ"/>
        </w:rPr>
      </w:pPr>
      <w:r w:rsidRPr="003067B9">
        <w:rPr>
          <w:lang w:val="en-NZ"/>
        </w:rPr>
        <w:t>The Statement of Performance Expectation (SPE)</w:t>
      </w:r>
      <w:r w:rsidR="002E012C" w:rsidRPr="003067B9">
        <w:rPr>
          <w:lang w:val="en-NZ"/>
        </w:rPr>
        <w:t>,</w:t>
      </w:r>
      <w:r w:rsidRPr="003067B9">
        <w:rPr>
          <w:lang w:val="en-NZ"/>
        </w:rPr>
        <w:t xml:space="preserve"> including prospective financial statements</w:t>
      </w:r>
      <w:r w:rsidR="002E012C" w:rsidRPr="003067B9">
        <w:rPr>
          <w:lang w:val="en-NZ"/>
        </w:rPr>
        <w:t>,</w:t>
      </w:r>
      <w:r w:rsidRPr="003067B9">
        <w:rPr>
          <w:lang w:val="en-NZ"/>
        </w:rPr>
        <w:t xml:space="preserve"> has been prepared based on the parameters set for the Budget 2024. The detailed operational budgets are also being developed in line with the Budget 2024 parameters.  </w:t>
      </w:r>
    </w:p>
    <w:p w14:paraId="11BA92F3" w14:textId="1F3647F6" w:rsidR="002A78ED" w:rsidRPr="003067B9" w:rsidRDefault="002A78ED" w:rsidP="00FA0616">
      <w:pPr>
        <w:pStyle w:val="Bulletpoints"/>
        <w:rPr>
          <w:lang w:val="en-NZ"/>
        </w:rPr>
      </w:pPr>
      <w:r w:rsidRPr="003067B9">
        <w:rPr>
          <w:lang w:val="en-NZ"/>
        </w:rPr>
        <w:t>Roll out of the</w:t>
      </w:r>
      <w:r w:rsidR="00950305">
        <w:rPr>
          <w:lang w:val="en-NZ"/>
        </w:rPr>
        <w:t xml:space="preserve"> Finance, Procurement and Information System (</w:t>
      </w:r>
      <w:r w:rsidRPr="003067B9">
        <w:rPr>
          <w:lang w:val="en-NZ"/>
        </w:rPr>
        <w:t>FPIM</w:t>
      </w:r>
      <w:r w:rsidR="00950305">
        <w:rPr>
          <w:lang w:val="en-NZ"/>
        </w:rPr>
        <w:t>)</w:t>
      </w:r>
      <w:r w:rsidRPr="003067B9">
        <w:rPr>
          <w:lang w:val="en-NZ"/>
        </w:rPr>
        <w:t xml:space="preserve"> system continues with 26 components now migrated, Lakes and HealthShare being the most recent addition in March. There is now one more district (Tair</w:t>
      </w:r>
      <w:r w:rsidR="00792122" w:rsidRPr="00D4706E">
        <w:rPr>
          <w:lang w:val="en-NZ"/>
        </w:rPr>
        <w:t>ā</w:t>
      </w:r>
      <w:r w:rsidRPr="003067B9">
        <w:rPr>
          <w:lang w:val="en-NZ"/>
        </w:rPr>
        <w:t>whiti) and one shared service agency (Central TAS) yet to be migrated onto FPIM</w:t>
      </w:r>
      <w:r w:rsidR="00792122" w:rsidRPr="003067B9">
        <w:rPr>
          <w:lang w:val="en-NZ"/>
        </w:rPr>
        <w:t>. These</w:t>
      </w:r>
      <w:r w:rsidRPr="003067B9">
        <w:rPr>
          <w:lang w:val="en-NZ"/>
        </w:rPr>
        <w:t xml:space="preserve"> will be completed by June 2024.</w:t>
      </w:r>
    </w:p>
    <w:p w14:paraId="69F0B9EB" w14:textId="77777777" w:rsidR="002529F7" w:rsidRPr="003067B9" w:rsidRDefault="002529F7" w:rsidP="006A6BEE">
      <w:pPr>
        <w:spacing w:before="120" w:after="240" w:line="288" w:lineRule="auto"/>
        <w:rPr>
          <w:szCs w:val="24"/>
          <w:lang w:val="en-NZ"/>
        </w:rPr>
        <w:sectPr w:rsidR="002529F7" w:rsidRPr="003067B9" w:rsidSect="0063582F">
          <w:headerReference w:type="default" r:id="rId77"/>
          <w:footerReference w:type="default" r:id="rId78"/>
          <w:headerReference w:type="first" r:id="rId79"/>
          <w:footerReference w:type="first" r:id="rId80"/>
          <w:pgSz w:w="11906" w:h="16838" w:code="9"/>
          <w:pgMar w:top="1531" w:right="1274" w:bottom="1701" w:left="1440" w:header="709" w:footer="709" w:gutter="0"/>
          <w:pgNumType w:start="0"/>
          <w:cols w:space="708"/>
          <w:titlePg/>
          <w:docGrid w:linePitch="360"/>
        </w:sectPr>
      </w:pPr>
    </w:p>
    <w:p w14:paraId="08854992" w14:textId="4A6A6CC3" w:rsidR="005B5E0D" w:rsidRPr="00D4706E" w:rsidRDefault="00056060" w:rsidP="007E7E0E">
      <w:pPr>
        <w:pStyle w:val="Heading2"/>
      </w:pPr>
      <w:bookmarkStart w:id="102" w:name="_Toc170199184"/>
      <w:r w:rsidRPr="00D4706E">
        <w:lastRenderedPageBreak/>
        <w:t>Cash Flows &amp; Balance Sheet March 2024</w:t>
      </w:r>
      <w:bookmarkEnd w:id="102"/>
    </w:p>
    <w:p w14:paraId="28C63DB3" w14:textId="6FDB4982" w:rsidR="00285D1C" w:rsidRPr="00D4706E" w:rsidRDefault="00285D1C" w:rsidP="00285D1C">
      <w:pPr>
        <w:rPr>
          <w:lang w:val="en-NZ"/>
        </w:rPr>
      </w:pPr>
      <w:r w:rsidRPr="003067B9">
        <w:rPr>
          <w:noProof/>
          <w:lang w:val="en-NZ"/>
          <w14:ligatures w14:val="standardContextual"/>
        </w:rPr>
        <w:drawing>
          <wp:inline distT="0" distB="0" distL="0" distR="0" wp14:anchorId="4A9FE3CE" wp14:editId="08711E9B">
            <wp:extent cx="9251950" cy="4833639"/>
            <wp:effectExtent l="0" t="0" r="6350" b="5080"/>
            <wp:docPr id="2261678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67820" name="Picture 1">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9251950" cy="4833639"/>
                    </a:xfrm>
                    <a:prstGeom prst="rect">
                      <a:avLst/>
                    </a:prstGeom>
                    <a:ln>
                      <a:noFill/>
                    </a:ln>
                    <a:extLst>
                      <a:ext uri="{53640926-AAD7-44D8-BBD7-CCE9431645EC}">
                        <a14:shadowObscured xmlns:a14="http://schemas.microsoft.com/office/drawing/2010/main"/>
                      </a:ext>
                    </a:extLst>
                  </pic:spPr>
                </pic:pic>
              </a:graphicData>
            </a:graphic>
          </wp:inline>
        </w:drawing>
      </w:r>
    </w:p>
    <w:p w14:paraId="2B2F302A" w14:textId="36C8719C" w:rsidR="00285D1C" w:rsidRPr="00D4706E" w:rsidRDefault="00285D1C" w:rsidP="007E7E0E">
      <w:pPr>
        <w:pStyle w:val="Heading2"/>
      </w:pPr>
      <w:bookmarkStart w:id="103" w:name="_Toc170199185"/>
      <w:r w:rsidRPr="00D4706E">
        <w:lastRenderedPageBreak/>
        <w:t xml:space="preserve">Consolidated </w:t>
      </w:r>
      <w:r w:rsidR="00E4627C" w:rsidRPr="00D4706E">
        <w:t>savings report and trends YTD to March 2024</w:t>
      </w:r>
      <w:bookmarkEnd w:id="103"/>
    </w:p>
    <w:p w14:paraId="279B29F9" w14:textId="20A3C1FB" w:rsidR="00056060" w:rsidRPr="003067B9" w:rsidRDefault="00F42517" w:rsidP="00E4627C">
      <w:pPr>
        <w:rPr>
          <w:rFonts w:eastAsia="+mj-ea"/>
          <w:b/>
          <w:color w:val="30A1AC"/>
          <w:kern w:val="24"/>
          <w:sz w:val="72"/>
          <w:szCs w:val="72"/>
          <w:lang w:val="en-NZ"/>
        </w:rPr>
      </w:pPr>
      <w:r w:rsidRPr="003067B9">
        <w:rPr>
          <w:noProof/>
          <w:lang w:val="en-NZ"/>
        </w:rPr>
        <w:drawing>
          <wp:inline distT="0" distB="0" distL="0" distR="0" wp14:anchorId="4555887C" wp14:editId="6BB46D81">
            <wp:extent cx="9191625" cy="4215704"/>
            <wp:effectExtent l="0" t="0" r="0" b="0"/>
            <wp:docPr id="6716339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33914" name="Picture 1">
                      <a:extLst>
                        <a:ext uri="{C183D7F6-B498-43B3-948B-1728B52AA6E4}">
                          <adec:decorative xmlns:adec="http://schemas.microsoft.com/office/drawing/2017/decorative" val="1"/>
                        </a:ext>
                      </a:extLst>
                    </pic:cNvPr>
                    <pic:cNvPicPr/>
                  </pic:nvPicPr>
                  <pic:blipFill rotWithShape="1">
                    <a:blip r:embed="rId82"/>
                    <a:srcRect t="7142" b="8058"/>
                    <a:stretch/>
                  </pic:blipFill>
                  <pic:spPr bwMode="auto">
                    <a:xfrm>
                      <a:off x="0" y="0"/>
                      <a:ext cx="9213761" cy="4225856"/>
                    </a:xfrm>
                    <a:prstGeom prst="rect">
                      <a:avLst/>
                    </a:prstGeom>
                    <a:ln>
                      <a:noFill/>
                    </a:ln>
                    <a:extLst>
                      <a:ext uri="{53640926-AAD7-44D8-BBD7-CCE9431645EC}">
                        <a14:shadowObscured xmlns:a14="http://schemas.microsoft.com/office/drawing/2010/main"/>
                      </a:ext>
                    </a:extLst>
                  </pic:spPr>
                </pic:pic>
              </a:graphicData>
            </a:graphic>
          </wp:inline>
        </w:drawing>
      </w:r>
    </w:p>
    <w:p w14:paraId="19768D3F" w14:textId="77777777" w:rsidR="00056060" w:rsidRPr="003067B9" w:rsidRDefault="00056060" w:rsidP="00E4627C">
      <w:pPr>
        <w:rPr>
          <w:lang w:val="en-NZ"/>
        </w:rPr>
      </w:pPr>
    </w:p>
    <w:p w14:paraId="05FB8DBB" w14:textId="412DB757" w:rsidR="00056060" w:rsidRPr="003067B9" w:rsidRDefault="00056060" w:rsidP="006A6BEE">
      <w:pPr>
        <w:spacing w:after="0"/>
        <w:rPr>
          <w:rFonts w:eastAsia="+mj-ea"/>
          <w:b/>
          <w:color w:val="30A1AC"/>
          <w:kern w:val="24"/>
          <w:sz w:val="72"/>
          <w:szCs w:val="72"/>
          <w:lang w:val="en-NZ"/>
        </w:rPr>
        <w:sectPr w:rsidR="00056060" w:rsidRPr="003067B9" w:rsidSect="000170EE">
          <w:headerReference w:type="default" r:id="rId83"/>
          <w:headerReference w:type="first" r:id="rId84"/>
          <w:pgSz w:w="16838" w:h="11906" w:orient="landscape" w:code="9"/>
          <w:pgMar w:top="1134" w:right="1134" w:bottom="1134" w:left="1134" w:header="709" w:footer="709" w:gutter="0"/>
          <w:cols w:space="708"/>
          <w:docGrid w:linePitch="360"/>
        </w:sectPr>
      </w:pPr>
    </w:p>
    <w:p w14:paraId="7554CBF6" w14:textId="07D481BB" w:rsidR="00E02FCD" w:rsidRPr="00D4706E" w:rsidRDefault="00E02FCD" w:rsidP="007E7E0E">
      <w:pPr>
        <w:pStyle w:val="Heading2"/>
        <w:rPr>
          <w:color w:val="15284C"/>
        </w:rPr>
      </w:pPr>
      <w:bookmarkStart w:id="104" w:name="_Toc170199186"/>
      <w:r w:rsidRPr="29CC6A32">
        <w:rPr>
          <w:color w:val="15284C" w:themeColor="accent5"/>
        </w:rPr>
        <w:lastRenderedPageBreak/>
        <w:t xml:space="preserve">Savings </w:t>
      </w:r>
      <w:r w:rsidR="3C5D138C" w:rsidRPr="1CBF9D75">
        <w:rPr>
          <w:color w:val="15284C" w:themeColor="accent5"/>
        </w:rPr>
        <w:t>t</w:t>
      </w:r>
      <w:r w:rsidRPr="1CBF9D75">
        <w:rPr>
          <w:color w:val="15284C" w:themeColor="accent5"/>
        </w:rPr>
        <w:t xml:space="preserve">arget </w:t>
      </w:r>
      <w:r w:rsidR="51A10662" w:rsidRPr="1CBF9D75">
        <w:rPr>
          <w:color w:val="15284C" w:themeColor="accent5"/>
        </w:rPr>
        <w:t>r</w:t>
      </w:r>
      <w:r w:rsidRPr="29CC6A32">
        <w:rPr>
          <w:color w:val="15284C" w:themeColor="accent5"/>
        </w:rPr>
        <w:t>ealisation</w:t>
      </w:r>
      <w:bookmarkEnd w:id="104"/>
    </w:p>
    <w:p w14:paraId="51219992" w14:textId="73DF2020" w:rsidR="00E02FCD" w:rsidRPr="003067B9" w:rsidRDefault="00E02FCD" w:rsidP="001D1548">
      <w:pPr>
        <w:pStyle w:val="Bulletpoints"/>
        <w:rPr>
          <w:lang w:val="en-NZ"/>
        </w:rPr>
      </w:pPr>
      <w:r w:rsidRPr="003067B9">
        <w:rPr>
          <w:lang w:val="en-NZ"/>
        </w:rPr>
        <w:t xml:space="preserve">A $540 million savings programme was agreed by the Board as part of the Budget for the </w:t>
      </w:r>
      <w:r w:rsidR="00792122" w:rsidRPr="003067B9">
        <w:rPr>
          <w:lang w:val="en-NZ"/>
        </w:rPr>
        <w:t>20</w:t>
      </w:r>
      <w:r w:rsidRPr="003067B9">
        <w:rPr>
          <w:lang w:val="en-NZ"/>
        </w:rPr>
        <w:t xml:space="preserve">23/24 year.  The planned savings were to be applied to cost pressures and key initiatives. </w:t>
      </w:r>
    </w:p>
    <w:p w14:paraId="110D63F6" w14:textId="41D08E7A" w:rsidR="00E02FCD" w:rsidRPr="003067B9" w:rsidRDefault="00E02FCD" w:rsidP="001D1548">
      <w:pPr>
        <w:pStyle w:val="Bulletpoints"/>
        <w:rPr>
          <w:lang w:val="en-NZ"/>
        </w:rPr>
      </w:pPr>
      <w:r w:rsidRPr="003067B9">
        <w:rPr>
          <w:lang w:val="en-NZ"/>
        </w:rPr>
        <w:t>The in-year savings programme of $540 million was established to balance the 2023/24 budget and free up funds for reinvestment in priority areas.  $187 million of funding generated from these planned savings was dedicated to a range of initiatives approved by the Board and the Minister at that time, with a further $63 million of budget set aside for 500 additional nursing FTEs.</w:t>
      </w:r>
    </w:p>
    <w:p w14:paraId="498B1AA9" w14:textId="77777777" w:rsidR="00E02FCD" w:rsidRPr="003067B9" w:rsidRDefault="00E02FCD" w:rsidP="001D1548">
      <w:pPr>
        <w:pStyle w:val="Bulletpoints"/>
        <w:rPr>
          <w:lang w:val="en-NZ"/>
        </w:rPr>
      </w:pPr>
      <w:r w:rsidRPr="003067B9">
        <w:rPr>
          <w:lang w:val="en-NZ"/>
        </w:rPr>
        <w:t>It was decided that a further reallocation of savings of up to $187 million would be made to priority areas after the first six months of the year, subject to this funding being available.</w:t>
      </w:r>
    </w:p>
    <w:p w14:paraId="7CD73C3A" w14:textId="3A4437FF" w:rsidR="00E02FCD" w:rsidRPr="003067B9" w:rsidRDefault="00E02FCD" w:rsidP="001D1548">
      <w:pPr>
        <w:pStyle w:val="Bulletpoints"/>
        <w:rPr>
          <w:lang w:val="en-NZ"/>
        </w:rPr>
      </w:pPr>
      <w:r w:rsidRPr="003067B9">
        <w:rPr>
          <w:lang w:val="en-NZ"/>
        </w:rPr>
        <w:t xml:space="preserve">Savings of $525 million are forecast.  Over the last three months adverse financial performance has occurred, driven materially by an increase in ordinary nursing hours paid and an increase in leave revaluation costs above budget (driven by Holidays Act 2003 remediation payments and pay equity settlements).  </w:t>
      </w:r>
      <w:r w:rsidR="00A87A61">
        <w:rPr>
          <w:lang w:val="en-NZ"/>
        </w:rPr>
        <w:t>T</w:t>
      </w:r>
      <w:r w:rsidRPr="003067B9">
        <w:rPr>
          <w:lang w:val="en-NZ"/>
        </w:rPr>
        <w:t>he savings generated need to be applied to these cost overruns.</w:t>
      </w:r>
    </w:p>
    <w:p w14:paraId="682E8955" w14:textId="6F43F698" w:rsidR="00E02FCD" w:rsidRPr="003067B9" w:rsidRDefault="00E02FCD" w:rsidP="001D1548">
      <w:pPr>
        <w:pStyle w:val="Bulletpoints"/>
        <w:rPr>
          <w:lang w:val="en-NZ"/>
        </w:rPr>
      </w:pPr>
      <w:r w:rsidRPr="003067B9">
        <w:rPr>
          <w:lang w:val="en-NZ"/>
        </w:rPr>
        <w:t xml:space="preserve">In the nine months to </w:t>
      </w:r>
      <w:r w:rsidR="00733FEE">
        <w:rPr>
          <w:lang w:val="en-NZ"/>
        </w:rPr>
        <w:t xml:space="preserve">31 </w:t>
      </w:r>
      <w:r w:rsidRPr="003067B9">
        <w:rPr>
          <w:lang w:val="en-NZ"/>
        </w:rPr>
        <w:t>March, $409 million savings (including unplanned savings and budget improvements have been realised against the $540 million target</w:t>
      </w:r>
      <w:r w:rsidR="00E05757" w:rsidRPr="003067B9">
        <w:rPr>
          <w:lang w:val="en-NZ"/>
        </w:rPr>
        <w:t>,</w:t>
      </w:r>
      <w:r w:rsidRPr="003067B9">
        <w:rPr>
          <w:lang w:val="en-NZ"/>
        </w:rPr>
        <w:t xml:space="preserve"> and year end forecast is to achieve $525 million of the $540 million savings target. Of the originally identified savings initiatives $224 million of the $391 million have been achieved year</w:t>
      </w:r>
      <w:r w:rsidR="0B08558D" w:rsidRPr="6CB71E84">
        <w:rPr>
          <w:lang w:val="en-NZ"/>
        </w:rPr>
        <w:t>-</w:t>
      </w:r>
      <w:r w:rsidRPr="003067B9">
        <w:rPr>
          <w:lang w:val="en-NZ"/>
        </w:rPr>
        <w:t xml:space="preserve"> to</w:t>
      </w:r>
      <w:r w:rsidR="7D0642D7" w:rsidRPr="0F4F7D04">
        <w:rPr>
          <w:lang w:val="en-NZ"/>
        </w:rPr>
        <w:t>-</w:t>
      </w:r>
      <w:r w:rsidRPr="003067B9">
        <w:rPr>
          <w:lang w:val="en-NZ"/>
        </w:rPr>
        <w:t xml:space="preserve">date, </w:t>
      </w:r>
      <w:r w:rsidR="00DF045C" w:rsidRPr="003067B9">
        <w:rPr>
          <w:lang w:val="en-NZ"/>
        </w:rPr>
        <w:t xml:space="preserve">while </w:t>
      </w:r>
      <w:r w:rsidRPr="003067B9">
        <w:rPr>
          <w:lang w:val="en-NZ"/>
        </w:rPr>
        <w:t xml:space="preserve">further savings of $184.7 million have been identified through </w:t>
      </w:r>
      <w:r w:rsidR="00DF045C" w:rsidRPr="003067B9">
        <w:rPr>
          <w:lang w:val="en-NZ"/>
        </w:rPr>
        <w:t xml:space="preserve">line-by-line </w:t>
      </w:r>
      <w:r w:rsidRPr="003067B9">
        <w:rPr>
          <w:lang w:val="en-NZ"/>
        </w:rPr>
        <w:t>reviews of budget versus actual expenditure and removed from budgets on an ongoing basis.</w:t>
      </w:r>
    </w:p>
    <w:p w14:paraId="5C578347" w14:textId="433DAC8B" w:rsidR="00E02FCD" w:rsidRPr="00D4706E" w:rsidRDefault="00E02FCD" w:rsidP="00AE35B0">
      <w:pPr>
        <w:pStyle w:val="Heading2"/>
        <w:rPr>
          <w:color w:val="15284C"/>
        </w:rPr>
      </w:pPr>
      <w:bookmarkStart w:id="105" w:name="_Toc170199187"/>
      <w:r w:rsidRPr="00D4706E">
        <w:rPr>
          <w:color w:val="15284C"/>
        </w:rPr>
        <w:t>H</w:t>
      </w:r>
      <w:r w:rsidR="00AE3F1F">
        <w:rPr>
          <w:color w:val="15284C"/>
        </w:rPr>
        <w:t xml:space="preserve">ospital </w:t>
      </w:r>
      <w:r w:rsidR="00733FEE">
        <w:rPr>
          <w:color w:val="15284C"/>
        </w:rPr>
        <w:t>&amp;</w:t>
      </w:r>
      <w:r w:rsidR="00AE3F1F">
        <w:rPr>
          <w:color w:val="15284C"/>
        </w:rPr>
        <w:t xml:space="preserve"> </w:t>
      </w:r>
      <w:r w:rsidRPr="00D4706E">
        <w:rPr>
          <w:color w:val="15284C"/>
        </w:rPr>
        <w:t>S</w:t>
      </w:r>
      <w:r w:rsidR="00AE3F1F">
        <w:rPr>
          <w:color w:val="15284C"/>
        </w:rPr>
        <w:t>pecial</w:t>
      </w:r>
      <w:r w:rsidR="00FE4C1E">
        <w:rPr>
          <w:color w:val="15284C"/>
        </w:rPr>
        <w:t>ist</w:t>
      </w:r>
      <w:r w:rsidR="00AE3F1F">
        <w:rPr>
          <w:color w:val="15284C"/>
        </w:rPr>
        <w:t xml:space="preserve"> </w:t>
      </w:r>
      <w:r w:rsidRPr="00D4706E">
        <w:rPr>
          <w:color w:val="15284C"/>
        </w:rPr>
        <w:t>S</w:t>
      </w:r>
      <w:r w:rsidR="00AE3F1F">
        <w:rPr>
          <w:color w:val="15284C"/>
        </w:rPr>
        <w:t>ervices</w:t>
      </w:r>
      <w:r w:rsidR="005A5F64">
        <w:rPr>
          <w:color w:val="15284C"/>
        </w:rPr>
        <w:t xml:space="preserve"> </w:t>
      </w:r>
      <w:r w:rsidRPr="00D4706E">
        <w:rPr>
          <w:color w:val="15284C"/>
        </w:rPr>
        <w:t>/</w:t>
      </w:r>
      <w:r w:rsidR="005A5F64">
        <w:rPr>
          <w:color w:val="15284C"/>
        </w:rPr>
        <w:t xml:space="preserve"> </w:t>
      </w:r>
      <w:r w:rsidRPr="00D4706E">
        <w:rPr>
          <w:color w:val="15284C"/>
        </w:rPr>
        <w:t>Efficiency reporting</w:t>
      </w:r>
      <w:bookmarkEnd w:id="105"/>
    </w:p>
    <w:p w14:paraId="24542F3C" w14:textId="23AE3FA0" w:rsidR="00E02FCD" w:rsidRPr="003067B9" w:rsidRDefault="00AE3F1F" w:rsidP="00B01A8F">
      <w:pPr>
        <w:pStyle w:val="Bulletpoints"/>
        <w:rPr>
          <w:lang w:val="en-NZ"/>
        </w:rPr>
      </w:pPr>
      <w:r>
        <w:rPr>
          <w:lang w:val="en-NZ"/>
        </w:rPr>
        <w:t>Hospital &amp; Special</w:t>
      </w:r>
      <w:r w:rsidR="00FE4C1E">
        <w:rPr>
          <w:lang w:val="en-NZ"/>
        </w:rPr>
        <w:t>ist</w:t>
      </w:r>
      <w:r>
        <w:rPr>
          <w:lang w:val="en-NZ"/>
        </w:rPr>
        <w:t xml:space="preserve"> Services (</w:t>
      </w:r>
      <w:r w:rsidR="00E02FCD" w:rsidRPr="003067B9">
        <w:rPr>
          <w:lang w:val="en-NZ"/>
        </w:rPr>
        <w:t>H&amp;SS</w:t>
      </w:r>
      <w:r>
        <w:rPr>
          <w:lang w:val="en-NZ"/>
        </w:rPr>
        <w:t>)</w:t>
      </w:r>
      <w:r w:rsidR="00E02FCD" w:rsidRPr="003067B9">
        <w:rPr>
          <w:lang w:val="en-NZ"/>
        </w:rPr>
        <w:t xml:space="preserve"> ha</w:t>
      </w:r>
      <w:r>
        <w:rPr>
          <w:lang w:val="en-NZ"/>
        </w:rPr>
        <w:t>s</w:t>
      </w:r>
      <w:r w:rsidR="00E02FCD" w:rsidRPr="003067B9">
        <w:rPr>
          <w:lang w:val="en-NZ"/>
        </w:rPr>
        <w:t xml:space="preserve"> established a methodology for reporting an ‘underlying’ result for each </w:t>
      </w:r>
      <w:r w:rsidR="005A5F64">
        <w:rPr>
          <w:lang w:val="en-NZ"/>
        </w:rPr>
        <w:t>r</w:t>
      </w:r>
      <w:r w:rsidR="00E02FCD" w:rsidRPr="003067B9">
        <w:rPr>
          <w:lang w:val="en-NZ"/>
        </w:rPr>
        <w:t xml:space="preserve">egion, taking into account expenditure where budgets are held centrally or where additional revenue is received to offset expenditure.  This has been socialised with </w:t>
      </w:r>
      <w:r w:rsidR="005A5F64">
        <w:rPr>
          <w:lang w:val="en-NZ"/>
        </w:rPr>
        <w:t>r</w:t>
      </w:r>
      <w:r w:rsidR="00E02FCD" w:rsidRPr="003067B9">
        <w:rPr>
          <w:lang w:val="en-NZ"/>
        </w:rPr>
        <w:t xml:space="preserve">egional </w:t>
      </w:r>
      <w:r w:rsidR="005A5F64">
        <w:rPr>
          <w:lang w:val="en-NZ"/>
        </w:rPr>
        <w:t>d</w:t>
      </w:r>
      <w:r w:rsidR="00E02FCD" w:rsidRPr="003067B9">
        <w:rPr>
          <w:lang w:val="en-NZ"/>
        </w:rPr>
        <w:t>irectors.  Ongoing analysis of costs and budget risks continue.</w:t>
      </w:r>
    </w:p>
    <w:p w14:paraId="4CA4CE9D" w14:textId="77777777" w:rsidR="00E02FCD" w:rsidRPr="00D4706E" w:rsidRDefault="00E02FCD" w:rsidP="00AE35B0">
      <w:pPr>
        <w:pStyle w:val="Heading2"/>
        <w:rPr>
          <w:color w:val="15284C"/>
        </w:rPr>
      </w:pPr>
      <w:bookmarkStart w:id="106" w:name="_Toc170199188"/>
      <w:r w:rsidRPr="00D4706E">
        <w:rPr>
          <w:color w:val="15284C"/>
        </w:rPr>
        <w:t>Actions and analysis underway</w:t>
      </w:r>
      <w:bookmarkEnd w:id="106"/>
    </w:p>
    <w:p w14:paraId="69973141" w14:textId="14BD954D" w:rsidR="00E02FCD" w:rsidRPr="003067B9" w:rsidRDefault="00E02FCD" w:rsidP="00B01A8F">
      <w:pPr>
        <w:pStyle w:val="Bulletpoints"/>
        <w:rPr>
          <w:lang w:val="en-NZ"/>
        </w:rPr>
      </w:pPr>
      <w:r w:rsidRPr="003067B9">
        <w:rPr>
          <w:lang w:val="en-NZ"/>
        </w:rPr>
        <w:t>Ongoing cost reviews</w:t>
      </w:r>
      <w:r w:rsidR="00DF045C" w:rsidRPr="003067B9">
        <w:rPr>
          <w:lang w:val="en-NZ"/>
        </w:rPr>
        <w:t xml:space="preserve"> are underway</w:t>
      </w:r>
      <w:r w:rsidRPr="003067B9">
        <w:rPr>
          <w:lang w:val="en-NZ"/>
        </w:rPr>
        <w:t xml:space="preserve"> at a regional level ($500 million savings target) with added focus on options to restrain cost growth in Q4 and into the 2024/25 financial year</w:t>
      </w:r>
      <w:r w:rsidR="00857060" w:rsidRPr="003067B9">
        <w:rPr>
          <w:lang w:val="en-NZ"/>
        </w:rPr>
        <w:t>.</w:t>
      </w:r>
    </w:p>
    <w:p w14:paraId="68496ABF" w14:textId="7DADB264" w:rsidR="00E02FCD" w:rsidRPr="003067B9" w:rsidRDefault="00E02FCD" w:rsidP="00B01A8F">
      <w:pPr>
        <w:pStyle w:val="Bulletpoints"/>
        <w:rPr>
          <w:lang w:val="en-NZ"/>
        </w:rPr>
      </w:pPr>
      <w:r w:rsidRPr="003067B9">
        <w:rPr>
          <w:lang w:val="en-NZ"/>
        </w:rPr>
        <w:t xml:space="preserve">Care Capacity Demand Management (CCDM) is used for safe staffing levels for nursing and will be used for Allied Health shortly. A review of the CCDM methodology and wider nursing investment and productivity is underway. Nursing is a $5 billion per year investment category. A longer-term review of inter-professional models of care is planned. This will result in more affordable workforce models for nursing, Allied Health, </w:t>
      </w:r>
      <w:r w:rsidR="001405D7">
        <w:rPr>
          <w:lang w:val="en-NZ"/>
        </w:rPr>
        <w:t>resident medical officer</w:t>
      </w:r>
      <w:r w:rsidRPr="003067B9">
        <w:rPr>
          <w:lang w:val="en-NZ"/>
        </w:rPr>
        <w:t xml:space="preserve">s and </w:t>
      </w:r>
      <w:r w:rsidR="009061E2">
        <w:rPr>
          <w:lang w:val="en-NZ"/>
        </w:rPr>
        <w:t>specialised medical officer</w:t>
      </w:r>
      <w:r w:rsidRPr="003067B9">
        <w:rPr>
          <w:lang w:val="en-NZ"/>
        </w:rPr>
        <w:t>s</w:t>
      </w:r>
      <w:r w:rsidR="000E5FF6" w:rsidRPr="003067B9">
        <w:rPr>
          <w:lang w:val="en-NZ"/>
        </w:rPr>
        <w:t>.</w:t>
      </w:r>
    </w:p>
    <w:p w14:paraId="6390FCF2" w14:textId="6C25F5A7" w:rsidR="00E02FCD" w:rsidRPr="003067B9" w:rsidRDefault="00E02FCD" w:rsidP="00B01A8F">
      <w:pPr>
        <w:pStyle w:val="Bulletpoints"/>
        <w:rPr>
          <w:lang w:val="en-NZ"/>
        </w:rPr>
      </w:pPr>
      <w:r w:rsidRPr="003067B9">
        <w:rPr>
          <w:lang w:val="en-NZ"/>
        </w:rPr>
        <w:lastRenderedPageBreak/>
        <w:t>Clinical supply costs will be informed by engagement with National Clinical Networks to recruit clinicians to champion reduction in variation of practice (collapsing 250,000 supply lines to closer to 60,000 which is best practice). This is a long-</w:t>
      </w:r>
      <w:r w:rsidR="00E94172">
        <w:rPr>
          <w:lang w:val="en-NZ"/>
        </w:rPr>
        <w:t>term</w:t>
      </w:r>
      <w:r w:rsidRPr="003067B9">
        <w:rPr>
          <w:lang w:val="en-NZ"/>
        </w:rPr>
        <w:t xml:space="preserve"> initiative</w:t>
      </w:r>
      <w:r w:rsidR="00E94172">
        <w:rPr>
          <w:lang w:val="en-NZ"/>
        </w:rPr>
        <w:t>,</w:t>
      </w:r>
      <w:r w:rsidRPr="003067B9">
        <w:rPr>
          <w:lang w:val="en-NZ"/>
        </w:rPr>
        <w:t xml:space="preserve"> which will shift the cost curve over the next five years.</w:t>
      </w:r>
    </w:p>
    <w:p w14:paraId="788A9C4F" w14:textId="46F606C2" w:rsidR="00E02FCD" w:rsidRPr="003067B9" w:rsidRDefault="00E02FCD" w:rsidP="00B01A8F">
      <w:pPr>
        <w:pStyle w:val="Bulletpoints"/>
        <w:rPr>
          <w:lang w:val="en-NZ"/>
        </w:rPr>
      </w:pPr>
      <w:r w:rsidRPr="003067B9">
        <w:rPr>
          <w:lang w:val="en-NZ"/>
        </w:rPr>
        <w:t xml:space="preserve">Productivity measures are limited to those which can be reliably collected by </w:t>
      </w:r>
      <w:r w:rsidR="00C5009D">
        <w:rPr>
          <w:lang w:val="en-NZ"/>
        </w:rPr>
        <w:t>Service Improvement and Innovation (</w:t>
      </w:r>
      <w:r w:rsidRPr="003067B9">
        <w:rPr>
          <w:lang w:val="en-NZ"/>
        </w:rPr>
        <w:t>SI&amp;I</w:t>
      </w:r>
      <w:r w:rsidR="00C5009D">
        <w:rPr>
          <w:lang w:val="en-NZ"/>
        </w:rPr>
        <w:t>)</w:t>
      </w:r>
      <w:r w:rsidRPr="003067B9">
        <w:rPr>
          <w:lang w:val="en-NZ"/>
        </w:rPr>
        <w:t>, and we have a one-year roadmap in play (SI&amp;I, Finance, H&amp;SS and EY). Our focus is on operating theatres and bed flow management. The first report has been delivered to central agencies covering:</w:t>
      </w:r>
    </w:p>
    <w:p w14:paraId="06BD22E7" w14:textId="24100132" w:rsidR="00E02FCD" w:rsidRPr="003067B9" w:rsidRDefault="00523F89" w:rsidP="00AE35B0">
      <w:pPr>
        <w:pStyle w:val="Bulletpoints2"/>
        <w:rPr>
          <w:lang w:val="en-NZ"/>
        </w:rPr>
      </w:pPr>
      <w:r>
        <w:rPr>
          <w:lang w:val="en-NZ"/>
        </w:rPr>
        <w:t>c</w:t>
      </w:r>
      <w:r w:rsidR="00E02FCD" w:rsidRPr="003067B9">
        <w:rPr>
          <w:lang w:val="en-NZ"/>
        </w:rPr>
        <w:t>ase-weighted hospital discharges per FTE</w:t>
      </w:r>
    </w:p>
    <w:p w14:paraId="20F0A866" w14:textId="391DE8F7" w:rsidR="00E02FCD" w:rsidRPr="003067B9" w:rsidRDefault="00523F89" w:rsidP="00AE35B0">
      <w:pPr>
        <w:pStyle w:val="Bulletpoints2"/>
        <w:rPr>
          <w:lang w:val="en-NZ"/>
        </w:rPr>
      </w:pPr>
      <w:r>
        <w:rPr>
          <w:lang w:val="en-NZ"/>
        </w:rPr>
        <w:t>a</w:t>
      </w:r>
      <w:r w:rsidR="00E02FCD" w:rsidRPr="003067B9">
        <w:rPr>
          <w:lang w:val="en-NZ"/>
        </w:rPr>
        <w:t xml:space="preserve">verage </w:t>
      </w:r>
      <w:r>
        <w:rPr>
          <w:lang w:val="en-NZ"/>
        </w:rPr>
        <w:t>l</w:t>
      </w:r>
      <w:r w:rsidR="00E02FCD" w:rsidRPr="003067B9">
        <w:rPr>
          <w:lang w:val="en-NZ"/>
        </w:rPr>
        <w:t xml:space="preserve">ength of </w:t>
      </w:r>
      <w:r>
        <w:rPr>
          <w:lang w:val="en-NZ"/>
        </w:rPr>
        <w:t>s</w:t>
      </w:r>
      <w:r w:rsidR="00E02FCD" w:rsidRPr="003067B9">
        <w:rPr>
          <w:lang w:val="en-NZ"/>
        </w:rPr>
        <w:t>tay  – medical and surgical episodes of care</w:t>
      </w:r>
    </w:p>
    <w:p w14:paraId="4B791889" w14:textId="19F8025A" w:rsidR="00E02FCD" w:rsidRPr="003067B9" w:rsidRDefault="00523F89" w:rsidP="00AE35B0">
      <w:pPr>
        <w:pStyle w:val="Bulletpoints2"/>
        <w:rPr>
          <w:lang w:val="en-NZ"/>
        </w:rPr>
      </w:pPr>
      <w:r>
        <w:rPr>
          <w:lang w:val="en-NZ"/>
        </w:rPr>
        <w:t>p</w:t>
      </w:r>
      <w:r w:rsidR="00E02FCD" w:rsidRPr="003067B9">
        <w:rPr>
          <w:lang w:val="en-NZ"/>
        </w:rPr>
        <w:t xml:space="preserve">ercentage </w:t>
      </w:r>
      <w:r>
        <w:rPr>
          <w:lang w:val="en-NZ"/>
        </w:rPr>
        <w:t>l</w:t>
      </w:r>
      <w:r w:rsidR="00E02FCD" w:rsidRPr="003067B9">
        <w:rPr>
          <w:lang w:val="en-NZ"/>
        </w:rPr>
        <w:t xml:space="preserve">ong </w:t>
      </w:r>
      <w:r>
        <w:rPr>
          <w:lang w:val="en-NZ"/>
        </w:rPr>
        <w:t>s</w:t>
      </w:r>
      <w:r w:rsidR="00E02FCD" w:rsidRPr="003067B9">
        <w:rPr>
          <w:lang w:val="en-NZ"/>
        </w:rPr>
        <w:t>tay (&gt;7 Days) – medical and surgical episodes of care</w:t>
      </w:r>
      <w:r w:rsidR="00072E9C" w:rsidRPr="003067B9">
        <w:rPr>
          <w:lang w:val="en-NZ"/>
        </w:rPr>
        <w:t>.</w:t>
      </w:r>
    </w:p>
    <w:p w14:paraId="7FAF248B" w14:textId="78BFD8B7" w:rsidR="00E02FCD" w:rsidRPr="003067B9" w:rsidRDefault="00E02FCD" w:rsidP="00B01A8F">
      <w:pPr>
        <w:pStyle w:val="Bulletpoints"/>
        <w:rPr>
          <w:lang w:val="en-NZ"/>
        </w:rPr>
      </w:pPr>
      <w:r w:rsidRPr="003067B9">
        <w:rPr>
          <w:lang w:val="en-NZ"/>
        </w:rPr>
        <w:t>Work is underway to refine existing and develop suites of productivity measures, supported by performance and quality measures</w:t>
      </w:r>
      <w:r w:rsidR="00F32965" w:rsidRPr="003067B9">
        <w:rPr>
          <w:lang w:val="en-NZ"/>
        </w:rPr>
        <w:t>,</w:t>
      </w:r>
      <w:r w:rsidRPr="003067B9">
        <w:rPr>
          <w:lang w:val="en-NZ"/>
        </w:rPr>
        <w:t xml:space="preserve"> to enable an understanding of not just productivity trends but also drivers </w:t>
      </w:r>
      <w:r w:rsidR="00F32965" w:rsidRPr="003067B9">
        <w:rPr>
          <w:lang w:val="en-NZ"/>
        </w:rPr>
        <w:t xml:space="preserve">of </w:t>
      </w:r>
      <w:r w:rsidRPr="003067B9">
        <w:rPr>
          <w:lang w:val="en-NZ"/>
        </w:rPr>
        <w:t>and influences o</w:t>
      </w:r>
      <w:r w:rsidR="00F32965" w:rsidRPr="003067B9">
        <w:rPr>
          <w:lang w:val="en-NZ"/>
        </w:rPr>
        <w:t>n</w:t>
      </w:r>
      <w:r w:rsidRPr="003067B9">
        <w:rPr>
          <w:lang w:val="en-NZ"/>
        </w:rPr>
        <w:t xml:space="preserve"> productivity within service delivery settings. This is expected to be a 12-month work programme</w:t>
      </w:r>
      <w:r w:rsidR="00523F89">
        <w:rPr>
          <w:lang w:val="en-NZ"/>
        </w:rPr>
        <w:t>.</w:t>
      </w:r>
    </w:p>
    <w:p w14:paraId="7D19F475" w14:textId="5E16EAF9" w:rsidR="00E02FCD" w:rsidRPr="003067B9" w:rsidRDefault="00E02FCD" w:rsidP="00AE35B0">
      <w:pPr>
        <w:pStyle w:val="Bulletpoints2"/>
        <w:rPr>
          <w:lang w:val="en-NZ"/>
        </w:rPr>
      </w:pPr>
      <w:r w:rsidRPr="003067B9">
        <w:rPr>
          <w:lang w:val="en-NZ"/>
        </w:rPr>
        <w:t>Development of productivity measures and the efficiency and performance measures that help understand drivers of productivity</w:t>
      </w:r>
      <w:r w:rsidR="00523F89">
        <w:rPr>
          <w:lang w:val="en-NZ"/>
        </w:rPr>
        <w:t>.</w:t>
      </w:r>
    </w:p>
    <w:p w14:paraId="67C43865" w14:textId="03EA6655" w:rsidR="00E02FCD" w:rsidRPr="003067B9" w:rsidRDefault="00E02FCD" w:rsidP="00AE35B0">
      <w:pPr>
        <w:pStyle w:val="Bulletpoints2"/>
        <w:rPr>
          <w:lang w:val="en-NZ"/>
        </w:rPr>
      </w:pPr>
      <w:r w:rsidRPr="003067B9">
        <w:rPr>
          <w:lang w:val="en-NZ"/>
        </w:rPr>
        <w:t>Consolidation and automation of data sources including data quality assessment and control</w:t>
      </w:r>
      <w:r w:rsidR="00523F89">
        <w:rPr>
          <w:lang w:val="en-NZ"/>
        </w:rPr>
        <w:t>.</w:t>
      </w:r>
    </w:p>
    <w:p w14:paraId="6DB45953" w14:textId="2D7E69CD" w:rsidR="00E02FCD" w:rsidRPr="003067B9" w:rsidRDefault="00E02FCD" w:rsidP="00AE35B0">
      <w:pPr>
        <w:pStyle w:val="Bulletpoints2"/>
        <w:rPr>
          <w:lang w:val="en-NZ"/>
        </w:rPr>
      </w:pPr>
      <w:r w:rsidRPr="003067B9">
        <w:rPr>
          <w:lang w:val="en-NZ"/>
        </w:rPr>
        <w:t>Productivity insight generation to increase the use of productivity reporting to support business decision making</w:t>
      </w:r>
      <w:r w:rsidR="00784CA1">
        <w:rPr>
          <w:lang w:val="en-NZ"/>
        </w:rPr>
        <w:t>.</w:t>
      </w:r>
      <w:r w:rsidRPr="003067B9">
        <w:rPr>
          <w:lang w:val="en-NZ"/>
        </w:rPr>
        <w:t xml:space="preserve"> </w:t>
      </w:r>
    </w:p>
    <w:p w14:paraId="3AD3AECD" w14:textId="60513DEE" w:rsidR="00E02FCD" w:rsidRPr="003067B9" w:rsidRDefault="00E02FCD" w:rsidP="00AE35B0">
      <w:pPr>
        <w:pStyle w:val="Bulletpoints2"/>
        <w:rPr>
          <w:lang w:val="en-NZ"/>
        </w:rPr>
      </w:pPr>
      <w:r w:rsidRPr="003067B9">
        <w:rPr>
          <w:lang w:val="en-NZ"/>
        </w:rPr>
        <w:t>National laboratory commissioning (</w:t>
      </w:r>
      <w:r w:rsidR="00784CA1">
        <w:rPr>
          <w:lang w:val="en-NZ"/>
        </w:rPr>
        <w:t>two</w:t>
      </w:r>
      <w:r w:rsidRPr="003067B9">
        <w:rPr>
          <w:lang w:val="en-NZ"/>
        </w:rPr>
        <w:t xml:space="preserve"> years)</w:t>
      </w:r>
      <w:r w:rsidR="00784CA1">
        <w:rPr>
          <w:lang w:val="en-NZ"/>
        </w:rPr>
        <w:t>.</w:t>
      </w:r>
    </w:p>
    <w:p w14:paraId="65E5CCCE" w14:textId="29697849" w:rsidR="00E02FCD" w:rsidRPr="003067B9" w:rsidRDefault="00E02FCD" w:rsidP="00AE35B0">
      <w:pPr>
        <w:pStyle w:val="Bulletpoints2"/>
        <w:rPr>
          <w:lang w:val="en-NZ"/>
        </w:rPr>
      </w:pPr>
      <w:r w:rsidRPr="003067B9">
        <w:rPr>
          <w:lang w:val="en-NZ"/>
        </w:rPr>
        <w:t>National radiology commissioning (</w:t>
      </w:r>
      <w:r w:rsidR="00784CA1">
        <w:rPr>
          <w:lang w:val="en-NZ"/>
        </w:rPr>
        <w:t>two</w:t>
      </w:r>
      <w:r w:rsidRPr="003067B9">
        <w:rPr>
          <w:lang w:val="en-NZ"/>
        </w:rPr>
        <w:t xml:space="preserve"> years)</w:t>
      </w:r>
      <w:r w:rsidR="00784CA1">
        <w:rPr>
          <w:lang w:val="en-NZ"/>
        </w:rPr>
        <w:t>.</w:t>
      </w:r>
    </w:p>
    <w:p w14:paraId="3BEEEEFA" w14:textId="18ECDE2F" w:rsidR="00E02FCD" w:rsidRPr="003067B9" w:rsidRDefault="00E02FCD" w:rsidP="00AE35B0">
      <w:pPr>
        <w:pStyle w:val="Bulletpoints2"/>
        <w:rPr>
          <w:lang w:val="en-NZ"/>
        </w:rPr>
      </w:pPr>
      <w:r w:rsidRPr="003067B9">
        <w:rPr>
          <w:lang w:val="en-NZ"/>
        </w:rPr>
        <w:t>National outsource</w:t>
      </w:r>
      <w:r w:rsidR="00F32965" w:rsidRPr="003067B9">
        <w:rPr>
          <w:lang w:val="en-NZ"/>
        </w:rPr>
        <w:t>d</w:t>
      </w:r>
      <w:r w:rsidRPr="003067B9">
        <w:rPr>
          <w:lang w:val="en-NZ"/>
        </w:rPr>
        <w:t xml:space="preserve"> surgical services commissioning (</w:t>
      </w:r>
      <w:r w:rsidR="00784CA1">
        <w:rPr>
          <w:lang w:val="en-NZ"/>
        </w:rPr>
        <w:t>two</w:t>
      </w:r>
      <w:r w:rsidRPr="003067B9">
        <w:rPr>
          <w:lang w:val="en-NZ"/>
        </w:rPr>
        <w:t xml:space="preserve"> years)</w:t>
      </w:r>
      <w:r w:rsidR="00784CA1">
        <w:rPr>
          <w:lang w:val="en-NZ"/>
        </w:rPr>
        <w:t>.</w:t>
      </w:r>
    </w:p>
    <w:p w14:paraId="5852B520" w14:textId="26E09B09" w:rsidR="00E02FCD" w:rsidRPr="003067B9" w:rsidRDefault="00E02FCD" w:rsidP="00AE35B0">
      <w:pPr>
        <w:pStyle w:val="Bulletpoints2"/>
        <w:rPr>
          <w:lang w:val="en-NZ"/>
        </w:rPr>
      </w:pPr>
      <w:r w:rsidRPr="003067B9">
        <w:rPr>
          <w:lang w:val="en-NZ"/>
        </w:rPr>
        <w:t>National payroll and rostering to drive workforce analytics and overtime</w:t>
      </w:r>
      <w:r w:rsidR="00784CA1">
        <w:rPr>
          <w:lang w:val="en-NZ"/>
        </w:rPr>
        <w:t xml:space="preserve"> </w:t>
      </w:r>
      <w:r w:rsidRPr="003067B9">
        <w:rPr>
          <w:lang w:val="en-NZ"/>
        </w:rPr>
        <w:t>/</w:t>
      </w:r>
      <w:r w:rsidR="00784CA1">
        <w:rPr>
          <w:lang w:val="en-NZ"/>
        </w:rPr>
        <w:t xml:space="preserve"> </w:t>
      </w:r>
      <w:r w:rsidRPr="003067B9">
        <w:rPr>
          <w:lang w:val="en-NZ"/>
        </w:rPr>
        <w:t>leave management (</w:t>
      </w:r>
      <w:r w:rsidR="00784CA1">
        <w:rPr>
          <w:lang w:val="en-NZ"/>
        </w:rPr>
        <w:t>five</w:t>
      </w:r>
      <w:r w:rsidRPr="003067B9">
        <w:rPr>
          <w:lang w:val="en-NZ"/>
        </w:rPr>
        <w:t xml:space="preserve"> years)</w:t>
      </w:r>
      <w:r w:rsidR="00784CA1">
        <w:rPr>
          <w:lang w:val="en-NZ"/>
        </w:rPr>
        <w:t>.</w:t>
      </w:r>
    </w:p>
    <w:p w14:paraId="77FB7153" w14:textId="7B560855" w:rsidR="00E02FCD" w:rsidRPr="003067B9" w:rsidRDefault="00E02FCD" w:rsidP="00AE35B0">
      <w:pPr>
        <w:pStyle w:val="Bulletpoints2"/>
        <w:rPr>
          <w:lang w:val="en-NZ"/>
        </w:rPr>
      </w:pPr>
      <w:r w:rsidRPr="003067B9">
        <w:rPr>
          <w:lang w:val="en-NZ"/>
        </w:rPr>
        <w:t xml:space="preserve">National and </w:t>
      </w:r>
      <w:r w:rsidR="00784CA1">
        <w:rPr>
          <w:lang w:val="en-NZ"/>
        </w:rPr>
        <w:t>r</w:t>
      </w:r>
      <w:r w:rsidRPr="003067B9">
        <w:rPr>
          <w:lang w:val="en-NZ"/>
        </w:rPr>
        <w:t>egional hospital operating models and control centres (</w:t>
      </w:r>
      <w:r w:rsidR="00784CA1">
        <w:rPr>
          <w:lang w:val="en-NZ"/>
        </w:rPr>
        <w:t>one</w:t>
      </w:r>
      <w:r w:rsidRPr="003067B9">
        <w:rPr>
          <w:lang w:val="en-NZ"/>
        </w:rPr>
        <w:t xml:space="preserve"> year)</w:t>
      </w:r>
      <w:r w:rsidR="00784CA1">
        <w:rPr>
          <w:lang w:val="en-NZ"/>
        </w:rPr>
        <w:t>.</w:t>
      </w:r>
    </w:p>
    <w:p w14:paraId="04378227" w14:textId="583FC845" w:rsidR="00E02FCD" w:rsidRPr="003067B9" w:rsidRDefault="00E02FCD" w:rsidP="00AE35B0">
      <w:pPr>
        <w:pStyle w:val="Bulletpoints2"/>
        <w:rPr>
          <w:lang w:val="en-NZ"/>
        </w:rPr>
      </w:pPr>
      <w:r w:rsidRPr="003067B9">
        <w:rPr>
          <w:lang w:val="en-NZ"/>
        </w:rPr>
        <w:t xml:space="preserve">National </w:t>
      </w:r>
      <w:r w:rsidR="00784CA1">
        <w:rPr>
          <w:lang w:val="en-NZ"/>
        </w:rPr>
        <w:t>b</w:t>
      </w:r>
      <w:r w:rsidRPr="003067B9">
        <w:rPr>
          <w:lang w:val="en-NZ"/>
        </w:rPr>
        <w:t>ooking system, referral management and waitlist management (unknown timeline D</w:t>
      </w:r>
      <w:r w:rsidR="005D5B4D">
        <w:rPr>
          <w:lang w:val="en-NZ"/>
        </w:rPr>
        <w:t xml:space="preserve">ata </w:t>
      </w:r>
      <w:r w:rsidRPr="003067B9">
        <w:rPr>
          <w:lang w:val="en-NZ"/>
        </w:rPr>
        <w:t>&amp;</w:t>
      </w:r>
      <w:r w:rsidR="005D5B4D">
        <w:rPr>
          <w:lang w:val="en-NZ"/>
        </w:rPr>
        <w:t xml:space="preserve"> </w:t>
      </w:r>
      <w:r w:rsidRPr="003067B9">
        <w:rPr>
          <w:lang w:val="en-NZ"/>
        </w:rPr>
        <w:t>D</w:t>
      </w:r>
      <w:r w:rsidR="005D5B4D">
        <w:rPr>
          <w:lang w:val="en-NZ"/>
        </w:rPr>
        <w:t>igital (D&amp;D)</w:t>
      </w:r>
      <w:r w:rsidRPr="003067B9">
        <w:rPr>
          <w:lang w:val="en-NZ"/>
        </w:rPr>
        <w:t xml:space="preserve"> enabler)</w:t>
      </w:r>
      <w:r w:rsidR="005D5B4D">
        <w:rPr>
          <w:lang w:val="en-NZ"/>
        </w:rPr>
        <w:t>.</w:t>
      </w:r>
    </w:p>
    <w:p w14:paraId="6088D587" w14:textId="12D2E258" w:rsidR="00E02FCD" w:rsidRPr="003067B9" w:rsidRDefault="00E02FCD" w:rsidP="00AE35B0">
      <w:pPr>
        <w:pStyle w:val="Bulletpoints2"/>
        <w:rPr>
          <w:lang w:val="en-NZ"/>
        </w:rPr>
      </w:pPr>
      <w:r w:rsidRPr="003067B9">
        <w:rPr>
          <w:lang w:val="en-NZ"/>
        </w:rPr>
        <w:t>Laboratory and Radiology results access (unknown timeline D&amp;D enabler)</w:t>
      </w:r>
      <w:r w:rsidR="005D5B4D">
        <w:rPr>
          <w:lang w:val="en-NZ"/>
        </w:rPr>
        <w:t>.</w:t>
      </w:r>
    </w:p>
    <w:p w14:paraId="7C748131" w14:textId="070F3F9C" w:rsidR="00E02FCD" w:rsidRPr="003067B9" w:rsidRDefault="00E02FCD" w:rsidP="00AE35B0">
      <w:pPr>
        <w:pStyle w:val="Bulletpoints2"/>
        <w:rPr>
          <w:lang w:val="en-NZ"/>
        </w:rPr>
      </w:pPr>
      <w:r w:rsidRPr="003067B9">
        <w:rPr>
          <w:lang w:val="en-NZ"/>
        </w:rPr>
        <w:t>Regional Clinical Delivery Networks implemented across a range of special</w:t>
      </w:r>
      <w:r w:rsidR="00332715" w:rsidRPr="003067B9">
        <w:rPr>
          <w:lang w:val="en-NZ"/>
        </w:rPr>
        <w:t>i</w:t>
      </w:r>
      <w:r w:rsidRPr="003067B9">
        <w:rPr>
          <w:lang w:val="en-NZ"/>
        </w:rPr>
        <w:t>ties (roadmap to be announced)</w:t>
      </w:r>
      <w:r w:rsidR="00072E9C" w:rsidRPr="003067B9">
        <w:rPr>
          <w:lang w:val="en-NZ"/>
        </w:rPr>
        <w:t>.</w:t>
      </w:r>
    </w:p>
    <w:p w14:paraId="1C8D3D3F" w14:textId="77777777" w:rsidR="00E02FCD" w:rsidRPr="003067B9" w:rsidRDefault="00E02FCD" w:rsidP="006A6BEE">
      <w:pPr>
        <w:pStyle w:val="ListBullet3"/>
        <w:numPr>
          <w:ilvl w:val="0"/>
          <w:numId w:val="0"/>
        </w:numPr>
        <w:tabs>
          <w:tab w:val="left" w:pos="1276"/>
        </w:tabs>
        <w:spacing w:before="120" w:after="120" w:line="288" w:lineRule="auto"/>
        <w:ind w:left="1276"/>
        <w:contextualSpacing w:val="0"/>
        <w:rPr>
          <w:sz w:val="28"/>
          <w:szCs w:val="28"/>
          <w:lang w:val="en-NZ"/>
        </w:rPr>
      </w:pPr>
    </w:p>
    <w:p w14:paraId="71736AE2" w14:textId="77777777" w:rsidR="00E02FCD" w:rsidRPr="003067B9" w:rsidRDefault="00E02FCD" w:rsidP="006A6BEE">
      <w:pPr>
        <w:rPr>
          <w:b/>
          <w:bCs/>
          <w:color w:val="15284C" w:themeColor="accent5"/>
          <w:sz w:val="28"/>
          <w:szCs w:val="28"/>
          <w:lang w:val="en-NZ"/>
        </w:rPr>
      </w:pPr>
    </w:p>
    <w:p w14:paraId="3F72D70E" w14:textId="77777777" w:rsidR="00C2064B" w:rsidRPr="003067B9" w:rsidRDefault="00C2064B" w:rsidP="006A6BEE">
      <w:pPr>
        <w:rPr>
          <w:b/>
          <w:bCs/>
          <w:color w:val="15284C" w:themeColor="accent5"/>
          <w:sz w:val="28"/>
          <w:szCs w:val="28"/>
          <w:lang w:val="en-NZ"/>
        </w:rPr>
      </w:pPr>
    </w:p>
    <w:p w14:paraId="73D84780" w14:textId="77D0B8CF" w:rsidR="00E02FCD" w:rsidRPr="00D4706E" w:rsidRDefault="00E02FCD" w:rsidP="00AE35B0">
      <w:pPr>
        <w:pStyle w:val="Heading2"/>
        <w:rPr>
          <w:color w:val="15284C"/>
        </w:rPr>
      </w:pPr>
      <w:bookmarkStart w:id="107" w:name="_Toc170199189"/>
      <w:r w:rsidRPr="1CBF9D75">
        <w:rPr>
          <w:color w:val="15284C" w:themeColor="accent5"/>
        </w:rPr>
        <w:lastRenderedPageBreak/>
        <w:t xml:space="preserve">Mental </w:t>
      </w:r>
      <w:r w:rsidR="49FBAE6F" w:rsidRPr="1CBF9D75">
        <w:rPr>
          <w:color w:val="15284C" w:themeColor="accent5"/>
        </w:rPr>
        <w:t>h</w:t>
      </w:r>
      <w:r w:rsidRPr="1CBF9D75">
        <w:rPr>
          <w:color w:val="15284C" w:themeColor="accent5"/>
        </w:rPr>
        <w:t xml:space="preserve">ealth </w:t>
      </w:r>
      <w:r w:rsidR="233E1FB9" w:rsidRPr="1CBF9D75">
        <w:rPr>
          <w:color w:val="15284C" w:themeColor="accent5"/>
        </w:rPr>
        <w:t>o</w:t>
      </w:r>
      <w:r w:rsidRPr="1CBF9D75">
        <w:rPr>
          <w:color w:val="15284C" w:themeColor="accent5"/>
        </w:rPr>
        <w:t xml:space="preserve">utput </w:t>
      </w:r>
      <w:r w:rsidR="59B868B1" w:rsidRPr="1CBF9D75">
        <w:rPr>
          <w:color w:val="15284C" w:themeColor="accent5"/>
        </w:rPr>
        <w:t>c</w:t>
      </w:r>
      <w:r w:rsidRPr="1CBF9D75">
        <w:rPr>
          <w:color w:val="15284C" w:themeColor="accent5"/>
        </w:rPr>
        <w:t>lass</w:t>
      </w:r>
      <w:bookmarkEnd w:id="107"/>
    </w:p>
    <w:p w14:paraId="54F8D661" w14:textId="55A21F4D" w:rsidR="00E02FCD" w:rsidRPr="003067B9" w:rsidRDefault="00E02FCD" w:rsidP="006A6BEE">
      <w:pPr>
        <w:rPr>
          <w:szCs w:val="24"/>
          <w:lang w:val="en-NZ"/>
        </w:rPr>
      </w:pPr>
      <w:r w:rsidRPr="003067B9">
        <w:rPr>
          <w:szCs w:val="24"/>
          <w:lang w:val="en-NZ"/>
        </w:rPr>
        <w:t xml:space="preserve">The quarter </w:t>
      </w:r>
      <w:r w:rsidR="00E630CC" w:rsidRPr="003067B9">
        <w:rPr>
          <w:szCs w:val="24"/>
          <w:lang w:val="en-NZ"/>
        </w:rPr>
        <w:t>three</w:t>
      </w:r>
      <w:r w:rsidRPr="003067B9">
        <w:rPr>
          <w:szCs w:val="24"/>
          <w:lang w:val="en-NZ"/>
        </w:rPr>
        <w:t xml:space="preserve"> 2023/24 mental health output class shown in the table below indicates that mental health expenditure is higher than the draft budget by $23.3</w:t>
      </w:r>
      <w:r w:rsidR="00D652C4" w:rsidRPr="003067B9">
        <w:rPr>
          <w:szCs w:val="24"/>
          <w:lang w:val="en-NZ"/>
        </w:rPr>
        <w:t>7</w:t>
      </w:r>
      <w:r w:rsidRPr="003067B9">
        <w:rPr>
          <w:szCs w:val="24"/>
          <w:lang w:val="en-NZ"/>
        </w:rPr>
        <w:t>2 million.</w:t>
      </w:r>
    </w:p>
    <w:p w14:paraId="694539E0" w14:textId="77777777" w:rsidR="00E02FCD" w:rsidRPr="003067B9" w:rsidRDefault="00E02FCD" w:rsidP="006A6BEE">
      <w:pPr>
        <w:ind w:left="2880" w:firstLine="720"/>
        <w:rPr>
          <w:b/>
          <w:bCs/>
          <w:szCs w:val="24"/>
          <w:lang w:val="en-NZ"/>
        </w:rPr>
      </w:pPr>
      <w:r w:rsidRPr="003067B9">
        <w:rPr>
          <w:b/>
          <w:bCs/>
          <w:szCs w:val="24"/>
          <w:lang w:val="en-NZ"/>
        </w:rPr>
        <w:t>(YTD to March 2024)</w:t>
      </w:r>
    </w:p>
    <w:p w14:paraId="1FCA4322" w14:textId="77777777" w:rsidR="00E02FCD" w:rsidRPr="003067B9" w:rsidRDefault="00E02FCD" w:rsidP="006A6BEE">
      <w:pPr>
        <w:rPr>
          <w:szCs w:val="24"/>
          <w:lang w:val="en-NZ"/>
        </w:rPr>
      </w:pPr>
      <w:r w:rsidRPr="003067B9">
        <w:rPr>
          <w:noProof/>
          <w:szCs w:val="24"/>
          <w:lang w:val="en-NZ"/>
        </w:rPr>
        <w:drawing>
          <wp:inline distT="0" distB="0" distL="0" distR="0" wp14:anchorId="5449EB3A" wp14:editId="25CA04D8">
            <wp:extent cx="5948127" cy="2889712"/>
            <wp:effectExtent l="0" t="0" r="0" b="6350"/>
            <wp:docPr id="1040252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5278" name="Picture 1">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54340" cy="2892730"/>
                    </a:xfrm>
                    <a:prstGeom prst="rect">
                      <a:avLst/>
                    </a:prstGeom>
                    <a:noFill/>
                    <a:ln>
                      <a:noFill/>
                    </a:ln>
                  </pic:spPr>
                </pic:pic>
              </a:graphicData>
            </a:graphic>
          </wp:inline>
        </w:drawing>
      </w:r>
    </w:p>
    <w:p w14:paraId="2D7E3363" w14:textId="57DE849E" w:rsidR="00E02FCD" w:rsidRPr="003067B9" w:rsidRDefault="00E02FCD" w:rsidP="006B2349">
      <w:pPr>
        <w:pStyle w:val="Bulletpoints"/>
        <w:rPr>
          <w:lang w:val="en-NZ"/>
        </w:rPr>
      </w:pPr>
      <w:r w:rsidRPr="003067B9">
        <w:rPr>
          <w:lang w:val="en-NZ"/>
        </w:rPr>
        <w:t>Salary increases from collective employment agreements settlement contribute to the high personnel expenditure.  This is expected to continue for the remainder of the year and may further increase with further wage increase</w:t>
      </w:r>
      <w:r w:rsidR="00072E9C" w:rsidRPr="003067B9">
        <w:rPr>
          <w:lang w:val="en-NZ"/>
        </w:rPr>
        <w:t>s</w:t>
      </w:r>
      <w:r w:rsidRPr="003067B9">
        <w:rPr>
          <w:lang w:val="en-NZ"/>
        </w:rPr>
        <w:t xml:space="preserve"> eg nursing agreement has a further 3% increase from 1 April 2024.</w:t>
      </w:r>
    </w:p>
    <w:p w14:paraId="5D86341B" w14:textId="56541940" w:rsidR="00E02FCD" w:rsidRPr="003067B9" w:rsidRDefault="00E02FCD" w:rsidP="006B2349">
      <w:pPr>
        <w:pStyle w:val="Bulletpoints"/>
        <w:rPr>
          <w:lang w:val="en-NZ"/>
        </w:rPr>
      </w:pPr>
      <w:r w:rsidRPr="003067B9">
        <w:rPr>
          <w:lang w:val="en-NZ"/>
        </w:rPr>
        <w:t xml:space="preserve">Commissioning has “contracted” with H&amp;SS using service level agreements (SLAs) to deliver community services during the year.  This has contributed to H&amp;SS higher spend against budget and lower spend in Primary and Community as the SLAs budget hasn’t been included in H&amp;SS but in Primary and Community.  Primary and Community actual expenditure included corrections of financial reporting in this quarter. </w:t>
      </w:r>
    </w:p>
    <w:p w14:paraId="0089D32B" w14:textId="1B306549" w:rsidR="00E02FCD" w:rsidRPr="003067B9" w:rsidRDefault="00E02FCD" w:rsidP="006B2349">
      <w:pPr>
        <w:pStyle w:val="Bulletpoints"/>
        <w:rPr>
          <w:b/>
          <w:lang w:val="en-NZ"/>
        </w:rPr>
      </w:pPr>
      <w:r w:rsidRPr="003067B9">
        <w:rPr>
          <w:lang w:val="en-NZ"/>
        </w:rPr>
        <w:t>The budget is currently draft due to M</w:t>
      </w:r>
      <w:r w:rsidR="00135E0C">
        <w:rPr>
          <w:lang w:val="en-NZ"/>
        </w:rPr>
        <w:t xml:space="preserve">inistry </w:t>
      </w:r>
      <w:r w:rsidRPr="003067B9">
        <w:rPr>
          <w:lang w:val="en-NZ"/>
        </w:rPr>
        <w:t>o</w:t>
      </w:r>
      <w:r w:rsidR="00135E0C">
        <w:rPr>
          <w:lang w:val="en-NZ"/>
        </w:rPr>
        <w:t xml:space="preserve">f </w:t>
      </w:r>
      <w:r w:rsidRPr="003067B9">
        <w:rPr>
          <w:lang w:val="en-NZ"/>
        </w:rPr>
        <w:t>H</w:t>
      </w:r>
      <w:r w:rsidR="00135E0C">
        <w:rPr>
          <w:lang w:val="en-NZ"/>
        </w:rPr>
        <w:t>ealth (MoH)</w:t>
      </w:r>
      <w:r w:rsidRPr="003067B9">
        <w:rPr>
          <w:lang w:val="en-NZ"/>
        </w:rPr>
        <w:t xml:space="preserve"> letter in December 2023 indicating a mental health $2,284.824 million ringfence budget. Work on agreeing to the ringfence amount with MoH is continuing</w:t>
      </w:r>
      <w:r w:rsidR="229C2B40" w:rsidRPr="33907AF0">
        <w:rPr>
          <w:lang w:val="en-NZ"/>
        </w:rPr>
        <w:t>.</w:t>
      </w:r>
      <w:r w:rsidRPr="003067B9">
        <w:rPr>
          <w:lang w:val="en-NZ"/>
        </w:rPr>
        <w:br w:type="page"/>
      </w:r>
    </w:p>
    <w:p w14:paraId="4276C68D" w14:textId="34381B46" w:rsidR="00E02FCD" w:rsidRPr="00D4706E" w:rsidRDefault="00E02FCD" w:rsidP="006B2349">
      <w:pPr>
        <w:pStyle w:val="Heading2"/>
        <w:rPr>
          <w:color w:val="15284C"/>
        </w:rPr>
      </w:pPr>
      <w:bookmarkStart w:id="108" w:name="_Toc170199190"/>
      <w:r w:rsidRPr="00D4706E">
        <w:rPr>
          <w:color w:val="15284C"/>
        </w:rPr>
        <w:lastRenderedPageBreak/>
        <w:t xml:space="preserve">Finance </w:t>
      </w:r>
      <w:r w:rsidR="00135E0C">
        <w:rPr>
          <w:color w:val="15284C"/>
        </w:rPr>
        <w:t>r</w:t>
      </w:r>
      <w:r w:rsidRPr="00D4706E">
        <w:rPr>
          <w:color w:val="15284C"/>
        </w:rPr>
        <w:t xml:space="preserve">eporting </w:t>
      </w:r>
      <w:r w:rsidR="00BD717C">
        <w:rPr>
          <w:color w:val="15284C"/>
        </w:rPr>
        <w:t>r</w:t>
      </w:r>
      <w:r w:rsidRPr="00D4706E">
        <w:rPr>
          <w:color w:val="15284C"/>
        </w:rPr>
        <w:t>oadmap</w:t>
      </w:r>
      <w:bookmarkEnd w:id="108"/>
    </w:p>
    <w:tbl>
      <w:tblPr>
        <w:tblStyle w:val="TeWhatuOra"/>
        <w:tblW w:w="9634" w:type="dxa"/>
        <w:tblLook w:val="0420" w:firstRow="1" w:lastRow="0" w:firstColumn="0" w:lastColumn="0" w:noHBand="0" w:noVBand="1"/>
      </w:tblPr>
      <w:tblGrid>
        <w:gridCol w:w="7508"/>
        <w:gridCol w:w="2126"/>
      </w:tblGrid>
      <w:tr w:rsidR="00E02FCD" w:rsidRPr="00D4706E" w14:paraId="64365D4C" w14:textId="77777777" w:rsidTr="6D9E43F3">
        <w:trPr>
          <w:cnfStyle w:val="100000000000" w:firstRow="1" w:lastRow="0" w:firstColumn="0" w:lastColumn="0" w:oddVBand="0" w:evenVBand="0" w:oddHBand="0" w:evenHBand="0" w:firstRowFirstColumn="0" w:firstRowLastColumn="0" w:lastRowFirstColumn="0" w:lastRowLastColumn="0"/>
        </w:trPr>
        <w:tc>
          <w:tcPr>
            <w:tcW w:w="7508" w:type="dxa"/>
            <w:shd w:val="clear" w:color="auto" w:fill="15284C" w:themeFill="accent5"/>
          </w:tcPr>
          <w:p w14:paraId="61ABF653" w14:textId="77777777" w:rsidR="00E02FCD" w:rsidRPr="003067B9" w:rsidRDefault="00E02FCD" w:rsidP="006A6BEE">
            <w:pPr>
              <w:rPr>
                <w:rFonts w:asciiTheme="majorHAnsi" w:hAnsiTheme="majorHAnsi" w:cstheme="majorHAnsi"/>
                <w:lang w:val="en-NZ"/>
              </w:rPr>
            </w:pPr>
            <w:r w:rsidRPr="003067B9">
              <w:rPr>
                <w:rFonts w:asciiTheme="majorHAnsi" w:hAnsiTheme="majorHAnsi" w:cstheme="majorHAnsi"/>
                <w:lang w:val="en-NZ"/>
              </w:rPr>
              <w:t>FPIM Deliverables Summary</w:t>
            </w:r>
          </w:p>
        </w:tc>
        <w:tc>
          <w:tcPr>
            <w:tcW w:w="2126" w:type="dxa"/>
            <w:shd w:val="clear" w:color="auto" w:fill="15284C" w:themeFill="accent5"/>
          </w:tcPr>
          <w:p w14:paraId="1D15B10F" w14:textId="77777777" w:rsidR="00E02FCD" w:rsidRPr="003067B9" w:rsidRDefault="00E02FCD" w:rsidP="006A6BEE">
            <w:pPr>
              <w:jc w:val="center"/>
              <w:rPr>
                <w:rFonts w:asciiTheme="majorHAnsi" w:hAnsiTheme="majorHAnsi" w:cstheme="majorHAnsi"/>
                <w:lang w:val="en-NZ"/>
              </w:rPr>
            </w:pPr>
            <w:r w:rsidRPr="003067B9">
              <w:rPr>
                <w:rFonts w:asciiTheme="majorHAnsi" w:hAnsiTheme="majorHAnsi" w:cstheme="majorHAnsi"/>
                <w:lang w:val="en-NZ"/>
              </w:rPr>
              <w:t>Status</w:t>
            </w:r>
          </w:p>
        </w:tc>
      </w:tr>
      <w:tr w:rsidR="00E02FCD" w:rsidRPr="00D4706E" w14:paraId="1F56C7A7" w14:textId="77777777" w:rsidTr="00FF3CBF">
        <w:trPr>
          <w:trHeight w:val="1030"/>
        </w:trPr>
        <w:tc>
          <w:tcPr>
            <w:tcW w:w="7508" w:type="dxa"/>
            <w:shd w:val="clear" w:color="auto" w:fill="F6F4EC" w:themeFill="background1"/>
          </w:tcPr>
          <w:p w14:paraId="14A60614" w14:textId="5966D785" w:rsidR="00E02FCD" w:rsidRPr="003067B9" w:rsidRDefault="00E02FCD" w:rsidP="006A6BEE">
            <w:pPr>
              <w:rPr>
                <w:color w:val="000000"/>
                <w:lang w:val="en-NZ" w:eastAsia="en-NZ"/>
              </w:rPr>
            </w:pPr>
            <w:r w:rsidRPr="003067B9">
              <w:rPr>
                <w:color w:val="000000"/>
                <w:lang w:val="en-NZ" w:eastAsia="en-NZ"/>
              </w:rPr>
              <w:t>All deliverables are on track year</w:t>
            </w:r>
            <w:r w:rsidR="1253CCB0" w:rsidRPr="6D9E43F3">
              <w:rPr>
                <w:color w:val="000000"/>
                <w:lang w:val="en-NZ" w:eastAsia="en-NZ"/>
              </w:rPr>
              <w:t>-</w:t>
            </w:r>
            <w:r w:rsidRPr="003067B9">
              <w:rPr>
                <w:color w:val="000000"/>
                <w:lang w:val="en-NZ" w:eastAsia="en-NZ"/>
              </w:rPr>
              <w:t>to</w:t>
            </w:r>
            <w:r w:rsidR="15F667CC" w:rsidRPr="6DB358C2">
              <w:rPr>
                <w:color w:val="000000"/>
                <w:lang w:val="en-NZ" w:eastAsia="en-NZ"/>
              </w:rPr>
              <w:t>-</w:t>
            </w:r>
            <w:r w:rsidRPr="003067B9">
              <w:rPr>
                <w:color w:val="000000"/>
                <w:lang w:val="en-NZ" w:eastAsia="en-NZ"/>
              </w:rPr>
              <w:t xml:space="preserve">date. </w:t>
            </w:r>
            <w:r w:rsidR="00BD717C">
              <w:rPr>
                <w:color w:val="000000"/>
                <w:lang w:val="en-NZ" w:eastAsia="en-NZ"/>
              </w:rPr>
              <w:t>More than</w:t>
            </w:r>
            <w:r w:rsidRPr="003067B9">
              <w:rPr>
                <w:color w:val="000000"/>
                <w:lang w:val="en-NZ" w:eastAsia="en-NZ"/>
              </w:rPr>
              <w:t xml:space="preserve"> 98% of Health NZ financial system transactions are live on FPIM.</w:t>
            </w:r>
          </w:p>
          <w:p w14:paraId="4043DC19" w14:textId="77777777" w:rsidR="00E02FCD" w:rsidRPr="003067B9" w:rsidRDefault="00E02FCD" w:rsidP="003B4595">
            <w:pPr>
              <w:pStyle w:val="ListParagraph"/>
              <w:numPr>
                <w:ilvl w:val="0"/>
                <w:numId w:val="4"/>
              </w:numPr>
              <w:spacing w:before="0" w:after="0"/>
              <w:ind w:left="336" w:hanging="284"/>
              <w:contextualSpacing w:val="0"/>
              <w:rPr>
                <w:rFonts w:eastAsia="Times New Roman"/>
                <w:sz w:val="22"/>
                <w:lang w:val="en-NZ"/>
              </w:rPr>
            </w:pPr>
            <w:r w:rsidRPr="003067B9">
              <w:rPr>
                <w:rFonts w:eastAsia="Times New Roman"/>
                <w:lang w:val="en-NZ"/>
              </w:rPr>
              <w:t xml:space="preserve">Hawke’s Bay District </w:t>
            </w:r>
            <w:r w:rsidRPr="000305B8">
              <w:rPr>
                <w:rFonts w:eastAsia="Times New Roman"/>
                <w:b/>
                <w:bCs/>
                <w:lang w:val="en-NZ"/>
              </w:rPr>
              <w:t>migrated on 2 October 2023</w:t>
            </w:r>
          </w:p>
          <w:p w14:paraId="065F72B8" w14:textId="77777777" w:rsidR="00E02FCD" w:rsidRPr="00BD717C" w:rsidRDefault="00E02FCD" w:rsidP="003B4595">
            <w:pPr>
              <w:pStyle w:val="ListParagraph"/>
              <w:numPr>
                <w:ilvl w:val="0"/>
                <w:numId w:val="4"/>
              </w:numPr>
              <w:spacing w:before="0" w:after="0"/>
              <w:ind w:left="336" w:hanging="284"/>
              <w:contextualSpacing w:val="0"/>
              <w:rPr>
                <w:rFonts w:eastAsia="Times New Roman"/>
                <w:lang w:val="en-NZ"/>
              </w:rPr>
            </w:pPr>
            <w:r w:rsidRPr="003067B9">
              <w:rPr>
                <w:rFonts w:eastAsia="Times New Roman"/>
                <w:lang w:val="en-NZ"/>
              </w:rPr>
              <w:t xml:space="preserve">Nelson Marlborough </w:t>
            </w:r>
            <w:r w:rsidRPr="00BD717C">
              <w:rPr>
                <w:rFonts w:eastAsia="Times New Roman"/>
                <w:lang w:val="en-NZ"/>
              </w:rPr>
              <w:t xml:space="preserve">District </w:t>
            </w:r>
            <w:r w:rsidRPr="000305B8">
              <w:rPr>
                <w:rFonts w:eastAsia="Times New Roman"/>
                <w:b/>
                <w:bCs/>
                <w:lang w:val="en-NZ"/>
              </w:rPr>
              <w:t>migrated on 1 November 2023</w:t>
            </w:r>
          </w:p>
          <w:p w14:paraId="16C0A2D6" w14:textId="77777777" w:rsidR="00E02FCD" w:rsidRPr="00BD717C" w:rsidRDefault="00E02FCD" w:rsidP="003B4595">
            <w:pPr>
              <w:pStyle w:val="ListParagraph"/>
              <w:numPr>
                <w:ilvl w:val="0"/>
                <w:numId w:val="4"/>
              </w:numPr>
              <w:spacing w:before="0" w:after="0"/>
              <w:ind w:left="336" w:hanging="284"/>
              <w:contextualSpacing w:val="0"/>
              <w:rPr>
                <w:rFonts w:eastAsia="Times New Roman"/>
                <w:lang w:val="en-NZ"/>
              </w:rPr>
            </w:pPr>
            <w:r w:rsidRPr="00BD717C">
              <w:rPr>
                <w:rFonts w:eastAsia="Times New Roman"/>
                <w:lang w:val="en-NZ"/>
              </w:rPr>
              <w:t xml:space="preserve">Health Promotion Agency </w:t>
            </w:r>
            <w:r w:rsidRPr="000305B8">
              <w:rPr>
                <w:rFonts w:eastAsia="Times New Roman"/>
                <w:b/>
                <w:bCs/>
                <w:lang w:val="en-NZ"/>
              </w:rPr>
              <w:t>migrated on 27 November 2023</w:t>
            </w:r>
          </w:p>
          <w:p w14:paraId="7733A2BD" w14:textId="77777777" w:rsidR="00E02FCD" w:rsidRPr="00BD717C" w:rsidRDefault="00E02FCD" w:rsidP="003B4595">
            <w:pPr>
              <w:pStyle w:val="ListParagraph"/>
              <w:numPr>
                <w:ilvl w:val="0"/>
                <w:numId w:val="4"/>
              </w:numPr>
              <w:spacing w:before="0" w:after="0"/>
              <w:ind w:left="336" w:hanging="284"/>
              <w:contextualSpacing w:val="0"/>
              <w:rPr>
                <w:rFonts w:eastAsia="Times New Roman"/>
                <w:lang w:val="en-NZ"/>
              </w:rPr>
            </w:pPr>
            <w:r w:rsidRPr="00BD717C">
              <w:rPr>
                <w:rFonts w:eastAsia="Times New Roman"/>
                <w:lang w:val="en-NZ"/>
              </w:rPr>
              <w:t xml:space="preserve">Lakes District </w:t>
            </w:r>
            <w:r w:rsidRPr="000305B8">
              <w:rPr>
                <w:rFonts w:eastAsia="Times New Roman"/>
                <w:b/>
                <w:bCs/>
                <w:lang w:val="en-NZ"/>
              </w:rPr>
              <w:t>migrated on 4 March 2024</w:t>
            </w:r>
          </w:p>
          <w:p w14:paraId="2B9E58C8" w14:textId="7D567463" w:rsidR="00E02FCD" w:rsidRPr="003067B9" w:rsidRDefault="00E02FCD" w:rsidP="003B4595">
            <w:pPr>
              <w:pStyle w:val="ListParagraph"/>
              <w:numPr>
                <w:ilvl w:val="0"/>
                <w:numId w:val="4"/>
              </w:numPr>
              <w:spacing w:before="0" w:after="0"/>
              <w:ind w:left="336" w:hanging="284"/>
              <w:contextualSpacing w:val="0"/>
              <w:rPr>
                <w:rFonts w:eastAsia="Times New Roman"/>
                <w:lang w:val="en-NZ"/>
              </w:rPr>
            </w:pPr>
            <w:r w:rsidRPr="00BD717C">
              <w:rPr>
                <w:rFonts w:eastAsia="Times New Roman"/>
                <w:lang w:val="en-NZ"/>
              </w:rPr>
              <w:t xml:space="preserve">HealthShare </w:t>
            </w:r>
            <w:r w:rsidRPr="00082AC7">
              <w:rPr>
                <w:rFonts w:eastAsia="Times New Roman"/>
                <w:b/>
                <w:bCs/>
                <w:lang w:val="en-NZ"/>
              </w:rPr>
              <w:t>migrated on 25 March 2024</w:t>
            </w:r>
          </w:p>
        </w:tc>
        <w:tc>
          <w:tcPr>
            <w:tcW w:w="2126" w:type="dxa"/>
          </w:tcPr>
          <w:p w14:paraId="74C0B117" w14:textId="77777777" w:rsidR="00E02FCD" w:rsidRPr="003067B9" w:rsidRDefault="00E02FCD" w:rsidP="006A6BEE">
            <w:pPr>
              <w:jc w:val="center"/>
              <w:rPr>
                <w:rFonts w:asciiTheme="majorHAnsi" w:hAnsiTheme="majorHAnsi" w:cstheme="majorHAnsi"/>
                <w:lang w:val="en-NZ"/>
              </w:rPr>
            </w:pPr>
            <w:r w:rsidRPr="003067B9">
              <w:rPr>
                <w:rFonts w:ascii="Cambria Math" w:hAnsi="Cambria Math" w:cs="Cambria Math"/>
                <w:color w:val="00B050"/>
                <w:shd w:val="clear" w:color="auto" w:fill="FFFFFF"/>
                <w:lang w:val="en-NZ"/>
              </w:rPr>
              <w:t>◉</w:t>
            </w:r>
          </w:p>
        </w:tc>
      </w:tr>
      <w:tr w:rsidR="00E02FCD" w:rsidRPr="00D4706E" w14:paraId="21DBF12F" w14:textId="77777777" w:rsidTr="00FF3CBF">
        <w:trPr>
          <w:trHeight w:val="704"/>
        </w:trPr>
        <w:tc>
          <w:tcPr>
            <w:tcW w:w="7508" w:type="dxa"/>
            <w:shd w:val="clear" w:color="auto" w:fill="F6F4EC" w:themeFill="background1"/>
          </w:tcPr>
          <w:p w14:paraId="5F3614BA" w14:textId="77777777" w:rsidR="00E02FCD" w:rsidRPr="003067B9" w:rsidRDefault="00E02FCD" w:rsidP="006A6BEE">
            <w:pPr>
              <w:rPr>
                <w:color w:val="000000"/>
                <w:lang w:val="en-NZ" w:eastAsia="en-NZ"/>
              </w:rPr>
            </w:pPr>
            <w:r w:rsidRPr="003067B9">
              <w:rPr>
                <w:color w:val="000000"/>
                <w:lang w:val="en-NZ" w:eastAsia="en-NZ"/>
              </w:rPr>
              <w:t>Whole of Health NZ Delegations Policy updated and delegations to match loaded into FPIM system.</w:t>
            </w:r>
          </w:p>
        </w:tc>
        <w:tc>
          <w:tcPr>
            <w:tcW w:w="2126" w:type="dxa"/>
          </w:tcPr>
          <w:p w14:paraId="38C61337" w14:textId="77777777" w:rsidR="00E02FCD" w:rsidRPr="003067B9" w:rsidRDefault="00E02FCD" w:rsidP="006A6BEE">
            <w:pPr>
              <w:jc w:val="center"/>
              <w:rPr>
                <w:rFonts w:asciiTheme="majorHAnsi" w:hAnsiTheme="majorHAnsi" w:cstheme="majorHAnsi"/>
                <w:lang w:val="en-NZ"/>
              </w:rPr>
            </w:pPr>
            <w:r w:rsidRPr="003067B9">
              <w:rPr>
                <w:rFonts w:ascii="Cambria Math" w:hAnsi="Cambria Math" w:cs="Cambria Math"/>
                <w:color w:val="00B050"/>
                <w:shd w:val="clear" w:color="auto" w:fill="FFFFFF"/>
                <w:lang w:val="en-NZ"/>
              </w:rPr>
              <w:t>◉</w:t>
            </w:r>
          </w:p>
        </w:tc>
      </w:tr>
    </w:tbl>
    <w:p w14:paraId="0DC06780" w14:textId="77777777" w:rsidR="00E02FCD" w:rsidRPr="003067B9" w:rsidRDefault="00E02FCD" w:rsidP="006A6BEE">
      <w:pPr>
        <w:rPr>
          <w:lang w:val="en-NZ"/>
        </w:rPr>
      </w:pPr>
    </w:p>
    <w:tbl>
      <w:tblPr>
        <w:tblStyle w:val="TeWhatuOra"/>
        <w:tblW w:w="9634" w:type="dxa"/>
        <w:tblLook w:val="0420" w:firstRow="1" w:lastRow="0" w:firstColumn="0" w:lastColumn="0" w:noHBand="0" w:noVBand="1"/>
      </w:tblPr>
      <w:tblGrid>
        <w:gridCol w:w="7508"/>
        <w:gridCol w:w="2126"/>
      </w:tblGrid>
      <w:tr w:rsidR="00E02FCD" w:rsidRPr="00D4706E" w14:paraId="055CB8FD" w14:textId="77777777" w:rsidTr="00A547DD">
        <w:trPr>
          <w:cnfStyle w:val="100000000000" w:firstRow="1" w:lastRow="0" w:firstColumn="0" w:lastColumn="0" w:oddVBand="0" w:evenVBand="0" w:oddHBand="0" w:evenHBand="0" w:firstRowFirstColumn="0" w:firstRowLastColumn="0" w:lastRowFirstColumn="0" w:lastRowLastColumn="0"/>
        </w:trPr>
        <w:tc>
          <w:tcPr>
            <w:tcW w:w="7508" w:type="dxa"/>
            <w:shd w:val="clear" w:color="auto" w:fill="15284C" w:themeFill="text1"/>
          </w:tcPr>
          <w:p w14:paraId="294F61A8" w14:textId="77777777" w:rsidR="00E02FCD" w:rsidRPr="003067B9" w:rsidRDefault="00E02FCD" w:rsidP="006A6BEE">
            <w:pPr>
              <w:spacing w:before="0"/>
              <w:rPr>
                <w:rFonts w:eastAsia="Calibri" w:cstheme="minorHAnsi"/>
                <w:bCs/>
                <w:szCs w:val="24"/>
                <w:lang w:val="en-NZ"/>
              </w:rPr>
            </w:pPr>
            <w:r w:rsidRPr="003067B9">
              <w:rPr>
                <w:rFonts w:eastAsia="Calibri" w:cstheme="minorHAnsi"/>
                <w:bCs/>
                <w:szCs w:val="24"/>
                <w:lang w:val="en-NZ"/>
              </w:rPr>
              <w:t>Financial Reporting Deliverables Summary</w:t>
            </w:r>
          </w:p>
        </w:tc>
        <w:tc>
          <w:tcPr>
            <w:tcW w:w="2126" w:type="dxa"/>
            <w:shd w:val="clear" w:color="auto" w:fill="15284C" w:themeFill="text1"/>
          </w:tcPr>
          <w:p w14:paraId="656240CC" w14:textId="77777777" w:rsidR="00E02FCD" w:rsidRPr="003067B9" w:rsidRDefault="00E02FCD" w:rsidP="006A6BEE">
            <w:pPr>
              <w:spacing w:before="0"/>
              <w:jc w:val="center"/>
              <w:rPr>
                <w:rFonts w:eastAsia="Calibri" w:cstheme="minorHAnsi"/>
                <w:bCs/>
                <w:szCs w:val="24"/>
                <w:lang w:val="en-NZ"/>
              </w:rPr>
            </w:pPr>
            <w:r w:rsidRPr="003067B9">
              <w:rPr>
                <w:rFonts w:eastAsia="Calibri" w:cstheme="minorHAnsi"/>
                <w:bCs/>
                <w:szCs w:val="24"/>
                <w:lang w:val="en-NZ"/>
              </w:rPr>
              <w:t>Status</w:t>
            </w:r>
          </w:p>
        </w:tc>
      </w:tr>
      <w:tr w:rsidR="00E02FCD" w:rsidRPr="00D4706E" w14:paraId="3279F2A1" w14:textId="77777777" w:rsidTr="00A547DD">
        <w:tc>
          <w:tcPr>
            <w:tcW w:w="7508" w:type="dxa"/>
            <w:shd w:val="clear" w:color="auto" w:fill="F6F4EC" w:themeFill="background1"/>
          </w:tcPr>
          <w:p w14:paraId="51318472" w14:textId="77777777" w:rsidR="00E02FCD" w:rsidRPr="003067B9" w:rsidRDefault="00E02FCD" w:rsidP="006A6BEE">
            <w:pPr>
              <w:spacing w:before="0" w:line="259" w:lineRule="auto"/>
              <w:rPr>
                <w:rFonts w:eastAsia="Calibri" w:cstheme="minorHAnsi"/>
                <w:color w:val="000000"/>
                <w:szCs w:val="24"/>
                <w:lang w:val="en-NZ" w:eastAsia="en-NZ"/>
              </w:rPr>
            </w:pPr>
            <w:r w:rsidRPr="003067B9">
              <w:rPr>
                <w:rFonts w:eastAsia="Calibri" w:cstheme="minorHAnsi"/>
                <w:color w:val="000000"/>
                <w:szCs w:val="24"/>
                <w:lang w:val="en-NZ" w:eastAsia="en-NZ"/>
              </w:rPr>
              <w:t>All costs across the business were mapped in 2022/23 to the new functional structure</w:t>
            </w:r>
          </w:p>
        </w:tc>
        <w:tc>
          <w:tcPr>
            <w:tcW w:w="2126" w:type="dxa"/>
          </w:tcPr>
          <w:p w14:paraId="73B2EEA4" w14:textId="77777777" w:rsidR="00E02FCD" w:rsidRPr="003067B9" w:rsidRDefault="00E02FCD" w:rsidP="006A6BEE">
            <w:pPr>
              <w:spacing w:before="0"/>
              <w:jc w:val="center"/>
              <w:rPr>
                <w:rFonts w:eastAsia="Calibri" w:cstheme="minorHAnsi"/>
                <w:b/>
                <w:bCs/>
                <w:szCs w:val="24"/>
                <w:lang w:val="en-NZ"/>
              </w:rPr>
            </w:pPr>
            <w:r w:rsidRPr="003067B9">
              <w:rPr>
                <w:rFonts w:ascii="Cambria Math" w:eastAsia="Calibri" w:hAnsi="Cambria Math" w:cs="Cambria Math"/>
                <w:color w:val="00B050"/>
                <w:szCs w:val="24"/>
                <w:shd w:val="clear" w:color="auto" w:fill="FFFFFF"/>
                <w:lang w:val="en-NZ"/>
              </w:rPr>
              <w:t>◉</w:t>
            </w:r>
          </w:p>
        </w:tc>
      </w:tr>
      <w:tr w:rsidR="00E02FCD" w:rsidRPr="00D4706E" w14:paraId="7B7BB1A1" w14:textId="77777777" w:rsidTr="00A547DD">
        <w:tc>
          <w:tcPr>
            <w:tcW w:w="7508" w:type="dxa"/>
            <w:shd w:val="clear" w:color="auto" w:fill="F6F4EC" w:themeFill="background1"/>
          </w:tcPr>
          <w:p w14:paraId="0B5DD771" w14:textId="77777777" w:rsidR="00E02FCD" w:rsidRPr="003067B9" w:rsidRDefault="00E02FCD" w:rsidP="006A6BEE">
            <w:pPr>
              <w:spacing w:before="0" w:line="259" w:lineRule="auto"/>
              <w:rPr>
                <w:rFonts w:eastAsia="Calibri" w:cstheme="minorHAnsi"/>
                <w:color w:val="000000"/>
                <w:szCs w:val="24"/>
                <w:lang w:val="en-NZ" w:eastAsia="en-NZ"/>
              </w:rPr>
            </w:pPr>
            <w:r w:rsidRPr="003067B9">
              <w:rPr>
                <w:rFonts w:eastAsia="Calibri" w:cstheme="minorHAnsi"/>
                <w:color w:val="000000"/>
                <w:szCs w:val="24"/>
                <w:lang w:val="en-NZ" w:eastAsia="en-NZ"/>
              </w:rPr>
              <w:t>The Mental Health ringfence for 2022/23 was confirmed with MoH in June 2023</w:t>
            </w:r>
          </w:p>
        </w:tc>
        <w:tc>
          <w:tcPr>
            <w:tcW w:w="2126" w:type="dxa"/>
          </w:tcPr>
          <w:p w14:paraId="2A1ED26F" w14:textId="77777777" w:rsidR="00E02FCD" w:rsidRPr="003067B9" w:rsidRDefault="00E02FCD" w:rsidP="006A6BEE">
            <w:pPr>
              <w:spacing w:before="0"/>
              <w:jc w:val="center"/>
              <w:rPr>
                <w:rFonts w:eastAsia="Calibri" w:cstheme="minorHAnsi"/>
                <w:b/>
                <w:bCs/>
                <w:szCs w:val="24"/>
                <w:lang w:val="en-NZ"/>
              </w:rPr>
            </w:pPr>
            <w:r w:rsidRPr="003067B9">
              <w:rPr>
                <w:rFonts w:ascii="Cambria Math" w:eastAsia="Calibri" w:hAnsi="Cambria Math" w:cs="Cambria Math"/>
                <w:color w:val="00B050"/>
                <w:szCs w:val="24"/>
                <w:shd w:val="clear" w:color="auto" w:fill="FFFFFF"/>
                <w:lang w:val="en-NZ"/>
              </w:rPr>
              <w:t>◉</w:t>
            </w:r>
          </w:p>
        </w:tc>
      </w:tr>
      <w:tr w:rsidR="00E02FCD" w:rsidRPr="00D4706E" w14:paraId="375912DD" w14:textId="77777777" w:rsidTr="00A547DD">
        <w:tc>
          <w:tcPr>
            <w:tcW w:w="7508" w:type="dxa"/>
            <w:shd w:val="clear" w:color="auto" w:fill="F6F4EC" w:themeFill="background1"/>
          </w:tcPr>
          <w:p w14:paraId="535A6E5D" w14:textId="77777777" w:rsidR="00E02FCD" w:rsidRPr="003067B9" w:rsidRDefault="00E02FCD" w:rsidP="006A6BEE">
            <w:pPr>
              <w:spacing w:before="0" w:line="259" w:lineRule="auto"/>
              <w:rPr>
                <w:rFonts w:eastAsia="Calibri" w:cstheme="minorHAnsi"/>
                <w:color w:val="000000"/>
                <w:szCs w:val="24"/>
                <w:lang w:val="en-NZ" w:eastAsia="en-NZ"/>
              </w:rPr>
            </w:pPr>
            <w:r w:rsidRPr="003067B9">
              <w:rPr>
                <w:rFonts w:eastAsia="Calibri" w:cstheme="minorHAnsi"/>
                <w:color w:val="000000"/>
                <w:szCs w:val="24"/>
                <w:lang w:val="en-NZ" w:eastAsia="en-NZ"/>
              </w:rPr>
              <w:t>Opening Balance Sheet was finalised in July and audit clearance provided</w:t>
            </w:r>
          </w:p>
        </w:tc>
        <w:tc>
          <w:tcPr>
            <w:tcW w:w="2126" w:type="dxa"/>
          </w:tcPr>
          <w:p w14:paraId="4F48CFCF" w14:textId="77777777" w:rsidR="00E02FCD" w:rsidRPr="003067B9" w:rsidRDefault="00E02FCD" w:rsidP="006A6BEE">
            <w:pPr>
              <w:spacing w:before="0"/>
              <w:jc w:val="center"/>
              <w:rPr>
                <w:rFonts w:eastAsia="Calibri" w:cstheme="minorHAnsi"/>
                <w:b/>
                <w:bCs/>
                <w:szCs w:val="24"/>
                <w:lang w:val="en-NZ"/>
              </w:rPr>
            </w:pPr>
            <w:r w:rsidRPr="003067B9">
              <w:rPr>
                <w:rFonts w:ascii="Cambria Math" w:eastAsia="Calibri" w:hAnsi="Cambria Math" w:cs="Cambria Math"/>
                <w:color w:val="00B050"/>
                <w:szCs w:val="24"/>
                <w:shd w:val="clear" w:color="auto" w:fill="FFFFFF"/>
                <w:lang w:val="en-NZ"/>
              </w:rPr>
              <w:t>◉</w:t>
            </w:r>
          </w:p>
        </w:tc>
      </w:tr>
      <w:tr w:rsidR="00E02FCD" w:rsidRPr="00D4706E" w14:paraId="7B87D806" w14:textId="77777777" w:rsidTr="00A547DD">
        <w:tc>
          <w:tcPr>
            <w:tcW w:w="7508" w:type="dxa"/>
            <w:shd w:val="clear" w:color="auto" w:fill="F6F4EC" w:themeFill="background1"/>
          </w:tcPr>
          <w:p w14:paraId="6F3579E1" w14:textId="77777777" w:rsidR="00E02FCD" w:rsidRPr="003067B9" w:rsidRDefault="00E02FCD" w:rsidP="006A6BEE">
            <w:pPr>
              <w:spacing w:before="0" w:line="259" w:lineRule="auto"/>
              <w:rPr>
                <w:rFonts w:eastAsia="Calibri" w:cstheme="minorHAnsi"/>
                <w:color w:val="000000"/>
                <w:szCs w:val="24"/>
                <w:lang w:val="en-NZ" w:eastAsia="en-NZ"/>
              </w:rPr>
            </w:pPr>
            <w:r w:rsidRPr="003067B9">
              <w:rPr>
                <w:rFonts w:eastAsia="Calibri" w:cstheme="minorHAnsi"/>
                <w:color w:val="000000"/>
                <w:szCs w:val="24"/>
                <w:lang w:val="en-NZ" w:eastAsia="en-NZ"/>
              </w:rPr>
              <w:t xml:space="preserve">Year-end Financial Statements were consolidated, audited and signed off by the Board, then Audit Clearance was provided by the 31 October 2023 deadline </w:t>
            </w:r>
          </w:p>
        </w:tc>
        <w:tc>
          <w:tcPr>
            <w:tcW w:w="2126" w:type="dxa"/>
          </w:tcPr>
          <w:p w14:paraId="7191A585" w14:textId="77777777" w:rsidR="00E02FCD" w:rsidRPr="003067B9" w:rsidRDefault="00E02FCD" w:rsidP="006A6BEE">
            <w:pPr>
              <w:spacing w:before="0"/>
              <w:jc w:val="center"/>
              <w:rPr>
                <w:rFonts w:eastAsia="Calibri" w:cstheme="minorHAnsi"/>
                <w:b/>
                <w:bCs/>
                <w:szCs w:val="24"/>
                <w:lang w:val="en-NZ"/>
              </w:rPr>
            </w:pPr>
            <w:r w:rsidRPr="003067B9">
              <w:rPr>
                <w:rFonts w:ascii="Cambria Math" w:eastAsia="Calibri" w:hAnsi="Cambria Math" w:cs="Cambria Math"/>
                <w:color w:val="00B050"/>
                <w:szCs w:val="24"/>
                <w:shd w:val="clear" w:color="auto" w:fill="FFFFFF"/>
                <w:lang w:val="en-NZ"/>
              </w:rPr>
              <w:t>◉</w:t>
            </w:r>
          </w:p>
        </w:tc>
      </w:tr>
      <w:tr w:rsidR="00E02FCD" w:rsidRPr="00D4706E" w14:paraId="018D76B0" w14:textId="77777777" w:rsidTr="00A547DD">
        <w:tc>
          <w:tcPr>
            <w:tcW w:w="7508" w:type="dxa"/>
            <w:shd w:val="clear" w:color="auto" w:fill="F6F4EC" w:themeFill="background1"/>
          </w:tcPr>
          <w:p w14:paraId="25774FFF" w14:textId="77777777" w:rsidR="00E02FCD" w:rsidRPr="003067B9" w:rsidRDefault="00E02FCD" w:rsidP="006A6BEE">
            <w:pPr>
              <w:spacing w:before="0" w:line="259" w:lineRule="auto"/>
              <w:rPr>
                <w:rFonts w:eastAsia="Calibri" w:cstheme="minorHAnsi"/>
                <w:color w:val="000000"/>
                <w:szCs w:val="24"/>
                <w:lang w:val="en-NZ" w:eastAsia="en-NZ"/>
              </w:rPr>
            </w:pPr>
            <w:r w:rsidRPr="003067B9">
              <w:rPr>
                <w:rFonts w:eastAsia="Calibri" w:cstheme="minorHAnsi"/>
                <w:color w:val="000000"/>
                <w:szCs w:val="24"/>
                <w:lang w:val="en-NZ" w:eastAsia="en-NZ"/>
              </w:rPr>
              <w:t>Quarterly CFIS reporting was delivered</w:t>
            </w:r>
          </w:p>
        </w:tc>
        <w:tc>
          <w:tcPr>
            <w:tcW w:w="2126" w:type="dxa"/>
          </w:tcPr>
          <w:p w14:paraId="6D44C02D" w14:textId="77777777" w:rsidR="00E02FCD" w:rsidRPr="003067B9" w:rsidRDefault="00E02FCD" w:rsidP="006A6BEE">
            <w:pPr>
              <w:spacing w:before="0"/>
              <w:jc w:val="center"/>
              <w:rPr>
                <w:rFonts w:eastAsia="Calibri" w:cstheme="minorHAnsi"/>
                <w:b/>
                <w:bCs/>
                <w:szCs w:val="24"/>
                <w:lang w:val="en-NZ"/>
              </w:rPr>
            </w:pPr>
            <w:r w:rsidRPr="003067B9">
              <w:rPr>
                <w:rFonts w:ascii="Cambria Math" w:eastAsia="Calibri" w:hAnsi="Cambria Math" w:cs="Cambria Math"/>
                <w:color w:val="00B050"/>
                <w:szCs w:val="24"/>
                <w:shd w:val="clear" w:color="auto" w:fill="FFFFFF"/>
                <w:lang w:val="en-NZ"/>
              </w:rPr>
              <w:t>◉</w:t>
            </w:r>
          </w:p>
        </w:tc>
      </w:tr>
    </w:tbl>
    <w:p w14:paraId="2B0EE6A0" w14:textId="77777777" w:rsidR="00E02FCD" w:rsidRPr="00D4706E" w:rsidRDefault="00E02FCD" w:rsidP="006A6BEE">
      <w:pPr>
        <w:pStyle w:val="Heading4"/>
      </w:pPr>
    </w:p>
    <w:p w14:paraId="75B253CD" w14:textId="77777777" w:rsidR="00E02FCD" w:rsidRPr="003067B9" w:rsidRDefault="00E02FCD" w:rsidP="006A6BEE">
      <w:pPr>
        <w:rPr>
          <w:b/>
          <w:lang w:val="en-NZ"/>
        </w:rPr>
      </w:pPr>
      <w:r w:rsidRPr="003067B9">
        <w:rPr>
          <w:lang w:val="en-NZ"/>
        </w:rPr>
        <w:br w:type="page"/>
      </w:r>
    </w:p>
    <w:p w14:paraId="5545D658" w14:textId="77777777" w:rsidR="00E02FCD" w:rsidRPr="00D4706E" w:rsidRDefault="00E02FCD" w:rsidP="00A547DD">
      <w:pPr>
        <w:pStyle w:val="Heading2"/>
        <w:rPr>
          <w:color w:val="15284C"/>
        </w:rPr>
      </w:pPr>
      <w:bookmarkStart w:id="109" w:name="_Toc170199191"/>
      <w:r w:rsidRPr="00D4706E">
        <w:rPr>
          <w:color w:val="15284C"/>
        </w:rPr>
        <w:lastRenderedPageBreak/>
        <w:t>Appropriation and Output Class Reporting</w:t>
      </w:r>
      <w:bookmarkEnd w:id="109"/>
      <w:r w:rsidRPr="00D4706E">
        <w:rPr>
          <w:color w:val="15284C"/>
        </w:rPr>
        <w:t xml:space="preserve"> </w:t>
      </w:r>
    </w:p>
    <w:p w14:paraId="733CE1BB" w14:textId="77777777" w:rsidR="00E02FCD" w:rsidRPr="00D4706E" w:rsidRDefault="00E02FCD" w:rsidP="00A547DD">
      <w:pPr>
        <w:pStyle w:val="Heading3"/>
      </w:pPr>
      <w:r w:rsidRPr="00D4706E">
        <w:t>Summary: Output Class Expenditure YTD to 31 March 2024</w:t>
      </w:r>
    </w:p>
    <w:tbl>
      <w:tblPr>
        <w:tblW w:w="5000" w:type="pct"/>
        <w:tblCellMar>
          <w:left w:w="0" w:type="dxa"/>
          <w:right w:w="0" w:type="dxa"/>
        </w:tblCellMar>
        <w:tblLook w:val="04A0" w:firstRow="1" w:lastRow="0" w:firstColumn="1" w:lastColumn="0" w:noHBand="0" w:noVBand="1"/>
      </w:tblPr>
      <w:tblGrid>
        <w:gridCol w:w="3723"/>
        <w:gridCol w:w="1723"/>
        <w:gridCol w:w="1723"/>
        <w:gridCol w:w="2454"/>
      </w:tblGrid>
      <w:tr w:rsidR="00E02FCD" w:rsidRPr="00D4706E" w14:paraId="6AB7D991" w14:textId="77777777" w:rsidTr="00A547DD">
        <w:trPr>
          <w:trHeight w:val="432"/>
        </w:trPr>
        <w:tc>
          <w:tcPr>
            <w:tcW w:w="1934" w:type="pct"/>
            <w:tcBorders>
              <w:top w:val="single" w:sz="4" w:space="0" w:color="auto"/>
              <w:left w:val="single" w:sz="4" w:space="0" w:color="auto"/>
              <w:bottom w:val="single" w:sz="4" w:space="0" w:color="auto"/>
              <w:right w:val="single" w:sz="4" w:space="0" w:color="auto"/>
            </w:tcBorders>
            <w:shd w:val="clear" w:color="auto" w:fill="15284C" w:themeFill="text1"/>
            <w:tcMar>
              <w:top w:w="0" w:type="dxa"/>
              <w:left w:w="108" w:type="dxa"/>
              <w:bottom w:w="0" w:type="dxa"/>
              <w:right w:w="108" w:type="dxa"/>
            </w:tcMar>
            <w:vAlign w:val="center"/>
            <w:hideMark/>
          </w:tcPr>
          <w:p w14:paraId="01ACB521" w14:textId="77777777" w:rsidR="00E02FCD" w:rsidRPr="003067B9" w:rsidRDefault="00E02FCD" w:rsidP="006A6BEE">
            <w:pPr>
              <w:jc w:val="center"/>
              <w:rPr>
                <w:b/>
                <w:bCs/>
                <w:color w:val="FFFFFF" w:themeColor="accent6"/>
                <w:szCs w:val="24"/>
                <w:lang w:val="en-NZ" w:eastAsia="en-NZ"/>
              </w:rPr>
            </w:pPr>
            <w:r w:rsidRPr="003067B9">
              <w:rPr>
                <w:b/>
                <w:bCs/>
                <w:color w:val="FFFFFF" w:themeColor="accent6"/>
                <w:szCs w:val="24"/>
                <w:lang w:val="en-NZ" w:eastAsia="en-NZ"/>
              </w:rPr>
              <w:t>Output Class Expenditure (in $ million)</w:t>
            </w:r>
          </w:p>
        </w:tc>
        <w:tc>
          <w:tcPr>
            <w:tcW w:w="895" w:type="pct"/>
            <w:tcBorders>
              <w:top w:val="single" w:sz="4" w:space="0" w:color="auto"/>
              <w:left w:val="single" w:sz="4" w:space="0" w:color="auto"/>
              <w:bottom w:val="single" w:sz="4" w:space="0" w:color="auto"/>
              <w:right w:val="single" w:sz="4" w:space="0" w:color="auto"/>
            </w:tcBorders>
            <w:shd w:val="clear" w:color="auto" w:fill="15284C" w:themeFill="text1"/>
            <w:tcMar>
              <w:top w:w="0" w:type="dxa"/>
              <w:left w:w="108" w:type="dxa"/>
              <w:bottom w:w="0" w:type="dxa"/>
              <w:right w:w="108" w:type="dxa"/>
            </w:tcMar>
            <w:vAlign w:val="center"/>
            <w:hideMark/>
          </w:tcPr>
          <w:p w14:paraId="59AD5F92" w14:textId="77777777" w:rsidR="00E02FCD" w:rsidRPr="003067B9" w:rsidRDefault="00E02FCD" w:rsidP="006A6BEE">
            <w:pPr>
              <w:jc w:val="center"/>
              <w:rPr>
                <w:b/>
                <w:bCs/>
                <w:color w:val="FFFFFF" w:themeColor="accent6"/>
                <w:szCs w:val="24"/>
                <w:lang w:val="en-NZ" w:eastAsia="en-NZ"/>
              </w:rPr>
            </w:pPr>
            <w:r w:rsidRPr="003067B9">
              <w:rPr>
                <w:b/>
                <w:bCs/>
                <w:color w:val="FFFFFF" w:themeColor="accent6"/>
                <w:szCs w:val="24"/>
                <w:lang w:val="en-NZ" w:eastAsia="en-NZ"/>
              </w:rPr>
              <w:t>2023/24 Actual</w:t>
            </w:r>
          </w:p>
        </w:tc>
        <w:tc>
          <w:tcPr>
            <w:tcW w:w="895" w:type="pct"/>
            <w:tcBorders>
              <w:top w:val="single" w:sz="8" w:space="0" w:color="auto"/>
              <w:left w:val="single" w:sz="4" w:space="0" w:color="auto"/>
              <w:bottom w:val="single" w:sz="8" w:space="0" w:color="auto"/>
              <w:right w:val="single" w:sz="8" w:space="0" w:color="auto"/>
            </w:tcBorders>
            <w:shd w:val="clear" w:color="auto" w:fill="15284C" w:themeFill="text1"/>
            <w:tcMar>
              <w:top w:w="0" w:type="dxa"/>
              <w:left w:w="108" w:type="dxa"/>
              <w:bottom w:w="0" w:type="dxa"/>
              <w:right w:w="108" w:type="dxa"/>
            </w:tcMar>
            <w:vAlign w:val="center"/>
            <w:hideMark/>
          </w:tcPr>
          <w:p w14:paraId="6B3840CD" w14:textId="77777777" w:rsidR="00E02FCD" w:rsidRPr="003067B9" w:rsidRDefault="00E02FCD" w:rsidP="006A6BEE">
            <w:pPr>
              <w:jc w:val="center"/>
              <w:rPr>
                <w:b/>
                <w:bCs/>
                <w:color w:val="FFFFFF" w:themeColor="accent6"/>
                <w:szCs w:val="24"/>
                <w:lang w:val="en-NZ" w:eastAsia="en-NZ"/>
              </w:rPr>
            </w:pPr>
            <w:r w:rsidRPr="003067B9">
              <w:rPr>
                <w:b/>
                <w:bCs/>
                <w:color w:val="FFFFFF" w:themeColor="accent6"/>
                <w:szCs w:val="24"/>
                <w:lang w:val="en-NZ" w:eastAsia="en-NZ"/>
              </w:rPr>
              <w:t>2023/24 Budget</w:t>
            </w:r>
          </w:p>
        </w:tc>
        <w:tc>
          <w:tcPr>
            <w:tcW w:w="1275" w:type="pct"/>
            <w:tcBorders>
              <w:top w:val="single" w:sz="8" w:space="0" w:color="auto"/>
              <w:left w:val="nil"/>
              <w:bottom w:val="single" w:sz="8" w:space="0" w:color="auto"/>
              <w:right w:val="single" w:sz="8" w:space="0" w:color="auto"/>
            </w:tcBorders>
            <w:shd w:val="clear" w:color="auto" w:fill="15284C" w:themeFill="text1"/>
            <w:tcMar>
              <w:top w:w="0" w:type="dxa"/>
              <w:left w:w="108" w:type="dxa"/>
              <w:bottom w:w="0" w:type="dxa"/>
              <w:right w:w="108" w:type="dxa"/>
            </w:tcMar>
            <w:vAlign w:val="center"/>
            <w:hideMark/>
          </w:tcPr>
          <w:p w14:paraId="681AE45E" w14:textId="77777777" w:rsidR="00E02FCD" w:rsidRPr="003067B9" w:rsidRDefault="00E02FCD" w:rsidP="006A6BEE">
            <w:pPr>
              <w:jc w:val="center"/>
              <w:rPr>
                <w:b/>
                <w:bCs/>
                <w:color w:val="FFFFFF" w:themeColor="accent6"/>
                <w:szCs w:val="24"/>
                <w:lang w:val="en-NZ" w:eastAsia="en-NZ"/>
              </w:rPr>
            </w:pPr>
            <w:r w:rsidRPr="003067B9">
              <w:rPr>
                <w:b/>
                <w:bCs/>
                <w:color w:val="FFFFFF" w:themeColor="accent6"/>
                <w:szCs w:val="24"/>
                <w:lang w:val="en-NZ" w:eastAsia="en-NZ"/>
              </w:rPr>
              <w:t>2023/24 Variance</w:t>
            </w:r>
          </w:p>
        </w:tc>
      </w:tr>
      <w:tr w:rsidR="00E02FCD" w:rsidRPr="00D4706E" w14:paraId="036B7749" w14:textId="77777777" w:rsidTr="00A547DD">
        <w:trPr>
          <w:trHeight w:val="432"/>
        </w:trPr>
        <w:tc>
          <w:tcPr>
            <w:tcW w:w="1934" w:type="pct"/>
            <w:tcBorders>
              <w:top w:val="single" w:sz="4" w:space="0" w:color="auto"/>
              <w:left w:val="single" w:sz="4" w:space="0" w:color="auto"/>
              <w:bottom w:val="single" w:sz="4" w:space="0" w:color="auto"/>
              <w:right w:val="single" w:sz="4" w:space="0" w:color="auto"/>
            </w:tcBorders>
            <w:shd w:val="clear" w:color="auto" w:fill="F6F4EC"/>
            <w:tcMar>
              <w:top w:w="0" w:type="dxa"/>
              <w:left w:w="108" w:type="dxa"/>
              <w:bottom w:w="0" w:type="dxa"/>
              <w:right w:w="108" w:type="dxa"/>
            </w:tcMar>
            <w:vAlign w:val="center"/>
            <w:hideMark/>
          </w:tcPr>
          <w:p w14:paraId="2A226D56" w14:textId="77777777" w:rsidR="00E02FCD" w:rsidRPr="003067B9" w:rsidRDefault="00E02FCD" w:rsidP="006A6BEE">
            <w:pPr>
              <w:jc w:val="center"/>
              <w:rPr>
                <w:color w:val="000000"/>
                <w:szCs w:val="24"/>
                <w:lang w:val="en-NZ" w:eastAsia="en-NZ"/>
              </w:rPr>
            </w:pPr>
            <w:r w:rsidRPr="003067B9">
              <w:rPr>
                <w:color w:val="000000"/>
                <w:szCs w:val="24"/>
                <w:lang w:val="en-NZ" w:eastAsia="en-NZ"/>
              </w:rPr>
              <w:t>Hospital &amp; Specialist Services</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C95809" w14:textId="77777777" w:rsidR="00E02FCD" w:rsidRPr="003067B9" w:rsidRDefault="00E02FCD" w:rsidP="006A6BEE">
            <w:pPr>
              <w:jc w:val="center"/>
              <w:rPr>
                <w:color w:val="000000"/>
                <w:szCs w:val="24"/>
                <w:lang w:val="en-NZ" w:eastAsia="en-NZ"/>
              </w:rPr>
            </w:pPr>
            <w:r w:rsidRPr="003067B9">
              <w:rPr>
                <w:color w:val="000000"/>
                <w:szCs w:val="24"/>
                <w:lang w:val="en-NZ" w:eastAsia="en-NZ"/>
              </w:rPr>
              <w:t>11,439</w:t>
            </w:r>
          </w:p>
        </w:tc>
        <w:tc>
          <w:tcPr>
            <w:tcW w:w="89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842F1F1" w14:textId="77777777" w:rsidR="00E02FCD" w:rsidRPr="003067B9" w:rsidRDefault="00E02FCD" w:rsidP="006A6BEE">
            <w:pPr>
              <w:jc w:val="center"/>
              <w:rPr>
                <w:color w:val="000000"/>
                <w:szCs w:val="24"/>
                <w:lang w:val="en-NZ" w:eastAsia="en-NZ"/>
              </w:rPr>
            </w:pPr>
            <w:r w:rsidRPr="003067B9">
              <w:rPr>
                <w:color w:val="000000"/>
                <w:szCs w:val="24"/>
                <w:lang w:val="en-NZ" w:eastAsia="en-NZ"/>
              </w:rPr>
              <w:t>10,722</w:t>
            </w:r>
          </w:p>
        </w:tc>
        <w:tc>
          <w:tcPr>
            <w:tcW w:w="12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486585" w14:textId="77777777" w:rsidR="00E02FCD" w:rsidRPr="003067B9" w:rsidRDefault="00E02FCD" w:rsidP="006A6BEE">
            <w:pPr>
              <w:jc w:val="center"/>
              <w:rPr>
                <w:color w:val="000000"/>
                <w:szCs w:val="24"/>
                <w:lang w:val="en-NZ" w:eastAsia="en-NZ"/>
              </w:rPr>
            </w:pPr>
            <w:r w:rsidRPr="003067B9">
              <w:rPr>
                <w:color w:val="000000"/>
                <w:szCs w:val="24"/>
                <w:lang w:val="en-NZ" w:eastAsia="en-NZ"/>
              </w:rPr>
              <w:t>(717)</w:t>
            </w:r>
          </w:p>
        </w:tc>
      </w:tr>
      <w:tr w:rsidR="00E02FCD" w:rsidRPr="00D4706E" w14:paraId="6407F65F" w14:textId="77777777" w:rsidTr="00A547DD">
        <w:trPr>
          <w:trHeight w:val="432"/>
        </w:trPr>
        <w:tc>
          <w:tcPr>
            <w:tcW w:w="1934" w:type="pct"/>
            <w:tcBorders>
              <w:top w:val="single" w:sz="4" w:space="0" w:color="auto"/>
              <w:left w:val="single" w:sz="4" w:space="0" w:color="auto"/>
              <w:bottom w:val="single" w:sz="4" w:space="0" w:color="auto"/>
              <w:right w:val="single" w:sz="4" w:space="0" w:color="auto"/>
            </w:tcBorders>
            <w:shd w:val="clear" w:color="auto" w:fill="F6F4EC"/>
            <w:tcMar>
              <w:top w:w="0" w:type="dxa"/>
              <w:left w:w="108" w:type="dxa"/>
              <w:bottom w:w="0" w:type="dxa"/>
              <w:right w:w="108" w:type="dxa"/>
            </w:tcMar>
            <w:vAlign w:val="center"/>
            <w:hideMark/>
          </w:tcPr>
          <w:p w14:paraId="4CCBE870" w14:textId="77777777" w:rsidR="00E02FCD" w:rsidRPr="003067B9" w:rsidRDefault="00E02FCD" w:rsidP="006A6BEE">
            <w:pPr>
              <w:jc w:val="center"/>
              <w:rPr>
                <w:color w:val="000000"/>
                <w:szCs w:val="24"/>
                <w:lang w:val="en-NZ" w:eastAsia="en-NZ"/>
              </w:rPr>
            </w:pPr>
            <w:r w:rsidRPr="003067B9">
              <w:rPr>
                <w:color w:val="000000"/>
                <w:szCs w:val="24"/>
                <w:lang w:val="en-NZ" w:eastAsia="en-NZ"/>
              </w:rPr>
              <w:t>Mental Health &amp; Addictions</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A0DE03" w14:textId="77777777" w:rsidR="00E02FCD" w:rsidRPr="003067B9" w:rsidRDefault="00E02FCD" w:rsidP="006A6BEE">
            <w:pPr>
              <w:jc w:val="center"/>
              <w:rPr>
                <w:color w:val="000000"/>
                <w:szCs w:val="24"/>
                <w:lang w:val="en-NZ" w:eastAsia="en-NZ"/>
              </w:rPr>
            </w:pPr>
            <w:r w:rsidRPr="003067B9">
              <w:rPr>
                <w:color w:val="000000"/>
                <w:szCs w:val="24"/>
                <w:lang w:val="en-NZ" w:eastAsia="en-NZ"/>
              </w:rPr>
              <w:t>1,700</w:t>
            </w:r>
          </w:p>
        </w:tc>
        <w:tc>
          <w:tcPr>
            <w:tcW w:w="89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7720450" w14:textId="77777777" w:rsidR="00E02FCD" w:rsidRPr="003067B9" w:rsidRDefault="00E02FCD" w:rsidP="006A6BEE">
            <w:pPr>
              <w:jc w:val="center"/>
              <w:rPr>
                <w:color w:val="000000"/>
                <w:szCs w:val="24"/>
                <w:lang w:val="en-NZ" w:eastAsia="en-NZ"/>
              </w:rPr>
            </w:pPr>
            <w:r w:rsidRPr="003067B9">
              <w:rPr>
                <w:color w:val="000000"/>
                <w:szCs w:val="24"/>
                <w:lang w:val="en-NZ" w:eastAsia="en-NZ"/>
              </w:rPr>
              <w:t>1,676</w:t>
            </w:r>
          </w:p>
        </w:tc>
        <w:tc>
          <w:tcPr>
            <w:tcW w:w="12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C4820" w14:textId="77777777" w:rsidR="00E02FCD" w:rsidRPr="003067B9" w:rsidRDefault="00E02FCD" w:rsidP="006A6BEE">
            <w:pPr>
              <w:jc w:val="center"/>
              <w:rPr>
                <w:color w:val="000000"/>
                <w:szCs w:val="24"/>
                <w:lang w:val="en-NZ" w:eastAsia="en-NZ"/>
              </w:rPr>
            </w:pPr>
            <w:r w:rsidRPr="003067B9">
              <w:rPr>
                <w:color w:val="000000"/>
                <w:szCs w:val="24"/>
                <w:lang w:val="en-NZ" w:eastAsia="en-NZ"/>
              </w:rPr>
              <w:t>(23)</w:t>
            </w:r>
          </w:p>
        </w:tc>
      </w:tr>
      <w:tr w:rsidR="00E02FCD" w:rsidRPr="00D4706E" w14:paraId="0218FA55" w14:textId="77777777" w:rsidTr="00A547DD">
        <w:trPr>
          <w:trHeight w:val="432"/>
        </w:trPr>
        <w:tc>
          <w:tcPr>
            <w:tcW w:w="1934" w:type="pct"/>
            <w:tcBorders>
              <w:top w:val="single" w:sz="4" w:space="0" w:color="auto"/>
              <w:left w:val="single" w:sz="4" w:space="0" w:color="auto"/>
              <w:bottom w:val="single" w:sz="4" w:space="0" w:color="auto"/>
              <w:right w:val="single" w:sz="4" w:space="0" w:color="auto"/>
            </w:tcBorders>
            <w:shd w:val="clear" w:color="auto" w:fill="F6F4EC"/>
            <w:tcMar>
              <w:top w:w="0" w:type="dxa"/>
              <w:left w:w="108" w:type="dxa"/>
              <w:bottom w:w="0" w:type="dxa"/>
              <w:right w:w="108" w:type="dxa"/>
            </w:tcMar>
            <w:vAlign w:val="center"/>
            <w:hideMark/>
          </w:tcPr>
          <w:p w14:paraId="2083995E" w14:textId="77777777" w:rsidR="00E02FCD" w:rsidRPr="003067B9" w:rsidRDefault="00E02FCD" w:rsidP="006A6BEE">
            <w:pPr>
              <w:jc w:val="center"/>
              <w:rPr>
                <w:color w:val="000000"/>
                <w:szCs w:val="24"/>
                <w:lang w:val="en-NZ" w:eastAsia="en-NZ"/>
              </w:rPr>
            </w:pPr>
            <w:r w:rsidRPr="003067B9">
              <w:rPr>
                <w:color w:val="000000"/>
                <w:szCs w:val="24"/>
                <w:lang w:val="en-NZ" w:eastAsia="en-NZ"/>
              </w:rPr>
              <w:t>Primary &amp; Community Services</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9F727A" w14:textId="77777777" w:rsidR="00E02FCD" w:rsidRPr="003067B9" w:rsidRDefault="00E02FCD" w:rsidP="006A6BEE">
            <w:pPr>
              <w:jc w:val="center"/>
              <w:rPr>
                <w:color w:val="000000"/>
                <w:szCs w:val="24"/>
                <w:lang w:val="en-NZ" w:eastAsia="en-NZ"/>
              </w:rPr>
            </w:pPr>
            <w:r w:rsidRPr="003067B9">
              <w:rPr>
                <w:color w:val="000000"/>
                <w:szCs w:val="24"/>
                <w:lang w:val="en-NZ" w:eastAsia="en-NZ"/>
              </w:rPr>
              <w:t>6,216</w:t>
            </w:r>
          </w:p>
        </w:tc>
        <w:tc>
          <w:tcPr>
            <w:tcW w:w="89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6F7AF87" w14:textId="77777777" w:rsidR="00E02FCD" w:rsidRPr="003067B9" w:rsidRDefault="00E02FCD" w:rsidP="006A6BEE">
            <w:pPr>
              <w:jc w:val="center"/>
              <w:rPr>
                <w:color w:val="000000"/>
                <w:szCs w:val="24"/>
                <w:lang w:val="en-NZ" w:eastAsia="en-NZ"/>
              </w:rPr>
            </w:pPr>
            <w:r w:rsidRPr="003067B9">
              <w:rPr>
                <w:color w:val="000000"/>
                <w:szCs w:val="24"/>
                <w:lang w:val="en-NZ" w:eastAsia="en-NZ"/>
              </w:rPr>
              <w:t>6,751</w:t>
            </w:r>
          </w:p>
        </w:tc>
        <w:tc>
          <w:tcPr>
            <w:tcW w:w="12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15959A" w14:textId="77777777" w:rsidR="00E02FCD" w:rsidRPr="003067B9" w:rsidRDefault="00E02FCD" w:rsidP="006A6BEE">
            <w:pPr>
              <w:jc w:val="center"/>
              <w:rPr>
                <w:color w:val="000000"/>
                <w:szCs w:val="24"/>
                <w:lang w:val="en-NZ" w:eastAsia="en-NZ"/>
              </w:rPr>
            </w:pPr>
            <w:r w:rsidRPr="003067B9">
              <w:rPr>
                <w:color w:val="000000"/>
                <w:szCs w:val="24"/>
                <w:lang w:val="en-NZ" w:eastAsia="en-NZ"/>
              </w:rPr>
              <w:t>535</w:t>
            </w:r>
          </w:p>
        </w:tc>
      </w:tr>
      <w:tr w:rsidR="00E02FCD" w:rsidRPr="00D4706E" w14:paraId="546BE410" w14:textId="77777777" w:rsidTr="00A547DD">
        <w:trPr>
          <w:trHeight w:val="432"/>
        </w:trPr>
        <w:tc>
          <w:tcPr>
            <w:tcW w:w="1934" w:type="pct"/>
            <w:tcBorders>
              <w:top w:val="single" w:sz="4" w:space="0" w:color="auto"/>
              <w:left w:val="single" w:sz="4" w:space="0" w:color="auto"/>
              <w:bottom w:val="single" w:sz="4" w:space="0" w:color="auto"/>
              <w:right w:val="single" w:sz="4" w:space="0" w:color="auto"/>
            </w:tcBorders>
            <w:shd w:val="clear" w:color="auto" w:fill="F6F4EC"/>
            <w:tcMar>
              <w:top w:w="0" w:type="dxa"/>
              <w:left w:w="108" w:type="dxa"/>
              <w:bottom w:w="0" w:type="dxa"/>
              <w:right w:w="108" w:type="dxa"/>
            </w:tcMar>
            <w:vAlign w:val="center"/>
            <w:hideMark/>
          </w:tcPr>
          <w:p w14:paraId="13484A00" w14:textId="77777777" w:rsidR="00E02FCD" w:rsidRPr="003067B9" w:rsidRDefault="00E02FCD" w:rsidP="006A6BEE">
            <w:pPr>
              <w:jc w:val="center"/>
              <w:rPr>
                <w:color w:val="000000"/>
                <w:szCs w:val="24"/>
                <w:lang w:val="en-NZ" w:eastAsia="en-NZ"/>
              </w:rPr>
            </w:pPr>
            <w:r w:rsidRPr="003067B9">
              <w:rPr>
                <w:color w:val="000000"/>
                <w:szCs w:val="24"/>
                <w:lang w:val="en-NZ" w:eastAsia="en-NZ"/>
              </w:rPr>
              <w:t>Public Health</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4BA18A" w14:textId="77777777" w:rsidR="00E02FCD" w:rsidRPr="003067B9" w:rsidRDefault="00E02FCD" w:rsidP="006A6BEE">
            <w:pPr>
              <w:jc w:val="center"/>
              <w:rPr>
                <w:color w:val="000000"/>
                <w:szCs w:val="24"/>
                <w:lang w:val="en-NZ" w:eastAsia="en-NZ"/>
              </w:rPr>
            </w:pPr>
            <w:r w:rsidRPr="003067B9">
              <w:rPr>
                <w:color w:val="000000"/>
                <w:szCs w:val="24"/>
                <w:lang w:val="en-NZ" w:eastAsia="en-NZ"/>
              </w:rPr>
              <w:t>482</w:t>
            </w:r>
          </w:p>
        </w:tc>
        <w:tc>
          <w:tcPr>
            <w:tcW w:w="89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0B811D2D" w14:textId="77777777" w:rsidR="00E02FCD" w:rsidRPr="003067B9" w:rsidRDefault="00E02FCD" w:rsidP="006A6BEE">
            <w:pPr>
              <w:jc w:val="center"/>
              <w:rPr>
                <w:color w:val="000000"/>
                <w:szCs w:val="24"/>
                <w:lang w:val="en-NZ" w:eastAsia="en-NZ"/>
              </w:rPr>
            </w:pPr>
            <w:r w:rsidRPr="003067B9">
              <w:rPr>
                <w:color w:val="000000"/>
                <w:szCs w:val="24"/>
                <w:lang w:val="en-NZ" w:eastAsia="en-NZ"/>
              </w:rPr>
              <w:t>365</w:t>
            </w:r>
          </w:p>
        </w:tc>
        <w:tc>
          <w:tcPr>
            <w:tcW w:w="12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490C5B" w14:textId="77777777" w:rsidR="00E02FCD" w:rsidRPr="003067B9" w:rsidRDefault="00E02FCD" w:rsidP="006A6BEE">
            <w:pPr>
              <w:jc w:val="center"/>
              <w:rPr>
                <w:color w:val="000000"/>
                <w:szCs w:val="24"/>
                <w:lang w:val="en-NZ" w:eastAsia="en-NZ"/>
              </w:rPr>
            </w:pPr>
            <w:r w:rsidRPr="003067B9">
              <w:rPr>
                <w:color w:val="000000"/>
                <w:szCs w:val="24"/>
                <w:lang w:val="en-NZ" w:eastAsia="en-NZ"/>
              </w:rPr>
              <w:t>(118)</w:t>
            </w:r>
          </w:p>
        </w:tc>
      </w:tr>
      <w:tr w:rsidR="00E02FCD" w:rsidRPr="00D4706E" w14:paraId="2E559AFF" w14:textId="77777777" w:rsidTr="00A547DD">
        <w:trPr>
          <w:trHeight w:val="432"/>
        </w:trPr>
        <w:tc>
          <w:tcPr>
            <w:tcW w:w="1934" w:type="pct"/>
            <w:tcBorders>
              <w:top w:val="single" w:sz="4" w:space="0" w:color="auto"/>
              <w:left w:val="single" w:sz="4" w:space="0" w:color="auto"/>
              <w:bottom w:val="single" w:sz="4" w:space="0" w:color="auto"/>
              <w:right w:val="single" w:sz="4" w:space="0" w:color="auto"/>
            </w:tcBorders>
            <w:shd w:val="clear" w:color="auto" w:fill="F6F4EC"/>
            <w:tcMar>
              <w:top w:w="0" w:type="dxa"/>
              <w:left w:w="108" w:type="dxa"/>
              <w:bottom w:w="0" w:type="dxa"/>
              <w:right w:w="108" w:type="dxa"/>
            </w:tcMar>
            <w:vAlign w:val="center"/>
            <w:hideMark/>
          </w:tcPr>
          <w:p w14:paraId="4A190DF5" w14:textId="77777777" w:rsidR="00E02FCD" w:rsidRPr="003067B9" w:rsidRDefault="00E02FCD" w:rsidP="006A6BEE">
            <w:pPr>
              <w:jc w:val="center"/>
              <w:rPr>
                <w:color w:val="000000"/>
                <w:szCs w:val="24"/>
                <w:lang w:val="en-NZ" w:eastAsia="en-NZ"/>
              </w:rPr>
            </w:pPr>
            <w:r w:rsidRPr="003067B9">
              <w:rPr>
                <w:color w:val="000000"/>
                <w:szCs w:val="24"/>
                <w:lang w:val="en-NZ" w:eastAsia="en-NZ"/>
              </w:rPr>
              <w:t>COVID-19</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39492B" w14:textId="77777777" w:rsidR="00E02FCD" w:rsidRPr="003067B9" w:rsidRDefault="00E02FCD" w:rsidP="006A6BEE">
            <w:pPr>
              <w:jc w:val="center"/>
              <w:rPr>
                <w:color w:val="000000"/>
                <w:szCs w:val="24"/>
                <w:lang w:val="en-NZ" w:eastAsia="en-NZ"/>
              </w:rPr>
            </w:pPr>
            <w:r w:rsidRPr="003067B9">
              <w:rPr>
                <w:color w:val="000000"/>
                <w:szCs w:val="24"/>
                <w:lang w:val="en-NZ" w:eastAsia="en-NZ"/>
              </w:rPr>
              <w:t>127</w:t>
            </w:r>
          </w:p>
        </w:tc>
        <w:tc>
          <w:tcPr>
            <w:tcW w:w="89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36B8D64E" w14:textId="77777777" w:rsidR="00E02FCD" w:rsidRPr="003067B9" w:rsidRDefault="00E02FCD" w:rsidP="006A6BEE">
            <w:pPr>
              <w:jc w:val="center"/>
              <w:rPr>
                <w:color w:val="000000"/>
                <w:szCs w:val="24"/>
                <w:lang w:val="en-NZ" w:eastAsia="en-NZ"/>
              </w:rPr>
            </w:pPr>
            <w:r w:rsidRPr="003067B9">
              <w:rPr>
                <w:color w:val="000000"/>
                <w:szCs w:val="24"/>
                <w:lang w:val="en-NZ" w:eastAsia="en-NZ"/>
              </w:rPr>
              <w:t>221</w:t>
            </w:r>
          </w:p>
        </w:tc>
        <w:tc>
          <w:tcPr>
            <w:tcW w:w="12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024673" w14:textId="77777777" w:rsidR="00E02FCD" w:rsidRPr="003067B9" w:rsidRDefault="00E02FCD" w:rsidP="006A6BEE">
            <w:pPr>
              <w:jc w:val="center"/>
              <w:rPr>
                <w:color w:val="000000"/>
                <w:szCs w:val="24"/>
                <w:lang w:val="en-NZ" w:eastAsia="en-NZ"/>
              </w:rPr>
            </w:pPr>
            <w:r w:rsidRPr="003067B9">
              <w:rPr>
                <w:color w:val="000000"/>
                <w:szCs w:val="24"/>
                <w:lang w:val="en-NZ" w:eastAsia="en-NZ"/>
              </w:rPr>
              <w:t>94</w:t>
            </w:r>
          </w:p>
        </w:tc>
      </w:tr>
      <w:tr w:rsidR="00E02FCD" w:rsidRPr="00D4706E" w14:paraId="65D53874" w14:textId="77777777" w:rsidTr="00A547DD">
        <w:trPr>
          <w:trHeight w:val="432"/>
        </w:trPr>
        <w:tc>
          <w:tcPr>
            <w:tcW w:w="1934" w:type="pct"/>
            <w:tcBorders>
              <w:top w:val="single" w:sz="4" w:space="0" w:color="auto"/>
              <w:left w:val="single" w:sz="4" w:space="0" w:color="auto"/>
              <w:bottom w:val="single" w:sz="4" w:space="0" w:color="auto"/>
              <w:right w:val="single" w:sz="4" w:space="0" w:color="auto"/>
            </w:tcBorders>
            <w:shd w:val="clear" w:color="auto" w:fill="F6F4EC"/>
            <w:tcMar>
              <w:top w:w="0" w:type="dxa"/>
              <w:left w:w="108" w:type="dxa"/>
              <w:bottom w:w="0" w:type="dxa"/>
              <w:right w:w="108" w:type="dxa"/>
            </w:tcMar>
            <w:vAlign w:val="center"/>
            <w:hideMark/>
          </w:tcPr>
          <w:p w14:paraId="2527EDCC" w14:textId="77777777" w:rsidR="00E02FCD" w:rsidRPr="003067B9" w:rsidRDefault="00E02FCD" w:rsidP="006A6BEE">
            <w:pPr>
              <w:jc w:val="center"/>
              <w:rPr>
                <w:b/>
                <w:bCs/>
                <w:color w:val="000000"/>
                <w:szCs w:val="24"/>
                <w:lang w:val="en-NZ" w:eastAsia="en-NZ"/>
              </w:rPr>
            </w:pPr>
            <w:r w:rsidRPr="003067B9">
              <w:rPr>
                <w:b/>
                <w:bCs/>
                <w:color w:val="000000"/>
                <w:szCs w:val="24"/>
                <w:lang w:val="en-NZ" w:eastAsia="en-NZ"/>
              </w:rPr>
              <w:t>Total</w:t>
            </w:r>
          </w:p>
        </w:tc>
        <w:tc>
          <w:tcPr>
            <w:tcW w:w="8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7DA77B1" w14:textId="77777777" w:rsidR="00E02FCD" w:rsidRPr="003067B9" w:rsidRDefault="00E02FCD" w:rsidP="006A6BEE">
            <w:pPr>
              <w:jc w:val="center"/>
              <w:rPr>
                <w:b/>
                <w:bCs/>
                <w:color w:val="000000"/>
                <w:szCs w:val="24"/>
                <w:lang w:val="en-NZ" w:eastAsia="en-NZ"/>
              </w:rPr>
            </w:pPr>
            <w:r w:rsidRPr="003067B9">
              <w:rPr>
                <w:b/>
                <w:bCs/>
                <w:color w:val="000000"/>
                <w:szCs w:val="24"/>
                <w:lang w:val="en-NZ" w:eastAsia="en-NZ"/>
              </w:rPr>
              <w:t>19,964</w:t>
            </w:r>
          </w:p>
        </w:tc>
        <w:tc>
          <w:tcPr>
            <w:tcW w:w="895"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32E66D7" w14:textId="77777777" w:rsidR="00E02FCD" w:rsidRPr="003067B9" w:rsidRDefault="00E02FCD" w:rsidP="006A6BEE">
            <w:pPr>
              <w:jc w:val="center"/>
              <w:rPr>
                <w:b/>
                <w:bCs/>
                <w:color w:val="000000"/>
                <w:szCs w:val="24"/>
                <w:lang w:val="en-NZ" w:eastAsia="en-NZ"/>
              </w:rPr>
            </w:pPr>
            <w:r w:rsidRPr="003067B9">
              <w:rPr>
                <w:b/>
                <w:bCs/>
                <w:color w:val="000000"/>
                <w:szCs w:val="24"/>
                <w:lang w:val="en-NZ" w:eastAsia="en-NZ"/>
              </w:rPr>
              <w:t>19,735</w:t>
            </w:r>
          </w:p>
        </w:tc>
        <w:tc>
          <w:tcPr>
            <w:tcW w:w="1275"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2C2006" w14:textId="77777777" w:rsidR="00E02FCD" w:rsidRPr="003067B9" w:rsidRDefault="00E02FCD" w:rsidP="006A6BEE">
            <w:pPr>
              <w:jc w:val="center"/>
              <w:rPr>
                <w:b/>
                <w:bCs/>
                <w:color w:val="000000"/>
                <w:szCs w:val="24"/>
                <w:lang w:val="en-NZ" w:eastAsia="en-NZ"/>
              </w:rPr>
            </w:pPr>
            <w:r w:rsidRPr="003067B9">
              <w:rPr>
                <w:b/>
                <w:bCs/>
                <w:color w:val="000000"/>
                <w:szCs w:val="24"/>
                <w:lang w:val="en-NZ" w:eastAsia="en-NZ"/>
              </w:rPr>
              <w:t>(229)</w:t>
            </w:r>
          </w:p>
        </w:tc>
      </w:tr>
    </w:tbl>
    <w:p w14:paraId="1DC13B88" w14:textId="77777777" w:rsidR="00E02FCD" w:rsidRPr="00D4706E" w:rsidRDefault="00E02FCD" w:rsidP="00A547DD">
      <w:pPr>
        <w:pStyle w:val="Heading3"/>
        <w:rPr>
          <w:highlight w:val="yellow"/>
        </w:rPr>
      </w:pPr>
      <w:r w:rsidRPr="00D4706E">
        <w:t>Summary: Appropriation Income YTD to 31 March 2024</w:t>
      </w:r>
    </w:p>
    <w:tbl>
      <w:tblPr>
        <w:tblW w:w="5000" w:type="pct"/>
        <w:tblCellMar>
          <w:left w:w="0" w:type="dxa"/>
          <w:right w:w="0" w:type="dxa"/>
        </w:tblCellMar>
        <w:tblLook w:val="04A0" w:firstRow="1" w:lastRow="0" w:firstColumn="1" w:lastColumn="0" w:noHBand="0" w:noVBand="1"/>
      </w:tblPr>
      <w:tblGrid>
        <w:gridCol w:w="3705"/>
        <w:gridCol w:w="1512"/>
        <w:gridCol w:w="1789"/>
        <w:gridCol w:w="962"/>
        <w:gridCol w:w="1650"/>
      </w:tblGrid>
      <w:tr w:rsidR="00E02FCD" w:rsidRPr="00D4706E" w14:paraId="1BF03E40" w14:textId="77777777" w:rsidTr="00A547DD">
        <w:trPr>
          <w:trHeight w:val="870"/>
        </w:trPr>
        <w:tc>
          <w:tcPr>
            <w:tcW w:w="1926" w:type="pct"/>
            <w:tcBorders>
              <w:top w:val="single" w:sz="8" w:space="0" w:color="auto"/>
              <w:left w:val="single" w:sz="8" w:space="0" w:color="auto"/>
              <w:bottom w:val="single" w:sz="8" w:space="0" w:color="auto"/>
              <w:right w:val="single" w:sz="8" w:space="0" w:color="auto"/>
            </w:tcBorders>
            <w:shd w:val="clear" w:color="auto" w:fill="15284C" w:themeFill="text1"/>
            <w:tcMar>
              <w:top w:w="0" w:type="dxa"/>
              <w:left w:w="108" w:type="dxa"/>
              <w:bottom w:w="0" w:type="dxa"/>
              <w:right w:w="108" w:type="dxa"/>
            </w:tcMar>
            <w:vAlign w:val="center"/>
            <w:hideMark/>
          </w:tcPr>
          <w:p w14:paraId="191598A4" w14:textId="77777777" w:rsidR="00E02FCD" w:rsidRPr="003067B9" w:rsidRDefault="00E02FCD" w:rsidP="006A6BEE">
            <w:pPr>
              <w:rPr>
                <w:b/>
                <w:bCs/>
                <w:color w:val="FFFFFF" w:themeColor="accent6"/>
                <w:szCs w:val="24"/>
                <w:lang w:val="en-NZ" w:eastAsia="en-NZ"/>
              </w:rPr>
            </w:pPr>
            <w:r w:rsidRPr="003067B9">
              <w:rPr>
                <w:b/>
                <w:bCs/>
                <w:color w:val="FFFFFF" w:themeColor="accent6"/>
                <w:szCs w:val="24"/>
                <w:lang w:val="en-NZ" w:eastAsia="en-NZ"/>
              </w:rPr>
              <w:t xml:space="preserve">in $millions </w:t>
            </w:r>
          </w:p>
        </w:tc>
        <w:tc>
          <w:tcPr>
            <w:tcW w:w="786" w:type="pct"/>
            <w:tcBorders>
              <w:top w:val="single" w:sz="8" w:space="0" w:color="auto"/>
              <w:left w:val="nil"/>
              <w:bottom w:val="single" w:sz="8" w:space="0" w:color="auto"/>
              <w:right w:val="single" w:sz="8" w:space="0" w:color="auto"/>
            </w:tcBorders>
            <w:shd w:val="clear" w:color="auto" w:fill="15284C" w:themeFill="text1"/>
            <w:tcMar>
              <w:top w:w="0" w:type="dxa"/>
              <w:left w:w="108" w:type="dxa"/>
              <w:bottom w:w="0" w:type="dxa"/>
              <w:right w:w="108" w:type="dxa"/>
            </w:tcMar>
            <w:vAlign w:val="center"/>
            <w:hideMark/>
          </w:tcPr>
          <w:p w14:paraId="6C8D82F3" w14:textId="77777777" w:rsidR="00E02FCD" w:rsidRPr="003067B9" w:rsidRDefault="00E02FCD" w:rsidP="006A6BEE">
            <w:pPr>
              <w:rPr>
                <w:b/>
                <w:bCs/>
                <w:color w:val="FFFFFF" w:themeColor="accent6"/>
                <w:szCs w:val="24"/>
                <w:lang w:val="en-NZ" w:eastAsia="en-NZ"/>
              </w:rPr>
            </w:pPr>
            <w:r w:rsidRPr="003067B9">
              <w:rPr>
                <w:b/>
                <w:bCs/>
                <w:color w:val="FFFFFF" w:themeColor="accent6"/>
                <w:szCs w:val="24"/>
                <w:lang w:val="en-NZ" w:eastAsia="en-NZ"/>
              </w:rPr>
              <w:t xml:space="preserve"> Hospital &amp; Specialist Services </w:t>
            </w:r>
          </w:p>
        </w:tc>
        <w:tc>
          <w:tcPr>
            <w:tcW w:w="930" w:type="pct"/>
            <w:tcBorders>
              <w:top w:val="single" w:sz="8" w:space="0" w:color="auto"/>
              <w:left w:val="nil"/>
              <w:bottom w:val="single" w:sz="8" w:space="0" w:color="auto"/>
              <w:right w:val="single" w:sz="8" w:space="0" w:color="auto"/>
            </w:tcBorders>
            <w:shd w:val="clear" w:color="auto" w:fill="15284C" w:themeFill="text1"/>
            <w:tcMar>
              <w:top w:w="0" w:type="dxa"/>
              <w:left w:w="108" w:type="dxa"/>
              <w:bottom w:w="0" w:type="dxa"/>
              <w:right w:w="108" w:type="dxa"/>
            </w:tcMar>
            <w:vAlign w:val="center"/>
            <w:hideMark/>
          </w:tcPr>
          <w:p w14:paraId="0BE58709" w14:textId="77777777" w:rsidR="00E02FCD" w:rsidRPr="003067B9" w:rsidRDefault="00E02FCD" w:rsidP="006A6BEE">
            <w:pPr>
              <w:rPr>
                <w:b/>
                <w:bCs/>
                <w:color w:val="FFFFFF" w:themeColor="accent6"/>
                <w:szCs w:val="24"/>
                <w:lang w:val="en-NZ" w:eastAsia="en-NZ"/>
              </w:rPr>
            </w:pPr>
            <w:r w:rsidRPr="003067B9">
              <w:rPr>
                <w:b/>
                <w:bCs/>
                <w:color w:val="FFFFFF" w:themeColor="accent6"/>
                <w:szCs w:val="24"/>
                <w:lang w:val="en-NZ" w:eastAsia="en-NZ"/>
              </w:rPr>
              <w:t> Primary, Public &amp; Community *</w:t>
            </w:r>
          </w:p>
        </w:tc>
        <w:tc>
          <w:tcPr>
            <w:tcW w:w="500" w:type="pct"/>
            <w:tcBorders>
              <w:top w:val="single" w:sz="8" w:space="0" w:color="auto"/>
              <w:left w:val="nil"/>
              <w:bottom w:val="single" w:sz="8" w:space="0" w:color="auto"/>
              <w:right w:val="single" w:sz="8" w:space="0" w:color="auto"/>
            </w:tcBorders>
            <w:shd w:val="clear" w:color="auto" w:fill="15284C" w:themeFill="text1"/>
            <w:tcMar>
              <w:top w:w="0" w:type="dxa"/>
              <w:left w:w="108" w:type="dxa"/>
              <w:bottom w:w="0" w:type="dxa"/>
              <w:right w:w="108" w:type="dxa"/>
            </w:tcMar>
            <w:vAlign w:val="center"/>
            <w:hideMark/>
          </w:tcPr>
          <w:p w14:paraId="7F7A2754" w14:textId="77777777" w:rsidR="00E02FCD" w:rsidRPr="003067B9" w:rsidRDefault="00E02FCD" w:rsidP="006A6BEE">
            <w:pPr>
              <w:rPr>
                <w:b/>
                <w:bCs/>
                <w:color w:val="FFFFFF" w:themeColor="accent6"/>
                <w:szCs w:val="24"/>
                <w:lang w:val="en-NZ" w:eastAsia="en-NZ"/>
              </w:rPr>
            </w:pPr>
            <w:r w:rsidRPr="003067B9">
              <w:rPr>
                <w:b/>
                <w:bCs/>
                <w:color w:val="FFFFFF" w:themeColor="accent6"/>
                <w:szCs w:val="24"/>
                <w:lang w:val="en-NZ" w:eastAsia="en-NZ"/>
              </w:rPr>
              <w:t xml:space="preserve"> Covid </w:t>
            </w:r>
          </w:p>
        </w:tc>
        <w:tc>
          <w:tcPr>
            <w:tcW w:w="858" w:type="pct"/>
            <w:tcBorders>
              <w:top w:val="single" w:sz="8" w:space="0" w:color="auto"/>
              <w:left w:val="nil"/>
              <w:bottom w:val="single" w:sz="8" w:space="0" w:color="auto"/>
              <w:right w:val="single" w:sz="8" w:space="0" w:color="auto"/>
            </w:tcBorders>
            <w:shd w:val="clear" w:color="auto" w:fill="15284C" w:themeFill="text1"/>
            <w:tcMar>
              <w:top w:w="0" w:type="dxa"/>
              <w:left w:w="108" w:type="dxa"/>
              <w:bottom w:w="0" w:type="dxa"/>
              <w:right w:w="108" w:type="dxa"/>
            </w:tcMar>
            <w:vAlign w:val="center"/>
            <w:hideMark/>
          </w:tcPr>
          <w:p w14:paraId="0C43B12A" w14:textId="77777777" w:rsidR="00E02FCD" w:rsidRPr="003067B9" w:rsidRDefault="00E02FCD" w:rsidP="006A6BEE">
            <w:pPr>
              <w:rPr>
                <w:b/>
                <w:bCs/>
                <w:color w:val="FFFFFF" w:themeColor="accent6"/>
                <w:szCs w:val="24"/>
                <w:lang w:val="en-NZ" w:eastAsia="en-NZ"/>
              </w:rPr>
            </w:pPr>
            <w:r w:rsidRPr="003067B9">
              <w:rPr>
                <w:b/>
                <w:bCs/>
                <w:color w:val="FFFFFF" w:themeColor="accent6"/>
                <w:szCs w:val="24"/>
                <w:lang w:val="en-NZ" w:eastAsia="en-NZ"/>
              </w:rPr>
              <w:t xml:space="preserve"> Total </w:t>
            </w:r>
          </w:p>
        </w:tc>
      </w:tr>
      <w:tr w:rsidR="00E02FCD" w:rsidRPr="00D4706E" w14:paraId="41E811CE" w14:textId="77777777" w:rsidTr="00A547DD">
        <w:trPr>
          <w:trHeight w:val="290"/>
        </w:trPr>
        <w:tc>
          <w:tcPr>
            <w:tcW w:w="1926" w:type="pct"/>
            <w:tcBorders>
              <w:top w:val="nil"/>
              <w:left w:val="single" w:sz="8" w:space="0" w:color="auto"/>
              <w:bottom w:val="single" w:sz="8" w:space="0" w:color="auto"/>
              <w:right w:val="single" w:sz="8" w:space="0" w:color="auto"/>
            </w:tcBorders>
            <w:shd w:val="clear" w:color="auto" w:fill="F6F4EC" w:themeFill="background1"/>
            <w:tcMar>
              <w:top w:w="0" w:type="dxa"/>
              <w:left w:w="108" w:type="dxa"/>
              <w:bottom w:w="0" w:type="dxa"/>
              <w:right w:w="108" w:type="dxa"/>
            </w:tcMar>
            <w:vAlign w:val="center"/>
            <w:hideMark/>
          </w:tcPr>
          <w:p w14:paraId="6A90D43F" w14:textId="3CCFC091" w:rsidR="00E02FCD" w:rsidRPr="003067B9" w:rsidRDefault="00E02FCD" w:rsidP="006A6BEE">
            <w:pPr>
              <w:rPr>
                <w:color w:val="000000"/>
                <w:szCs w:val="24"/>
                <w:lang w:val="en-NZ" w:eastAsia="en-NZ"/>
              </w:rPr>
            </w:pPr>
            <w:r w:rsidRPr="003067B9">
              <w:rPr>
                <w:color w:val="000000"/>
                <w:szCs w:val="24"/>
                <w:lang w:val="en-NZ" w:eastAsia="en-NZ"/>
              </w:rPr>
              <w:t xml:space="preserve">Appropriation Income </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2B5B2A" w14:textId="77777777" w:rsidR="00E02FCD" w:rsidRPr="003067B9" w:rsidRDefault="00E02FCD" w:rsidP="006A6BEE">
            <w:pPr>
              <w:jc w:val="right"/>
              <w:rPr>
                <w:color w:val="000000"/>
                <w:szCs w:val="24"/>
                <w:lang w:val="en-NZ" w:eastAsia="en-NZ"/>
              </w:rPr>
            </w:pPr>
            <w:r w:rsidRPr="003067B9">
              <w:rPr>
                <w:color w:val="000000"/>
                <w:szCs w:val="24"/>
                <w:lang w:val="en-NZ" w:eastAsia="en-NZ"/>
              </w:rPr>
              <w:t>10,756</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531C7" w14:textId="77777777" w:rsidR="00E02FCD" w:rsidRPr="003067B9" w:rsidRDefault="00E02FCD" w:rsidP="006A6BEE">
            <w:pPr>
              <w:jc w:val="right"/>
              <w:rPr>
                <w:color w:val="000000"/>
                <w:szCs w:val="24"/>
                <w:lang w:val="en-NZ" w:eastAsia="en-NZ"/>
              </w:rPr>
            </w:pPr>
            <w:r w:rsidRPr="003067B9">
              <w:rPr>
                <w:color w:val="000000"/>
                <w:szCs w:val="24"/>
                <w:lang w:val="en-NZ" w:eastAsia="en-NZ"/>
              </w:rPr>
              <w:t>6,551</w:t>
            </w:r>
          </w:p>
        </w:tc>
        <w:tc>
          <w:tcPr>
            <w:tcW w:w="50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6358C3" w14:textId="77777777" w:rsidR="00E02FCD" w:rsidRPr="003067B9" w:rsidRDefault="00E02FCD" w:rsidP="006A6BEE">
            <w:pPr>
              <w:jc w:val="right"/>
              <w:rPr>
                <w:color w:val="000000"/>
                <w:szCs w:val="24"/>
                <w:lang w:val="en-NZ" w:eastAsia="en-NZ"/>
              </w:rPr>
            </w:pPr>
            <w:r w:rsidRPr="003067B9">
              <w:rPr>
                <w:color w:val="000000"/>
                <w:szCs w:val="24"/>
                <w:lang w:val="en-NZ" w:eastAsia="en-NZ"/>
              </w:rPr>
              <w:t>235</w:t>
            </w:r>
          </w:p>
        </w:tc>
        <w:tc>
          <w:tcPr>
            <w:tcW w:w="8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116E5" w14:textId="77777777" w:rsidR="00E02FCD" w:rsidRPr="003067B9" w:rsidRDefault="00E02FCD" w:rsidP="006A6BEE">
            <w:pPr>
              <w:jc w:val="right"/>
              <w:rPr>
                <w:color w:val="000000"/>
                <w:szCs w:val="24"/>
                <w:lang w:val="en-NZ" w:eastAsia="en-NZ"/>
              </w:rPr>
            </w:pPr>
            <w:r w:rsidRPr="003067B9">
              <w:rPr>
                <w:color w:val="000000"/>
                <w:szCs w:val="24"/>
                <w:lang w:val="en-NZ" w:eastAsia="en-NZ"/>
              </w:rPr>
              <w:t>17,542</w:t>
            </w:r>
          </w:p>
        </w:tc>
      </w:tr>
      <w:tr w:rsidR="00E02FCD" w:rsidRPr="00D4706E" w14:paraId="5ECAB132" w14:textId="77777777" w:rsidTr="00A547DD">
        <w:trPr>
          <w:trHeight w:val="280"/>
        </w:trPr>
        <w:tc>
          <w:tcPr>
            <w:tcW w:w="1926" w:type="pct"/>
            <w:tcBorders>
              <w:top w:val="nil"/>
              <w:left w:val="single" w:sz="8" w:space="0" w:color="auto"/>
              <w:bottom w:val="single" w:sz="8" w:space="0" w:color="auto"/>
              <w:right w:val="single" w:sz="8" w:space="0" w:color="auto"/>
            </w:tcBorders>
            <w:shd w:val="clear" w:color="auto" w:fill="F6F4EC" w:themeFill="background1"/>
            <w:tcMar>
              <w:top w:w="0" w:type="dxa"/>
              <w:left w:w="108" w:type="dxa"/>
              <w:bottom w:w="0" w:type="dxa"/>
              <w:right w:w="108" w:type="dxa"/>
            </w:tcMar>
            <w:vAlign w:val="center"/>
            <w:hideMark/>
          </w:tcPr>
          <w:p w14:paraId="7EFFD1AB" w14:textId="77777777" w:rsidR="00E02FCD" w:rsidRPr="003067B9" w:rsidRDefault="00E02FCD" w:rsidP="006A6BEE">
            <w:pPr>
              <w:rPr>
                <w:color w:val="000000"/>
                <w:szCs w:val="24"/>
                <w:lang w:val="en-NZ" w:eastAsia="en-NZ"/>
              </w:rPr>
            </w:pPr>
            <w:r w:rsidRPr="003067B9">
              <w:rPr>
                <w:color w:val="000000"/>
                <w:szCs w:val="24"/>
                <w:lang w:val="en-NZ" w:eastAsia="en-NZ"/>
              </w:rPr>
              <w:t>Other Income</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1B8070" w14:textId="77777777" w:rsidR="00E02FCD" w:rsidRPr="003067B9" w:rsidRDefault="00E02FCD" w:rsidP="006A6BEE">
            <w:pPr>
              <w:jc w:val="right"/>
              <w:rPr>
                <w:color w:val="000000"/>
                <w:szCs w:val="24"/>
                <w:lang w:val="en-NZ" w:eastAsia="en-NZ"/>
              </w:rPr>
            </w:pPr>
            <w:r w:rsidRPr="003067B9">
              <w:rPr>
                <w:color w:val="000000"/>
                <w:szCs w:val="24"/>
                <w:lang w:val="en-NZ" w:eastAsia="en-NZ"/>
              </w:rPr>
              <w:t>1,691</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1B1125" w14:textId="77777777" w:rsidR="00E02FCD" w:rsidRPr="003067B9" w:rsidRDefault="00E02FCD" w:rsidP="006A6BEE">
            <w:pPr>
              <w:jc w:val="right"/>
              <w:rPr>
                <w:color w:val="000000"/>
                <w:szCs w:val="24"/>
                <w:lang w:val="en-NZ" w:eastAsia="en-NZ"/>
              </w:rPr>
            </w:pPr>
            <w:r w:rsidRPr="003067B9">
              <w:rPr>
                <w:color w:val="000000"/>
                <w:szCs w:val="24"/>
                <w:lang w:val="en-NZ" w:eastAsia="en-NZ"/>
              </w:rPr>
              <w:t>1,030</w:t>
            </w:r>
          </w:p>
        </w:tc>
        <w:tc>
          <w:tcPr>
            <w:tcW w:w="50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6D84B7" w14:textId="77777777" w:rsidR="00E02FCD" w:rsidRPr="003067B9" w:rsidRDefault="00E02FCD" w:rsidP="006A6BEE">
            <w:pPr>
              <w:jc w:val="right"/>
              <w:rPr>
                <w:color w:val="000000"/>
                <w:szCs w:val="24"/>
                <w:lang w:val="en-NZ" w:eastAsia="en-NZ"/>
              </w:rPr>
            </w:pPr>
            <w:r w:rsidRPr="003067B9">
              <w:rPr>
                <w:color w:val="000000"/>
                <w:szCs w:val="24"/>
                <w:lang w:val="en-NZ" w:eastAsia="en-NZ"/>
              </w:rPr>
              <w:t>0</w:t>
            </w:r>
          </w:p>
        </w:tc>
        <w:tc>
          <w:tcPr>
            <w:tcW w:w="8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95D3D" w14:textId="77777777" w:rsidR="00E02FCD" w:rsidRPr="003067B9" w:rsidRDefault="00E02FCD" w:rsidP="006A6BEE">
            <w:pPr>
              <w:jc w:val="right"/>
              <w:rPr>
                <w:color w:val="000000"/>
                <w:szCs w:val="24"/>
                <w:lang w:val="en-NZ" w:eastAsia="en-NZ"/>
              </w:rPr>
            </w:pPr>
            <w:r w:rsidRPr="003067B9">
              <w:rPr>
                <w:color w:val="000000"/>
                <w:szCs w:val="24"/>
                <w:lang w:val="en-NZ" w:eastAsia="en-NZ"/>
              </w:rPr>
              <w:t>2,721</w:t>
            </w:r>
          </w:p>
        </w:tc>
      </w:tr>
      <w:tr w:rsidR="00E02FCD" w:rsidRPr="00D4706E" w14:paraId="29BA0A60" w14:textId="77777777" w:rsidTr="00A547DD">
        <w:trPr>
          <w:trHeight w:val="280"/>
        </w:trPr>
        <w:tc>
          <w:tcPr>
            <w:tcW w:w="1926" w:type="pct"/>
            <w:tcBorders>
              <w:top w:val="nil"/>
              <w:left w:val="single" w:sz="8" w:space="0" w:color="auto"/>
              <w:bottom w:val="single" w:sz="8" w:space="0" w:color="auto"/>
              <w:right w:val="single" w:sz="8" w:space="0" w:color="auto"/>
            </w:tcBorders>
            <w:shd w:val="clear" w:color="auto" w:fill="F6F4EC" w:themeFill="background1"/>
            <w:tcMar>
              <w:top w:w="0" w:type="dxa"/>
              <w:left w:w="108" w:type="dxa"/>
              <w:bottom w:w="0" w:type="dxa"/>
              <w:right w:w="108" w:type="dxa"/>
            </w:tcMar>
            <w:vAlign w:val="center"/>
            <w:hideMark/>
          </w:tcPr>
          <w:p w14:paraId="20FCA24F" w14:textId="77777777" w:rsidR="00E02FCD" w:rsidRPr="003067B9" w:rsidRDefault="00E02FCD" w:rsidP="006A6BEE">
            <w:pPr>
              <w:rPr>
                <w:b/>
                <w:bCs/>
                <w:color w:val="000000"/>
                <w:szCs w:val="24"/>
                <w:lang w:val="en-NZ" w:eastAsia="en-NZ"/>
              </w:rPr>
            </w:pPr>
            <w:r w:rsidRPr="003067B9">
              <w:rPr>
                <w:b/>
                <w:bCs/>
                <w:color w:val="000000"/>
                <w:szCs w:val="24"/>
                <w:lang w:val="en-NZ" w:eastAsia="en-NZ"/>
              </w:rPr>
              <w:t>Total Income</w:t>
            </w:r>
          </w:p>
        </w:tc>
        <w:tc>
          <w:tcPr>
            <w:tcW w:w="78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6EB6DB2" w14:textId="77777777" w:rsidR="00E02FCD" w:rsidRPr="003067B9" w:rsidRDefault="00E02FCD" w:rsidP="006A6BEE">
            <w:pPr>
              <w:jc w:val="right"/>
              <w:rPr>
                <w:b/>
                <w:bCs/>
                <w:color w:val="000000"/>
                <w:szCs w:val="24"/>
                <w:lang w:val="en-NZ" w:eastAsia="en-NZ"/>
              </w:rPr>
            </w:pPr>
            <w:r w:rsidRPr="003067B9">
              <w:rPr>
                <w:b/>
                <w:bCs/>
                <w:color w:val="000000"/>
                <w:szCs w:val="24"/>
                <w:lang w:val="en-NZ" w:eastAsia="en-NZ"/>
              </w:rPr>
              <w:t>12,447</w:t>
            </w:r>
          </w:p>
        </w:tc>
        <w:tc>
          <w:tcPr>
            <w:tcW w:w="9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0DBF398" w14:textId="77777777" w:rsidR="00E02FCD" w:rsidRPr="003067B9" w:rsidRDefault="00E02FCD" w:rsidP="006A6BEE">
            <w:pPr>
              <w:jc w:val="right"/>
              <w:rPr>
                <w:b/>
                <w:bCs/>
                <w:color w:val="000000"/>
                <w:szCs w:val="24"/>
                <w:lang w:val="en-NZ" w:eastAsia="en-NZ"/>
              </w:rPr>
            </w:pPr>
            <w:r w:rsidRPr="003067B9">
              <w:rPr>
                <w:b/>
                <w:bCs/>
                <w:color w:val="000000"/>
                <w:szCs w:val="24"/>
                <w:lang w:val="en-NZ" w:eastAsia="en-NZ"/>
              </w:rPr>
              <w:t>7,581</w:t>
            </w:r>
          </w:p>
        </w:tc>
        <w:tc>
          <w:tcPr>
            <w:tcW w:w="50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11CF551" w14:textId="77777777" w:rsidR="00E02FCD" w:rsidRPr="003067B9" w:rsidRDefault="00E02FCD" w:rsidP="006A6BEE">
            <w:pPr>
              <w:jc w:val="right"/>
              <w:rPr>
                <w:b/>
                <w:bCs/>
                <w:color w:val="000000"/>
                <w:szCs w:val="24"/>
                <w:lang w:val="en-NZ" w:eastAsia="en-NZ"/>
              </w:rPr>
            </w:pPr>
            <w:r w:rsidRPr="003067B9">
              <w:rPr>
                <w:b/>
                <w:bCs/>
                <w:color w:val="000000"/>
                <w:szCs w:val="24"/>
                <w:lang w:val="en-NZ" w:eastAsia="en-NZ"/>
              </w:rPr>
              <w:t>235</w:t>
            </w:r>
          </w:p>
        </w:tc>
        <w:tc>
          <w:tcPr>
            <w:tcW w:w="8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EFC223A" w14:textId="77777777" w:rsidR="00E02FCD" w:rsidRPr="003067B9" w:rsidRDefault="00E02FCD" w:rsidP="006A6BEE">
            <w:pPr>
              <w:jc w:val="right"/>
              <w:rPr>
                <w:b/>
                <w:bCs/>
                <w:color w:val="000000"/>
                <w:szCs w:val="24"/>
                <w:lang w:val="en-NZ" w:eastAsia="en-NZ"/>
              </w:rPr>
            </w:pPr>
            <w:r w:rsidRPr="003067B9">
              <w:rPr>
                <w:b/>
                <w:bCs/>
                <w:color w:val="000000"/>
                <w:szCs w:val="24"/>
                <w:lang w:val="en-NZ" w:eastAsia="en-NZ"/>
              </w:rPr>
              <w:t>20,263</w:t>
            </w:r>
          </w:p>
        </w:tc>
      </w:tr>
      <w:tr w:rsidR="00E02FCD" w:rsidRPr="00D4706E" w14:paraId="0EF24323" w14:textId="77777777" w:rsidTr="00A547DD">
        <w:trPr>
          <w:trHeight w:val="280"/>
        </w:trPr>
        <w:tc>
          <w:tcPr>
            <w:tcW w:w="1926" w:type="pct"/>
            <w:tcBorders>
              <w:top w:val="nil"/>
              <w:left w:val="single" w:sz="8" w:space="0" w:color="auto"/>
              <w:bottom w:val="single" w:sz="8" w:space="0" w:color="auto"/>
              <w:right w:val="single" w:sz="8" w:space="0" w:color="auto"/>
            </w:tcBorders>
            <w:shd w:val="clear" w:color="auto" w:fill="F6F4EC" w:themeFill="background1"/>
            <w:tcMar>
              <w:top w:w="0" w:type="dxa"/>
              <w:left w:w="108" w:type="dxa"/>
              <w:bottom w:w="0" w:type="dxa"/>
              <w:right w:w="108" w:type="dxa"/>
            </w:tcMar>
            <w:vAlign w:val="center"/>
            <w:hideMark/>
          </w:tcPr>
          <w:p w14:paraId="612CCFBA" w14:textId="77777777" w:rsidR="00E02FCD" w:rsidRPr="003067B9" w:rsidRDefault="00E02FCD" w:rsidP="006A6BEE">
            <w:pPr>
              <w:rPr>
                <w:color w:val="000000"/>
                <w:szCs w:val="24"/>
                <w:lang w:val="en-NZ" w:eastAsia="en-NZ"/>
              </w:rPr>
            </w:pPr>
            <w:r w:rsidRPr="003067B9">
              <w:rPr>
                <w:color w:val="000000"/>
                <w:szCs w:val="24"/>
                <w:lang w:val="en-NZ" w:eastAsia="en-NZ"/>
              </w:rPr>
              <w:t xml:space="preserve">Expenditure </w:t>
            </w:r>
          </w:p>
        </w:tc>
        <w:tc>
          <w:tcPr>
            <w:tcW w:w="78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F29FE05" w14:textId="77777777" w:rsidR="00E02FCD" w:rsidRPr="003067B9" w:rsidRDefault="00E02FCD" w:rsidP="006A6BEE">
            <w:pPr>
              <w:jc w:val="right"/>
              <w:rPr>
                <w:color w:val="000000"/>
                <w:szCs w:val="24"/>
                <w:lang w:val="en-NZ" w:eastAsia="en-NZ"/>
              </w:rPr>
            </w:pPr>
            <w:r w:rsidRPr="003067B9">
              <w:rPr>
                <w:color w:val="000000"/>
                <w:szCs w:val="24"/>
                <w:lang w:val="en-NZ" w:eastAsia="en-NZ"/>
              </w:rPr>
              <w:t>12,950</w:t>
            </w:r>
          </w:p>
        </w:tc>
        <w:tc>
          <w:tcPr>
            <w:tcW w:w="9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902CB6C" w14:textId="77777777" w:rsidR="00E02FCD" w:rsidRPr="003067B9" w:rsidRDefault="00E02FCD" w:rsidP="006A6BEE">
            <w:pPr>
              <w:jc w:val="right"/>
              <w:rPr>
                <w:color w:val="000000"/>
                <w:szCs w:val="24"/>
                <w:lang w:val="en-NZ" w:eastAsia="en-NZ"/>
              </w:rPr>
            </w:pPr>
            <w:r w:rsidRPr="003067B9">
              <w:rPr>
                <w:color w:val="000000"/>
                <w:szCs w:val="24"/>
                <w:lang w:val="en-NZ" w:eastAsia="en-NZ"/>
              </w:rPr>
              <w:t>6,887</w:t>
            </w:r>
          </w:p>
        </w:tc>
        <w:tc>
          <w:tcPr>
            <w:tcW w:w="50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B42E49F" w14:textId="77777777" w:rsidR="00E02FCD" w:rsidRPr="003067B9" w:rsidRDefault="00E02FCD" w:rsidP="006A6BEE">
            <w:pPr>
              <w:jc w:val="right"/>
              <w:rPr>
                <w:color w:val="000000"/>
                <w:szCs w:val="24"/>
                <w:lang w:val="en-NZ" w:eastAsia="en-NZ"/>
              </w:rPr>
            </w:pPr>
            <w:r w:rsidRPr="003067B9">
              <w:rPr>
                <w:color w:val="000000"/>
                <w:szCs w:val="24"/>
                <w:lang w:val="en-NZ" w:eastAsia="en-NZ"/>
              </w:rPr>
              <w:t>127</w:t>
            </w:r>
          </w:p>
        </w:tc>
        <w:tc>
          <w:tcPr>
            <w:tcW w:w="8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49814D" w14:textId="77777777" w:rsidR="00E02FCD" w:rsidRPr="003067B9" w:rsidRDefault="00E02FCD" w:rsidP="006A6BEE">
            <w:pPr>
              <w:jc w:val="right"/>
              <w:rPr>
                <w:color w:val="000000"/>
                <w:szCs w:val="24"/>
                <w:lang w:val="en-NZ" w:eastAsia="en-NZ"/>
              </w:rPr>
            </w:pPr>
            <w:r w:rsidRPr="003067B9">
              <w:rPr>
                <w:color w:val="000000"/>
                <w:szCs w:val="24"/>
                <w:lang w:val="en-NZ" w:eastAsia="en-NZ"/>
              </w:rPr>
              <w:t>19,964</w:t>
            </w:r>
          </w:p>
        </w:tc>
      </w:tr>
      <w:tr w:rsidR="00E02FCD" w:rsidRPr="00D4706E" w14:paraId="49BD6116" w14:textId="77777777" w:rsidTr="00A547DD">
        <w:trPr>
          <w:trHeight w:val="280"/>
        </w:trPr>
        <w:tc>
          <w:tcPr>
            <w:tcW w:w="1926" w:type="pct"/>
            <w:tcBorders>
              <w:top w:val="nil"/>
              <w:left w:val="single" w:sz="8" w:space="0" w:color="auto"/>
              <w:bottom w:val="single" w:sz="8" w:space="0" w:color="auto"/>
              <w:right w:val="single" w:sz="8" w:space="0" w:color="auto"/>
            </w:tcBorders>
            <w:shd w:val="clear" w:color="auto" w:fill="F6F4EC" w:themeFill="background1"/>
            <w:tcMar>
              <w:top w:w="0" w:type="dxa"/>
              <w:left w:w="108" w:type="dxa"/>
              <w:bottom w:w="0" w:type="dxa"/>
              <w:right w:w="108" w:type="dxa"/>
            </w:tcMar>
            <w:vAlign w:val="center"/>
            <w:hideMark/>
          </w:tcPr>
          <w:p w14:paraId="7F065939" w14:textId="77777777" w:rsidR="00E02FCD" w:rsidRPr="003067B9" w:rsidRDefault="00E02FCD" w:rsidP="006A6BEE">
            <w:pPr>
              <w:rPr>
                <w:b/>
                <w:bCs/>
                <w:color w:val="000000"/>
                <w:szCs w:val="24"/>
                <w:lang w:val="en-NZ" w:eastAsia="en-NZ"/>
              </w:rPr>
            </w:pPr>
            <w:r w:rsidRPr="003067B9">
              <w:rPr>
                <w:b/>
                <w:bCs/>
                <w:color w:val="000000"/>
                <w:szCs w:val="24"/>
                <w:lang w:val="en-NZ" w:eastAsia="en-NZ"/>
              </w:rPr>
              <w:t xml:space="preserve">Variance </w:t>
            </w:r>
          </w:p>
        </w:tc>
        <w:tc>
          <w:tcPr>
            <w:tcW w:w="78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199D2CC" w14:textId="77777777" w:rsidR="00E02FCD" w:rsidRPr="003067B9" w:rsidRDefault="00E02FCD" w:rsidP="006A6BEE">
            <w:pPr>
              <w:jc w:val="right"/>
              <w:rPr>
                <w:b/>
                <w:bCs/>
                <w:color w:val="000000"/>
                <w:szCs w:val="24"/>
                <w:lang w:val="en-NZ" w:eastAsia="en-NZ"/>
              </w:rPr>
            </w:pPr>
            <w:r w:rsidRPr="003067B9">
              <w:rPr>
                <w:b/>
                <w:bCs/>
                <w:color w:val="000000"/>
                <w:szCs w:val="24"/>
                <w:lang w:val="en-NZ" w:eastAsia="en-NZ"/>
              </w:rPr>
              <w:t>(502)</w:t>
            </w:r>
          </w:p>
        </w:tc>
        <w:tc>
          <w:tcPr>
            <w:tcW w:w="9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538B5F2" w14:textId="77777777" w:rsidR="00E02FCD" w:rsidRPr="003067B9" w:rsidRDefault="00E02FCD" w:rsidP="006A6BEE">
            <w:pPr>
              <w:jc w:val="right"/>
              <w:rPr>
                <w:b/>
                <w:bCs/>
                <w:color w:val="000000"/>
                <w:szCs w:val="24"/>
                <w:lang w:val="en-NZ" w:eastAsia="en-NZ"/>
              </w:rPr>
            </w:pPr>
            <w:r w:rsidRPr="003067B9">
              <w:rPr>
                <w:b/>
                <w:bCs/>
                <w:color w:val="000000"/>
                <w:szCs w:val="24"/>
                <w:lang w:val="en-NZ" w:eastAsia="en-NZ"/>
              </w:rPr>
              <w:t xml:space="preserve">              694 </w:t>
            </w:r>
          </w:p>
        </w:tc>
        <w:tc>
          <w:tcPr>
            <w:tcW w:w="50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BA8FCF4" w14:textId="77777777" w:rsidR="00E02FCD" w:rsidRPr="003067B9" w:rsidRDefault="00E02FCD" w:rsidP="006A6BEE">
            <w:pPr>
              <w:jc w:val="right"/>
              <w:rPr>
                <w:b/>
                <w:bCs/>
                <w:color w:val="000000"/>
                <w:szCs w:val="24"/>
                <w:lang w:val="en-NZ" w:eastAsia="en-NZ"/>
              </w:rPr>
            </w:pPr>
            <w:r w:rsidRPr="003067B9">
              <w:rPr>
                <w:b/>
                <w:bCs/>
                <w:color w:val="000000"/>
                <w:szCs w:val="24"/>
                <w:lang w:val="en-NZ" w:eastAsia="en-NZ"/>
              </w:rPr>
              <w:t>108</w:t>
            </w:r>
          </w:p>
        </w:tc>
        <w:tc>
          <w:tcPr>
            <w:tcW w:w="8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CFCCFD1" w14:textId="77777777" w:rsidR="00E02FCD" w:rsidRPr="003067B9" w:rsidRDefault="00E02FCD" w:rsidP="006A6BEE">
            <w:pPr>
              <w:jc w:val="right"/>
              <w:rPr>
                <w:b/>
                <w:bCs/>
                <w:color w:val="000000"/>
                <w:szCs w:val="24"/>
                <w:lang w:val="en-NZ" w:eastAsia="en-NZ"/>
              </w:rPr>
            </w:pPr>
            <w:r w:rsidRPr="003067B9">
              <w:rPr>
                <w:b/>
                <w:bCs/>
                <w:color w:val="000000"/>
                <w:szCs w:val="24"/>
                <w:lang w:val="en-NZ" w:eastAsia="en-NZ"/>
              </w:rPr>
              <w:t>299</w:t>
            </w:r>
          </w:p>
        </w:tc>
      </w:tr>
    </w:tbl>
    <w:p w14:paraId="014272DF" w14:textId="77777777" w:rsidR="00E02FCD" w:rsidRPr="003067B9" w:rsidRDefault="00E02FCD" w:rsidP="00A547DD">
      <w:pPr>
        <w:rPr>
          <w:sz w:val="20"/>
          <w:szCs w:val="20"/>
          <w:lang w:val="en-NZ"/>
        </w:rPr>
      </w:pPr>
      <w:r w:rsidRPr="003067B9">
        <w:rPr>
          <w:lang w:val="en-NZ" w:eastAsia="en-NZ"/>
        </w:rPr>
        <w:t>* includes $17m of Problem gambling appropriation</w:t>
      </w:r>
    </w:p>
    <w:p w14:paraId="6D3D7B5F" w14:textId="794C648D" w:rsidR="00E02FCD" w:rsidRPr="00D4706E" w:rsidRDefault="00E02FCD" w:rsidP="00A547DD">
      <w:pPr>
        <w:pStyle w:val="Heading2"/>
        <w:rPr>
          <w:color w:val="15284C"/>
        </w:rPr>
      </w:pPr>
      <w:bookmarkStart w:id="110" w:name="_Toc170199192"/>
      <w:r w:rsidRPr="00D4706E">
        <w:rPr>
          <w:color w:val="15284C"/>
        </w:rPr>
        <w:t>Commentary on financial performance by Output Class</w:t>
      </w:r>
      <w:bookmarkEnd w:id="110"/>
    </w:p>
    <w:p w14:paraId="6AB2EBB7" w14:textId="169BAB14" w:rsidR="00E02FCD" w:rsidRPr="003067B9" w:rsidRDefault="00BD717C" w:rsidP="00A547DD">
      <w:pPr>
        <w:pStyle w:val="Bulletpoints"/>
        <w:rPr>
          <w:lang w:val="en-NZ"/>
        </w:rPr>
      </w:pPr>
      <w:r>
        <w:rPr>
          <w:lang w:val="en-NZ"/>
        </w:rPr>
        <w:t>H&amp;SS</w:t>
      </w:r>
      <w:r w:rsidR="00E02FCD" w:rsidRPr="003067B9">
        <w:rPr>
          <w:lang w:val="en-NZ"/>
        </w:rPr>
        <w:t>’ expenditure is tracking below funded appropriation by $502 million, reflecting cost pressures above funded levels</w:t>
      </w:r>
      <w:r w:rsidR="00E87574" w:rsidRPr="003067B9">
        <w:rPr>
          <w:lang w:val="en-NZ"/>
        </w:rPr>
        <w:t>–</w:t>
      </w:r>
      <w:r w:rsidR="00E02FCD" w:rsidRPr="003067B9">
        <w:rPr>
          <w:lang w:val="en-NZ"/>
        </w:rPr>
        <w:t>mainly from M</w:t>
      </w:r>
      <w:r w:rsidR="000F67DD">
        <w:rPr>
          <w:lang w:val="en-NZ"/>
        </w:rPr>
        <w:t>ulti-Employer Collective Agreements</w:t>
      </w:r>
      <w:r w:rsidR="00E02FCD" w:rsidRPr="003067B9">
        <w:rPr>
          <w:lang w:val="en-NZ"/>
        </w:rPr>
        <w:t xml:space="preserve"> settlements above budget and contractual obligation impacts including</w:t>
      </w:r>
      <w:r w:rsidR="00F16421" w:rsidRPr="003067B9">
        <w:rPr>
          <w:lang w:val="en-NZ"/>
        </w:rPr>
        <w:t>:</w:t>
      </w:r>
      <w:r w:rsidR="00E02FCD" w:rsidRPr="003067B9">
        <w:rPr>
          <w:lang w:val="en-NZ"/>
        </w:rPr>
        <w:t xml:space="preserve"> unbudgeted CCDM, pay equity and Holidays Act remediation impacts on leave revaluations, depreciation from revaluations and maintenance costs above budget. </w:t>
      </w:r>
    </w:p>
    <w:p w14:paraId="6D09A8C4" w14:textId="3A2F7A30" w:rsidR="00E02FCD" w:rsidRPr="003067B9" w:rsidRDefault="00E02FCD" w:rsidP="00A547DD">
      <w:pPr>
        <w:pStyle w:val="Bulletpoints"/>
        <w:rPr>
          <w:lang w:val="en-NZ"/>
        </w:rPr>
      </w:pPr>
      <w:r w:rsidRPr="003067B9">
        <w:rPr>
          <w:lang w:val="en-NZ"/>
        </w:rPr>
        <w:t xml:space="preserve">Primary </w:t>
      </w:r>
      <w:r w:rsidR="0F124DAB" w:rsidRPr="74CC5540">
        <w:rPr>
          <w:lang w:val="en-NZ"/>
        </w:rPr>
        <w:t>and</w:t>
      </w:r>
      <w:r w:rsidRPr="003067B9">
        <w:rPr>
          <w:lang w:val="en-NZ"/>
        </w:rPr>
        <w:t xml:space="preserve"> Community expenditure is below funded appropriation by $694 million</w:t>
      </w:r>
      <w:r w:rsidR="00851CB2" w:rsidRPr="003067B9">
        <w:rPr>
          <w:lang w:val="en-NZ"/>
        </w:rPr>
        <w:t xml:space="preserve"> </w:t>
      </w:r>
      <w:bookmarkStart w:id="111" w:name="_Hlk170214057"/>
      <w:r w:rsidR="00851CB2" w:rsidRPr="003067B9">
        <w:rPr>
          <w:lang w:val="en-NZ"/>
        </w:rPr>
        <w:t>–</w:t>
      </w:r>
      <w:bookmarkEnd w:id="111"/>
      <w:r w:rsidRPr="003067B9">
        <w:rPr>
          <w:lang w:val="en-NZ"/>
        </w:rPr>
        <w:t xml:space="preserve">mainly for </w:t>
      </w:r>
      <w:r w:rsidR="2FBF7171" w:rsidRPr="49D82A45">
        <w:rPr>
          <w:lang w:val="en-NZ"/>
        </w:rPr>
        <w:t>m</w:t>
      </w:r>
      <w:r w:rsidRPr="003067B9">
        <w:rPr>
          <w:lang w:val="en-NZ"/>
        </w:rPr>
        <w:t xml:space="preserve">aternity services, </w:t>
      </w:r>
      <w:r w:rsidR="7DFD2765" w:rsidRPr="49D82A45">
        <w:rPr>
          <w:lang w:val="en-NZ"/>
        </w:rPr>
        <w:t>p</w:t>
      </w:r>
      <w:r w:rsidRPr="49D82A45">
        <w:rPr>
          <w:lang w:val="en-NZ"/>
        </w:rPr>
        <w:t xml:space="preserve">rimary </w:t>
      </w:r>
      <w:r w:rsidR="5F529AB1" w:rsidRPr="49D82A45">
        <w:rPr>
          <w:lang w:val="en-NZ"/>
        </w:rPr>
        <w:t>c</w:t>
      </w:r>
      <w:r w:rsidRPr="49D82A45">
        <w:rPr>
          <w:lang w:val="en-NZ"/>
        </w:rPr>
        <w:t xml:space="preserve">are, </w:t>
      </w:r>
      <w:r w:rsidR="022F768F" w:rsidRPr="49D82A45">
        <w:rPr>
          <w:lang w:val="en-NZ"/>
        </w:rPr>
        <w:t>m</w:t>
      </w:r>
      <w:r w:rsidRPr="49D82A45">
        <w:rPr>
          <w:lang w:val="en-NZ"/>
        </w:rPr>
        <w:t xml:space="preserve">ental </w:t>
      </w:r>
      <w:r w:rsidR="17ED05D2" w:rsidRPr="49D82A45">
        <w:rPr>
          <w:lang w:val="en-NZ"/>
        </w:rPr>
        <w:t>h</w:t>
      </w:r>
      <w:r w:rsidRPr="003067B9">
        <w:rPr>
          <w:lang w:val="en-NZ"/>
        </w:rPr>
        <w:t>ealth and staffing costs.</w:t>
      </w:r>
    </w:p>
    <w:p w14:paraId="269C4684" w14:textId="77777777" w:rsidR="00E02FCD" w:rsidRPr="003067B9" w:rsidRDefault="00E02FCD" w:rsidP="006A6BEE">
      <w:pPr>
        <w:rPr>
          <w:lang w:val="en-NZ"/>
        </w:rPr>
      </w:pPr>
      <w:r w:rsidRPr="003067B9">
        <w:rPr>
          <w:lang w:val="en-NZ"/>
        </w:rPr>
        <w:br w:type="page"/>
      </w:r>
    </w:p>
    <w:p w14:paraId="531950B3" w14:textId="77777777" w:rsidR="002529F7" w:rsidRPr="003067B9" w:rsidRDefault="002529F7" w:rsidP="006A6BEE">
      <w:pPr>
        <w:rPr>
          <w:lang w:val="en-NZ"/>
        </w:rPr>
        <w:sectPr w:rsidR="002529F7" w:rsidRPr="003067B9" w:rsidSect="00C449C7">
          <w:headerReference w:type="default" r:id="rId86"/>
          <w:headerReference w:type="first" r:id="rId87"/>
          <w:pgSz w:w="11906" w:h="16838" w:code="9"/>
          <w:pgMar w:top="1134" w:right="1134" w:bottom="1134" w:left="1134" w:header="709" w:footer="709" w:gutter="0"/>
          <w:cols w:space="708"/>
          <w:docGrid w:linePitch="360"/>
        </w:sectPr>
      </w:pPr>
    </w:p>
    <w:p w14:paraId="5BC0F953" w14:textId="1F170ABF" w:rsidR="00085B1D" w:rsidRPr="00D4706E" w:rsidRDefault="00085B1D" w:rsidP="00540E0F">
      <w:pPr>
        <w:pStyle w:val="Heading2"/>
        <w:rPr>
          <w:color w:val="15284C"/>
          <w:sz w:val="36"/>
          <w:szCs w:val="36"/>
        </w:rPr>
      </w:pPr>
      <w:bookmarkStart w:id="112" w:name="_Toc163580422"/>
      <w:r w:rsidRPr="5A9A9CF0">
        <w:rPr>
          <w:color w:val="15284C" w:themeColor="accent5"/>
          <w:sz w:val="36"/>
          <w:szCs w:val="36"/>
        </w:rPr>
        <w:lastRenderedPageBreak/>
        <w:t>Infrastructure</w:t>
      </w:r>
      <w:r w:rsidR="006016DC" w:rsidRPr="5A9A9CF0">
        <w:rPr>
          <w:color w:val="15284C" w:themeColor="accent5"/>
          <w:sz w:val="36"/>
          <w:szCs w:val="36"/>
        </w:rPr>
        <w:t xml:space="preserve"> </w:t>
      </w:r>
      <w:bookmarkEnd w:id="112"/>
      <w:r w:rsidR="6B2B26EB" w:rsidRPr="53CD444F">
        <w:rPr>
          <w:color w:val="15284C" w:themeColor="accent5"/>
          <w:sz w:val="36"/>
          <w:szCs w:val="36"/>
        </w:rPr>
        <w:t>and</w:t>
      </w:r>
      <w:r w:rsidRPr="53CD444F">
        <w:rPr>
          <w:color w:val="15284C" w:themeColor="accent5"/>
          <w:sz w:val="36"/>
          <w:szCs w:val="36"/>
        </w:rPr>
        <w:t xml:space="preserve"> </w:t>
      </w:r>
      <w:r w:rsidR="38849E32" w:rsidRPr="53CD444F">
        <w:rPr>
          <w:color w:val="15284C" w:themeColor="accent5"/>
          <w:sz w:val="36"/>
          <w:szCs w:val="36"/>
        </w:rPr>
        <w:t>i</w:t>
      </w:r>
      <w:r w:rsidRPr="53CD444F">
        <w:rPr>
          <w:color w:val="15284C" w:themeColor="accent5"/>
          <w:sz w:val="36"/>
          <w:szCs w:val="36"/>
        </w:rPr>
        <w:t>nvestment</w:t>
      </w:r>
      <w:r w:rsidRPr="5A9A9CF0">
        <w:rPr>
          <w:color w:val="15284C" w:themeColor="accent5"/>
          <w:sz w:val="36"/>
          <w:szCs w:val="36"/>
        </w:rPr>
        <w:t xml:space="preserve"> </w:t>
      </w:r>
    </w:p>
    <w:p w14:paraId="76A2EA33" w14:textId="34D4A03F" w:rsidR="002764E6" w:rsidRPr="003067B9" w:rsidRDefault="002764E6" w:rsidP="00A547DD">
      <w:pPr>
        <w:rPr>
          <w:lang w:val="en-NZ"/>
        </w:rPr>
      </w:pPr>
      <w:r w:rsidRPr="003067B9">
        <w:rPr>
          <w:lang w:val="en-NZ"/>
        </w:rPr>
        <w:t>The Infrastructure and Investment Group (IIG) is delivering approximately 1,600 capital projects across New Zealand. The vast majority are funded through</w:t>
      </w:r>
      <w:r w:rsidR="00005EF6" w:rsidRPr="003067B9">
        <w:rPr>
          <w:lang w:val="en-NZ"/>
        </w:rPr>
        <w:t xml:space="preserve"> the</w:t>
      </w:r>
      <w:r w:rsidRPr="003067B9">
        <w:rPr>
          <w:lang w:val="en-NZ"/>
        </w:rPr>
        <w:t xml:space="preserve"> Health NZ baseline (depreciation). </w:t>
      </w:r>
      <w:r w:rsidR="5FBDB31D" w:rsidRPr="5195178B">
        <w:rPr>
          <w:lang w:val="en-NZ"/>
        </w:rPr>
        <w:t>The n</w:t>
      </w:r>
      <w:r w:rsidRPr="5195178B">
        <w:rPr>
          <w:lang w:val="en-NZ"/>
        </w:rPr>
        <w:t>ew</w:t>
      </w:r>
      <w:r w:rsidRPr="003067B9">
        <w:rPr>
          <w:lang w:val="en-NZ"/>
        </w:rPr>
        <w:t xml:space="preserve"> Dunedin Hospital has its own appropriation, and the rest is funded through the Health Capital Envelope (HCE). </w:t>
      </w:r>
    </w:p>
    <w:p w14:paraId="62FF9891" w14:textId="06F96B63" w:rsidR="002764E6" w:rsidRPr="003067B9" w:rsidRDefault="002764E6" w:rsidP="00A547DD">
      <w:pPr>
        <w:rPr>
          <w:lang w:val="en-NZ"/>
        </w:rPr>
      </w:pPr>
      <w:r w:rsidRPr="003067B9">
        <w:rPr>
          <w:lang w:val="en-NZ"/>
        </w:rPr>
        <w:t xml:space="preserve">We have 73 in-flight projects that are </w:t>
      </w:r>
      <w:r w:rsidR="00375197">
        <w:rPr>
          <w:lang w:val="en-NZ"/>
        </w:rPr>
        <w:t>more than</w:t>
      </w:r>
      <w:r w:rsidRPr="003067B9">
        <w:rPr>
          <w:lang w:val="en-NZ"/>
        </w:rPr>
        <w:t xml:space="preserve"> $10 million or funded from the HCE. </w:t>
      </w:r>
    </w:p>
    <w:p w14:paraId="028CDE34" w14:textId="77777777" w:rsidR="002764E6" w:rsidRPr="003067B9" w:rsidRDefault="002764E6" w:rsidP="00A547DD">
      <w:pPr>
        <w:rPr>
          <w:lang w:val="en-NZ"/>
        </w:rPr>
      </w:pPr>
      <w:r w:rsidRPr="003067B9">
        <w:rPr>
          <w:lang w:val="en-NZ"/>
        </w:rPr>
        <w:t>Performance reporting indicates that most projects are on track with 47 projects in delivery. The table below shows the number of projects in each project phase and the movement from the previous quarter:</w:t>
      </w:r>
    </w:p>
    <w:tbl>
      <w:tblPr>
        <w:tblpPr w:leftFromText="180" w:rightFromText="180" w:vertAnchor="text"/>
        <w:tblW w:w="5000" w:type="pct"/>
        <w:tblCellMar>
          <w:left w:w="0" w:type="dxa"/>
          <w:right w:w="0" w:type="dxa"/>
        </w:tblCellMar>
        <w:tblLook w:val="04A0" w:firstRow="1" w:lastRow="0" w:firstColumn="1" w:lastColumn="0" w:noHBand="0" w:noVBand="1"/>
      </w:tblPr>
      <w:tblGrid>
        <w:gridCol w:w="2486"/>
        <w:gridCol w:w="1718"/>
        <w:gridCol w:w="1718"/>
        <w:gridCol w:w="1718"/>
        <w:gridCol w:w="1978"/>
      </w:tblGrid>
      <w:tr w:rsidR="002764E6" w:rsidRPr="00D4706E" w14:paraId="2DF793D7" w14:textId="77777777" w:rsidTr="00C74A13">
        <w:trPr>
          <w:cantSplit/>
          <w:trHeight w:val="679"/>
        </w:trPr>
        <w:tc>
          <w:tcPr>
            <w:tcW w:w="2327" w:type="dxa"/>
            <w:tcBorders>
              <w:top w:val="single" w:sz="8" w:space="0" w:color="auto"/>
              <w:left w:val="single" w:sz="8" w:space="0" w:color="auto"/>
              <w:bottom w:val="single" w:sz="8" w:space="0" w:color="auto"/>
              <w:right w:val="single" w:sz="8" w:space="0" w:color="auto"/>
            </w:tcBorders>
            <w:shd w:val="clear" w:color="auto" w:fill="A6A6A6" w:themeFill="accent4" w:themeFillShade="A6"/>
            <w:tcMar>
              <w:top w:w="0" w:type="dxa"/>
              <w:left w:w="108" w:type="dxa"/>
              <w:bottom w:w="0" w:type="dxa"/>
              <w:right w:w="108" w:type="dxa"/>
            </w:tcMar>
          </w:tcPr>
          <w:p w14:paraId="7135171A" w14:textId="77777777" w:rsidR="002764E6" w:rsidRPr="003067B9" w:rsidRDefault="002764E6">
            <w:pPr>
              <w:keepNext/>
              <w:spacing w:before="120" w:after="240" w:line="288" w:lineRule="auto"/>
              <w:ind w:left="28" w:right="-51"/>
              <w:jc w:val="center"/>
              <w:rPr>
                <w:b/>
                <w:bCs/>
                <w:szCs w:val="24"/>
                <w:lang w:val="en-NZ" w:eastAsia="en-NZ"/>
              </w:rPr>
            </w:pPr>
          </w:p>
        </w:tc>
        <w:tc>
          <w:tcPr>
            <w:tcW w:w="1609" w:type="dxa"/>
            <w:tcBorders>
              <w:top w:val="single" w:sz="8" w:space="0" w:color="auto"/>
              <w:left w:val="nil"/>
              <w:bottom w:val="single" w:sz="8" w:space="0" w:color="auto"/>
              <w:right w:val="single" w:sz="8" w:space="0" w:color="auto"/>
            </w:tcBorders>
            <w:shd w:val="clear" w:color="auto" w:fill="A6A6A6" w:themeFill="accent4" w:themeFillShade="A6"/>
            <w:tcMar>
              <w:top w:w="0" w:type="dxa"/>
              <w:left w:w="108" w:type="dxa"/>
              <w:bottom w:w="0" w:type="dxa"/>
              <w:right w:w="108" w:type="dxa"/>
            </w:tcMar>
            <w:vAlign w:val="center"/>
            <w:hideMark/>
          </w:tcPr>
          <w:p w14:paraId="1CC432B7" w14:textId="77777777" w:rsidR="002764E6" w:rsidRPr="003067B9" w:rsidRDefault="002764E6">
            <w:pPr>
              <w:keepNext/>
              <w:spacing w:before="120" w:after="240" w:line="288" w:lineRule="auto"/>
              <w:ind w:left="-113" w:right="-113"/>
              <w:jc w:val="center"/>
              <w:rPr>
                <w:b/>
                <w:bCs/>
                <w:szCs w:val="24"/>
                <w:lang w:val="en-NZ" w:eastAsia="en-NZ"/>
              </w:rPr>
            </w:pPr>
            <w:r w:rsidRPr="003067B9">
              <w:rPr>
                <w:b/>
                <w:bCs/>
                <w:color w:val="000000"/>
                <w:szCs w:val="24"/>
                <w:lang w:val="en-NZ" w:eastAsia="en-NZ"/>
              </w:rPr>
              <w:t>Define</w:t>
            </w:r>
          </w:p>
        </w:tc>
        <w:tc>
          <w:tcPr>
            <w:tcW w:w="1609" w:type="dxa"/>
            <w:tcBorders>
              <w:top w:val="single" w:sz="8" w:space="0" w:color="auto"/>
              <w:left w:val="nil"/>
              <w:bottom w:val="single" w:sz="8" w:space="0" w:color="auto"/>
              <w:right w:val="single" w:sz="8" w:space="0" w:color="auto"/>
            </w:tcBorders>
            <w:shd w:val="clear" w:color="auto" w:fill="A6A6A6" w:themeFill="accent4" w:themeFillShade="A6"/>
            <w:tcMar>
              <w:top w:w="0" w:type="dxa"/>
              <w:left w:w="108" w:type="dxa"/>
              <w:bottom w:w="0" w:type="dxa"/>
              <w:right w:w="108" w:type="dxa"/>
            </w:tcMar>
            <w:vAlign w:val="center"/>
            <w:hideMark/>
          </w:tcPr>
          <w:p w14:paraId="2DDA6109" w14:textId="77777777" w:rsidR="002764E6" w:rsidRPr="003067B9" w:rsidRDefault="002764E6">
            <w:pPr>
              <w:keepNext/>
              <w:spacing w:before="120" w:after="240" w:line="288" w:lineRule="auto"/>
              <w:ind w:left="-113" w:right="-113"/>
              <w:jc w:val="center"/>
              <w:rPr>
                <w:b/>
                <w:bCs/>
                <w:szCs w:val="24"/>
                <w:lang w:val="en-NZ" w:eastAsia="en-NZ"/>
              </w:rPr>
            </w:pPr>
            <w:r w:rsidRPr="003067B9">
              <w:rPr>
                <w:b/>
                <w:bCs/>
                <w:color w:val="000000"/>
                <w:szCs w:val="24"/>
                <w:lang w:val="en-NZ" w:eastAsia="en-NZ"/>
              </w:rPr>
              <w:t>Design</w:t>
            </w:r>
          </w:p>
        </w:tc>
        <w:tc>
          <w:tcPr>
            <w:tcW w:w="1609" w:type="dxa"/>
            <w:tcBorders>
              <w:top w:val="single" w:sz="8" w:space="0" w:color="auto"/>
              <w:left w:val="nil"/>
              <w:bottom w:val="single" w:sz="8" w:space="0" w:color="auto"/>
              <w:right w:val="single" w:sz="8" w:space="0" w:color="auto"/>
            </w:tcBorders>
            <w:shd w:val="clear" w:color="auto" w:fill="A6A6A6" w:themeFill="accent4" w:themeFillShade="A6"/>
            <w:tcMar>
              <w:top w:w="0" w:type="dxa"/>
              <w:left w:w="108" w:type="dxa"/>
              <w:bottom w:w="0" w:type="dxa"/>
              <w:right w:w="108" w:type="dxa"/>
            </w:tcMar>
            <w:vAlign w:val="center"/>
            <w:hideMark/>
          </w:tcPr>
          <w:p w14:paraId="2DC965D8" w14:textId="77777777" w:rsidR="002764E6" w:rsidRPr="003067B9" w:rsidRDefault="002764E6">
            <w:pPr>
              <w:keepNext/>
              <w:spacing w:before="120" w:after="240" w:line="288" w:lineRule="auto"/>
              <w:ind w:left="-113" w:right="-113"/>
              <w:jc w:val="center"/>
              <w:rPr>
                <w:b/>
                <w:bCs/>
                <w:szCs w:val="24"/>
                <w:lang w:val="en-NZ" w:eastAsia="en-NZ"/>
              </w:rPr>
            </w:pPr>
            <w:r w:rsidRPr="003067B9">
              <w:rPr>
                <w:b/>
                <w:bCs/>
                <w:color w:val="000000"/>
                <w:szCs w:val="24"/>
                <w:lang w:val="en-NZ" w:eastAsia="en-NZ"/>
              </w:rPr>
              <w:t>Deliver</w:t>
            </w:r>
          </w:p>
        </w:tc>
        <w:tc>
          <w:tcPr>
            <w:tcW w:w="1852" w:type="dxa"/>
            <w:tcBorders>
              <w:top w:val="single" w:sz="8" w:space="0" w:color="auto"/>
              <w:left w:val="nil"/>
              <w:bottom w:val="single" w:sz="8" w:space="0" w:color="auto"/>
              <w:right w:val="single" w:sz="8" w:space="0" w:color="auto"/>
            </w:tcBorders>
            <w:shd w:val="clear" w:color="auto" w:fill="A6A6A6" w:themeFill="accent4" w:themeFillShade="A6"/>
            <w:tcMar>
              <w:top w:w="0" w:type="dxa"/>
              <w:left w:w="108" w:type="dxa"/>
              <w:bottom w:w="0" w:type="dxa"/>
              <w:right w:w="108" w:type="dxa"/>
            </w:tcMar>
            <w:vAlign w:val="center"/>
            <w:hideMark/>
          </w:tcPr>
          <w:p w14:paraId="2254E590" w14:textId="77777777" w:rsidR="002764E6" w:rsidRPr="003067B9" w:rsidRDefault="002764E6">
            <w:pPr>
              <w:keepNext/>
              <w:spacing w:before="120" w:after="240" w:line="288" w:lineRule="auto"/>
              <w:ind w:left="-113" w:right="-113"/>
              <w:jc w:val="center"/>
              <w:rPr>
                <w:b/>
                <w:bCs/>
                <w:szCs w:val="24"/>
                <w:lang w:val="en-NZ" w:eastAsia="en-NZ"/>
              </w:rPr>
            </w:pPr>
            <w:r w:rsidRPr="003067B9">
              <w:rPr>
                <w:b/>
                <w:bCs/>
                <w:color w:val="000000"/>
                <w:szCs w:val="24"/>
                <w:lang w:val="en-NZ" w:eastAsia="en-NZ"/>
              </w:rPr>
              <w:t>Total</w:t>
            </w:r>
          </w:p>
        </w:tc>
      </w:tr>
      <w:tr w:rsidR="002764E6" w:rsidRPr="00D4706E" w14:paraId="5C651BE2" w14:textId="77777777">
        <w:trPr>
          <w:cantSplit/>
          <w:trHeight w:val="573"/>
        </w:trPr>
        <w:tc>
          <w:tcPr>
            <w:tcW w:w="23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EF605F" w14:textId="77777777" w:rsidR="002764E6" w:rsidRPr="003067B9" w:rsidRDefault="002764E6">
            <w:pPr>
              <w:keepNext/>
              <w:spacing w:after="0" w:line="288" w:lineRule="auto"/>
              <w:ind w:left="-105" w:right="-53"/>
              <w:jc w:val="center"/>
              <w:rPr>
                <w:b/>
                <w:bCs/>
                <w:sz w:val="20"/>
                <w:szCs w:val="20"/>
                <w:lang w:val="en-NZ" w:eastAsia="en-NZ"/>
              </w:rPr>
            </w:pPr>
            <w:r w:rsidRPr="003067B9">
              <w:rPr>
                <w:b/>
                <w:bCs/>
                <w:sz w:val="20"/>
                <w:szCs w:val="20"/>
                <w:lang w:val="en-NZ" w:eastAsia="en-NZ"/>
              </w:rPr>
              <w:t>Portfolio as at 29 February 2023</w:t>
            </w:r>
          </w:p>
        </w:tc>
        <w:tc>
          <w:tcPr>
            <w:tcW w:w="1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0D802" w14:textId="77777777" w:rsidR="002764E6" w:rsidRPr="003067B9" w:rsidRDefault="002764E6">
            <w:pPr>
              <w:keepNext/>
              <w:spacing w:after="0" w:line="288" w:lineRule="auto"/>
              <w:jc w:val="center"/>
              <w:rPr>
                <w:sz w:val="20"/>
                <w:szCs w:val="20"/>
                <w:lang w:val="en-NZ"/>
              </w:rPr>
            </w:pPr>
            <w:r w:rsidRPr="003067B9">
              <w:rPr>
                <w:sz w:val="20"/>
                <w:szCs w:val="20"/>
                <w:lang w:val="en-NZ"/>
              </w:rPr>
              <w:t>4</w:t>
            </w:r>
          </w:p>
          <w:p w14:paraId="3F7B80BF" w14:textId="77777777" w:rsidR="002764E6" w:rsidRPr="003067B9" w:rsidRDefault="002764E6">
            <w:pPr>
              <w:keepNext/>
              <w:spacing w:after="0" w:line="288" w:lineRule="auto"/>
              <w:jc w:val="center"/>
              <w:rPr>
                <w:sz w:val="20"/>
                <w:szCs w:val="20"/>
                <w:lang w:val="en-NZ"/>
              </w:rPr>
            </w:pPr>
            <w:r w:rsidRPr="003067B9">
              <w:rPr>
                <w:sz w:val="20"/>
                <w:szCs w:val="20"/>
                <w:lang w:val="en-NZ"/>
              </w:rPr>
              <w:t>$0.09 billion</w:t>
            </w:r>
          </w:p>
        </w:tc>
        <w:tc>
          <w:tcPr>
            <w:tcW w:w="1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06E5D3" w14:textId="77777777" w:rsidR="002764E6" w:rsidRPr="003067B9" w:rsidRDefault="002764E6">
            <w:pPr>
              <w:keepNext/>
              <w:spacing w:after="0" w:line="288" w:lineRule="auto"/>
              <w:jc w:val="center"/>
              <w:rPr>
                <w:sz w:val="20"/>
                <w:szCs w:val="20"/>
                <w:lang w:val="en-NZ"/>
              </w:rPr>
            </w:pPr>
            <w:r w:rsidRPr="003067B9">
              <w:rPr>
                <w:sz w:val="20"/>
                <w:szCs w:val="20"/>
                <w:lang w:val="en-NZ"/>
              </w:rPr>
              <w:t>22</w:t>
            </w:r>
          </w:p>
          <w:p w14:paraId="23AB793D" w14:textId="77777777" w:rsidR="002764E6" w:rsidRPr="003067B9" w:rsidRDefault="002764E6">
            <w:pPr>
              <w:keepNext/>
              <w:spacing w:after="0" w:line="288" w:lineRule="auto"/>
              <w:jc w:val="center"/>
              <w:rPr>
                <w:sz w:val="20"/>
                <w:szCs w:val="20"/>
                <w:lang w:val="en-NZ"/>
              </w:rPr>
            </w:pPr>
            <w:r w:rsidRPr="003067B9">
              <w:rPr>
                <w:sz w:val="20"/>
                <w:szCs w:val="20"/>
                <w:lang w:val="en-NZ"/>
              </w:rPr>
              <w:t>$1.64 billion</w:t>
            </w:r>
          </w:p>
        </w:tc>
        <w:tc>
          <w:tcPr>
            <w:tcW w:w="1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56EBBD" w14:textId="77777777" w:rsidR="002764E6" w:rsidRPr="003067B9" w:rsidRDefault="002764E6">
            <w:pPr>
              <w:keepNext/>
              <w:spacing w:after="0" w:line="288" w:lineRule="auto"/>
              <w:ind w:right="-14"/>
              <w:jc w:val="center"/>
              <w:rPr>
                <w:sz w:val="20"/>
                <w:szCs w:val="20"/>
                <w:lang w:val="en-NZ"/>
              </w:rPr>
            </w:pPr>
            <w:r w:rsidRPr="003067B9">
              <w:rPr>
                <w:sz w:val="20"/>
                <w:szCs w:val="20"/>
                <w:lang w:val="en-NZ"/>
              </w:rPr>
              <w:t>49</w:t>
            </w:r>
          </w:p>
          <w:p w14:paraId="159E52DB" w14:textId="77777777" w:rsidR="002764E6" w:rsidRPr="003067B9" w:rsidRDefault="002764E6">
            <w:pPr>
              <w:keepNext/>
              <w:spacing w:after="0" w:line="288" w:lineRule="auto"/>
              <w:ind w:right="-14"/>
              <w:jc w:val="center"/>
              <w:rPr>
                <w:sz w:val="20"/>
                <w:szCs w:val="20"/>
                <w:lang w:val="en-NZ"/>
              </w:rPr>
            </w:pPr>
            <w:r w:rsidRPr="003067B9">
              <w:rPr>
                <w:sz w:val="20"/>
                <w:szCs w:val="20"/>
                <w:lang w:val="en-NZ"/>
              </w:rPr>
              <w:t>$5.02 billion</w:t>
            </w:r>
          </w:p>
        </w:tc>
        <w:tc>
          <w:tcPr>
            <w:tcW w:w="1852" w:type="dxa"/>
            <w:tcBorders>
              <w:top w:val="nil"/>
              <w:left w:val="nil"/>
              <w:bottom w:val="single" w:sz="8" w:space="0" w:color="auto"/>
              <w:right w:val="single" w:sz="8" w:space="0" w:color="auto"/>
            </w:tcBorders>
            <w:tcMar>
              <w:top w:w="0" w:type="dxa"/>
              <w:left w:w="108" w:type="dxa"/>
              <w:bottom w:w="0" w:type="dxa"/>
              <w:right w:w="108" w:type="dxa"/>
            </w:tcMar>
            <w:vAlign w:val="center"/>
          </w:tcPr>
          <w:p w14:paraId="75DD60F0" w14:textId="77777777" w:rsidR="002764E6" w:rsidRPr="003067B9" w:rsidRDefault="002764E6">
            <w:pPr>
              <w:keepNext/>
              <w:spacing w:after="0" w:line="288" w:lineRule="auto"/>
              <w:ind w:right="-14"/>
              <w:jc w:val="center"/>
              <w:rPr>
                <w:sz w:val="20"/>
                <w:szCs w:val="20"/>
                <w:lang w:val="en-NZ"/>
              </w:rPr>
            </w:pPr>
            <w:r w:rsidRPr="003067B9">
              <w:rPr>
                <w:sz w:val="20"/>
                <w:szCs w:val="20"/>
                <w:lang w:val="en-NZ"/>
              </w:rPr>
              <w:t>75</w:t>
            </w:r>
          </w:p>
          <w:p w14:paraId="48DCDF08" w14:textId="77777777" w:rsidR="002764E6" w:rsidRPr="003067B9" w:rsidRDefault="002764E6">
            <w:pPr>
              <w:keepNext/>
              <w:spacing w:after="0" w:line="288" w:lineRule="auto"/>
              <w:jc w:val="center"/>
              <w:rPr>
                <w:sz w:val="20"/>
                <w:szCs w:val="20"/>
                <w:lang w:val="en-NZ"/>
              </w:rPr>
            </w:pPr>
            <w:r w:rsidRPr="003067B9">
              <w:rPr>
                <w:sz w:val="20"/>
                <w:szCs w:val="20"/>
                <w:lang w:val="en-NZ"/>
              </w:rPr>
              <w:t>$6.75 billion</w:t>
            </w:r>
          </w:p>
        </w:tc>
      </w:tr>
      <w:tr w:rsidR="002764E6" w:rsidRPr="00D4706E" w14:paraId="60EF602B" w14:textId="77777777">
        <w:trPr>
          <w:cantSplit/>
          <w:trHeight w:val="573"/>
        </w:trPr>
        <w:tc>
          <w:tcPr>
            <w:tcW w:w="23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DEB8F1C" w14:textId="77777777" w:rsidR="002764E6" w:rsidRPr="003067B9" w:rsidRDefault="002764E6">
            <w:pPr>
              <w:keepNext/>
              <w:spacing w:after="0" w:line="288" w:lineRule="auto"/>
              <w:ind w:left="-105" w:right="-53"/>
              <w:jc w:val="center"/>
              <w:rPr>
                <w:b/>
                <w:bCs/>
                <w:sz w:val="20"/>
                <w:szCs w:val="20"/>
                <w:lang w:val="en-NZ" w:eastAsia="en-NZ"/>
              </w:rPr>
            </w:pPr>
            <w:r w:rsidRPr="003067B9">
              <w:rPr>
                <w:b/>
                <w:bCs/>
                <w:sz w:val="20"/>
                <w:szCs w:val="20"/>
                <w:lang w:val="en-NZ" w:eastAsia="en-NZ"/>
              </w:rPr>
              <w:t>Portfolio as at 31 March 2024</w:t>
            </w:r>
          </w:p>
        </w:tc>
        <w:tc>
          <w:tcPr>
            <w:tcW w:w="1609"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40DDEF20" w14:textId="77777777" w:rsidR="002764E6" w:rsidRPr="003067B9" w:rsidRDefault="002764E6">
            <w:pPr>
              <w:keepNext/>
              <w:spacing w:after="0" w:line="288" w:lineRule="auto"/>
              <w:jc w:val="center"/>
              <w:rPr>
                <w:sz w:val="20"/>
                <w:szCs w:val="20"/>
                <w:lang w:val="en-NZ"/>
              </w:rPr>
            </w:pPr>
            <w:r w:rsidRPr="003067B9">
              <w:rPr>
                <w:sz w:val="20"/>
                <w:szCs w:val="20"/>
                <w:lang w:val="en-NZ"/>
              </w:rPr>
              <w:t>4</w:t>
            </w:r>
          </w:p>
          <w:p w14:paraId="1D2B832E" w14:textId="77777777" w:rsidR="002764E6" w:rsidRPr="003067B9" w:rsidRDefault="002764E6">
            <w:pPr>
              <w:keepNext/>
              <w:spacing w:after="0" w:line="288" w:lineRule="auto"/>
              <w:jc w:val="center"/>
              <w:rPr>
                <w:sz w:val="20"/>
                <w:szCs w:val="20"/>
                <w:lang w:val="en-NZ"/>
              </w:rPr>
            </w:pPr>
            <w:r w:rsidRPr="003067B9">
              <w:rPr>
                <w:sz w:val="20"/>
                <w:szCs w:val="20"/>
                <w:lang w:val="en-NZ"/>
              </w:rPr>
              <w:t>$0.10 billion </w:t>
            </w:r>
          </w:p>
        </w:tc>
        <w:tc>
          <w:tcPr>
            <w:tcW w:w="1609"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29544C69" w14:textId="77777777" w:rsidR="002764E6" w:rsidRPr="003067B9" w:rsidRDefault="002764E6">
            <w:pPr>
              <w:keepNext/>
              <w:spacing w:after="0" w:line="288" w:lineRule="auto"/>
              <w:jc w:val="center"/>
              <w:rPr>
                <w:sz w:val="20"/>
                <w:szCs w:val="20"/>
                <w:lang w:val="en-NZ"/>
              </w:rPr>
            </w:pPr>
            <w:r w:rsidRPr="003067B9">
              <w:rPr>
                <w:sz w:val="20"/>
                <w:szCs w:val="20"/>
                <w:lang w:val="en-NZ"/>
              </w:rPr>
              <w:t>22</w:t>
            </w:r>
          </w:p>
          <w:p w14:paraId="220423AD" w14:textId="77777777" w:rsidR="002764E6" w:rsidRPr="003067B9" w:rsidRDefault="002764E6">
            <w:pPr>
              <w:keepNext/>
              <w:spacing w:after="0" w:line="288" w:lineRule="auto"/>
              <w:jc w:val="center"/>
              <w:rPr>
                <w:sz w:val="20"/>
                <w:szCs w:val="20"/>
                <w:lang w:val="en-NZ"/>
              </w:rPr>
            </w:pPr>
            <w:r w:rsidRPr="003067B9">
              <w:rPr>
                <w:sz w:val="20"/>
                <w:szCs w:val="20"/>
                <w:lang w:val="en-NZ"/>
              </w:rPr>
              <w:t>$2.926 billion </w:t>
            </w:r>
          </w:p>
        </w:tc>
        <w:tc>
          <w:tcPr>
            <w:tcW w:w="1609"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13D95AEC" w14:textId="77777777" w:rsidR="002764E6" w:rsidRPr="003067B9" w:rsidRDefault="002764E6">
            <w:pPr>
              <w:keepNext/>
              <w:spacing w:after="0" w:line="288" w:lineRule="auto"/>
              <w:ind w:right="-14"/>
              <w:jc w:val="center"/>
              <w:rPr>
                <w:sz w:val="20"/>
                <w:szCs w:val="20"/>
                <w:lang w:val="en-NZ"/>
              </w:rPr>
            </w:pPr>
            <w:r w:rsidRPr="003067B9">
              <w:rPr>
                <w:sz w:val="20"/>
                <w:szCs w:val="20"/>
                <w:lang w:val="en-NZ"/>
              </w:rPr>
              <w:t>47</w:t>
            </w:r>
          </w:p>
          <w:p w14:paraId="1481D69F" w14:textId="77777777" w:rsidR="002764E6" w:rsidRPr="003067B9" w:rsidRDefault="002764E6">
            <w:pPr>
              <w:keepNext/>
              <w:spacing w:after="0" w:line="288" w:lineRule="auto"/>
              <w:ind w:right="-14"/>
              <w:jc w:val="center"/>
              <w:rPr>
                <w:sz w:val="20"/>
                <w:szCs w:val="20"/>
                <w:lang w:val="en-NZ"/>
              </w:rPr>
            </w:pPr>
            <w:r w:rsidRPr="003067B9">
              <w:rPr>
                <w:sz w:val="20"/>
                <w:szCs w:val="20"/>
                <w:lang w:val="en-NZ"/>
              </w:rPr>
              <w:t>$3.425 billion</w:t>
            </w:r>
          </w:p>
        </w:tc>
        <w:tc>
          <w:tcPr>
            <w:tcW w:w="1852"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4133ECB" w14:textId="77777777" w:rsidR="002764E6" w:rsidRPr="003067B9" w:rsidRDefault="002764E6">
            <w:pPr>
              <w:keepNext/>
              <w:spacing w:after="0" w:line="288" w:lineRule="auto"/>
              <w:ind w:right="-14"/>
              <w:jc w:val="center"/>
              <w:rPr>
                <w:sz w:val="20"/>
                <w:szCs w:val="20"/>
                <w:lang w:val="en-NZ"/>
              </w:rPr>
            </w:pPr>
            <w:r w:rsidRPr="003067B9">
              <w:rPr>
                <w:sz w:val="20"/>
                <w:szCs w:val="20"/>
                <w:lang w:val="en-NZ"/>
              </w:rPr>
              <w:t>73 </w:t>
            </w:r>
          </w:p>
          <w:p w14:paraId="015CD1F5" w14:textId="77777777" w:rsidR="002764E6" w:rsidRPr="003067B9" w:rsidRDefault="002764E6">
            <w:pPr>
              <w:keepNext/>
              <w:spacing w:after="0" w:line="288" w:lineRule="auto"/>
              <w:ind w:right="-14"/>
              <w:jc w:val="center"/>
              <w:rPr>
                <w:sz w:val="20"/>
                <w:szCs w:val="20"/>
                <w:lang w:val="en-NZ"/>
              </w:rPr>
            </w:pPr>
            <w:r w:rsidRPr="003067B9">
              <w:rPr>
                <w:sz w:val="20"/>
                <w:szCs w:val="20"/>
                <w:lang w:val="en-NZ"/>
              </w:rPr>
              <w:t>6.451 billion</w:t>
            </w:r>
          </w:p>
        </w:tc>
      </w:tr>
      <w:tr w:rsidR="002764E6" w:rsidRPr="00D4706E" w14:paraId="4CB54CA1" w14:textId="77777777" w:rsidTr="00083664">
        <w:trPr>
          <w:cantSplit/>
          <w:trHeight w:val="519"/>
        </w:trPr>
        <w:tc>
          <w:tcPr>
            <w:tcW w:w="23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494C5B" w14:textId="18AFE1B4" w:rsidR="002764E6" w:rsidRPr="003067B9" w:rsidRDefault="002764E6">
            <w:pPr>
              <w:spacing w:after="0" w:line="288" w:lineRule="auto"/>
              <w:ind w:left="-105" w:right="-53"/>
              <w:jc w:val="center"/>
              <w:rPr>
                <w:b/>
                <w:bCs/>
                <w:sz w:val="20"/>
                <w:szCs w:val="20"/>
                <w:lang w:val="en-NZ" w:eastAsia="en-NZ"/>
              </w:rPr>
            </w:pPr>
            <w:r w:rsidRPr="003067B9">
              <w:rPr>
                <w:b/>
                <w:bCs/>
                <w:sz w:val="20"/>
                <w:szCs w:val="20"/>
                <w:lang w:val="en-NZ" w:eastAsia="en-NZ"/>
              </w:rPr>
              <w:t xml:space="preserve">Movement </w:t>
            </w:r>
            <w:r w:rsidR="00375197">
              <w:rPr>
                <w:b/>
                <w:bCs/>
                <w:sz w:val="20"/>
                <w:szCs w:val="20"/>
                <w:lang w:val="en-NZ" w:eastAsia="en-NZ"/>
              </w:rPr>
              <w:t>i</w:t>
            </w:r>
            <w:r w:rsidRPr="003067B9">
              <w:rPr>
                <w:b/>
                <w:bCs/>
                <w:sz w:val="20"/>
                <w:szCs w:val="20"/>
                <w:lang w:val="en-NZ" w:eastAsia="en-NZ"/>
              </w:rPr>
              <w:t>n</w:t>
            </w:r>
          </w:p>
        </w:tc>
        <w:tc>
          <w:tcPr>
            <w:tcW w:w="16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03123B" w14:textId="77777777" w:rsidR="002764E6" w:rsidRPr="003067B9" w:rsidRDefault="002764E6">
            <w:pPr>
              <w:spacing w:after="0" w:line="288" w:lineRule="auto"/>
              <w:jc w:val="center"/>
              <w:rPr>
                <w:color w:val="000000"/>
                <w:sz w:val="20"/>
                <w:szCs w:val="20"/>
                <w:lang w:val="en-NZ" w:eastAsia="en-NZ"/>
              </w:rPr>
            </w:pPr>
          </w:p>
        </w:tc>
        <w:tc>
          <w:tcPr>
            <w:tcW w:w="16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DF2CBD" w14:textId="77777777" w:rsidR="002764E6" w:rsidRPr="003067B9" w:rsidRDefault="002764E6">
            <w:pPr>
              <w:spacing w:after="0" w:line="288" w:lineRule="auto"/>
              <w:jc w:val="center"/>
              <w:rPr>
                <w:color w:val="000000"/>
                <w:sz w:val="20"/>
                <w:szCs w:val="20"/>
                <w:lang w:val="en-NZ" w:eastAsia="en-NZ"/>
              </w:rPr>
            </w:pPr>
            <w:r w:rsidRPr="003067B9">
              <w:rPr>
                <w:color w:val="15284C" w:themeColor="text1"/>
                <w:sz w:val="20"/>
                <w:szCs w:val="20"/>
                <w:lang w:val="en-NZ" w:eastAsia="en-NZ"/>
              </w:rPr>
              <w:t>1</w:t>
            </w:r>
          </w:p>
        </w:tc>
        <w:tc>
          <w:tcPr>
            <w:tcW w:w="16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C41731" w14:textId="77777777" w:rsidR="002764E6" w:rsidRPr="003067B9" w:rsidRDefault="002764E6">
            <w:pPr>
              <w:spacing w:after="0" w:line="288" w:lineRule="auto"/>
              <w:ind w:right="-14"/>
              <w:jc w:val="center"/>
              <w:rPr>
                <w:color w:val="000000"/>
                <w:sz w:val="20"/>
                <w:szCs w:val="20"/>
                <w:lang w:val="en-NZ" w:eastAsia="en-NZ"/>
              </w:rPr>
            </w:pPr>
            <w:r w:rsidRPr="003067B9">
              <w:rPr>
                <w:color w:val="15284C" w:themeColor="text1"/>
                <w:sz w:val="20"/>
                <w:szCs w:val="20"/>
                <w:lang w:val="en-NZ" w:eastAsia="en-NZ"/>
              </w:rPr>
              <w:t>1</w:t>
            </w:r>
          </w:p>
        </w:tc>
        <w:tc>
          <w:tcPr>
            <w:tcW w:w="18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BA860C" w14:textId="77777777" w:rsidR="002764E6" w:rsidRPr="003067B9" w:rsidRDefault="002764E6">
            <w:pPr>
              <w:spacing w:after="0" w:line="288" w:lineRule="auto"/>
              <w:jc w:val="center"/>
              <w:rPr>
                <w:color w:val="000000"/>
                <w:sz w:val="20"/>
                <w:szCs w:val="20"/>
                <w:lang w:val="en-NZ" w:eastAsia="en-NZ"/>
              </w:rPr>
            </w:pPr>
            <w:r w:rsidRPr="003067B9">
              <w:rPr>
                <w:color w:val="15284C" w:themeColor="text1"/>
                <w:sz w:val="20"/>
                <w:szCs w:val="20"/>
                <w:lang w:val="en-NZ" w:eastAsia="en-NZ"/>
              </w:rPr>
              <w:t>1</w:t>
            </w:r>
          </w:p>
        </w:tc>
      </w:tr>
      <w:tr w:rsidR="002764E6" w:rsidRPr="00D4706E" w14:paraId="5146A171" w14:textId="77777777" w:rsidTr="00083664">
        <w:trPr>
          <w:cantSplit/>
          <w:trHeight w:val="519"/>
        </w:trPr>
        <w:tc>
          <w:tcPr>
            <w:tcW w:w="23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49A742" w14:textId="449ACFA2" w:rsidR="002764E6" w:rsidRPr="003067B9" w:rsidRDefault="002764E6">
            <w:pPr>
              <w:spacing w:after="0" w:line="288" w:lineRule="auto"/>
              <w:ind w:left="-105" w:right="-53"/>
              <w:jc w:val="center"/>
              <w:rPr>
                <w:b/>
                <w:bCs/>
                <w:sz w:val="20"/>
                <w:szCs w:val="20"/>
                <w:lang w:val="en-NZ" w:eastAsia="en-NZ"/>
              </w:rPr>
            </w:pPr>
            <w:r w:rsidRPr="003067B9">
              <w:rPr>
                <w:b/>
                <w:bCs/>
                <w:sz w:val="20"/>
                <w:szCs w:val="20"/>
                <w:lang w:val="en-NZ" w:eastAsia="en-NZ"/>
              </w:rPr>
              <w:t xml:space="preserve">Movement </w:t>
            </w:r>
            <w:r w:rsidR="00375197">
              <w:rPr>
                <w:b/>
                <w:bCs/>
                <w:sz w:val="20"/>
                <w:szCs w:val="20"/>
                <w:lang w:val="en-NZ" w:eastAsia="en-NZ"/>
              </w:rPr>
              <w:t>o</w:t>
            </w:r>
            <w:r w:rsidRPr="003067B9">
              <w:rPr>
                <w:b/>
                <w:bCs/>
                <w:sz w:val="20"/>
                <w:szCs w:val="20"/>
                <w:lang w:val="en-NZ" w:eastAsia="en-NZ"/>
              </w:rPr>
              <w:t>ut</w:t>
            </w:r>
          </w:p>
        </w:tc>
        <w:tc>
          <w:tcPr>
            <w:tcW w:w="16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A288F6" w14:textId="77777777" w:rsidR="002764E6" w:rsidRPr="003067B9" w:rsidRDefault="002764E6">
            <w:pPr>
              <w:spacing w:after="0" w:line="288" w:lineRule="auto"/>
              <w:jc w:val="center"/>
              <w:rPr>
                <w:color w:val="000000"/>
                <w:sz w:val="20"/>
                <w:szCs w:val="20"/>
                <w:lang w:val="en-NZ" w:eastAsia="en-NZ"/>
              </w:rPr>
            </w:pPr>
          </w:p>
        </w:tc>
        <w:tc>
          <w:tcPr>
            <w:tcW w:w="16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C6D141D" w14:textId="77777777" w:rsidR="002764E6" w:rsidRPr="003067B9" w:rsidRDefault="002764E6">
            <w:pPr>
              <w:spacing w:after="0" w:line="288" w:lineRule="auto"/>
              <w:jc w:val="center"/>
              <w:rPr>
                <w:color w:val="000000"/>
                <w:sz w:val="20"/>
                <w:szCs w:val="20"/>
                <w:lang w:val="en-NZ" w:eastAsia="en-NZ"/>
              </w:rPr>
            </w:pPr>
            <w:r w:rsidRPr="003067B9">
              <w:rPr>
                <w:color w:val="15284C" w:themeColor="text1"/>
                <w:sz w:val="20"/>
                <w:szCs w:val="20"/>
                <w:lang w:val="en-NZ" w:eastAsia="en-NZ"/>
              </w:rPr>
              <w:t>1</w:t>
            </w:r>
          </w:p>
        </w:tc>
        <w:tc>
          <w:tcPr>
            <w:tcW w:w="16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FA99910" w14:textId="77777777" w:rsidR="002764E6" w:rsidRPr="003067B9" w:rsidRDefault="002764E6">
            <w:pPr>
              <w:spacing w:after="0" w:line="288" w:lineRule="auto"/>
              <w:ind w:right="-14"/>
              <w:jc w:val="center"/>
              <w:rPr>
                <w:color w:val="000000"/>
                <w:sz w:val="20"/>
                <w:szCs w:val="20"/>
                <w:lang w:val="en-NZ" w:eastAsia="en-NZ"/>
              </w:rPr>
            </w:pPr>
            <w:r w:rsidRPr="003067B9">
              <w:rPr>
                <w:color w:val="15284C" w:themeColor="text1"/>
                <w:sz w:val="20"/>
                <w:szCs w:val="20"/>
                <w:lang w:val="en-NZ" w:eastAsia="en-NZ"/>
              </w:rPr>
              <w:t>3</w:t>
            </w:r>
          </w:p>
        </w:tc>
        <w:tc>
          <w:tcPr>
            <w:tcW w:w="18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61F6D2" w14:textId="77777777" w:rsidR="002764E6" w:rsidRPr="003067B9" w:rsidRDefault="002764E6">
            <w:pPr>
              <w:spacing w:after="0" w:line="288" w:lineRule="auto"/>
              <w:jc w:val="center"/>
              <w:rPr>
                <w:color w:val="000000"/>
                <w:sz w:val="20"/>
                <w:szCs w:val="20"/>
                <w:lang w:val="en-NZ" w:eastAsia="en-NZ"/>
              </w:rPr>
            </w:pPr>
            <w:r w:rsidRPr="003067B9">
              <w:rPr>
                <w:color w:val="15284C" w:themeColor="text1"/>
                <w:sz w:val="20"/>
                <w:szCs w:val="20"/>
                <w:lang w:val="en-NZ" w:eastAsia="en-NZ"/>
              </w:rPr>
              <w:t>3</w:t>
            </w:r>
          </w:p>
        </w:tc>
      </w:tr>
    </w:tbl>
    <w:p w14:paraId="789146C8" w14:textId="77777777" w:rsidR="00A547DD" w:rsidRPr="003067B9" w:rsidRDefault="00A547DD" w:rsidP="00A547DD">
      <w:pPr>
        <w:rPr>
          <w:lang w:val="en-NZ"/>
        </w:rPr>
      </w:pPr>
    </w:p>
    <w:p w14:paraId="76132136" w14:textId="473AEB83" w:rsidR="002764E6" w:rsidRPr="003067B9" w:rsidRDefault="002764E6" w:rsidP="00A547DD">
      <w:pPr>
        <w:rPr>
          <w:lang w:val="en-NZ"/>
        </w:rPr>
      </w:pPr>
      <w:r w:rsidRPr="003067B9">
        <w:rPr>
          <w:lang w:val="en-NZ"/>
        </w:rPr>
        <w:t xml:space="preserve">*(i) One baseline funded project in Delivery </w:t>
      </w:r>
      <w:r w:rsidR="00640614">
        <w:rPr>
          <w:lang w:val="en-NZ"/>
        </w:rPr>
        <w:t>p</w:t>
      </w:r>
      <w:r w:rsidRPr="003067B9">
        <w:rPr>
          <w:lang w:val="en-NZ"/>
        </w:rPr>
        <w:t xml:space="preserve">hase has increased in value to over $10 million and now falls within the scope of this report. </w:t>
      </w:r>
    </w:p>
    <w:p w14:paraId="289E6D52" w14:textId="77777777" w:rsidR="00140DFE" w:rsidRPr="003067B9" w:rsidRDefault="00140DFE" w:rsidP="006A6BEE">
      <w:pPr>
        <w:rPr>
          <w:lang w:val="en-NZ"/>
        </w:rPr>
      </w:pPr>
    </w:p>
    <w:p w14:paraId="7D14D812" w14:textId="77777777" w:rsidR="00140DFE" w:rsidRPr="003067B9" w:rsidRDefault="00140DFE" w:rsidP="006A6BEE">
      <w:pPr>
        <w:rPr>
          <w:lang w:val="en-NZ"/>
        </w:rPr>
      </w:pPr>
    </w:p>
    <w:p w14:paraId="6ED30B2E" w14:textId="77777777" w:rsidR="00085B1D" w:rsidRPr="00D4706E" w:rsidRDefault="00085B1D" w:rsidP="00F961F9">
      <w:pPr>
        <w:pStyle w:val="Heading2"/>
      </w:pPr>
    </w:p>
    <w:p w14:paraId="1775A9E2" w14:textId="77777777" w:rsidR="00527CFB" w:rsidRPr="003067B9" w:rsidRDefault="00527CFB" w:rsidP="00527CFB">
      <w:pPr>
        <w:rPr>
          <w:lang w:val="en-NZ"/>
        </w:rPr>
      </w:pPr>
    </w:p>
    <w:p w14:paraId="7433FFF5" w14:textId="77777777" w:rsidR="002863E3" w:rsidRPr="003067B9" w:rsidRDefault="002863E3" w:rsidP="00527CFB">
      <w:pPr>
        <w:rPr>
          <w:lang w:val="en-NZ"/>
        </w:rPr>
      </w:pPr>
    </w:p>
    <w:p w14:paraId="3C08D029" w14:textId="77777777" w:rsidR="002863E3" w:rsidRPr="003067B9" w:rsidRDefault="002863E3" w:rsidP="00527CFB">
      <w:pPr>
        <w:rPr>
          <w:lang w:val="en-NZ"/>
        </w:rPr>
      </w:pPr>
    </w:p>
    <w:p w14:paraId="15AF05F3" w14:textId="77777777" w:rsidR="002863E3" w:rsidRPr="003067B9" w:rsidRDefault="002863E3" w:rsidP="00527CFB">
      <w:pPr>
        <w:rPr>
          <w:lang w:val="en-NZ"/>
        </w:rPr>
      </w:pPr>
    </w:p>
    <w:p w14:paraId="3DF55917" w14:textId="77777777" w:rsidR="002863E3" w:rsidRPr="003067B9" w:rsidRDefault="002863E3" w:rsidP="00527CFB">
      <w:pPr>
        <w:rPr>
          <w:lang w:val="en-NZ"/>
        </w:rPr>
      </w:pPr>
    </w:p>
    <w:p w14:paraId="32B89F93" w14:textId="77777777" w:rsidR="0079357F" w:rsidRPr="003067B9" w:rsidRDefault="0079357F" w:rsidP="00527CFB">
      <w:pPr>
        <w:rPr>
          <w:lang w:val="en-NZ"/>
        </w:rPr>
      </w:pPr>
    </w:p>
    <w:p w14:paraId="63ED424D" w14:textId="77777777" w:rsidR="0079357F" w:rsidRPr="003067B9" w:rsidRDefault="0079357F" w:rsidP="00527CFB">
      <w:pPr>
        <w:rPr>
          <w:lang w:val="en-NZ"/>
        </w:rPr>
      </w:pPr>
    </w:p>
    <w:p w14:paraId="6EEAC42A" w14:textId="77777777" w:rsidR="0079357F" w:rsidRPr="003067B9" w:rsidRDefault="0079357F" w:rsidP="00527CFB">
      <w:pPr>
        <w:rPr>
          <w:lang w:val="en-NZ"/>
        </w:rPr>
      </w:pPr>
    </w:p>
    <w:p w14:paraId="6F1793FB" w14:textId="77777777" w:rsidR="0079357F" w:rsidRPr="003067B9" w:rsidRDefault="0079357F" w:rsidP="00527CFB">
      <w:pPr>
        <w:rPr>
          <w:lang w:val="en-NZ"/>
        </w:rPr>
      </w:pPr>
    </w:p>
    <w:p w14:paraId="4A1326F6" w14:textId="77777777" w:rsidR="0079357F" w:rsidRPr="003067B9" w:rsidRDefault="0079357F" w:rsidP="00527CFB">
      <w:pPr>
        <w:rPr>
          <w:lang w:val="en-NZ"/>
        </w:rPr>
      </w:pPr>
    </w:p>
    <w:p w14:paraId="0342957B" w14:textId="77777777" w:rsidR="0079357F" w:rsidRPr="003067B9" w:rsidRDefault="0079357F" w:rsidP="00527CFB">
      <w:pPr>
        <w:rPr>
          <w:lang w:val="en-NZ"/>
        </w:rPr>
      </w:pPr>
    </w:p>
    <w:p w14:paraId="784E7B34" w14:textId="77777777" w:rsidR="0079357F" w:rsidRPr="003067B9" w:rsidRDefault="0079357F" w:rsidP="00527CFB">
      <w:pPr>
        <w:rPr>
          <w:lang w:val="en-NZ"/>
        </w:rPr>
      </w:pPr>
    </w:p>
    <w:p w14:paraId="3C0D7B9E" w14:textId="77777777" w:rsidR="00726F9C" w:rsidRPr="00D4706E" w:rsidRDefault="00726F9C" w:rsidP="00726F9C">
      <w:pPr>
        <w:pStyle w:val="Heading1"/>
        <w:rPr>
          <w:color w:val="15284C"/>
          <w:sz w:val="72"/>
          <w:szCs w:val="72"/>
        </w:rPr>
      </w:pPr>
      <w:bookmarkStart w:id="113" w:name="_Toc162008471"/>
      <w:bookmarkStart w:id="114" w:name="_Toc162008472"/>
      <w:bookmarkStart w:id="115" w:name="_Toc170199193"/>
      <w:r w:rsidRPr="00D4706E">
        <w:rPr>
          <w:color w:val="15284C"/>
          <w:sz w:val="72"/>
          <w:szCs w:val="72"/>
        </w:rPr>
        <w:lastRenderedPageBreak/>
        <w:t>Appendices</w:t>
      </w:r>
      <w:bookmarkEnd w:id="113"/>
    </w:p>
    <w:p w14:paraId="15D8ADC7" w14:textId="335EA528" w:rsidR="00EC3C3A" w:rsidRPr="00D4706E" w:rsidRDefault="00EC3C3A" w:rsidP="00C96679">
      <w:pPr>
        <w:pStyle w:val="Heading2"/>
        <w:spacing w:before="480" w:line="288" w:lineRule="auto"/>
        <w:rPr>
          <w:rFonts w:eastAsiaTheme="majorEastAsia"/>
          <w:bCs w:val="0"/>
          <w:color w:val="15284C"/>
          <w:sz w:val="48"/>
          <w:szCs w:val="26"/>
        </w:rPr>
      </w:pPr>
      <w:r w:rsidRPr="00D4706E">
        <w:rPr>
          <w:rFonts w:eastAsiaTheme="majorEastAsia"/>
          <w:bCs w:val="0"/>
          <w:color w:val="15284C"/>
          <w:sz w:val="48"/>
          <w:szCs w:val="26"/>
        </w:rPr>
        <w:t xml:space="preserve">Appendix 1: Measure </w:t>
      </w:r>
      <w:r w:rsidR="00640614">
        <w:rPr>
          <w:rFonts w:eastAsiaTheme="majorEastAsia"/>
          <w:bCs w:val="0"/>
          <w:color w:val="15284C"/>
          <w:sz w:val="48"/>
          <w:szCs w:val="26"/>
        </w:rPr>
        <w:t>d</w:t>
      </w:r>
      <w:r w:rsidRPr="00D4706E">
        <w:rPr>
          <w:rFonts w:eastAsiaTheme="majorEastAsia"/>
          <w:bCs w:val="0"/>
          <w:color w:val="15284C"/>
          <w:sz w:val="48"/>
          <w:szCs w:val="26"/>
        </w:rPr>
        <w:t>efinitions</w:t>
      </w:r>
      <w:bookmarkEnd w:id="114"/>
      <w:bookmarkEnd w:id="115"/>
    </w:p>
    <w:p w14:paraId="348F69C9" w14:textId="77777777" w:rsidR="00EC3C3A" w:rsidRPr="003067B9" w:rsidRDefault="00EC3C3A" w:rsidP="00B01A8F">
      <w:pPr>
        <w:rPr>
          <w:lang w:val="en-NZ"/>
        </w:rPr>
      </w:pPr>
      <w:r w:rsidRPr="003067B9">
        <w:rPr>
          <w:lang w:val="en-NZ"/>
        </w:rPr>
        <w:t>The table below provides additional information for each of the performance measures listed in section 6 (non-financial performance) above. A definition of each measure has been provided, along with information on the target (where possible) and baseline performance for the period quarter one 2022/23. The accountability documents (Doc) aligned to each measure are indicated as well with the below key:</w:t>
      </w:r>
    </w:p>
    <w:p w14:paraId="7CDA0A39" w14:textId="77777777" w:rsidR="00EC3C3A" w:rsidRPr="003067B9" w:rsidRDefault="00EC3C3A" w:rsidP="00B01A8F">
      <w:pPr>
        <w:pStyle w:val="Bulletpoints"/>
        <w:rPr>
          <w:lang w:val="en-NZ"/>
        </w:rPr>
      </w:pPr>
      <w:r w:rsidRPr="003067B9">
        <w:rPr>
          <w:lang w:val="en-NZ"/>
        </w:rPr>
        <w:t>Statement of Performance Expectations 2023-24 (SPE)</w:t>
      </w:r>
    </w:p>
    <w:p w14:paraId="53C7347A" w14:textId="77777777" w:rsidR="00EC3C3A" w:rsidRPr="003067B9" w:rsidRDefault="00EC3C3A" w:rsidP="00B01A8F">
      <w:pPr>
        <w:pStyle w:val="Bulletpoints"/>
        <w:rPr>
          <w:lang w:val="en-NZ"/>
        </w:rPr>
      </w:pPr>
      <w:r w:rsidRPr="003067B9">
        <w:rPr>
          <w:lang w:val="en-NZ"/>
        </w:rPr>
        <w:t>Te Pae Tata | Interim New Zealand Health Plan (TPT)</w:t>
      </w:r>
    </w:p>
    <w:p w14:paraId="1C350B42" w14:textId="524503D4" w:rsidR="00EC3C3A" w:rsidRPr="003067B9" w:rsidRDefault="00EC3C3A" w:rsidP="00B01A8F">
      <w:pPr>
        <w:pStyle w:val="Bulletpoints"/>
        <w:rPr>
          <w:lang w:val="en-NZ"/>
        </w:rPr>
      </w:pPr>
      <w:r w:rsidRPr="003067B9">
        <w:rPr>
          <w:lang w:val="en-NZ"/>
        </w:rPr>
        <w:t>Board identified Clinical Performance Metric for transparency reporting</w:t>
      </w:r>
      <w:r w:rsidR="00347A0B">
        <w:rPr>
          <w:lang w:val="en-NZ"/>
        </w:rPr>
        <w:t>.</w:t>
      </w:r>
    </w:p>
    <w:p w14:paraId="39FD9BC6" w14:textId="245F6B9C" w:rsidR="00EC3C3A" w:rsidRPr="003067B9" w:rsidRDefault="00EC3C3A" w:rsidP="00B01A8F">
      <w:pPr>
        <w:rPr>
          <w:lang w:val="en-NZ"/>
        </w:rPr>
      </w:pPr>
      <w:r w:rsidRPr="003067B9">
        <w:rPr>
          <w:lang w:val="en-NZ"/>
        </w:rPr>
        <w:t xml:space="preserve">Performance measures with a </w:t>
      </w:r>
      <w:r w:rsidR="00347A0B">
        <w:rPr>
          <w:lang w:val="en-NZ"/>
        </w:rPr>
        <w:t>‘</w:t>
      </w:r>
      <w:r w:rsidRPr="003067B9">
        <w:rPr>
          <w:b/>
          <w:bCs/>
          <w:lang w:val="en-NZ"/>
        </w:rPr>
        <w:t>+</w:t>
      </w:r>
      <w:r w:rsidR="00347A0B">
        <w:rPr>
          <w:b/>
          <w:bCs/>
          <w:lang w:val="en-NZ"/>
        </w:rPr>
        <w:t>’</w:t>
      </w:r>
      <w:r w:rsidRPr="003067B9">
        <w:rPr>
          <w:lang w:val="en-NZ"/>
        </w:rPr>
        <w:t xml:space="preserve"> symbol have additional data at a local level which can be found in Appendix 2.</w:t>
      </w:r>
    </w:p>
    <w:p w14:paraId="514DC8A1" w14:textId="49263D52" w:rsidR="00EC3C3A" w:rsidRPr="003067B9" w:rsidRDefault="00D32F01" w:rsidP="00B01A8F">
      <w:pPr>
        <w:pStyle w:val="Bulletpoints"/>
        <w:rPr>
          <w:lang w:val="en-NZ"/>
        </w:rPr>
      </w:pPr>
      <w:r w:rsidRPr="003067B9">
        <w:rPr>
          <w:lang w:val="en-NZ"/>
        </w:rPr>
        <w:t>National</w:t>
      </w:r>
      <w:r w:rsidR="00EC3C3A" w:rsidRPr="003067B9">
        <w:rPr>
          <w:lang w:val="en-NZ"/>
        </w:rPr>
        <w:t xml:space="preserve"> Health Target specific reporting commencing 1 July 2024.</w:t>
      </w:r>
    </w:p>
    <w:tbl>
      <w:tblPr>
        <w:tblStyle w:val="TeWhatuOra"/>
        <w:tblW w:w="5151" w:type="pct"/>
        <w:tblLook w:val="0420" w:firstRow="1" w:lastRow="0" w:firstColumn="0" w:lastColumn="0" w:noHBand="0" w:noVBand="1"/>
      </w:tblPr>
      <w:tblGrid>
        <w:gridCol w:w="438"/>
        <w:gridCol w:w="2055"/>
        <w:gridCol w:w="3172"/>
        <w:gridCol w:w="1539"/>
        <w:gridCol w:w="1336"/>
        <w:gridCol w:w="1379"/>
      </w:tblGrid>
      <w:tr w:rsidR="00C96679" w:rsidRPr="00D4706E" w14:paraId="00289F6F" w14:textId="77777777" w:rsidTr="00C96679">
        <w:trPr>
          <w:cnfStyle w:val="100000000000" w:firstRow="1" w:lastRow="0" w:firstColumn="0" w:lastColumn="0" w:oddVBand="0" w:evenVBand="0" w:oddHBand="0" w:evenHBand="0" w:firstRowFirstColumn="0" w:firstRowLastColumn="0" w:lastRowFirstColumn="0" w:lastRowLastColumn="0"/>
          <w:tblHeader/>
        </w:trPr>
        <w:tc>
          <w:tcPr>
            <w:tcW w:w="220" w:type="pct"/>
            <w:shd w:val="clear" w:color="auto" w:fill="D9D9D9" w:themeFill="accent6" w:themeFillShade="D9"/>
          </w:tcPr>
          <w:p w14:paraId="3016B031" w14:textId="77777777" w:rsidR="00EC3C3A" w:rsidRPr="003067B9" w:rsidRDefault="00EC3C3A" w:rsidP="003B29E0">
            <w:pPr>
              <w:rPr>
                <w:lang w:val="en-NZ"/>
              </w:rPr>
            </w:pPr>
            <w:r w:rsidRPr="003067B9">
              <w:rPr>
                <w:lang w:val="en-NZ"/>
              </w:rPr>
              <w:t>#</w:t>
            </w:r>
          </w:p>
        </w:tc>
        <w:tc>
          <w:tcPr>
            <w:tcW w:w="1036" w:type="pct"/>
            <w:shd w:val="clear" w:color="auto" w:fill="D9D9D9" w:themeFill="accent6" w:themeFillShade="D9"/>
          </w:tcPr>
          <w:p w14:paraId="71720A42" w14:textId="77777777" w:rsidR="00EC3C3A" w:rsidRPr="003067B9" w:rsidRDefault="00EC3C3A" w:rsidP="003B29E0">
            <w:pPr>
              <w:rPr>
                <w:lang w:val="en-NZ"/>
              </w:rPr>
            </w:pPr>
            <w:r w:rsidRPr="003067B9">
              <w:rPr>
                <w:lang w:val="en-NZ"/>
              </w:rPr>
              <w:t>Measure name</w:t>
            </w:r>
          </w:p>
        </w:tc>
        <w:tc>
          <w:tcPr>
            <w:tcW w:w="1599" w:type="pct"/>
            <w:shd w:val="clear" w:color="auto" w:fill="D9D9D9" w:themeFill="accent6" w:themeFillShade="D9"/>
          </w:tcPr>
          <w:p w14:paraId="3F008A9A" w14:textId="77777777" w:rsidR="00EC3C3A" w:rsidRPr="003067B9" w:rsidRDefault="00EC3C3A" w:rsidP="003B29E0">
            <w:pPr>
              <w:rPr>
                <w:lang w:val="en-NZ"/>
              </w:rPr>
            </w:pPr>
            <w:r w:rsidRPr="003067B9">
              <w:rPr>
                <w:lang w:val="en-NZ"/>
              </w:rPr>
              <w:t>Definition</w:t>
            </w:r>
          </w:p>
        </w:tc>
        <w:tc>
          <w:tcPr>
            <w:tcW w:w="776" w:type="pct"/>
            <w:shd w:val="clear" w:color="auto" w:fill="D9D9D9" w:themeFill="accent6" w:themeFillShade="D9"/>
          </w:tcPr>
          <w:p w14:paraId="12D1FCE8" w14:textId="77777777" w:rsidR="00EC3C3A" w:rsidRPr="003067B9" w:rsidRDefault="00EC3C3A" w:rsidP="003B29E0">
            <w:pPr>
              <w:rPr>
                <w:lang w:val="en-NZ"/>
              </w:rPr>
            </w:pPr>
            <w:r w:rsidRPr="003067B9">
              <w:rPr>
                <w:lang w:val="en-NZ"/>
              </w:rPr>
              <w:t>23/24 Target</w:t>
            </w:r>
          </w:p>
        </w:tc>
        <w:tc>
          <w:tcPr>
            <w:tcW w:w="673" w:type="pct"/>
            <w:shd w:val="clear" w:color="auto" w:fill="D9D9D9" w:themeFill="accent6" w:themeFillShade="D9"/>
          </w:tcPr>
          <w:p w14:paraId="1CE00449" w14:textId="77777777" w:rsidR="00EC3C3A" w:rsidRPr="003067B9" w:rsidRDefault="00EC3C3A" w:rsidP="003B29E0">
            <w:pPr>
              <w:rPr>
                <w:lang w:val="en-NZ"/>
              </w:rPr>
            </w:pPr>
            <w:r w:rsidRPr="003067B9">
              <w:rPr>
                <w:lang w:val="en-NZ"/>
              </w:rPr>
              <w:t>National Baseline</w:t>
            </w:r>
            <w:r w:rsidRPr="003067B9">
              <w:rPr>
                <w:vertAlign w:val="superscript"/>
                <w:lang w:val="en-NZ"/>
              </w:rPr>
              <w:footnoteReference w:id="13"/>
            </w:r>
          </w:p>
        </w:tc>
        <w:tc>
          <w:tcPr>
            <w:tcW w:w="695" w:type="pct"/>
            <w:shd w:val="clear" w:color="auto" w:fill="D9D9D9" w:themeFill="accent6" w:themeFillShade="D9"/>
          </w:tcPr>
          <w:p w14:paraId="59111A3E" w14:textId="0B695266" w:rsidR="00EC3C3A" w:rsidRPr="003067B9" w:rsidRDefault="00EC3C3A" w:rsidP="003B29E0">
            <w:pPr>
              <w:rPr>
                <w:lang w:val="en-NZ"/>
              </w:rPr>
            </w:pPr>
            <w:r w:rsidRPr="003067B9">
              <w:rPr>
                <w:lang w:val="en-NZ"/>
              </w:rPr>
              <w:t>Doc</w:t>
            </w:r>
            <w:r w:rsidR="001E4C1B" w:rsidRPr="003067B9">
              <w:rPr>
                <w:lang w:val="en-NZ"/>
              </w:rPr>
              <w:t>ument</w:t>
            </w:r>
          </w:p>
        </w:tc>
      </w:tr>
      <w:tr w:rsidR="00EC3C3A" w:rsidRPr="00D4706E" w14:paraId="11B60B79" w14:textId="77777777" w:rsidTr="00C96679">
        <w:tc>
          <w:tcPr>
            <w:tcW w:w="220" w:type="pct"/>
          </w:tcPr>
          <w:p w14:paraId="31790FCF" w14:textId="77777777" w:rsidR="00EC3C3A" w:rsidRPr="003067B9" w:rsidRDefault="00EC3C3A" w:rsidP="003B29E0">
            <w:pPr>
              <w:rPr>
                <w:lang w:val="en-NZ"/>
              </w:rPr>
            </w:pPr>
            <w:r w:rsidRPr="003067B9">
              <w:rPr>
                <w:lang w:val="en-NZ"/>
              </w:rPr>
              <w:t>1</w:t>
            </w:r>
          </w:p>
        </w:tc>
        <w:tc>
          <w:tcPr>
            <w:tcW w:w="1036" w:type="pct"/>
          </w:tcPr>
          <w:p w14:paraId="0C6051AB" w14:textId="77777777" w:rsidR="00EC3C3A" w:rsidRPr="003067B9" w:rsidRDefault="00EC3C3A" w:rsidP="003B29E0">
            <w:pPr>
              <w:rPr>
                <w:lang w:val="en-NZ"/>
              </w:rPr>
            </w:pPr>
            <w:r w:rsidRPr="003067B9">
              <w:rPr>
                <w:lang w:val="en-NZ"/>
              </w:rPr>
              <w:t xml:space="preserve">Immunisation coverage at 24 months </w:t>
            </w:r>
            <w:r w:rsidRPr="003067B9">
              <w:rPr>
                <w:noProof/>
                <w:lang w:val="en-NZ"/>
              </w:rPr>
              <w:drawing>
                <wp:inline distT="0" distB="0" distL="0" distR="0" wp14:anchorId="3CA5BE37" wp14:editId="3D7F22C4">
                  <wp:extent cx="190500" cy="190500"/>
                  <wp:effectExtent l="0" t="0" r="0" b="0"/>
                  <wp:docPr id="836186658" name="Picture 8361866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lang w:val="en-NZ"/>
              </w:rPr>
              <w:t>+</w:t>
            </w:r>
          </w:p>
        </w:tc>
        <w:tc>
          <w:tcPr>
            <w:tcW w:w="1599" w:type="pct"/>
          </w:tcPr>
          <w:p w14:paraId="6629CA56" w14:textId="1815DCFE" w:rsidR="00EC3C3A" w:rsidRPr="003067B9" w:rsidRDefault="00EC3C3A" w:rsidP="003B29E0">
            <w:pPr>
              <w:rPr>
                <w:lang w:val="en-NZ"/>
              </w:rPr>
            </w:pPr>
            <w:r w:rsidRPr="003067B9">
              <w:rPr>
                <w:lang w:val="en-NZ"/>
              </w:rPr>
              <w:t>Percentage of children who have all of their scheduled vaccinations by the time they are two years old. Coverage is calculated as the percentage of children who turned two during the period who are recorded as fully immunised for their age on the National Immunisation Register (NIR) / Aotearoa Immunisation Register (AIR).</w:t>
            </w:r>
          </w:p>
        </w:tc>
        <w:tc>
          <w:tcPr>
            <w:tcW w:w="776" w:type="pct"/>
          </w:tcPr>
          <w:p w14:paraId="6C442E70" w14:textId="77777777" w:rsidR="00EC3C3A" w:rsidRPr="003067B9" w:rsidRDefault="00EC3C3A" w:rsidP="003B29E0">
            <w:pPr>
              <w:rPr>
                <w:lang w:val="en-NZ"/>
              </w:rPr>
            </w:pPr>
            <w:r w:rsidRPr="003067B9">
              <w:rPr>
                <w:lang w:val="en-NZ"/>
              </w:rPr>
              <w:t>90%</w:t>
            </w:r>
          </w:p>
        </w:tc>
        <w:tc>
          <w:tcPr>
            <w:tcW w:w="673" w:type="pct"/>
          </w:tcPr>
          <w:p w14:paraId="0EB67FCB" w14:textId="77777777" w:rsidR="00EC3C3A" w:rsidRPr="003067B9" w:rsidRDefault="00EC3C3A" w:rsidP="003B29E0">
            <w:pPr>
              <w:rPr>
                <w:lang w:val="en-NZ"/>
              </w:rPr>
            </w:pPr>
            <w:r w:rsidRPr="003067B9">
              <w:rPr>
                <w:lang w:val="en-NZ"/>
              </w:rPr>
              <w:t>National baseline 82% (Q1 2022/23)</w:t>
            </w:r>
          </w:p>
        </w:tc>
        <w:tc>
          <w:tcPr>
            <w:tcW w:w="695" w:type="pct"/>
          </w:tcPr>
          <w:p w14:paraId="0A514107" w14:textId="77777777" w:rsidR="00EC3C3A" w:rsidRPr="003067B9" w:rsidRDefault="00EC3C3A" w:rsidP="003B29E0">
            <w:pPr>
              <w:rPr>
                <w:lang w:val="en-NZ"/>
              </w:rPr>
            </w:pPr>
            <w:r w:rsidRPr="003067B9">
              <w:rPr>
                <w:lang w:val="en-NZ"/>
              </w:rPr>
              <w:t>SPE</w:t>
            </w:r>
          </w:p>
          <w:p w14:paraId="6A385872" w14:textId="77777777" w:rsidR="00EC3C3A" w:rsidRPr="003067B9" w:rsidRDefault="00EC3C3A" w:rsidP="003B29E0">
            <w:pPr>
              <w:rPr>
                <w:lang w:val="en-NZ"/>
              </w:rPr>
            </w:pPr>
            <w:r w:rsidRPr="003067B9">
              <w:rPr>
                <w:lang w:val="en-NZ"/>
              </w:rPr>
              <w:t>TPT</w:t>
            </w:r>
          </w:p>
          <w:p w14:paraId="0EA60261" w14:textId="77777777" w:rsidR="00EC3C3A" w:rsidRPr="003067B9" w:rsidRDefault="00EC3C3A" w:rsidP="003B29E0">
            <w:pPr>
              <w:rPr>
                <w:lang w:val="en-NZ"/>
              </w:rPr>
            </w:pPr>
            <w:r w:rsidRPr="003067B9">
              <w:rPr>
                <w:lang w:val="en-NZ"/>
              </w:rPr>
              <w:t>Board</w:t>
            </w:r>
          </w:p>
        </w:tc>
      </w:tr>
      <w:tr w:rsidR="0055282A" w:rsidRPr="00D4706E" w14:paraId="57FA5394" w14:textId="77777777" w:rsidTr="00C96679">
        <w:tc>
          <w:tcPr>
            <w:tcW w:w="220" w:type="pct"/>
          </w:tcPr>
          <w:p w14:paraId="20D1DD1B" w14:textId="39BFA633" w:rsidR="0055282A" w:rsidRPr="003067B9" w:rsidRDefault="002C12AA" w:rsidP="0055282A">
            <w:pPr>
              <w:rPr>
                <w:lang w:val="en-NZ"/>
              </w:rPr>
            </w:pPr>
            <w:r w:rsidRPr="003067B9">
              <w:rPr>
                <w:lang w:val="en-NZ"/>
              </w:rPr>
              <w:t>2</w:t>
            </w:r>
          </w:p>
        </w:tc>
        <w:tc>
          <w:tcPr>
            <w:tcW w:w="1036" w:type="pct"/>
          </w:tcPr>
          <w:p w14:paraId="2E1C0EA8" w14:textId="3E244858" w:rsidR="0055282A" w:rsidRPr="003067B9" w:rsidRDefault="0055282A" w:rsidP="0055282A">
            <w:pPr>
              <w:rPr>
                <w:lang w:val="en-NZ"/>
              </w:rPr>
            </w:pPr>
            <w:r w:rsidRPr="003067B9">
              <w:rPr>
                <w:lang w:val="en-NZ"/>
              </w:rPr>
              <w:t xml:space="preserve">Shorter stays in Emergency Departments </w:t>
            </w:r>
            <w:r w:rsidRPr="003067B9">
              <w:rPr>
                <w:noProof/>
                <w:lang w:val="en-NZ"/>
              </w:rPr>
              <w:drawing>
                <wp:inline distT="0" distB="0" distL="0" distR="0" wp14:anchorId="10F83CFA" wp14:editId="1E47F09B">
                  <wp:extent cx="190500" cy="190500"/>
                  <wp:effectExtent l="0" t="0" r="0" b="0"/>
                  <wp:docPr id="521631568" name="Picture 5216315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lang w:val="en-NZ"/>
              </w:rPr>
              <w:t xml:space="preserve"> +</w:t>
            </w:r>
          </w:p>
        </w:tc>
        <w:tc>
          <w:tcPr>
            <w:tcW w:w="1599" w:type="pct"/>
          </w:tcPr>
          <w:p w14:paraId="056AFF34" w14:textId="48E61D1C" w:rsidR="0055282A" w:rsidRPr="003067B9" w:rsidRDefault="0055282A" w:rsidP="0055282A">
            <w:pPr>
              <w:rPr>
                <w:lang w:val="en-NZ"/>
              </w:rPr>
            </w:pPr>
            <w:r w:rsidRPr="003067B9">
              <w:rPr>
                <w:lang w:val="en-NZ"/>
              </w:rPr>
              <w:t>This measure reports patients admitted, discharged, or transferred from an ED within six hours (Shorter Stays in ED) as percentage of all patients who left ED in the period.</w:t>
            </w:r>
          </w:p>
        </w:tc>
        <w:tc>
          <w:tcPr>
            <w:tcW w:w="776" w:type="pct"/>
          </w:tcPr>
          <w:p w14:paraId="74CD1BE5" w14:textId="3EF79ADB" w:rsidR="0055282A" w:rsidRPr="003067B9" w:rsidRDefault="0055282A" w:rsidP="0055282A">
            <w:pPr>
              <w:rPr>
                <w:lang w:val="en-NZ"/>
              </w:rPr>
            </w:pPr>
            <w:r w:rsidRPr="003067B9">
              <w:rPr>
                <w:lang w:val="en-NZ"/>
              </w:rPr>
              <w:t>95%</w:t>
            </w:r>
          </w:p>
        </w:tc>
        <w:tc>
          <w:tcPr>
            <w:tcW w:w="673" w:type="pct"/>
          </w:tcPr>
          <w:p w14:paraId="7BB40E42" w14:textId="3BFC9BAD" w:rsidR="0055282A" w:rsidRPr="003067B9" w:rsidRDefault="0055282A" w:rsidP="0055282A">
            <w:pPr>
              <w:rPr>
                <w:lang w:val="en-NZ"/>
              </w:rPr>
            </w:pPr>
            <w:r w:rsidRPr="003067B9">
              <w:rPr>
                <w:lang w:val="en-NZ"/>
              </w:rPr>
              <w:t>National baseline 72% (Q1 2022/23)</w:t>
            </w:r>
          </w:p>
        </w:tc>
        <w:tc>
          <w:tcPr>
            <w:tcW w:w="695" w:type="pct"/>
          </w:tcPr>
          <w:p w14:paraId="64ED06B3" w14:textId="77777777" w:rsidR="0055282A" w:rsidRPr="003067B9" w:rsidRDefault="0055282A" w:rsidP="0055282A">
            <w:pPr>
              <w:rPr>
                <w:lang w:val="en-NZ"/>
              </w:rPr>
            </w:pPr>
            <w:r w:rsidRPr="003067B9">
              <w:rPr>
                <w:lang w:val="en-NZ"/>
              </w:rPr>
              <w:t>SPE</w:t>
            </w:r>
          </w:p>
          <w:p w14:paraId="4593F3BC" w14:textId="7426EC79" w:rsidR="0055282A" w:rsidRPr="003067B9" w:rsidRDefault="0055282A" w:rsidP="0055282A">
            <w:pPr>
              <w:rPr>
                <w:lang w:val="en-NZ"/>
              </w:rPr>
            </w:pPr>
            <w:r w:rsidRPr="003067B9">
              <w:rPr>
                <w:lang w:val="en-NZ"/>
              </w:rPr>
              <w:t>Board</w:t>
            </w:r>
          </w:p>
        </w:tc>
      </w:tr>
      <w:tr w:rsidR="002B7406" w:rsidRPr="00D4706E" w14:paraId="52E5F164" w14:textId="77777777" w:rsidTr="00C96679">
        <w:tc>
          <w:tcPr>
            <w:tcW w:w="220" w:type="pct"/>
          </w:tcPr>
          <w:p w14:paraId="6DC6180A" w14:textId="03C54B7F" w:rsidR="002B7406" w:rsidRPr="003067B9" w:rsidRDefault="002C12AA" w:rsidP="002B7406">
            <w:pPr>
              <w:rPr>
                <w:lang w:val="en-NZ"/>
              </w:rPr>
            </w:pPr>
            <w:r w:rsidRPr="003067B9">
              <w:rPr>
                <w:lang w:val="en-NZ"/>
              </w:rPr>
              <w:lastRenderedPageBreak/>
              <w:t>3</w:t>
            </w:r>
          </w:p>
        </w:tc>
        <w:tc>
          <w:tcPr>
            <w:tcW w:w="1036" w:type="pct"/>
          </w:tcPr>
          <w:p w14:paraId="639528B3" w14:textId="48E20835" w:rsidR="002B7406" w:rsidRPr="003067B9" w:rsidRDefault="002B7406" w:rsidP="002B7406">
            <w:pPr>
              <w:rPr>
                <w:lang w:val="en-NZ"/>
              </w:rPr>
            </w:pPr>
            <w:r w:rsidRPr="003067B9">
              <w:rPr>
                <w:lang w:val="en-NZ"/>
              </w:rPr>
              <w:t xml:space="preserve">People waiting more than four months for first specialist assessment </w:t>
            </w:r>
            <w:r w:rsidRPr="003067B9">
              <w:rPr>
                <w:noProof/>
                <w:lang w:val="en-NZ"/>
              </w:rPr>
              <w:drawing>
                <wp:inline distT="0" distB="0" distL="0" distR="0" wp14:anchorId="2261B126" wp14:editId="18D5B4C1">
                  <wp:extent cx="190500" cy="190500"/>
                  <wp:effectExtent l="0" t="0" r="0" b="0"/>
                  <wp:docPr id="1536172999" name="Picture 15361729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lang w:val="en-NZ"/>
              </w:rPr>
              <w:t xml:space="preserve"> +</w:t>
            </w:r>
          </w:p>
        </w:tc>
        <w:tc>
          <w:tcPr>
            <w:tcW w:w="1599" w:type="pct"/>
          </w:tcPr>
          <w:p w14:paraId="5984218F" w14:textId="77777777" w:rsidR="002B7406" w:rsidRPr="003067B9" w:rsidRDefault="002B7406" w:rsidP="002B7406">
            <w:pPr>
              <w:rPr>
                <w:lang w:val="en-NZ"/>
              </w:rPr>
            </w:pPr>
            <w:r w:rsidRPr="003067B9">
              <w:rPr>
                <w:lang w:val="en-NZ"/>
              </w:rPr>
              <w:t>Proportion of people waiting longer than four months for their first specialist assessment. The target wait time for people to receive a first specialist assessment is four months from the date of referral. This measure is Elective Services Performance Indicator 2 (ESPI2).</w:t>
            </w:r>
          </w:p>
          <w:p w14:paraId="6C47389C" w14:textId="3158F414" w:rsidR="002B7406" w:rsidRPr="003067B9" w:rsidRDefault="002B7406" w:rsidP="002B7406">
            <w:pPr>
              <w:rPr>
                <w:lang w:val="en-NZ"/>
              </w:rPr>
            </w:pPr>
            <w:r w:rsidRPr="003067B9">
              <w:rPr>
                <w:b/>
                <w:bCs/>
                <w:lang w:val="en-NZ"/>
              </w:rPr>
              <w:t>NOTE</w:t>
            </w:r>
            <w:r w:rsidRPr="003067B9">
              <w:rPr>
                <w:lang w:val="en-NZ"/>
              </w:rPr>
              <w:t xml:space="preserve"> From 1 July, this will be reported as the percentage of patients waiting less than </w:t>
            </w:r>
            <w:r w:rsidR="002C108B" w:rsidRPr="003067B9">
              <w:rPr>
                <w:lang w:val="en-NZ"/>
              </w:rPr>
              <w:t xml:space="preserve">four </w:t>
            </w:r>
            <w:r w:rsidRPr="003067B9">
              <w:rPr>
                <w:lang w:val="en-NZ"/>
              </w:rPr>
              <w:t>months for a first specialist assessment in alignment with the National Health Targets. The target will be 95%.</w:t>
            </w:r>
          </w:p>
        </w:tc>
        <w:tc>
          <w:tcPr>
            <w:tcW w:w="776" w:type="pct"/>
          </w:tcPr>
          <w:p w14:paraId="0353B3DC" w14:textId="03D04DB4" w:rsidR="002B7406" w:rsidRPr="003067B9" w:rsidRDefault="002B7406" w:rsidP="002B7406">
            <w:pPr>
              <w:rPr>
                <w:lang w:val="en-NZ"/>
              </w:rPr>
            </w:pPr>
            <w:r w:rsidRPr="003067B9">
              <w:rPr>
                <w:lang w:val="en-NZ"/>
              </w:rPr>
              <w:t>0%</w:t>
            </w:r>
          </w:p>
        </w:tc>
        <w:tc>
          <w:tcPr>
            <w:tcW w:w="673" w:type="pct"/>
          </w:tcPr>
          <w:p w14:paraId="694196A7" w14:textId="77777777" w:rsidR="002B7406" w:rsidRPr="003067B9" w:rsidRDefault="002B7406" w:rsidP="002B7406">
            <w:pPr>
              <w:rPr>
                <w:lang w:val="en-NZ"/>
              </w:rPr>
            </w:pPr>
            <w:r w:rsidRPr="003067B9">
              <w:rPr>
                <w:lang w:val="en-NZ"/>
              </w:rPr>
              <w:t>National baseline 25% (Q1 2022/23)</w:t>
            </w:r>
          </w:p>
          <w:p w14:paraId="3D27A3B6" w14:textId="77777777" w:rsidR="002B7406" w:rsidRPr="003067B9" w:rsidRDefault="002B7406" w:rsidP="002B7406">
            <w:pPr>
              <w:rPr>
                <w:lang w:val="en-NZ"/>
              </w:rPr>
            </w:pPr>
          </w:p>
        </w:tc>
        <w:tc>
          <w:tcPr>
            <w:tcW w:w="695" w:type="pct"/>
          </w:tcPr>
          <w:p w14:paraId="143D8194" w14:textId="77777777" w:rsidR="002B7406" w:rsidRPr="003067B9" w:rsidRDefault="002B7406" w:rsidP="002B7406">
            <w:pPr>
              <w:rPr>
                <w:lang w:val="en-NZ"/>
              </w:rPr>
            </w:pPr>
            <w:r w:rsidRPr="003067B9">
              <w:rPr>
                <w:lang w:val="en-NZ"/>
              </w:rPr>
              <w:t>SPE</w:t>
            </w:r>
          </w:p>
          <w:p w14:paraId="16A0B660" w14:textId="77777777" w:rsidR="002B7406" w:rsidRPr="003067B9" w:rsidRDefault="002B7406" w:rsidP="002B7406">
            <w:pPr>
              <w:rPr>
                <w:lang w:val="en-NZ"/>
              </w:rPr>
            </w:pPr>
            <w:r w:rsidRPr="003067B9">
              <w:rPr>
                <w:lang w:val="en-NZ"/>
              </w:rPr>
              <w:t>TPT</w:t>
            </w:r>
          </w:p>
          <w:p w14:paraId="34C05E14" w14:textId="2E814FC7" w:rsidR="002B7406" w:rsidRPr="003067B9" w:rsidRDefault="002B7406" w:rsidP="002B7406">
            <w:pPr>
              <w:rPr>
                <w:lang w:val="en-NZ"/>
              </w:rPr>
            </w:pPr>
            <w:r w:rsidRPr="003067B9">
              <w:rPr>
                <w:lang w:val="en-NZ"/>
              </w:rPr>
              <w:t>Board</w:t>
            </w:r>
          </w:p>
        </w:tc>
      </w:tr>
      <w:tr w:rsidR="003009E3" w:rsidRPr="00D4706E" w14:paraId="5260F95F" w14:textId="77777777" w:rsidTr="00C96679">
        <w:tc>
          <w:tcPr>
            <w:tcW w:w="220" w:type="pct"/>
          </w:tcPr>
          <w:p w14:paraId="2265C723" w14:textId="66E91968" w:rsidR="003009E3" w:rsidRPr="003067B9" w:rsidRDefault="00E30882" w:rsidP="003009E3">
            <w:pPr>
              <w:rPr>
                <w:lang w:val="en-NZ"/>
              </w:rPr>
            </w:pPr>
            <w:r w:rsidRPr="003067B9">
              <w:rPr>
                <w:lang w:val="en-NZ"/>
              </w:rPr>
              <w:t>4</w:t>
            </w:r>
          </w:p>
        </w:tc>
        <w:tc>
          <w:tcPr>
            <w:tcW w:w="1036" w:type="pct"/>
          </w:tcPr>
          <w:p w14:paraId="359556D1" w14:textId="24BBAD66" w:rsidR="003009E3" w:rsidRPr="003067B9" w:rsidRDefault="003009E3" w:rsidP="003009E3">
            <w:pPr>
              <w:rPr>
                <w:lang w:val="en-NZ"/>
              </w:rPr>
            </w:pPr>
            <w:r w:rsidRPr="003067B9">
              <w:rPr>
                <w:lang w:val="en-NZ"/>
              </w:rPr>
              <w:t xml:space="preserve">People waiting more than four months for a procedure </w:t>
            </w:r>
            <w:r w:rsidRPr="003067B9">
              <w:rPr>
                <w:noProof/>
                <w:lang w:val="en-NZ"/>
              </w:rPr>
              <w:drawing>
                <wp:inline distT="0" distB="0" distL="0" distR="0" wp14:anchorId="4EF7DF92" wp14:editId="1648C2C0">
                  <wp:extent cx="190500" cy="190500"/>
                  <wp:effectExtent l="0" t="0" r="0" b="0"/>
                  <wp:docPr id="697590762" name="Picture 6975907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lang w:val="en-NZ"/>
              </w:rPr>
              <w:t xml:space="preserve"> +</w:t>
            </w:r>
          </w:p>
        </w:tc>
        <w:tc>
          <w:tcPr>
            <w:tcW w:w="1599" w:type="pct"/>
          </w:tcPr>
          <w:p w14:paraId="00640A02" w14:textId="77777777" w:rsidR="003009E3" w:rsidRPr="003067B9" w:rsidRDefault="003009E3" w:rsidP="003009E3">
            <w:pPr>
              <w:rPr>
                <w:lang w:val="en-NZ"/>
              </w:rPr>
            </w:pPr>
            <w:r w:rsidRPr="003067B9">
              <w:rPr>
                <w:lang w:val="en-NZ"/>
              </w:rPr>
              <w:t>People given a commitment to treatment but not treated within four months as a proportion of all people waiting for a procedure. This measure is Elective Services Performance Indicator 5 (ESPI5).</w:t>
            </w:r>
          </w:p>
          <w:p w14:paraId="3D30663E" w14:textId="5982186A" w:rsidR="003009E3" w:rsidRPr="003067B9" w:rsidRDefault="003009E3" w:rsidP="003009E3">
            <w:pPr>
              <w:rPr>
                <w:lang w:val="en-NZ"/>
              </w:rPr>
            </w:pPr>
            <w:r w:rsidRPr="003067B9">
              <w:rPr>
                <w:b/>
                <w:bCs/>
                <w:lang w:val="en-NZ"/>
              </w:rPr>
              <w:t>NOTE</w:t>
            </w:r>
            <w:r w:rsidRPr="003067B9">
              <w:rPr>
                <w:lang w:val="en-NZ"/>
              </w:rPr>
              <w:t xml:space="preserve"> From 1 July, this will be reported as the percentage of patients waiting less than </w:t>
            </w:r>
            <w:r w:rsidR="002C108B" w:rsidRPr="003067B9">
              <w:rPr>
                <w:lang w:val="en-NZ"/>
              </w:rPr>
              <w:t xml:space="preserve">four </w:t>
            </w:r>
            <w:r w:rsidRPr="003067B9">
              <w:rPr>
                <w:lang w:val="en-NZ"/>
              </w:rPr>
              <w:t>months for elective treatment in alignment with the National Health Targets. The target will be 95%.</w:t>
            </w:r>
          </w:p>
        </w:tc>
        <w:tc>
          <w:tcPr>
            <w:tcW w:w="776" w:type="pct"/>
          </w:tcPr>
          <w:p w14:paraId="04CF3BF5" w14:textId="7CC4162C" w:rsidR="003009E3" w:rsidRPr="003067B9" w:rsidRDefault="003009E3" w:rsidP="003009E3">
            <w:pPr>
              <w:rPr>
                <w:lang w:val="en-NZ"/>
              </w:rPr>
            </w:pPr>
            <w:r w:rsidRPr="003067B9">
              <w:rPr>
                <w:lang w:val="en-NZ"/>
              </w:rPr>
              <w:t>0%</w:t>
            </w:r>
          </w:p>
        </w:tc>
        <w:tc>
          <w:tcPr>
            <w:tcW w:w="673" w:type="pct"/>
          </w:tcPr>
          <w:p w14:paraId="1D3BDAE8" w14:textId="099397BF" w:rsidR="003009E3" w:rsidRPr="003067B9" w:rsidRDefault="003009E3" w:rsidP="003009E3">
            <w:pPr>
              <w:rPr>
                <w:lang w:val="en-NZ"/>
              </w:rPr>
            </w:pPr>
            <w:r w:rsidRPr="003067B9">
              <w:rPr>
                <w:lang w:val="en-NZ"/>
              </w:rPr>
              <w:t>National baseline 38% (Q1 2022/23)</w:t>
            </w:r>
          </w:p>
        </w:tc>
        <w:tc>
          <w:tcPr>
            <w:tcW w:w="695" w:type="pct"/>
          </w:tcPr>
          <w:p w14:paraId="7E312684" w14:textId="77777777" w:rsidR="003009E3" w:rsidRPr="003067B9" w:rsidRDefault="003009E3" w:rsidP="003009E3">
            <w:pPr>
              <w:rPr>
                <w:lang w:val="en-NZ"/>
              </w:rPr>
            </w:pPr>
            <w:r w:rsidRPr="003067B9">
              <w:rPr>
                <w:lang w:val="en-NZ"/>
              </w:rPr>
              <w:t>SPE</w:t>
            </w:r>
          </w:p>
          <w:p w14:paraId="1C49B2E7" w14:textId="3E9F95A2" w:rsidR="003009E3" w:rsidRPr="003067B9" w:rsidRDefault="003009E3" w:rsidP="003009E3">
            <w:pPr>
              <w:rPr>
                <w:lang w:val="en-NZ"/>
              </w:rPr>
            </w:pPr>
            <w:r w:rsidRPr="003067B9">
              <w:rPr>
                <w:lang w:val="en-NZ"/>
              </w:rPr>
              <w:t>Board</w:t>
            </w:r>
          </w:p>
        </w:tc>
      </w:tr>
      <w:tr w:rsidR="00ED76C6" w:rsidRPr="00D4706E" w14:paraId="4BAE4BEB" w14:textId="77777777" w:rsidTr="00C96679">
        <w:tc>
          <w:tcPr>
            <w:tcW w:w="220" w:type="pct"/>
          </w:tcPr>
          <w:p w14:paraId="02090197" w14:textId="5320930A" w:rsidR="00ED76C6" w:rsidRPr="003067B9" w:rsidRDefault="00E30882" w:rsidP="00ED76C6">
            <w:pPr>
              <w:rPr>
                <w:lang w:val="en-NZ"/>
              </w:rPr>
            </w:pPr>
            <w:r w:rsidRPr="003067B9">
              <w:rPr>
                <w:lang w:val="en-NZ"/>
              </w:rPr>
              <w:t>5</w:t>
            </w:r>
          </w:p>
        </w:tc>
        <w:tc>
          <w:tcPr>
            <w:tcW w:w="1036" w:type="pct"/>
          </w:tcPr>
          <w:p w14:paraId="2E8EBEF8" w14:textId="1A56C0A4" w:rsidR="00ED76C6" w:rsidRPr="003067B9" w:rsidRDefault="00ED76C6" w:rsidP="00ED76C6">
            <w:pPr>
              <w:rPr>
                <w:lang w:val="en-NZ"/>
              </w:rPr>
            </w:pPr>
            <w:r w:rsidRPr="003067B9">
              <w:rPr>
                <w:lang w:val="en-NZ"/>
              </w:rPr>
              <w:t xml:space="preserve">Cancer patients waiting less than 31 days for first treatment </w:t>
            </w:r>
            <w:r w:rsidRPr="003067B9">
              <w:rPr>
                <w:noProof/>
                <w:lang w:val="en-NZ"/>
              </w:rPr>
              <w:drawing>
                <wp:inline distT="0" distB="0" distL="0" distR="0" wp14:anchorId="0D291212" wp14:editId="7BA702BE">
                  <wp:extent cx="190500" cy="190500"/>
                  <wp:effectExtent l="0" t="0" r="0" b="0"/>
                  <wp:docPr id="856784576" name="Picture 8567845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lang w:val="en-NZ"/>
              </w:rPr>
              <w:t xml:space="preserve"> +</w:t>
            </w:r>
          </w:p>
        </w:tc>
        <w:tc>
          <w:tcPr>
            <w:tcW w:w="1599" w:type="pct"/>
          </w:tcPr>
          <w:p w14:paraId="35410404" w14:textId="51213ACB" w:rsidR="00ED76C6" w:rsidRPr="003067B9" w:rsidRDefault="00ED76C6" w:rsidP="00ED76C6">
            <w:pPr>
              <w:rPr>
                <w:lang w:val="en-NZ"/>
              </w:rPr>
            </w:pPr>
            <w:r w:rsidRPr="003067B9">
              <w:rPr>
                <w:lang w:val="en-NZ"/>
              </w:rPr>
              <w:t>This measure shows the proportion of eligible cancer patients who receive their first treatment within 31 days of a health professional’s decision to treat.</w:t>
            </w:r>
          </w:p>
        </w:tc>
        <w:tc>
          <w:tcPr>
            <w:tcW w:w="776" w:type="pct"/>
          </w:tcPr>
          <w:p w14:paraId="1A43E8B8" w14:textId="02D95CAF" w:rsidR="00ED76C6" w:rsidRPr="003067B9" w:rsidRDefault="00ED76C6" w:rsidP="00ED76C6">
            <w:pPr>
              <w:rPr>
                <w:lang w:val="en-NZ"/>
              </w:rPr>
            </w:pPr>
            <w:r w:rsidRPr="003067B9" w:rsidDel="00473C54">
              <w:rPr>
                <w:lang w:val="en-NZ"/>
              </w:rPr>
              <w:t>85% and maintain performance for populations exceeding this target</w:t>
            </w:r>
          </w:p>
        </w:tc>
        <w:tc>
          <w:tcPr>
            <w:tcW w:w="673" w:type="pct"/>
          </w:tcPr>
          <w:p w14:paraId="3A439776" w14:textId="67C55E5E" w:rsidR="00ED76C6" w:rsidRPr="003067B9" w:rsidRDefault="00ED76C6" w:rsidP="00ED76C6">
            <w:pPr>
              <w:rPr>
                <w:lang w:val="en-NZ"/>
              </w:rPr>
            </w:pPr>
            <w:r w:rsidRPr="003067B9">
              <w:rPr>
                <w:lang w:val="en-NZ"/>
              </w:rPr>
              <w:t>National baseline 86% (Q1 2022/23)</w:t>
            </w:r>
          </w:p>
        </w:tc>
        <w:tc>
          <w:tcPr>
            <w:tcW w:w="695" w:type="pct"/>
          </w:tcPr>
          <w:p w14:paraId="4E1661AF" w14:textId="19C23038" w:rsidR="00ED76C6" w:rsidRPr="003067B9" w:rsidRDefault="00ED76C6" w:rsidP="00ED76C6">
            <w:pPr>
              <w:rPr>
                <w:lang w:val="en-NZ"/>
              </w:rPr>
            </w:pPr>
            <w:r w:rsidRPr="003067B9">
              <w:rPr>
                <w:lang w:val="en-NZ"/>
              </w:rPr>
              <w:t>Board</w:t>
            </w:r>
          </w:p>
        </w:tc>
      </w:tr>
      <w:tr w:rsidR="00EC3C3A" w:rsidRPr="00D4706E" w14:paraId="1B91812D" w14:textId="77777777" w:rsidTr="00C96679">
        <w:tc>
          <w:tcPr>
            <w:tcW w:w="220" w:type="pct"/>
          </w:tcPr>
          <w:p w14:paraId="64C8FB96" w14:textId="0D4773CA" w:rsidR="00EC3C3A" w:rsidRPr="003067B9" w:rsidRDefault="00787763" w:rsidP="003B29E0">
            <w:pPr>
              <w:rPr>
                <w:lang w:val="en-NZ"/>
              </w:rPr>
            </w:pPr>
            <w:r w:rsidRPr="003067B9">
              <w:rPr>
                <w:lang w:val="en-NZ"/>
              </w:rPr>
              <w:lastRenderedPageBreak/>
              <w:t>6</w:t>
            </w:r>
          </w:p>
        </w:tc>
        <w:tc>
          <w:tcPr>
            <w:tcW w:w="1036" w:type="pct"/>
          </w:tcPr>
          <w:p w14:paraId="0D689398" w14:textId="77777777" w:rsidR="00EC3C3A" w:rsidRPr="003067B9" w:rsidRDefault="00EC3C3A" w:rsidP="003B29E0">
            <w:pPr>
              <w:rPr>
                <w:lang w:val="en-NZ"/>
              </w:rPr>
            </w:pPr>
            <w:r w:rsidRPr="003067B9">
              <w:rPr>
                <w:lang w:val="en-NZ"/>
              </w:rPr>
              <w:t>Primary care enrolment</w:t>
            </w:r>
          </w:p>
        </w:tc>
        <w:tc>
          <w:tcPr>
            <w:tcW w:w="1599" w:type="pct"/>
          </w:tcPr>
          <w:p w14:paraId="7FF2E97C" w14:textId="23C4ED74" w:rsidR="00EC3C3A" w:rsidRPr="003067B9" w:rsidRDefault="00EC3C3A" w:rsidP="003B29E0">
            <w:pPr>
              <w:rPr>
                <w:lang w:val="en-NZ"/>
              </w:rPr>
            </w:pPr>
            <w:r w:rsidRPr="003067B9">
              <w:rPr>
                <w:lang w:val="en-NZ"/>
              </w:rPr>
              <w:t>People enrolled with a general practice (or a Kaupapa Māori provider delivering general practice care) as percentage of estimated resident population, Stats NZ</w:t>
            </w:r>
            <w:r w:rsidR="12C69E75" w:rsidRPr="4476AFAB">
              <w:rPr>
                <w:lang w:val="en-NZ"/>
              </w:rPr>
              <w:t>.</w:t>
            </w:r>
          </w:p>
        </w:tc>
        <w:tc>
          <w:tcPr>
            <w:tcW w:w="776" w:type="pct"/>
          </w:tcPr>
          <w:p w14:paraId="24F42DE3" w14:textId="77777777" w:rsidR="00EC3C3A" w:rsidRPr="003067B9" w:rsidRDefault="00EC3C3A" w:rsidP="003B29E0">
            <w:pPr>
              <w:rPr>
                <w:lang w:val="en-NZ"/>
              </w:rPr>
            </w:pPr>
            <w:r w:rsidRPr="003067B9">
              <w:rPr>
                <w:lang w:val="en-NZ"/>
              </w:rPr>
              <w:t>95% overall and maintain performance for populations</w:t>
            </w:r>
          </w:p>
        </w:tc>
        <w:tc>
          <w:tcPr>
            <w:tcW w:w="673" w:type="pct"/>
          </w:tcPr>
          <w:p w14:paraId="46913069" w14:textId="77777777" w:rsidR="00EC3C3A" w:rsidRPr="003067B9" w:rsidRDefault="00EC3C3A" w:rsidP="003B29E0">
            <w:pPr>
              <w:rPr>
                <w:lang w:val="en-NZ"/>
              </w:rPr>
            </w:pPr>
            <w:r w:rsidRPr="003067B9">
              <w:rPr>
                <w:lang w:val="en-NZ"/>
              </w:rPr>
              <w:t>National baseline 94% (Q1 2022/23)</w:t>
            </w:r>
          </w:p>
        </w:tc>
        <w:tc>
          <w:tcPr>
            <w:tcW w:w="695" w:type="pct"/>
          </w:tcPr>
          <w:p w14:paraId="4AFB08E8" w14:textId="77777777" w:rsidR="00EC3C3A" w:rsidRPr="003067B9" w:rsidRDefault="00EC3C3A" w:rsidP="003B29E0">
            <w:pPr>
              <w:rPr>
                <w:lang w:val="en-NZ"/>
              </w:rPr>
            </w:pPr>
            <w:r w:rsidRPr="003067B9">
              <w:rPr>
                <w:lang w:val="en-NZ"/>
              </w:rPr>
              <w:t>SPE</w:t>
            </w:r>
          </w:p>
        </w:tc>
      </w:tr>
      <w:tr w:rsidR="00EC3C3A" w:rsidRPr="00D4706E" w14:paraId="31B92A06" w14:textId="77777777" w:rsidTr="00C96679">
        <w:tc>
          <w:tcPr>
            <w:tcW w:w="220" w:type="pct"/>
          </w:tcPr>
          <w:p w14:paraId="38156D78" w14:textId="56D0731E" w:rsidR="00EC3C3A" w:rsidRPr="003067B9" w:rsidRDefault="00787763" w:rsidP="003B29E0">
            <w:pPr>
              <w:rPr>
                <w:lang w:val="en-NZ"/>
              </w:rPr>
            </w:pPr>
            <w:r w:rsidRPr="003067B9">
              <w:rPr>
                <w:lang w:val="en-NZ"/>
              </w:rPr>
              <w:t>7</w:t>
            </w:r>
          </w:p>
        </w:tc>
        <w:tc>
          <w:tcPr>
            <w:tcW w:w="1036" w:type="pct"/>
          </w:tcPr>
          <w:p w14:paraId="2915716E" w14:textId="77777777" w:rsidR="00EC3C3A" w:rsidRPr="003067B9" w:rsidRDefault="00EC3C3A" w:rsidP="003B29E0">
            <w:pPr>
              <w:rPr>
                <w:lang w:val="en-NZ"/>
              </w:rPr>
            </w:pPr>
            <w:r w:rsidRPr="003067B9">
              <w:rPr>
                <w:lang w:val="en-NZ"/>
              </w:rPr>
              <w:t>Involvement in care decisions – primary care</w:t>
            </w:r>
          </w:p>
        </w:tc>
        <w:tc>
          <w:tcPr>
            <w:tcW w:w="1599" w:type="pct"/>
          </w:tcPr>
          <w:p w14:paraId="36AD64D3" w14:textId="77777777" w:rsidR="00EC3C3A" w:rsidRPr="003067B9" w:rsidRDefault="00EC3C3A" w:rsidP="003B29E0">
            <w:pPr>
              <w:rPr>
                <w:lang w:val="en-NZ"/>
              </w:rPr>
            </w:pPr>
            <w:r w:rsidRPr="003067B9">
              <w:rPr>
                <w:lang w:val="en-NZ"/>
              </w:rPr>
              <w:t>Percentage of people who say they felt involved in decisions about treatment and care with their GP or nurse. Results presented as a proportion of people who responded “yes” to the question “Did the health care professional involve you as much as you wanted to be in making decisions about your treatment and care?” in HQSC quarterly survey.</w:t>
            </w:r>
          </w:p>
        </w:tc>
        <w:tc>
          <w:tcPr>
            <w:tcW w:w="776" w:type="pct"/>
          </w:tcPr>
          <w:p w14:paraId="3501C0A7" w14:textId="77777777" w:rsidR="00EC3C3A" w:rsidRPr="003067B9" w:rsidRDefault="00EC3C3A" w:rsidP="003B29E0">
            <w:pPr>
              <w:rPr>
                <w:lang w:val="en-NZ"/>
              </w:rPr>
            </w:pPr>
            <w:r w:rsidRPr="003067B9">
              <w:rPr>
                <w:lang w:val="en-NZ"/>
              </w:rPr>
              <w:t>N/A</w:t>
            </w:r>
          </w:p>
        </w:tc>
        <w:tc>
          <w:tcPr>
            <w:tcW w:w="673" w:type="pct"/>
          </w:tcPr>
          <w:p w14:paraId="1F48A3E2" w14:textId="77777777" w:rsidR="00EC3C3A" w:rsidRPr="003067B9" w:rsidRDefault="00EC3C3A" w:rsidP="003B29E0">
            <w:pPr>
              <w:rPr>
                <w:lang w:val="en-NZ"/>
              </w:rPr>
            </w:pPr>
            <w:r w:rsidRPr="003067B9">
              <w:rPr>
                <w:lang w:val="en-NZ"/>
              </w:rPr>
              <w:t>National baseline 87% (Q1 2022/23)</w:t>
            </w:r>
          </w:p>
        </w:tc>
        <w:tc>
          <w:tcPr>
            <w:tcW w:w="695" w:type="pct"/>
          </w:tcPr>
          <w:p w14:paraId="40C3C714" w14:textId="77777777" w:rsidR="00EC3C3A" w:rsidRPr="003067B9" w:rsidRDefault="00EC3C3A" w:rsidP="003B29E0">
            <w:pPr>
              <w:rPr>
                <w:lang w:val="en-NZ"/>
              </w:rPr>
            </w:pPr>
            <w:r w:rsidRPr="003067B9">
              <w:rPr>
                <w:lang w:val="en-NZ"/>
              </w:rPr>
              <w:t>SPE</w:t>
            </w:r>
          </w:p>
        </w:tc>
      </w:tr>
      <w:tr w:rsidR="00EC3C3A" w:rsidRPr="00D4706E" w14:paraId="55F8B4A0" w14:textId="77777777" w:rsidTr="00C96679">
        <w:tc>
          <w:tcPr>
            <w:tcW w:w="220" w:type="pct"/>
          </w:tcPr>
          <w:p w14:paraId="278E0744" w14:textId="5E1792D7" w:rsidR="00EC3C3A" w:rsidRPr="003067B9" w:rsidRDefault="00787763" w:rsidP="003B29E0">
            <w:pPr>
              <w:rPr>
                <w:lang w:val="en-NZ"/>
              </w:rPr>
            </w:pPr>
            <w:r w:rsidRPr="003067B9">
              <w:rPr>
                <w:lang w:val="en-NZ"/>
              </w:rPr>
              <w:t>8</w:t>
            </w:r>
          </w:p>
        </w:tc>
        <w:tc>
          <w:tcPr>
            <w:tcW w:w="1036" w:type="pct"/>
          </w:tcPr>
          <w:p w14:paraId="0EB98270" w14:textId="77777777" w:rsidR="00EC3C3A" w:rsidRPr="003067B9" w:rsidRDefault="00EC3C3A" w:rsidP="003B29E0">
            <w:pPr>
              <w:rPr>
                <w:lang w:val="en-NZ"/>
              </w:rPr>
            </w:pPr>
            <w:r w:rsidRPr="003067B9">
              <w:rPr>
                <w:lang w:val="en-NZ"/>
              </w:rPr>
              <w:t>Ambulatory sensitive hospitalisations 0-4 years +</w:t>
            </w:r>
          </w:p>
        </w:tc>
        <w:tc>
          <w:tcPr>
            <w:tcW w:w="1599" w:type="pct"/>
          </w:tcPr>
          <w:p w14:paraId="7DCDC825" w14:textId="77777777" w:rsidR="00EC3C3A" w:rsidRPr="003067B9" w:rsidRDefault="00EC3C3A" w:rsidP="003B29E0">
            <w:pPr>
              <w:rPr>
                <w:lang w:val="en-NZ"/>
              </w:rPr>
            </w:pPr>
            <w:r w:rsidRPr="003067B9">
              <w:rPr>
                <w:lang w:val="en-NZ"/>
              </w:rPr>
              <w:t xml:space="preserve">Hospitalisations for children under five years of age for an illness that might have been prevented or better managed in a primary care setting. </w:t>
            </w:r>
            <w:r w:rsidRPr="003067B9" w:rsidDel="00487C60">
              <w:rPr>
                <w:lang w:val="en-NZ"/>
              </w:rPr>
              <w:t>Results are presented as a rate per 100,000 population.</w:t>
            </w:r>
            <w:r w:rsidRPr="003067B9">
              <w:rPr>
                <w:lang w:val="en-NZ"/>
              </w:rPr>
              <w:t xml:space="preserve"> </w:t>
            </w:r>
          </w:p>
          <w:p w14:paraId="5A841BE4" w14:textId="77777777" w:rsidR="00EC3C3A" w:rsidRPr="003067B9" w:rsidRDefault="00EC3C3A" w:rsidP="003B29E0">
            <w:pPr>
              <w:rPr>
                <w:lang w:val="en-NZ"/>
              </w:rPr>
            </w:pPr>
            <w:r w:rsidRPr="003067B9">
              <w:rPr>
                <w:szCs w:val="24"/>
                <w:lang w:val="en-NZ"/>
              </w:rPr>
              <w:t xml:space="preserve">This rate is calculated by dividing the number of avoidable hospital admissions for children aged between 0 and 4 years by the number of children aged between 0 and 4 years in the population x 100,000. </w:t>
            </w:r>
            <w:r w:rsidRPr="003067B9">
              <w:rPr>
                <w:lang w:val="en-NZ"/>
              </w:rPr>
              <w:t xml:space="preserve"> This measure is calculated for a full year to the end of the reported quarter.</w:t>
            </w:r>
          </w:p>
        </w:tc>
        <w:tc>
          <w:tcPr>
            <w:tcW w:w="776" w:type="pct"/>
          </w:tcPr>
          <w:p w14:paraId="192EDBC3" w14:textId="77777777" w:rsidR="00EC3C3A" w:rsidRPr="003067B9" w:rsidRDefault="00EC3C3A" w:rsidP="003B29E0">
            <w:pPr>
              <w:rPr>
                <w:lang w:val="en-NZ"/>
              </w:rPr>
            </w:pPr>
            <w:r w:rsidRPr="003067B9">
              <w:rPr>
                <w:lang w:val="en-NZ"/>
              </w:rPr>
              <w:t>Improve from baseline (trend to decrease)</w:t>
            </w:r>
          </w:p>
        </w:tc>
        <w:tc>
          <w:tcPr>
            <w:tcW w:w="673" w:type="pct"/>
          </w:tcPr>
          <w:p w14:paraId="35B18AD4" w14:textId="77777777" w:rsidR="00EC3C3A" w:rsidRPr="003067B9" w:rsidRDefault="00EC3C3A" w:rsidP="003B29E0">
            <w:pPr>
              <w:rPr>
                <w:lang w:val="en-NZ"/>
              </w:rPr>
            </w:pPr>
            <w:r w:rsidRPr="003067B9">
              <w:rPr>
                <w:lang w:val="en-NZ"/>
              </w:rPr>
              <w:t>National baseline 25% (Q1 2022/23)</w:t>
            </w:r>
          </w:p>
          <w:p w14:paraId="7727A953" w14:textId="77777777" w:rsidR="00EC3C3A" w:rsidRPr="003067B9" w:rsidRDefault="00EC3C3A" w:rsidP="003B29E0">
            <w:pPr>
              <w:rPr>
                <w:lang w:val="en-NZ"/>
              </w:rPr>
            </w:pPr>
          </w:p>
        </w:tc>
        <w:tc>
          <w:tcPr>
            <w:tcW w:w="695" w:type="pct"/>
          </w:tcPr>
          <w:p w14:paraId="4797CBD7" w14:textId="77777777" w:rsidR="00EC3C3A" w:rsidRPr="003067B9" w:rsidRDefault="00EC3C3A" w:rsidP="003B29E0">
            <w:pPr>
              <w:rPr>
                <w:lang w:val="en-NZ"/>
              </w:rPr>
            </w:pPr>
            <w:r w:rsidRPr="003067B9">
              <w:rPr>
                <w:lang w:val="en-NZ"/>
              </w:rPr>
              <w:t>SPE</w:t>
            </w:r>
          </w:p>
          <w:p w14:paraId="2573C628" w14:textId="77777777" w:rsidR="00EC3C3A" w:rsidRPr="003067B9" w:rsidRDefault="00EC3C3A" w:rsidP="003B29E0">
            <w:pPr>
              <w:rPr>
                <w:lang w:val="en-NZ"/>
              </w:rPr>
            </w:pPr>
            <w:r w:rsidRPr="003067B9">
              <w:rPr>
                <w:lang w:val="en-NZ"/>
              </w:rPr>
              <w:t>TPT</w:t>
            </w:r>
          </w:p>
          <w:p w14:paraId="6585B835" w14:textId="77777777" w:rsidR="00EC3C3A" w:rsidRPr="003067B9" w:rsidRDefault="00EC3C3A" w:rsidP="003B29E0">
            <w:pPr>
              <w:rPr>
                <w:lang w:val="en-NZ"/>
              </w:rPr>
            </w:pPr>
            <w:r w:rsidRPr="003067B9">
              <w:rPr>
                <w:lang w:val="en-NZ"/>
              </w:rPr>
              <w:t>Board</w:t>
            </w:r>
          </w:p>
        </w:tc>
      </w:tr>
      <w:tr w:rsidR="00EC3C3A" w:rsidRPr="00D4706E" w14:paraId="3C52DE62" w14:textId="77777777" w:rsidTr="00C96679">
        <w:tc>
          <w:tcPr>
            <w:tcW w:w="220" w:type="pct"/>
          </w:tcPr>
          <w:p w14:paraId="41364321" w14:textId="6389A03E" w:rsidR="00EC3C3A" w:rsidRPr="003067B9" w:rsidRDefault="00787763" w:rsidP="003B29E0">
            <w:pPr>
              <w:rPr>
                <w:lang w:val="en-NZ"/>
              </w:rPr>
            </w:pPr>
            <w:r w:rsidRPr="003067B9">
              <w:rPr>
                <w:lang w:val="en-NZ"/>
              </w:rPr>
              <w:t>9</w:t>
            </w:r>
          </w:p>
        </w:tc>
        <w:tc>
          <w:tcPr>
            <w:tcW w:w="1036" w:type="pct"/>
          </w:tcPr>
          <w:p w14:paraId="59BA1D22" w14:textId="77777777" w:rsidR="00EC3C3A" w:rsidRPr="003067B9" w:rsidRDefault="00EC3C3A" w:rsidP="003B29E0">
            <w:pPr>
              <w:rPr>
                <w:lang w:val="en-NZ"/>
              </w:rPr>
            </w:pPr>
            <w:r w:rsidRPr="003067B9">
              <w:rPr>
                <w:lang w:val="en-NZ"/>
              </w:rPr>
              <w:t>Ambulatory sensitive hospitalisations 45-64 years +</w:t>
            </w:r>
          </w:p>
        </w:tc>
        <w:tc>
          <w:tcPr>
            <w:tcW w:w="1599" w:type="pct"/>
          </w:tcPr>
          <w:p w14:paraId="53FC7A84" w14:textId="77777777" w:rsidR="00EC3C3A" w:rsidRPr="003067B9" w:rsidRDefault="00EC3C3A" w:rsidP="003B29E0">
            <w:pPr>
              <w:rPr>
                <w:lang w:val="en-NZ"/>
              </w:rPr>
            </w:pPr>
            <w:r w:rsidRPr="003067B9">
              <w:rPr>
                <w:lang w:val="en-NZ"/>
              </w:rPr>
              <w:t xml:space="preserve">Hospitalisations for people aged 45–64 for an illness that might have been prevented or better </w:t>
            </w:r>
            <w:r w:rsidRPr="003067B9">
              <w:rPr>
                <w:lang w:val="en-NZ"/>
              </w:rPr>
              <w:lastRenderedPageBreak/>
              <w:t xml:space="preserve">managed in a primary care setting. </w:t>
            </w:r>
            <w:r w:rsidRPr="003067B9" w:rsidDel="002D777A">
              <w:rPr>
                <w:lang w:val="en-NZ"/>
              </w:rPr>
              <w:t>Results are presented as a rate per 100,000 population.</w:t>
            </w:r>
            <w:r w:rsidRPr="003067B9">
              <w:rPr>
                <w:lang w:val="en-NZ"/>
              </w:rPr>
              <w:t xml:space="preserve"> </w:t>
            </w:r>
            <w:r w:rsidRPr="003067B9">
              <w:rPr>
                <w:szCs w:val="24"/>
                <w:lang w:val="en-NZ"/>
              </w:rPr>
              <w:t xml:space="preserve">This rate is calculated by the number of avoidable admissions to hospital for adults aged between 45 and 64 years divided by the number of adults aged 45-64 years in the population x 100,000. </w:t>
            </w:r>
            <w:r w:rsidRPr="003067B9">
              <w:rPr>
                <w:lang w:val="en-NZ"/>
              </w:rPr>
              <w:t>This measure is calculated for a full year to the end of the reported quarter.</w:t>
            </w:r>
          </w:p>
        </w:tc>
        <w:tc>
          <w:tcPr>
            <w:tcW w:w="776" w:type="pct"/>
          </w:tcPr>
          <w:p w14:paraId="17F4F9A4" w14:textId="77777777" w:rsidR="00EC3C3A" w:rsidRPr="003067B9" w:rsidRDefault="00EC3C3A" w:rsidP="003B29E0">
            <w:pPr>
              <w:rPr>
                <w:lang w:val="en-NZ"/>
              </w:rPr>
            </w:pPr>
            <w:r w:rsidRPr="003067B9">
              <w:rPr>
                <w:lang w:val="en-NZ"/>
              </w:rPr>
              <w:lastRenderedPageBreak/>
              <w:t xml:space="preserve">Improve from baseline </w:t>
            </w:r>
            <w:r w:rsidRPr="003067B9">
              <w:rPr>
                <w:lang w:val="en-NZ"/>
              </w:rPr>
              <w:lastRenderedPageBreak/>
              <w:t>(trend to decrease)</w:t>
            </w:r>
          </w:p>
        </w:tc>
        <w:tc>
          <w:tcPr>
            <w:tcW w:w="673" w:type="pct"/>
          </w:tcPr>
          <w:p w14:paraId="2C19BA55" w14:textId="77777777" w:rsidR="00EC3C3A" w:rsidRPr="003067B9" w:rsidRDefault="00EC3C3A" w:rsidP="003B29E0">
            <w:pPr>
              <w:rPr>
                <w:lang w:val="en-NZ"/>
              </w:rPr>
            </w:pPr>
            <w:r w:rsidRPr="003067B9">
              <w:rPr>
                <w:lang w:val="en-NZ"/>
              </w:rPr>
              <w:lastRenderedPageBreak/>
              <w:t xml:space="preserve">National baseline 3,605 per 100,000 </w:t>
            </w:r>
            <w:r w:rsidRPr="003067B9">
              <w:rPr>
                <w:lang w:val="en-NZ"/>
              </w:rPr>
              <w:lastRenderedPageBreak/>
              <w:t>(Q1 2022/23)</w:t>
            </w:r>
          </w:p>
        </w:tc>
        <w:tc>
          <w:tcPr>
            <w:tcW w:w="695" w:type="pct"/>
          </w:tcPr>
          <w:p w14:paraId="720E19BB" w14:textId="77777777" w:rsidR="00EC3C3A" w:rsidRPr="003067B9" w:rsidRDefault="00EC3C3A" w:rsidP="003B29E0">
            <w:pPr>
              <w:rPr>
                <w:lang w:val="en-NZ"/>
              </w:rPr>
            </w:pPr>
            <w:r w:rsidRPr="003067B9">
              <w:rPr>
                <w:lang w:val="en-NZ"/>
              </w:rPr>
              <w:lastRenderedPageBreak/>
              <w:t>SPE</w:t>
            </w:r>
          </w:p>
          <w:p w14:paraId="21FE0662" w14:textId="77777777" w:rsidR="00EC3C3A" w:rsidRPr="003067B9" w:rsidRDefault="00EC3C3A" w:rsidP="003B29E0">
            <w:pPr>
              <w:rPr>
                <w:lang w:val="en-NZ"/>
              </w:rPr>
            </w:pPr>
            <w:r w:rsidRPr="003067B9">
              <w:rPr>
                <w:lang w:val="en-NZ"/>
              </w:rPr>
              <w:t>TPT</w:t>
            </w:r>
          </w:p>
          <w:p w14:paraId="2947A35D" w14:textId="77777777" w:rsidR="00EC3C3A" w:rsidRPr="003067B9" w:rsidRDefault="00EC3C3A" w:rsidP="003B29E0">
            <w:pPr>
              <w:rPr>
                <w:lang w:val="en-NZ"/>
              </w:rPr>
            </w:pPr>
            <w:r w:rsidRPr="003067B9">
              <w:rPr>
                <w:lang w:val="en-NZ"/>
              </w:rPr>
              <w:lastRenderedPageBreak/>
              <w:t>Board</w:t>
            </w:r>
          </w:p>
        </w:tc>
      </w:tr>
      <w:tr w:rsidR="00EC3C3A" w:rsidRPr="00D4706E" w14:paraId="072D4F98" w14:textId="77777777" w:rsidTr="00C96679">
        <w:tc>
          <w:tcPr>
            <w:tcW w:w="220" w:type="pct"/>
          </w:tcPr>
          <w:p w14:paraId="522A26E6" w14:textId="472EE3F5" w:rsidR="00EC3C3A" w:rsidRPr="003067B9" w:rsidRDefault="00787763" w:rsidP="003B29E0">
            <w:pPr>
              <w:rPr>
                <w:lang w:val="en-NZ"/>
              </w:rPr>
            </w:pPr>
            <w:r w:rsidRPr="003067B9">
              <w:rPr>
                <w:lang w:val="en-NZ"/>
              </w:rPr>
              <w:lastRenderedPageBreak/>
              <w:t>10</w:t>
            </w:r>
          </w:p>
        </w:tc>
        <w:tc>
          <w:tcPr>
            <w:tcW w:w="1036" w:type="pct"/>
          </w:tcPr>
          <w:p w14:paraId="36232277" w14:textId="77777777" w:rsidR="00EC3C3A" w:rsidRPr="003067B9" w:rsidRDefault="00EC3C3A" w:rsidP="003B29E0">
            <w:pPr>
              <w:rPr>
                <w:lang w:val="en-NZ"/>
              </w:rPr>
            </w:pPr>
            <w:r w:rsidRPr="003067B9">
              <w:rPr>
                <w:lang w:val="en-NZ"/>
              </w:rPr>
              <w:t>Access to primary mental health and addiction services</w:t>
            </w:r>
          </w:p>
        </w:tc>
        <w:tc>
          <w:tcPr>
            <w:tcW w:w="1599" w:type="pct"/>
          </w:tcPr>
          <w:p w14:paraId="7CEE120F" w14:textId="77777777" w:rsidR="00EC3C3A" w:rsidRPr="003067B9" w:rsidRDefault="00EC3C3A" w:rsidP="003B29E0">
            <w:pPr>
              <w:rPr>
                <w:lang w:val="en-NZ"/>
              </w:rPr>
            </w:pPr>
            <w:r w:rsidRPr="003067B9">
              <w:rPr>
                <w:lang w:val="en-NZ"/>
              </w:rPr>
              <w:t xml:space="preserve">Number of people accessing Access and Choice services. This measure is presented as a rate per 100,000 people and </w:t>
            </w:r>
            <w:r w:rsidRPr="003067B9">
              <w:rPr>
                <w:szCs w:val="24"/>
                <w:lang w:val="en-NZ"/>
              </w:rPr>
              <w:t>is calculated by the number of people accessing primary mental health and addiction services divided by population number x 100,000.</w:t>
            </w:r>
            <w:r w:rsidRPr="003067B9">
              <w:rPr>
                <w:rFonts w:asciiTheme="minorHAnsi" w:hAnsiTheme="minorHAnsi" w:cstheme="minorBidi"/>
                <w:lang w:val="en-NZ"/>
              </w:rPr>
              <w:tab/>
            </w:r>
            <w:r w:rsidRPr="003067B9">
              <w:rPr>
                <w:rFonts w:asciiTheme="minorHAnsi" w:hAnsiTheme="minorHAnsi" w:cstheme="minorBidi"/>
                <w:lang w:val="en-NZ"/>
              </w:rPr>
              <w:tab/>
            </w:r>
          </w:p>
        </w:tc>
        <w:tc>
          <w:tcPr>
            <w:tcW w:w="776" w:type="pct"/>
          </w:tcPr>
          <w:p w14:paraId="5437B9B1" w14:textId="77777777" w:rsidR="00EC3C3A" w:rsidRPr="003067B9" w:rsidRDefault="00EC3C3A" w:rsidP="003B29E0">
            <w:pPr>
              <w:rPr>
                <w:lang w:val="en-NZ"/>
              </w:rPr>
            </w:pPr>
            <w:r w:rsidRPr="003067B9">
              <w:rPr>
                <w:lang w:val="en-NZ"/>
              </w:rPr>
              <w:t>Improve from baseline (trend to increase)</w:t>
            </w:r>
          </w:p>
        </w:tc>
        <w:tc>
          <w:tcPr>
            <w:tcW w:w="673" w:type="pct"/>
          </w:tcPr>
          <w:p w14:paraId="78DB9908" w14:textId="77777777" w:rsidR="00EC3C3A" w:rsidRPr="003067B9" w:rsidRDefault="00EC3C3A" w:rsidP="003B29E0">
            <w:pPr>
              <w:rPr>
                <w:lang w:val="en-NZ"/>
              </w:rPr>
            </w:pPr>
            <w:r w:rsidRPr="003067B9">
              <w:rPr>
                <w:lang w:val="en-NZ"/>
              </w:rPr>
              <w:t>National baseline 916 (Q1 2022/23)</w:t>
            </w:r>
          </w:p>
        </w:tc>
        <w:tc>
          <w:tcPr>
            <w:tcW w:w="695" w:type="pct"/>
          </w:tcPr>
          <w:p w14:paraId="1B8AD107" w14:textId="77777777" w:rsidR="00EC3C3A" w:rsidRPr="003067B9" w:rsidRDefault="00EC3C3A" w:rsidP="003B29E0">
            <w:pPr>
              <w:rPr>
                <w:lang w:val="en-NZ"/>
              </w:rPr>
            </w:pPr>
            <w:r w:rsidRPr="003067B9">
              <w:rPr>
                <w:lang w:val="en-NZ"/>
              </w:rPr>
              <w:t>SPE</w:t>
            </w:r>
          </w:p>
          <w:p w14:paraId="3781BC9B" w14:textId="77777777" w:rsidR="00EC3C3A" w:rsidRPr="003067B9" w:rsidRDefault="00EC3C3A" w:rsidP="003B29E0">
            <w:pPr>
              <w:rPr>
                <w:lang w:val="en-NZ"/>
              </w:rPr>
            </w:pPr>
            <w:r w:rsidRPr="003067B9">
              <w:rPr>
                <w:lang w:val="en-NZ"/>
              </w:rPr>
              <w:t>TPT</w:t>
            </w:r>
          </w:p>
        </w:tc>
      </w:tr>
      <w:tr w:rsidR="00EC3C3A" w:rsidRPr="00D4706E" w14:paraId="4DCC8284" w14:textId="77777777" w:rsidTr="00C96679">
        <w:tc>
          <w:tcPr>
            <w:tcW w:w="220" w:type="pct"/>
          </w:tcPr>
          <w:p w14:paraId="7053200E" w14:textId="6E63F5CC" w:rsidR="00EC3C3A" w:rsidRPr="003067B9" w:rsidRDefault="00787763" w:rsidP="003B29E0">
            <w:pPr>
              <w:rPr>
                <w:lang w:val="en-NZ"/>
              </w:rPr>
            </w:pPr>
            <w:r w:rsidRPr="003067B9">
              <w:rPr>
                <w:lang w:val="en-NZ"/>
              </w:rPr>
              <w:t>11</w:t>
            </w:r>
          </w:p>
        </w:tc>
        <w:tc>
          <w:tcPr>
            <w:tcW w:w="1036" w:type="pct"/>
          </w:tcPr>
          <w:p w14:paraId="4001AEE0" w14:textId="77777777" w:rsidR="00EC3C3A" w:rsidRPr="003067B9" w:rsidRDefault="00EC3C3A" w:rsidP="003B29E0">
            <w:pPr>
              <w:rPr>
                <w:lang w:val="en-NZ"/>
              </w:rPr>
            </w:pPr>
            <w:r w:rsidRPr="003067B9">
              <w:rPr>
                <w:lang w:val="en-NZ"/>
              </w:rPr>
              <w:t>Access rates for specialist mental health services</w:t>
            </w:r>
          </w:p>
        </w:tc>
        <w:tc>
          <w:tcPr>
            <w:tcW w:w="1599" w:type="pct"/>
          </w:tcPr>
          <w:p w14:paraId="1B9E8F89" w14:textId="3B7E8F47" w:rsidR="00EC3C3A" w:rsidRPr="003067B9" w:rsidRDefault="00EC3C3A" w:rsidP="003B29E0">
            <w:pPr>
              <w:rPr>
                <w:lang w:val="en-NZ"/>
              </w:rPr>
            </w:pPr>
            <w:r w:rsidRPr="003067B9">
              <w:rPr>
                <w:lang w:val="en-NZ"/>
              </w:rPr>
              <w:t>People served by specialist mental health services (Health NZ and NGO combined). This measure is presented as a rate per 100,000 people</w:t>
            </w:r>
            <w:r w:rsidR="35439B6F" w:rsidRPr="2A5F6FF2">
              <w:rPr>
                <w:lang w:val="en-NZ"/>
              </w:rPr>
              <w:t>.</w:t>
            </w:r>
            <w:r w:rsidRPr="003067B9">
              <w:rPr>
                <w:lang w:val="en-NZ"/>
              </w:rPr>
              <w:t xml:space="preserve"> </w:t>
            </w:r>
          </w:p>
        </w:tc>
        <w:tc>
          <w:tcPr>
            <w:tcW w:w="776" w:type="pct"/>
          </w:tcPr>
          <w:p w14:paraId="2CF52B2D" w14:textId="77777777" w:rsidR="00EC3C3A" w:rsidRPr="003067B9" w:rsidRDefault="00EC3C3A" w:rsidP="003B29E0">
            <w:pPr>
              <w:rPr>
                <w:lang w:val="en-NZ"/>
              </w:rPr>
            </w:pPr>
            <w:r w:rsidRPr="003067B9">
              <w:rPr>
                <w:lang w:val="en-NZ"/>
              </w:rPr>
              <w:t>Improve from baseline (trend to increase)</w:t>
            </w:r>
          </w:p>
        </w:tc>
        <w:tc>
          <w:tcPr>
            <w:tcW w:w="673" w:type="pct"/>
          </w:tcPr>
          <w:p w14:paraId="54861DDC" w14:textId="77777777" w:rsidR="00EC3C3A" w:rsidRPr="003067B9" w:rsidRDefault="00EC3C3A" w:rsidP="003B29E0">
            <w:pPr>
              <w:rPr>
                <w:lang w:val="en-NZ"/>
              </w:rPr>
            </w:pPr>
            <w:r w:rsidRPr="003067B9">
              <w:rPr>
                <w:lang w:val="en-NZ"/>
              </w:rPr>
              <w:t>National baseline 1,344 (Q1 2022/23)</w:t>
            </w:r>
          </w:p>
        </w:tc>
        <w:tc>
          <w:tcPr>
            <w:tcW w:w="695" w:type="pct"/>
          </w:tcPr>
          <w:p w14:paraId="383469D3" w14:textId="77777777" w:rsidR="00EC3C3A" w:rsidRPr="003067B9" w:rsidRDefault="00EC3C3A" w:rsidP="003B29E0">
            <w:pPr>
              <w:rPr>
                <w:lang w:val="en-NZ"/>
              </w:rPr>
            </w:pPr>
            <w:r w:rsidRPr="003067B9">
              <w:rPr>
                <w:lang w:val="en-NZ"/>
              </w:rPr>
              <w:t>SPE</w:t>
            </w:r>
          </w:p>
        </w:tc>
      </w:tr>
      <w:tr w:rsidR="00EC3C3A" w:rsidRPr="00D4706E" w14:paraId="2C5C800E" w14:textId="77777777" w:rsidTr="00C96679">
        <w:tc>
          <w:tcPr>
            <w:tcW w:w="220" w:type="pct"/>
          </w:tcPr>
          <w:p w14:paraId="39B7EB01" w14:textId="61F189F7" w:rsidR="00EC3C3A" w:rsidRPr="003067B9" w:rsidRDefault="00787763" w:rsidP="003B29E0">
            <w:pPr>
              <w:rPr>
                <w:lang w:val="en-NZ"/>
              </w:rPr>
            </w:pPr>
            <w:r w:rsidRPr="003067B9">
              <w:rPr>
                <w:lang w:val="en-NZ"/>
              </w:rPr>
              <w:t>12</w:t>
            </w:r>
          </w:p>
        </w:tc>
        <w:tc>
          <w:tcPr>
            <w:tcW w:w="1036" w:type="pct"/>
          </w:tcPr>
          <w:p w14:paraId="5FBF522A" w14:textId="25E8D9F3" w:rsidR="00EC3C3A" w:rsidRPr="003067B9" w:rsidRDefault="00EC3C3A" w:rsidP="003B29E0">
            <w:pPr>
              <w:rPr>
                <w:lang w:val="en-NZ"/>
              </w:rPr>
            </w:pPr>
            <w:r w:rsidRPr="003067B9">
              <w:rPr>
                <w:lang w:val="en-NZ"/>
              </w:rPr>
              <w:t>Mental health wait times for under 25</w:t>
            </w:r>
            <w:r w:rsidR="0038161C">
              <w:rPr>
                <w:lang w:val="en-NZ"/>
              </w:rPr>
              <w:t xml:space="preserve"> </w:t>
            </w:r>
            <w:r w:rsidRPr="003067B9">
              <w:rPr>
                <w:lang w:val="en-NZ"/>
              </w:rPr>
              <w:t>year</w:t>
            </w:r>
            <w:r w:rsidR="0038161C">
              <w:rPr>
                <w:lang w:val="en-NZ"/>
              </w:rPr>
              <w:t xml:space="preserve"> </w:t>
            </w:r>
            <w:r w:rsidRPr="003067B9">
              <w:rPr>
                <w:lang w:val="en-NZ"/>
              </w:rPr>
              <w:t>olds +</w:t>
            </w:r>
          </w:p>
        </w:tc>
        <w:tc>
          <w:tcPr>
            <w:tcW w:w="1599" w:type="pct"/>
          </w:tcPr>
          <w:p w14:paraId="49BFF611" w14:textId="7C821646" w:rsidR="00EC3C3A" w:rsidRPr="003067B9" w:rsidRDefault="00EC3C3A" w:rsidP="003B29E0">
            <w:pPr>
              <w:rPr>
                <w:lang w:val="en-NZ"/>
              </w:rPr>
            </w:pPr>
            <w:r w:rsidRPr="003067B9">
              <w:rPr>
                <w:lang w:val="en-NZ"/>
              </w:rPr>
              <w:t>The proportion of under 25</w:t>
            </w:r>
            <w:r w:rsidR="0038161C">
              <w:rPr>
                <w:lang w:val="en-NZ"/>
              </w:rPr>
              <w:t xml:space="preserve"> </w:t>
            </w:r>
            <w:r w:rsidRPr="003067B9">
              <w:rPr>
                <w:lang w:val="en-NZ"/>
              </w:rPr>
              <w:t>year</w:t>
            </w:r>
            <w:r w:rsidR="0038161C">
              <w:rPr>
                <w:lang w:val="en-NZ"/>
              </w:rPr>
              <w:t xml:space="preserve"> </w:t>
            </w:r>
            <w:r w:rsidRPr="003067B9">
              <w:rPr>
                <w:lang w:val="en-NZ"/>
              </w:rPr>
              <w:t>olds who have been referred to and seen by a specialist mental health service within three weeks of referral. This measure is calculated for a full-year to the end of the reported quarter.</w:t>
            </w:r>
          </w:p>
        </w:tc>
        <w:tc>
          <w:tcPr>
            <w:tcW w:w="776" w:type="pct"/>
          </w:tcPr>
          <w:p w14:paraId="644FB7BA" w14:textId="77777777" w:rsidR="00EC3C3A" w:rsidRPr="003067B9" w:rsidRDefault="00EC3C3A" w:rsidP="003B29E0">
            <w:pPr>
              <w:rPr>
                <w:lang w:val="en-NZ"/>
              </w:rPr>
            </w:pPr>
            <w:r w:rsidRPr="003067B9">
              <w:rPr>
                <w:lang w:val="en-NZ"/>
              </w:rPr>
              <w:t>80% and maintain performance for populations exceeding this target</w:t>
            </w:r>
          </w:p>
        </w:tc>
        <w:tc>
          <w:tcPr>
            <w:tcW w:w="673" w:type="pct"/>
          </w:tcPr>
          <w:p w14:paraId="61483455" w14:textId="77777777" w:rsidR="00EC3C3A" w:rsidRPr="003067B9" w:rsidRDefault="00EC3C3A" w:rsidP="003B29E0">
            <w:pPr>
              <w:rPr>
                <w:lang w:val="en-NZ"/>
              </w:rPr>
            </w:pPr>
            <w:r w:rsidRPr="003067B9">
              <w:rPr>
                <w:lang w:val="en-NZ"/>
              </w:rPr>
              <w:t>National baseline 68.5% (Year to Sep 2022)</w:t>
            </w:r>
          </w:p>
        </w:tc>
        <w:tc>
          <w:tcPr>
            <w:tcW w:w="695" w:type="pct"/>
          </w:tcPr>
          <w:p w14:paraId="2A0C91F3" w14:textId="77777777" w:rsidR="00EC3C3A" w:rsidRPr="003067B9" w:rsidRDefault="00EC3C3A" w:rsidP="003B29E0">
            <w:pPr>
              <w:rPr>
                <w:lang w:val="en-NZ"/>
              </w:rPr>
            </w:pPr>
            <w:r w:rsidRPr="003067B9">
              <w:rPr>
                <w:lang w:val="en-NZ"/>
              </w:rPr>
              <w:t>SPE</w:t>
            </w:r>
          </w:p>
          <w:p w14:paraId="3F47CE6D" w14:textId="77777777" w:rsidR="00EC3C3A" w:rsidRPr="003067B9" w:rsidRDefault="00EC3C3A" w:rsidP="003B29E0">
            <w:pPr>
              <w:rPr>
                <w:lang w:val="en-NZ"/>
              </w:rPr>
            </w:pPr>
            <w:r w:rsidRPr="003067B9">
              <w:rPr>
                <w:lang w:val="en-NZ"/>
              </w:rPr>
              <w:t>TPT</w:t>
            </w:r>
          </w:p>
          <w:p w14:paraId="40C6F973" w14:textId="77777777" w:rsidR="00EC3C3A" w:rsidRPr="003067B9" w:rsidRDefault="00EC3C3A" w:rsidP="003B29E0">
            <w:pPr>
              <w:rPr>
                <w:lang w:val="en-NZ"/>
              </w:rPr>
            </w:pPr>
            <w:r w:rsidRPr="003067B9">
              <w:rPr>
                <w:lang w:val="en-NZ"/>
              </w:rPr>
              <w:t>Board</w:t>
            </w:r>
          </w:p>
        </w:tc>
      </w:tr>
      <w:tr w:rsidR="00EC3C3A" w:rsidRPr="00D4706E" w14:paraId="1C51E111" w14:textId="77777777" w:rsidTr="00C96679">
        <w:tc>
          <w:tcPr>
            <w:tcW w:w="220" w:type="pct"/>
          </w:tcPr>
          <w:p w14:paraId="22D634CB" w14:textId="1E5CEC42" w:rsidR="00EC3C3A" w:rsidRPr="003067B9" w:rsidRDefault="00E30882" w:rsidP="003B29E0">
            <w:pPr>
              <w:rPr>
                <w:lang w:val="en-NZ"/>
              </w:rPr>
            </w:pPr>
            <w:r w:rsidRPr="003067B9">
              <w:rPr>
                <w:lang w:val="en-NZ"/>
              </w:rPr>
              <w:t>1</w:t>
            </w:r>
            <w:r w:rsidR="00787763" w:rsidRPr="003067B9">
              <w:rPr>
                <w:lang w:val="en-NZ"/>
              </w:rPr>
              <w:t>3</w:t>
            </w:r>
          </w:p>
        </w:tc>
        <w:tc>
          <w:tcPr>
            <w:tcW w:w="1036" w:type="pct"/>
          </w:tcPr>
          <w:p w14:paraId="0EB419C7" w14:textId="77777777" w:rsidR="00EC3C3A" w:rsidRPr="003067B9" w:rsidRDefault="00EC3C3A" w:rsidP="003B29E0">
            <w:pPr>
              <w:rPr>
                <w:lang w:val="en-NZ"/>
              </w:rPr>
            </w:pPr>
            <w:r w:rsidRPr="003067B9">
              <w:rPr>
                <w:lang w:val="en-NZ"/>
              </w:rPr>
              <w:t>Emergency Department presentations +</w:t>
            </w:r>
          </w:p>
        </w:tc>
        <w:tc>
          <w:tcPr>
            <w:tcW w:w="1599" w:type="pct"/>
          </w:tcPr>
          <w:p w14:paraId="2E4DAC74" w14:textId="77777777" w:rsidR="00EC3C3A" w:rsidRPr="003067B9" w:rsidRDefault="00EC3C3A" w:rsidP="003B29E0">
            <w:pPr>
              <w:rPr>
                <w:lang w:val="en-NZ"/>
              </w:rPr>
            </w:pPr>
            <w:r w:rsidRPr="003067B9">
              <w:rPr>
                <w:lang w:val="en-NZ"/>
              </w:rPr>
              <w:t>Number of people who present to an emergency department including those who did not wait to be seen.</w:t>
            </w:r>
          </w:p>
        </w:tc>
        <w:tc>
          <w:tcPr>
            <w:tcW w:w="776" w:type="pct"/>
          </w:tcPr>
          <w:p w14:paraId="74DDAAB7" w14:textId="77777777" w:rsidR="00EC3C3A" w:rsidRPr="003067B9" w:rsidRDefault="00EC3C3A" w:rsidP="003B29E0">
            <w:pPr>
              <w:rPr>
                <w:lang w:val="en-NZ"/>
              </w:rPr>
            </w:pPr>
            <w:r w:rsidRPr="003067B9">
              <w:rPr>
                <w:lang w:val="en-NZ"/>
              </w:rPr>
              <w:t>N/A</w:t>
            </w:r>
          </w:p>
        </w:tc>
        <w:tc>
          <w:tcPr>
            <w:tcW w:w="673" w:type="pct"/>
          </w:tcPr>
          <w:p w14:paraId="76EB20BE" w14:textId="77777777" w:rsidR="00EC3C3A" w:rsidRPr="003067B9" w:rsidRDefault="00EC3C3A" w:rsidP="003B29E0">
            <w:pPr>
              <w:rPr>
                <w:lang w:val="en-NZ"/>
              </w:rPr>
            </w:pPr>
            <w:r w:rsidRPr="003067B9">
              <w:rPr>
                <w:lang w:val="en-NZ"/>
              </w:rPr>
              <w:t>318,151 (Q1 2022/23)</w:t>
            </w:r>
          </w:p>
        </w:tc>
        <w:tc>
          <w:tcPr>
            <w:tcW w:w="695" w:type="pct"/>
          </w:tcPr>
          <w:p w14:paraId="35541960" w14:textId="77777777" w:rsidR="00EC3C3A" w:rsidRPr="003067B9" w:rsidRDefault="00EC3C3A" w:rsidP="003B29E0">
            <w:pPr>
              <w:rPr>
                <w:lang w:val="en-NZ"/>
              </w:rPr>
            </w:pPr>
          </w:p>
          <w:p w14:paraId="765E578E" w14:textId="77777777" w:rsidR="00EC3C3A" w:rsidRPr="003067B9" w:rsidRDefault="00EC3C3A" w:rsidP="003B29E0">
            <w:pPr>
              <w:rPr>
                <w:lang w:val="en-NZ"/>
              </w:rPr>
            </w:pPr>
            <w:r w:rsidRPr="003067B9">
              <w:rPr>
                <w:lang w:val="en-NZ"/>
              </w:rPr>
              <w:t>Board</w:t>
            </w:r>
          </w:p>
        </w:tc>
      </w:tr>
      <w:tr w:rsidR="00EC3C3A" w:rsidRPr="00D4706E" w14:paraId="723B94BE" w14:textId="77777777" w:rsidTr="00C96679">
        <w:tc>
          <w:tcPr>
            <w:tcW w:w="220" w:type="pct"/>
          </w:tcPr>
          <w:p w14:paraId="0C341408" w14:textId="55A2F022" w:rsidR="00EC3C3A" w:rsidRPr="003067B9" w:rsidRDefault="00E30882" w:rsidP="003B29E0">
            <w:pPr>
              <w:rPr>
                <w:lang w:val="en-NZ"/>
              </w:rPr>
            </w:pPr>
            <w:r w:rsidRPr="003067B9">
              <w:rPr>
                <w:lang w:val="en-NZ"/>
              </w:rPr>
              <w:lastRenderedPageBreak/>
              <w:t>1</w:t>
            </w:r>
            <w:r w:rsidR="00787763" w:rsidRPr="003067B9">
              <w:rPr>
                <w:lang w:val="en-NZ"/>
              </w:rPr>
              <w:t>4</w:t>
            </w:r>
          </w:p>
        </w:tc>
        <w:tc>
          <w:tcPr>
            <w:tcW w:w="1036" w:type="pct"/>
          </w:tcPr>
          <w:p w14:paraId="44F13BFD" w14:textId="77777777" w:rsidR="00EC3C3A" w:rsidRPr="003067B9" w:rsidRDefault="00EC3C3A" w:rsidP="003B29E0">
            <w:pPr>
              <w:rPr>
                <w:lang w:val="en-NZ"/>
              </w:rPr>
            </w:pPr>
            <w:r w:rsidRPr="003067B9">
              <w:rPr>
                <w:lang w:val="en-NZ"/>
              </w:rPr>
              <w:t>Admissions from Emergency Departments +</w:t>
            </w:r>
          </w:p>
        </w:tc>
        <w:tc>
          <w:tcPr>
            <w:tcW w:w="1599" w:type="pct"/>
          </w:tcPr>
          <w:p w14:paraId="759744E1" w14:textId="77777777" w:rsidR="00EC3C3A" w:rsidRPr="003067B9" w:rsidRDefault="00EC3C3A" w:rsidP="003B29E0">
            <w:pPr>
              <w:rPr>
                <w:lang w:val="en-NZ"/>
              </w:rPr>
            </w:pPr>
            <w:r w:rsidRPr="003067B9">
              <w:rPr>
                <w:lang w:val="en-NZ"/>
              </w:rPr>
              <w:t>Patients admitted to a hospital ward following attendance at an Emergency Department (ED) as a proportion of all patients who attended an ED.</w:t>
            </w:r>
          </w:p>
        </w:tc>
        <w:tc>
          <w:tcPr>
            <w:tcW w:w="776" w:type="pct"/>
          </w:tcPr>
          <w:p w14:paraId="473A6220" w14:textId="77777777" w:rsidR="00EC3C3A" w:rsidRPr="003067B9" w:rsidRDefault="00EC3C3A" w:rsidP="003B29E0">
            <w:pPr>
              <w:rPr>
                <w:lang w:val="en-NZ"/>
              </w:rPr>
            </w:pPr>
            <w:r w:rsidRPr="003067B9">
              <w:rPr>
                <w:lang w:val="en-NZ"/>
              </w:rPr>
              <w:t>N/A</w:t>
            </w:r>
          </w:p>
        </w:tc>
        <w:tc>
          <w:tcPr>
            <w:tcW w:w="673" w:type="pct"/>
          </w:tcPr>
          <w:p w14:paraId="25D33F2B" w14:textId="77777777" w:rsidR="00EC3C3A" w:rsidRPr="003067B9" w:rsidRDefault="00EC3C3A" w:rsidP="003B29E0">
            <w:pPr>
              <w:rPr>
                <w:lang w:val="en-NZ"/>
              </w:rPr>
            </w:pPr>
            <w:r w:rsidRPr="003067B9">
              <w:rPr>
                <w:lang w:val="en-NZ"/>
              </w:rPr>
              <w:t>31% (Q1 2022/23)</w:t>
            </w:r>
          </w:p>
        </w:tc>
        <w:tc>
          <w:tcPr>
            <w:tcW w:w="695" w:type="pct"/>
          </w:tcPr>
          <w:p w14:paraId="342B0A6C" w14:textId="77777777" w:rsidR="00EC3C3A" w:rsidRPr="003067B9" w:rsidRDefault="00EC3C3A" w:rsidP="003B29E0">
            <w:pPr>
              <w:rPr>
                <w:lang w:val="en-NZ"/>
              </w:rPr>
            </w:pPr>
            <w:r w:rsidRPr="003067B9">
              <w:rPr>
                <w:lang w:val="en-NZ"/>
              </w:rPr>
              <w:t>Board</w:t>
            </w:r>
          </w:p>
        </w:tc>
      </w:tr>
      <w:tr w:rsidR="00EC3C3A" w:rsidRPr="00D4706E" w14:paraId="2C118FB9" w14:textId="77777777" w:rsidTr="00C96679">
        <w:tc>
          <w:tcPr>
            <w:tcW w:w="220" w:type="pct"/>
          </w:tcPr>
          <w:p w14:paraId="72C6301C" w14:textId="35BCDFC8" w:rsidR="00EC3C3A" w:rsidRPr="003067B9" w:rsidRDefault="00E30882" w:rsidP="003B29E0">
            <w:pPr>
              <w:rPr>
                <w:lang w:val="en-NZ"/>
              </w:rPr>
            </w:pPr>
            <w:r w:rsidRPr="003067B9">
              <w:rPr>
                <w:lang w:val="en-NZ"/>
              </w:rPr>
              <w:t>1</w:t>
            </w:r>
            <w:r w:rsidR="00787763" w:rsidRPr="003067B9">
              <w:rPr>
                <w:lang w:val="en-NZ"/>
              </w:rPr>
              <w:t>5</w:t>
            </w:r>
          </w:p>
        </w:tc>
        <w:tc>
          <w:tcPr>
            <w:tcW w:w="1036" w:type="pct"/>
          </w:tcPr>
          <w:p w14:paraId="3830A260" w14:textId="77777777" w:rsidR="00EC3C3A" w:rsidRPr="003067B9" w:rsidRDefault="00EC3C3A" w:rsidP="003B29E0">
            <w:pPr>
              <w:rPr>
                <w:lang w:val="en-NZ"/>
              </w:rPr>
            </w:pPr>
            <w:r w:rsidRPr="003067B9">
              <w:rPr>
                <w:lang w:val="en-NZ"/>
              </w:rPr>
              <w:t>Acute bed days per capita +</w:t>
            </w:r>
          </w:p>
        </w:tc>
        <w:tc>
          <w:tcPr>
            <w:tcW w:w="1599" w:type="pct"/>
          </w:tcPr>
          <w:p w14:paraId="3CD20E9F" w14:textId="77777777" w:rsidR="00EC3C3A" w:rsidRPr="003067B9" w:rsidRDefault="00EC3C3A" w:rsidP="003B29E0">
            <w:pPr>
              <w:rPr>
                <w:lang w:val="en-NZ"/>
              </w:rPr>
            </w:pPr>
            <w:r w:rsidRPr="003067B9">
              <w:rPr>
                <w:lang w:val="en-NZ"/>
              </w:rPr>
              <w:t>Acute bed days are the number of days a person spends in hospital, following an acute admission. The acute bed days rate is presented as the number of bed days for acute hospital stays per 1,000 population, age-standardised. This measure is calculated for a full-year to the end of the reported quarter.</w:t>
            </w:r>
          </w:p>
        </w:tc>
        <w:tc>
          <w:tcPr>
            <w:tcW w:w="776" w:type="pct"/>
          </w:tcPr>
          <w:p w14:paraId="6187CA1E" w14:textId="32000358" w:rsidR="00EC3C3A" w:rsidRPr="003067B9" w:rsidRDefault="00232191" w:rsidP="003B29E0">
            <w:pPr>
              <w:rPr>
                <w:lang w:val="en-NZ"/>
              </w:rPr>
            </w:pPr>
            <w:r w:rsidRPr="003067B9">
              <w:rPr>
                <w:lang w:val="en-NZ"/>
              </w:rPr>
              <w:t>N/A</w:t>
            </w:r>
          </w:p>
        </w:tc>
        <w:tc>
          <w:tcPr>
            <w:tcW w:w="673" w:type="pct"/>
          </w:tcPr>
          <w:p w14:paraId="3161D15E" w14:textId="77777777" w:rsidR="00EC3C3A" w:rsidRPr="003067B9" w:rsidRDefault="00EC3C3A" w:rsidP="003B29E0">
            <w:pPr>
              <w:rPr>
                <w:lang w:val="en-NZ"/>
              </w:rPr>
            </w:pPr>
          </w:p>
        </w:tc>
        <w:tc>
          <w:tcPr>
            <w:tcW w:w="695" w:type="pct"/>
          </w:tcPr>
          <w:p w14:paraId="10A9CF47" w14:textId="77777777" w:rsidR="00EC3C3A" w:rsidRPr="003067B9" w:rsidRDefault="00EC3C3A" w:rsidP="003B29E0">
            <w:pPr>
              <w:rPr>
                <w:lang w:val="en-NZ"/>
              </w:rPr>
            </w:pPr>
            <w:r w:rsidRPr="003067B9">
              <w:rPr>
                <w:lang w:val="en-NZ"/>
              </w:rPr>
              <w:t>SPE</w:t>
            </w:r>
          </w:p>
          <w:p w14:paraId="5D819F3F" w14:textId="77777777" w:rsidR="00EC3C3A" w:rsidRPr="003067B9" w:rsidRDefault="00EC3C3A" w:rsidP="003B29E0">
            <w:pPr>
              <w:rPr>
                <w:lang w:val="en-NZ"/>
              </w:rPr>
            </w:pPr>
            <w:r w:rsidRPr="003067B9">
              <w:rPr>
                <w:lang w:val="en-NZ"/>
              </w:rPr>
              <w:t>TPT</w:t>
            </w:r>
          </w:p>
          <w:p w14:paraId="50C72687" w14:textId="77777777" w:rsidR="00EC3C3A" w:rsidRPr="003067B9" w:rsidRDefault="00EC3C3A" w:rsidP="003B29E0">
            <w:pPr>
              <w:rPr>
                <w:lang w:val="en-NZ"/>
              </w:rPr>
            </w:pPr>
            <w:r w:rsidRPr="003067B9">
              <w:rPr>
                <w:lang w:val="en-NZ"/>
              </w:rPr>
              <w:t>Board</w:t>
            </w:r>
          </w:p>
          <w:p w14:paraId="031DDF70" w14:textId="77777777" w:rsidR="00EC3C3A" w:rsidRPr="003067B9" w:rsidRDefault="00EC3C3A" w:rsidP="003B29E0">
            <w:pPr>
              <w:rPr>
                <w:lang w:val="en-NZ"/>
              </w:rPr>
            </w:pPr>
          </w:p>
        </w:tc>
      </w:tr>
      <w:tr w:rsidR="00EC3C3A" w:rsidRPr="00D4706E" w14:paraId="06AE89CD" w14:textId="77777777" w:rsidTr="00C96679">
        <w:tc>
          <w:tcPr>
            <w:tcW w:w="220" w:type="pct"/>
          </w:tcPr>
          <w:p w14:paraId="38C3835A" w14:textId="53FCA685" w:rsidR="00EC3C3A" w:rsidRPr="003067B9" w:rsidRDefault="00E30882" w:rsidP="003B29E0">
            <w:pPr>
              <w:rPr>
                <w:lang w:val="en-NZ"/>
              </w:rPr>
            </w:pPr>
            <w:r w:rsidRPr="003067B9">
              <w:rPr>
                <w:lang w:val="en-NZ"/>
              </w:rPr>
              <w:t>1</w:t>
            </w:r>
            <w:r w:rsidR="00787763" w:rsidRPr="003067B9">
              <w:rPr>
                <w:lang w:val="en-NZ"/>
              </w:rPr>
              <w:t>6</w:t>
            </w:r>
          </w:p>
        </w:tc>
        <w:tc>
          <w:tcPr>
            <w:tcW w:w="1036" w:type="pct"/>
          </w:tcPr>
          <w:p w14:paraId="3F92E7B1" w14:textId="77777777" w:rsidR="00EC3C3A" w:rsidRPr="003067B9" w:rsidRDefault="00EC3C3A" w:rsidP="003B29E0">
            <w:pPr>
              <w:rPr>
                <w:lang w:val="en-NZ"/>
              </w:rPr>
            </w:pPr>
            <w:r w:rsidRPr="003067B9">
              <w:rPr>
                <w:lang w:val="en-NZ"/>
              </w:rPr>
              <w:t>Inpatient length of stay &gt;7 days</w:t>
            </w:r>
          </w:p>
        </w:tc>
        <w:tc>
          <w:tcPr>
            <w:tcW w:w="1599" w:type="pct"/>
          </w:tcPr>
          <w:p w14:paraId="01CF3C88" w14:textId="77777777" w:rsidR="00EC3C3A" w:rsidRPr="003067B9" w:rsidRDefault="00EC3C3A" w:rsidP="003B29E0">
            <w:pPr>
              <w:rPr>
                <w:lang w:val="en-NZ"/>
              </w:rPr>
            </w:pPr>
            <w:r w:rsidRPr="003067B9">
              <w:rPr>
                <w:lang w:val="en-NZ"/>
              </w:rPr>
              <w:t>Number of hospital discharges with an inpatient length of stay of greater than seven days as proportion of all discharges in period.</w:t>
            </w:r>
          </w:p>
        </w:tc>
        <w:tc>
          <w:tcPr>
            <w:tcW w:w="776" w:type="pct"/>
          </w:tcPr>
          <w:p w14:paraId="0651EEF9" w14:textId="77777777" w:rsidR="00EC3C3A" w:rsidRPr="003067B9" w:rsidRDefault="00EC3C3A" w:rsidP="003B29E0">
            <w:pPr>
              <w:rPr>
                <w:lang w:val="en-NZ"/>
              </w:rPr>
            </w:pPr>
            <w:r w:rsidRPr="003067B9">
              <w:rPr>
                <w:lang w:val="en-NZ"/>
              </w:rPr>
              <w:t>Improve from baseline (trend to decrease)</w:t>
            </w:r>
          </w:p>
        </w:tc>
        <w:tc>
          <w:tcPr>
            <w:tcW w:w="673" w:type="pct"/>
          </w:tcPr>
          <w:p w14:paraId="10497777" w14:textId="77777777" w:rsidR="00EC3C3A" w:rsidRPr="003067B9" w:rsidRDefault="00EC3C3A" w:rsidP="003B29E0">
            <w:pPr>
              <w:rPr>
                <w:lang w:val="en-NZ"/>
              </w:rPr>
            </w:pPr>
            <w:r w:rsidRPr="003067B9">
              <w:rPr>
                <w:lang w:val="en-NZ"/>
              </w:rPr>
              <w:t>National baseline 9% (Q1 2022/23)</w:t>
            </w:r>
          </w:p>
          <w:p w14:paraId="6D78D2C1" w14:textId="77777777" w:rsidR="00EC3C3A" w:rsidRPr="003067B9" w:rsidRDefault="00EC3C3A" w:rsidP="003B29E0">
            <w:pPr>
              <w:rPr>
                <w:lang w:val="en-NZ"/>
              </w:rPr>
            </w:pPr>
          </w:p>
        </w:tc>
        <w:tc>
          <w:tcPr>
            <w:tcW w:w="695" w:type="pct"/>
          </w:tcPr>
          <w:p w14:paraId="4F3A3275" w14:textId="1DE711E9" w:rsidR="00F15102" w:rsidRPr="003067B9" w:rsidRDefault="00EC3C3A" w:rsidP="00F15102">
            <w:pPr>
              <w:rPr>
                <w:lang w:val="en-NZ"/>
              </w:rPr>
            </w:pPr>
            <w:r w:rsidRPr="003067B9">
              <w:rPr>
                <w:lang w:val="en-NZ"/>
              </w:rPr>
              <w:t>SPE</w:t>
            </w:r>
          </w:p>
        </w:tc>
      </w:tr>
      <w:tr w:rsidR="00EC3C3A" w:rsidRPr="00D4706E" w14:paraId="161CB89C" w14:textId="77777777" w:rsidTr="00C96679">
        <w:tc>
          <w:tcPr>
            <w:tcW w:w="220" w:type="pct"/>
          </w:tcPr>
          <w:p w14:paraId="70E92209" w14:textId="274CBA8C" w:rsidR="00EC3C3A" w:rsidRPr="003067B9" w:rsidRDefault="00E30882" w:rsidP="003B29E0">
            <w:pPr>
              <w:rPr>
                <w:lang w:val="en-NZ"/>
              </w:rPr>
            </w:pPr>
            <w:r w:rsidRPr="003067B9">
              <w:rPr>
                <w:lang w:val="en-NZ"/>
              </w:rPr>
              <w:t>1</w:t>
            </w:r>
            <w:r w:rsidR="00787763" w:rsidRPr="003067B9">
              <w:rPr>
                <w:lang w:val="en-NZ"/>
              </w:rPr>
              <w:t>7</w:t>
            </w:r>
          </w:p>
        </w:tc>
        <w:tc>
          <w:tcPr>
            <w:tcW w:w="1036" w:type="pct"/>
          </w:tcPr>
          <w:p w14:paraId="3ACBA5B0" w14:textId="77777777" w:rsidR="00EC3C3A" w:rsidRPr="003067B9" w:rsidRDefault="00EC3C3A" w:rsidP="003B29E0">
            <w:pPr>
              <w:rPr>
                <w:lang w:val="en-NZ"/>
              </w:rPr>
            </w:pPr>
            <w:r w:rsidRPr="003067B9">
              <w:rPr>
                <w:lang w:val="en-NZ"/>
              </w:rPr>
              <w:t>Involvement in care decisions – in hospital</w:t>
            </w:r>
          </w:p>
        </w:tc>
        <w:tc>
          <w:tcPr>
            <w:tcW w:w="1599" w:type="pct"/>
          </w:tcPr>
          <w:p w14:paraId="31A01280" w14:textId="7C44C31C" w:rsidR="00EC3C3A" w:rsidRPr="003067B9" w:rsidRDefault="00EC3C3A" w:rsidP="003B29E0">
            <w:pPr>
              <w:rPr>
                <w:lang w:val="en-NZ"/>
              </w:rPr>
            </w:pPr>
            <w:r w:rsidRPr="003067B9">
              <w:rPr>
                <w:lang w:val="en-NZ"/>
              </w:rPr>
              <w:t>People who reported they were involved as much as they wanted to be in decisions about their treatment as a proportion of all adult inpatients who responded to the HQSC quarterly survey</w:t>
            </w:r>
            <w:r w:rsidR="002C108B" w:rsidRPr="003067B9">
              <w:rPr>
                <w:lang w:val="en-NZ"/>
              </w:rPr>
              <w:t>.</w:t>
            </w:r>
          </w:p>
        </w:tc>
        <w:tc>
          <w:tcPr>
            <w:tcW w:w="776" w:type="pct"/>
          </w:tcPr>
          <w:p w14:paraId="64F28FDD" w14:textId="77777777" w:rsidR="00EC3C3A" w:rsidRPr="003067B9" w:rsidRDefault="00EC3C3A" w:rsidP="003B29E0">
            <w:pPr>
              <w:rPr>
                <w:lang w:val="en-NZ"/>
              </w:rPr>
            </w:pPr>
            <w:r w:rsidRPr="003067B9">
              <w:rPr>
                <w:lang w:val="en-NZ"/>
              </w:rPr>
              <w:t>Improve from baseline (trend to increase)</w:t>
            </w:r>
          </w:p>
        </w:tc>
        <w:tc>
          <w:tcPr>
            <w:tcW w:w="673" w:type="pct"/>
          </w:tcPr>
          <w:p w14:paraId="4886098B" w14:textId="77777777" w:rsidR="00EC3C3A" w:rsidRPr="003067B9" w:rsidRDefault="00EC3C3A" w:rsidP="003B29E0">
            <w:pPr>
              <w:rPr>
                <w:lang w:val="en-NZ"/>
              </w:rPr>
            </w:pPr>
            <w:r w:rsidRPr="003067B9">
              <w:rPr>
                <w:lang w:val="en-NZ"/>
              </w:rPr>
              <w:t>National baseline 76% (quarter two 2022/23)</w:t>
            </w:r>
          </w:p>
        </w:tc>
        <w:tc>
          <w:tcPr>
            <w:tcW w:w="695" w:type="pct"/>
          </w:tcPr>
          <w:p w14:paraId="592907CA" w14:textId="77777777" w:rsidR="00EC3C3A" w:rsidRPr="003067B9" w:rsidRDefault="00EC3C3A" w:rsidP="003B29E0">
            <w:pPr>
              <w:rPr>
                <w:lang w:val="en-NZ"/>
              </w:rPr>
            </w:pPr>
            <w:r w:rsidRPr="003067B9">
              <w:rPr>
                <w:lang w:val="en-NZ"/>
              </w:rPr>
              <w:t>SPE</w:t>
            </w:r>
          </w:p>
        </w:tc>
      </w:tr>
      <w:tr w:rsidR="00EC3C3A" w:rsidRPr="00D4706E" w14:paraId="4B93045B" w14:textId="77777777" w:rsidTr="00C96679">
        <w:tc>
          <w:tcPr>
            <w:tcW w:w="220" w:type="pct"/>
          </w:tcPr>
          <w:p w14:paraId="32F71954" w14:textId="40858934" w:rsidR="00EC3C3A" w:rsidRPr="003067B9" w:rsidRDefault="00E30882" w:rsidP="003B29E0">
            <w:pPr>
              <w:rPr>
                <w:lang w:val="en-NZ"/>
              </w:rPr>
            </w:pPr>
            <w:r w:rsidRPr="003067B9">
              <w:rPr>
                <w:lang w:val="en-NZ"/>
              </w:rPr>
              <w:t>1</w:t>
            </w:r>
            <w:r w:rsidR="00787763" w:rsidRPr="003067B9">
              <w:rPr>
                <w:lang w:val="en-NZ"/>
              </w:rPr>
              <w:t>8</w:t>
            </w:r>
          </w:p>
        </w:tc>
        <w:tc>
          <w:tcPr>
            <w:tcW w:w="1036" w:type="pct"/>
          </w:tcPr>
          <w:p w14:paraId="4C937D43" w14:textId="77777777" w:rsidR="00EC3C3A" w:rsidRPr="003067B9" w:rsidRDefault="00EC3C3A" w:rsidP="003B29E0">
            <w:pPr>
              <w:rPr>
                <w:lang w:val="en-NZ"/>
              </w:rPr>
            </w:pPr>
            <w:r w:rsidRPr="003067B9">
              <w:rPr>
                <w:lang w:val="en-NZ"/>
              </w:rPr>
              <w:t>People waiting more than 365 days for a procedure +</w:t>
            </w:r>
          </w:p>
        </w:tc>
        <w:tc>
          <w:tcPr>
            <w:tcW w:w="1599" w:type="pct"/>
          </w:tcPr>
          <w:p w14:paraId="513953B2" w14:textId="77777777" w:rsidR="00EC3C3A" w:rsidRPr="003067B9" w:rsidRDefault="00EC3C3A" w:rsidP="003B29E0">
            <w:pPr>
              <w:rPr>
                <w:lang w:val="en-NZ"/>
              </w:rPr>
            </w:pPr>
            <w:r w:rsidRPr="003067B9">
              <w:rPr>
                <w:lang w:val="en-NZ"/>
              </w:rPr>
              <w:t xml:space="preserve">The number of people who have been waiting for a procedure for more than 365 days </w:t>
            </w:r>
            <w:r w:rsidRPr="005F1364">
              <w:rPr>
                <w:b/>
                <w:lang w:val="en-NZ"/>
              </w:rPr>
              <w:t>from the time they were ready for treatment.</w:t>
            </w:r>
          </w:p>
        </w:tc>
        <w:tc>
          <w:tcPr>
            <w:tcW w:w="776" w:type="pct"/>
          </w:tcPr>
          <w:p w14:paraId="1F4CC422" w14:textId="77777777" w:rsidR="00EC3C3A" w:rsidRPr="003067B9" w:rsidRDefault="00EC3C3A" w:rsidP="003B29E0">
            <w:pPr>
              <w:rPr>
                <w:lang w:val="en-NZ"/>
              </w:rPr>
            </w:pPr>
            <w:r w:rsidRPr="003067B9">
              <w:rPr>
                <w:lang w:val="en-NZ"/>
              </w:rPr>
              <w:t>N/A</w:t>
            </w:r>
          </w:p>
        </w:tc>
        <w:tc>
          <w:tcPr>
            <w:tcW w:w="673" w:type="pct"/>
          </w:tcPr>
          <w:p w14:paraId="5F0D187A" w14:textId="77777777" w:rsidR="00EC3C3A" w:rsidRPr="003067B9" w:rsidRDefault="00EC3C3A" w:rsidP="003B29E0">
            <w:pPr>
              <w:rPr>
                <w:lang w:val="en-NZ"/>
              </w:rPr>
            </w:pPr>
            <w:r w:rsidRPr="003067B9">
              <w:rPr>
                <w:lang w:val="en-NZ"/>
              </w:rPr>
              <w:t>National baseline 4,625 (Q1 2022/23)</w:t>
            </w:r>
          </w:p>
        </w:tc>
        <w:tc>
          <w:tcPr>
            <w:tcW w:w="695" w:type="pct"/>
          </w:tcPr>
          <w:p w14:paraId="1470EF24" w14:textId="77777777" w:rsidR="00EC3C3A" w:rsidRPr="003067B9" w:rsidRDefault="00EC3C3A" w:rsidP="003B29E0">
            <w:pPr>
              <w:rPr>
                <w:lang w:val="en-NZ"/>
              </w:rPr>
            </w:pPr>
            <w:r w:rsidRPr="003067B9">
              <w:rPr>
                <w:lang w:val="en-NZ"/>
              </w:rPr>
              <w:t>Board</w:t>
            </w:r>
          </w:p>
        </w:tc>
      </w:tr>
      <w:tr w:rsidR="00EC3C3A" w:rsidRPr="00D4706E" w14:paraId="75F2E799" w14:textId="77777777" w:rsidTr="00C96679">
        <w:tc>
          <w:tcPr>
            <w:tcW w:w="220" w:type="pct"/>
          </w:tcPr>
          <w:p w14:paraId="621AED73" w14:textId="40B4C9A1" w:rsidR="00EC3C3A" w:rsidRPr="003067B9" w:rsidRDefault="00787763" w:rsidP="003B29E0">
            <w:pPr>
              <w:rPr>
                <w:lang w:val="en-NZ"/>
              </w:rPr>
            </w:pPr>
            <w:r w:rsidRPr="003067B9">
              <w:rPr>
                <w:lang w:val="en-NZ"/>
              </w:rPr>
              <w:t>19</w:t>
            </w:r>
          </w:p>
        </w:tc>
        <w:tc>
          <w:tcPr>
            <w:tcW w:w="1036" w:type="pct"/>
          </w:tcPr>
          <w:p w14:paraId="3E143F2D" w14:textId="77777777" w:rsidR="00EC3C3A" w:rsidRPr="003067B9" w:rsidRDefault="00EC3C3A" w:rsidP="003B29E0">
            <w:pPr>
              <w:rPr>
                <w:lang w:val="en-NZ"/>
              </w:rPr>
            </w:pPr>
            <w:r w:rsidRPr="003067B9">
              <w:rPr>
                <w:lang w:val="en-NZ"/>
              </w:rPr>
              <w:t>Medical appointments through digital channels</w:t>
            </w:r>
          </w:p>
        </w:tc>
        <w:tc>
          <w:tcPr>
            <w:tcW w:w="1599" w:type="pct"/>
          </w:tcPr>
          <w:p w14:paraId="29C8787E" w14:textId="77777777" w:rsidR="00EC3C3A" w:rsidRPr="003067B9" w:rsidRDefault="00EC3C3A" w:rsidP="003B29E0">
            <w:pPr>
              <w:rPr>
                <w:lang w:val="en-NZ"/>
              </w:rPr>
            </w:pPr>
            <w:r w:rsidRPr="003067B9">
              <w:rPr>
                <w:lang w:val="en-NZ"/>
              </w:rPr>
              <w:t>This measure reports outpatient attendances that were completed via telephone or video as a proportion of all outpatient attendances.</w:t>
            </w:r>
          </w:p>
        </w:tc>
        <w:tc>
          <w:tcPr>
            <w:tcW w:w="776" w:type="pct"/>
          </w:tcPr>
          <w:p w14:paraId="0AC336C5" w14:textId="77777777" w:rsidR="00EC3C3A" w:rsidRPr="003067B9" w:rsidRDefault="00EC3C3A" w:rsidP="003B29E0">
            <w:pPr>
              <w:rPr>
                <w:lang w:val="en-NZ"/>
              </w:rPr>
            </w:pPr>
            <w:r w:rsidRPr="003067B9">
              <w:rPr>
                <w:lang w:val="en-NZ"/>
              </w:rPr>
              <w:t>Improve from baseline (trend to increase)</w:t>
            </w:r>
          </w:p>
        </w:tc>
        <w:tc>
          <w:tcPr>
            <w:tcW w:w="673" w:type="pct"/>
          </w:tcPr>
          <w:p w14:paraId="7E18D17E" w14:textId="77777777" w:rsidR="00EC3C3A" w:rsidRPr="003067B9" w:rsidRDefault="00EC3C3A" w:rsidP="003B29E0">
            <w:pPr>
              <w:rPr>
                <w:lang w:val="en-NZ"/>
              </w:rPr>
            </w:pPr>
            <w:r w:rsidRPr="003067B9">
              <w:rPr>
                <w:lang w:val="en-NZ"/>
              </w:rPr>
              <w:t>National baseline 12% (Q1 2022/23)</w:t>
            </w:r>
          </w:p>
        </w:tc>
        <w:tc>
          <w:tcPr>
            <w:tcW w:w="695" w:type="pct"/>
          </w:tcPr>
          <w:p w14:paraId="1929DC3E" w14:textId="77777777" w:rsidR="00EC3C3A" w:rsidRPr="003067B9" w:rsidRDefault="00EC3C3A" w:rsidP="003B29E0">
            <w:pPr>
              <w:rPr>
                <w:lang w:val="en-NZ"/>
              </w:rPr>
            </w:pPr>
            <w:r w:rsidRPr="003067B9">
              <w:rPr>
                <w:lang w:val="en-NZ"/>
              </w:rPr>
              <w:t>SPE</w:t>
            </w:r>
          </w:p>
        </w:tc>
      </w:tr>
      <w:tr w:rsidR="00EC3C3A" w:rsidRPr="00D4706E" w14:paraId="207155E0" w14:textId="77777777" w:rsidTr="00C96679">
        <w:tc>
          <w:tcPr>
            <w:tcW w:w="220" w:type="pct"/>
          </w:tcPr>
          <w:p w14:paraId="02ABD7D0" w14:textId="328AC4B9" w:rsidR="00EC3C3A" w:rsidRPr="003067B9" w:rsidRDefault="00E30882" w:rsidP="003B29E0">
            <w:pPr>
              <w:rPr>
                <w:lang w:val="en-NZ"/>
              </w:rPr>
            </w:pPr>
            <w:r w:rsidRPr="003067B9">
              <w:rPr>
                <w:lang w:val="en-NZ"/>
              </w:rPr>
              <w:lastRenderedPageBreak/>
              <w:t>2</w:t>
            </w:r>
            <w:r w:rsidR="00787763" w:rsidRPr="003067B9">
              <w:rPr>
                <w:lang w:val="en-NZ"/>
              </w:rPr>
              <w:t>0</w:t>
            </w:r>
          </w:p>
        </w:tc>
        <w:tc>
          <w:tcPr>
            <w:tcW w:w="1036" w:type="pct"/>
          </w:tcPr>
          <w:p w14:paraId="15830A86" w14:textId="77777777" w:rsidR="00EC3C3A" w:rsidRPr="003067B9" w:rsidRDefault="00EC3C3A" w:rsidP="003B29E0">
            <w:pPr>
              <w:rPr>
                <w:lang w:val="en-NZ"/>
              </w:rPr>
            </w:pPr>
            <w:r w:rsidRPr="003067B9">
              <w:rPr>
                <w:lang w:val="en-NZ"/>
              </w:rPr>
              <w:t>Missed appointments</w:t>
            </w:r>
          </w:p>
        </w:tc>
        <w:tc>
          <w:tcPr>
            <w:tcW w:w="1599" w:type="pct"/>
          </w:tcPr>
          <w:p w14:paraId="5F3786DB" w14:textId="77777777" w:rsidR="00EC3C3A" w:rsidRPr="003067B9" w:rsidRDefault="00EC3C3A" w:rsidP="003B29E0">
            <w:pPr>
              <w:rPr>
                <w:lang w:val="en-NZ"/>
              </w:rPr>
            </w:pPr>
            <w:r w:rsidRPr="003067B9">
              <w:rPr>
                <w:lang w:val="en-NZ"/>
              </w:rPr>
              <w:t>Patients who did not attend or did not wait for first specialist assessment or follow-ups as proportion of total appointments.</w:t>
            </w:r>
          </w:p>
        </w:tc>
        <w:tc>
          <w:tcPr>
            <w:tcW w:w="776" w:type="pct"/>
          </w:tcPr>
          <w:p w14:paraId="703D57AC" w14:textId="77777777" w:rsidR="00EC3C3A" w:rsidRPr="003067B9" w:rsidRDefault="00EC3C3A" w:rsidP="003B29E0">
            <w:pPr>
              <w:rPr>
                <w:lang w:val="en-NZ"/>
              </w:rPr>
            </w:pPr>
            <w:r w:rsidRPr="003067B9">
              <w:rPr>
                <w:lang w:val="en-NZ"/>
              </w:rPr>
              <w:t>Improve from baseline (trend to decrease)</w:t>
            </w:r>
          </w:p>
        </w:tc>
        <w:tc>
          <w:tcPr>
            <w:tcW w:w="673" w:type="pct"/>
          </w:tcPr>
          <w:p w14:paraId="7C5952B3" w14:textId="77777777" w:rsidR="00EC3C3A" w:rsidRPr="003067B9" w:rsidRDefault="00EC3C3A" w:rsidP="003B29E0">
            <w:pPr>
              <w:rPr>
                <w:lang w:val="en-NZ"/>
              </w:rPr>
            </w:pPr>
            <w:r w:rsidRPr="003067B9">
              <w:rPr>
                <w:lang w:val="en-NZ"/>
              </w:rPr>
              <w:t>National baseline 8% (Q1 2022/23)</w:t>
            </w:r>
          </w:p>
        </w:tc>
        <w:tc>
          <w:tcPr>
            <w:tcW w:w="695" w:type="pct"/>
          </w:tcPr>
          <w:p w14:paraId="09C6888E" w14:textId="77777777" w:rsidR="00EC3C3A" w:rsidRPr="003067B9" w:rsidRDefault="00EC3C3A" w:rsidP="003B29E0">
            <w:pPr>
              <w:rPr>
                <w:lang w:val="en-NZ"/>
              </w:rPr>
            </w:pPr>
            <w:r w:rsidRPr="003067B9">
              <w:rPr>
                <w:lang w:val="en-NZ"/>
              </w:rPr>
              <w:t>SPE</w:t>
            </w:r>
          </w:p>
        </w:tc>
      </w:tr>
      <w:tr w:rsidR="00EC3C3A" w:rsidRPr="00D4706E" w14:paraId="7E085B40" w14:textId="77777777" w:rsidTr="00C96679">
        <w:tc>
          <w:tcPr>
            <w:tcW w:w="220" w:type="pct"/>
          </w:tcPr>
          <w:p w14:paraId="36F8453F" w14:textId="5A128261" w:rsidR="00EC3C3A" w:rsidRPr="003067B9" w:rsidRDefault="00E30882" w:rsidP="003B29E0">
            <w:pPr>
              <w:rPr>
                <w:lang w:val="en-NZ"/>
              </w:rPr>
            </w:pPr>
            <w:r w:rsidRPr="003067B9">
              <w:rPr>
                <w:lang w:val="en-NZ"/>
              </w:rPr>
              <w:t>2</w:t>
            </w:r>
            <w:r w:rsidR="00787763" w:rsidRPr="003067B9">
              <w:rPr>
                <w:lang w:val="en-NZ"/>
              </w:rPr>
              <w:t>1</w:t>
            </w:r>
          </w:p>
        </w:tc>
        <w:tc>
          <w:tcPr>
            <w:tcW w:w="1036" w:type="pct"/>
          </w:tcPr>
          <w:p w14:paraId="6D8557AD" w14:textId="77777777" w:rsidR="00EC3C3A" w:rsidRPr="003067B9" w:rsidRDefault="00EC3C3A" w:rsidP="003B29E0">
            <w:pPr>
              <w:rPr>
                <w:lang w:val="en-NZ"/>
              </w:rPr>
            </w:pPr>
            <w:r w:rsidRPr="003067B9">
              <w:rPr>
                <w:lang w:val="en-NZ"/>
              </w:rPr>
              <w:t>Delivery of planned care interventions</w:t>
            </w:r>
          </w:p>
        </w:tc>
        <w:tc>
          <w:tcPr>
            <w:tcW w:w="1599" w:type="pct"/>
          </w:tcPr>
          <w:p w14:paraId="2F81873A" w14:textId="7AE44E99" w:rsidR="00EC3C3A" w:rsidRPr="003067B9" w:rsidRDefault="00EC3C3A" w:rsidP="003B29E0">
            <w:pPr>
              <w:rPr>
                <w:lang w:val="en-NZ"/>
              </w:rPr>
            </w:pPr>
            <w:r w:rsidRPr="003067B9">
              <w:rPr>
                <w:lang w:val="en-NZ"/>
              </w:rPr>
              <w:t xml:space="preserve">Number of planned care interventions delivered against target by district of domicile, </w:t>
            </w:r>
            <w:r w:rsidR="00E50D4F" w:rsidRPr="003067B9">
              <w:rPr>
                <w:lang w:val="en-NZ"/>
              </w:rPr>
              <w:t>including</w:t>
            </w:r>
            <w:r w:rsidRPr="003067B9">
              <w:rPr>
                <w:lang w:val="en-NZ"/>
              </w:rPr>
              <w:t>: inpatient surgical discharges; minor procedures delivered in inpatient, outpatient and community settings; and non-surgical interventions.</w:t>
            </w:r>
          </w:p>
        </w:tc>
        <w:tc>
          <w:tcPr>
            <w:tcW w:w="776" w:type="pct"/>
          </w:tcPr>
          <w:p w14:paraId="172D8DD2" w14:textId="77777777" w:rsidR="00EC3C3A" w:rsidRPr="003067B9" w:rsidRDefault="00EC3C3A" w:rsidP="003B29E0">
            <w:pPr>
              <w:rPr>
                <w:lang w:val="en-NZ"/>
              </w:rPr>
            </w:pPr>
            <w:r w:rsidRPr="003067B9">
              <w:rPr>
                <w:lang w:val="en-NZ"/>
              </w:rPr>
              <w:t>Maintain delivery of planned care intervention volumes</w:t>
            </w:r>
          </w:p>
        </w:tc>
        <w:tc>
          <w:tcPr>
            <w:tcW w:w="673" w:type="pct"/>
          </w:tcPr>
          <w:p w14:paraId="49A66B49" w14:textId="77777777" w:rsidR="00EC3C3A" w:rsidRPr="003067B9" w:rsidRDefault="00EC3C3A" w:rsidP="003B29E0">
            <w:pPr>
              <w:rPr>
                <w:lang w:val="en-NZ"/>
              </w:rPr>
            </w:pPr>
            <w:r w:rsidRPr="003067B9">
              <w:rPr>
                <w:lang w:val="en-NZ"/>
              </w:rPr>
              <w:t>79,680</w:t>
            </w:r>
          </w:p>
        </w:tc>
        <w:tc>
          <w:tcPr>
            <w:tcW w:w="695" w:type="pct"/>
          </w:tcPr>
          <w:p w14:paraId="106E99A0" w14:textId="77777777" w:rsidR="00EC3C3A" w:rsidRPr="003067B9" w:rsidRDefault="00EC3C3A" w:rsidP="003B29E0">
            <w:pPr>
              <w:rPr>
                <w:lang w:val="en-NZ"/>
              </w:rPr>
            </w:pPr>
            <w:r w:rsidRPr="003067B9">
              <w:rPr>
                <w:lang w:val="en-NZ"/>
              </w:rPr>
              <w:t>SPE</w:t>
            </w:r>
          </w:p>
        </w:tc>
      </w:tr>
      <w:tr w:rsidR="00EC3C3A" w:rsidRPr="00D4706E" w14:paraId="7FC227AE" w14:textId="77777777" w:rsidTr="00C96679">
        <w:tc>
          <w:tcPr>
            <w:tcW w:w="220" w:type="pct"/>
          </w:tcPr>
          <w:p w14:paraId="4170AAEB" w14:textId="6092D173" w:rsidR="00EC3C3A" w:rsidRPr="003067B9" w:rsidRDefault="00ED76C6" w:rsidP="003B29E0">
            <w:pPr>
              <w:rPr>
                <w:lang w:val="en-NZ"/>
              </w:rPr>
            </w:pPr>
            <w:r w:rsidRPr="003067B9">
              <w:rPr>
                <w:lang w:val="en-NZ"/>
              </w:rPr>
              <w:t>2</w:t>
            </w:r>
            <w:r w:rsidR="00787763" w:rsidRPr="003067B9">
              <w:rPr>
                <w:lang w:val="en-NZ"/>
              </w:rPr>
              <w:t>2</w:t>
            </w:r>
          </w:p>
        </w:tc>
        <w:tc>
          <w:tcPr>
            <w:tcW w:w="1036" w:type="pct"/>
          </w:tcPr>
          <w:p w14:paraId="1A59BF48" w14:textId="77777777" w:rsidR="00EC3C3A" w:rsidRPr="003067B9" w:rsidRDefault="00EC3C3A" w:rsidP="003B29E0">
            <w:pPr>
              <w:rPr>
                <w:lang w:val="en-NZ"/>
              </w:rPr>
            </w:pPr>
            <w:r w:rsidRPr="003067B9">
              <w:rPr>
                <w:lang w:val="en-NZ"/>
              </w:rPr>
              <w:t>Acute readmission within 28 days discharge</w:t>
            </w:r>
          </w:p>
        </w:tc>
        <w:tc>
          <w:tcPr>
            <w:tcW w:w="1599" w:type="pct"/>
          </w:tcPr>
          <w:p w14:paraId="656A395B" w14:textId="04EB7F96" w:rsidR="00EC3C3A" w:rsidRPr="003067B9" w:rsidRDefault="00EC3C3A" w:rsidP="003B29E0">
            <w:pPr>
              <w:rPr>
                <w:szCs w:val="24"/>
                <w:lang w:val="en-NZ"/>
              </w:rPr>
            </w:pPr>
            <w:r w:rsidRPr="003067B9">
              <w:rPr>
                <w:szCs w:val="24"/>
                <w:lang w:val="en-NZ"/>
              </w:rPr>
              <w:t>This measure shows the proportion of a</w:t>
            </w:r>
            <w:r w:rsidRPr="003067B9">
              <w:rPr>
                <w:szCs w:val="24"/>
                <w:shd w:val="clear" w:color="auto" w:fill="FFFFFF"/>
                <w:lang w:val="en-NZ"/>
              </w:rPr>
              <w:t xml:space="preserve">cute readmissions to hospital within 28 days of discharge. </w:t>
            </w:r>
          </w:p>
        </w:tc>
        <w:tc>
          <w:tcPr>
            <w:tcW w:w="776" w:type="pct"/>
          </w:tcPr>
          <w:p w14:paraId="372735B9" w14:textId="458D1113" w:rsidR="00EC3C3A" w:rsidRPr="003067B9" w:rsidDel="00473C54" w:rsidRDefault="00232191" w:rsidP="003B29E0">
            <w:pPr>
              <w:rPr>
                <w:lang w:val="en-NZ"/>
              </w:rPr>
            </w:pPr>
            <w:r w:rsidRPr="003067B9">
              <w:rPr>
                <w:lang w:val="en-NZ"/>
              </w:rPr>
              <w:t>N/A</w:t>
            </w:r>
          </w:p>
        </w:tc>
        <w:tc>
          <w:tcPr>
            <w:tcW w:w="673" w:type="pct"/>
          </w:tcPr>
          <w:p w14:paraId="7644BD44" w14:textId="77777777" w:rsidR="00EC3C3A" w:rsidRPr="003067B9" w:rsidRDefault="00EC3C3A" w:rsidP="003B29E0">
            <w:pPr>
              <w:rPr>
                <w:lang w:val="en-NZ"/>
              </w:rPr>
            </w:pPr>
            <w:r w:rsidRPr="003067B9">
              <w:rPr>
                <w:lang w:val="en-NZ"/>
              </w:rPr>
              <w:t>12.1%</w:t>
            </w:r>
          </w:p>
        </w:tc>
        <w:tc>
          <w:tcPr>
            <w:tcW w:w="695" w:type="pct"/>
          </w:tcPr>
          <w:p w14:paraId="461DC959" w14:textId="7D93CD0F" w:rsidR="00EC3C3A" w:rsidRPr="003067B9" w:rsidRDefault="00232191" w:rsidP="003B29E0">
            <w:pPr>
              <w:rPr>
                <w:lang w:val="en-NZ"/>
              </w:rPr>
            </w:pPr>
            <w:r w:rsidRPr="003067B9">
              <w:rPr>
                <w:lang w:val="en-NZ"/>
              </w:rPr>
              <w:t>SPE</w:t>
            </w:r>
          </w:p>
        </w:tc>
      </w:tr>
    </w:tbl>
    <w:p w14:paraId="00124CCD" w14:textId="77777777" w:rsidR="00C96679" w:rsidRPr="00D4706E" w:rsidRDefault="00C96679" w:rsidP="00C96679">
      <w:pPr>
        <w:pStyle w:val="Heading2"/>
        <w:spacing w:before="480" w:line="288" w:lineRule="auto"/>
        <w:rPr>
          <w:rFonts w:eastAsiaTheme="majorEastAsia"/>
          <w:bCs w:val="0"/>
          <w:color w:val="15284C"/>
          <w:sz w:val="48"/>
          <w:szCs w:val="26"/>
        </w:rPr>
      </w:pPr>
      <w:bookmarkStart w:id="116" w:name="_Toc170199194"/>
    </w:p>
    <w:p w14:paraId="0734AE27" w14:textId="77777777" w:rsidR="003E0711" w:rsidRPr="00D4706E" w:rsidRDefault="003E0711" w:rsidP="003E0711">
      <w:pPr>
        <w:rPr>
          <w:lang w:val="en-NZ"/>
        </w:rPr>
      </w:pPr>
    </w:p>
    <w:p w14:paraId="138344EF" w14:textId="77777777" w:rsidR="003E0711" w:rsidRPr="00D4706E" w:rsidRDefault="003E0711" w:rsidP="003E0711">
      <w:pPr>
        <w:rPr>
          <w:lang w:val="en-NZ"/>
        </w:rPr>
      </w:pPr>
    </w:p>
    <w:p w14:paraId="0BEA038F" w14:textId="77777777" w:rsidR="003E0711" w:rsidRPr="00D4706E" w:rsidRDefault="003E0711" w:rsidP="003E0711">
      <w:pPr>
        <w:rPr>
          <w:lang w:val="en-NZ"/>
        </w:rPr>
      </w:pPr>
    </w:p>
    <w:p w14:paraId="490E12D1" w14:textId="77777777" w:rsidR="003E0711" w:rsidRPr="00D4706E" w:rsidRDefault="003E0711" w:rsidP="003E0711">
      <w:pPr>
        <w:rPr>
          <w:lang w:val="en-NZ"/>
        </w:rPr>
      </w:pPr>
    </w:p>
    <w:p w14:paraId="419FB15A" w14:textId="77777777" w:rsidR="003E0711" w:rsidRPr="00D4706E" w:rsidRDefault="003E0711" w:rsidP="003E0711">
      <w:pPr>
        <w:rPr>
          <w:lang w:val="en-NZ"/>
        </w:rPr>
      </w:pPr>
    </w:p>
    <w:p w14:paraId="75CC4B19" w14:textId="77777777" w:rsidR="003E0711" w:rsidRPr="00D4706E" w:rsidRDefault="003E0711" w:rsidP="003E0711">
      <w:pPr>
        <w:rPr>
          <w:lang w:val="en-NZ"/>
        </w:rPr>
      </w:pPr>
    </w:p>
    <w:p w14:paraId="70F6702F" w14:textId="77777777" w:rsidR="00C05999" w:rsidRDefault="00C05999">
      <w:pPr>
        <w:spacing w:line="259" w:lineRule="auto"/>
        <w:rPr>
          <w:rFonts w:eastAsiaTheme="majorEastAsia"/>
          <w:b/>
          <w:color w:val="15284C"/>
          <w:sz w:val="48"/>
          <w:szCs w:val="26"/>
          <w:lang w:val="en-NZ"/>
        </w:rPr>
      </w:pPr>
      <w:r>
        <w:rPr>
          <w:rFonts w:eastAsiaTheme="majorEastAsia"/>
          <w:bCs/>
          <w:color w:val="15284C"/>
          <w:sz w:val="48"/>
          <w:szCs w:val="26"/>
        </w:rPr>
        <w:br w:type="page"/>
      </w:r>
    </w:p>
    <w:p w14:paraId="096F2529" w14:textId="79529A4D" w:rsidR="003614EE" w:rsidRPr="00D4706E" w:rsidRDefault="003614EE" w:rsidP="00C96679">
      <w:pPr>
        <w:pStyle w:val="Heading2"/>
        <w:spacing w:before="480" w:line="288" w:lineRule="auto"/>
        <w:rPr>
          <w:rFonts w:eastAsiaTheme="majorEastAsia"/>
          <w:bCs w:val="0"/>
          <w:color w:val="15284C"/>
          <w:sz w:val="48"/>
          <w:szCs w:val="26"/>
        </w:rPr>
      </w:pPr>
      <w:r w:rsidRPr="00D4706E">
        <w:rPr>
          <w:rFonts w:eastAsiaTheme="majorEastAsia"/>
          <w:bCs w:val="0"/>
          <w:color w:val="15284C"/>
          <w:sz w:val="48"/>
          <w:szCs w:val="26"/>
        </w:rPr>
        <w:lastRenderedPageBreak/>
        <w:t>Appendix 2: Local trends</w:t>
      </w:r>
      <w:bookmarkEnd w:id="116"/>
      <w:r w:rsidRPr="00D4706E">
        <w:rPr>
          <w:rFonts w:eastAsiaTheme="majorEastAsia"/>
          <w:bCs w:val="0"/>
          <w:color w:val="15284C"/>
          <w:sz w:val="48"/>
          <w:szCs w:val="26"/>
        </w:rPr>
        <w:t xml:space="preserve"> </w:t>
      </w:r>
    </w:p>
    <w:p w14:paraId="042D24D6" w14:textId="441370F7" w:rsidR="00572BD3" w:rsidRPr="00D4706E" w:rsidRDefault="003464E6" w:rsidP="00B414C3">
      <w:pPr>
        <w:pStyle w:val="Heading2"/>
        <w:rPr>
          <w:color w:val="15284C"/>
          <w:sz w:val="36"/>
          <w:szCs w:val="36"/>
        </w:rPr>
      </w:pPr>
      <w:bookmarkStart w:id="117" w:name="_Toc170199195"/>
      <w:r w:rsidRPr="00D4706E">
        <w:rPr>
          <w:color w:val="15284C"/>
          <w:sz w:val="36"/>
          <w:szCs w:val="36"/>
        </w:rPr>
        <w:t xml:space="preserve">Northern </w:t>
      </w:r>
      <w:r w:rsidR="0038161C">
        <w:rPr>
          <w:color w:val="15284C"/>
          <w:sz w:val="36"/>
          <w:szCs w:val="36"/>
        </w:rPr>
        <w:t>R</w:t>
      </w:r>
      <w:r w:rsidRPr="00D4706E">
        <w:rPr>
          <w:color w:val="15284C"/>
          <w:sz w:val="36"/>
          <w:szCs w:val="36"/>
        </w:rPr>
        <w:t>egion</w:t>
      </w:r>
      <w:bookmarkEnd w:id="117"/>
    </w:p>
    <w:tbl>
      <w:tblPr>
        <w:tblStyle w:val="ListTable2-Accent6"/>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819"/>
        <w:gridCol w:w="4819"/>
      </w:tblGrid>
      <w:tr w:rsidR="00572BD3" w:rsidRPr="00D4706E" w14:paraId="51DBC7A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2EAEA00" w14:textId="77777777" w:rsidR="00572BD3" w:rsidRPr="003067B9" w:rsidRDefault="00572BD3" w:rsidP="000F20FB">
            <w:pPr>
              <w:pStyle w:val="Graphs"/>
              <w:rPr>
                <w:sz w:val="36"/>
                <w:szCs w:val="36"/>
                <w:lang w:val="en-NZ"/>
              </w:rPr>
            </w:pPr>
            <w:r w:rsidRPr="003067B9">
              <w:rPr>
                <w:noProof/>
                <w:lang w:val="en-NZ"/>
              </w:rPr>
              <w:drawing>
                <wp:inline distT="0" distB="0" distL="0" distR="0" wp14:anchorId="4179AEE9" wp14:editId="22C716BB">
                  <wp:extent cx="2991468" cy="1207699"/>
                  <wp:effectExtent l="0" t="0" r="0" b="0"/>
                  <wp:docPr id="18037945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94558" name="Picture 1">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91468" cy="1207699"/>
                          </a:xfrm>
                          <a:prstGeom prst="rect">
                            <a:avLst/>
                          </a:prstGeom>
                        </pic:spPr>
                      </pic:pic>
                    </a:graphicData>
                  </a:graphic>
                </wp:inline>
              </w:drawing>
            </w:r>
          </w:p>
        </w:tc>
        <w:tc>
          <w:tcPr>
            <w:tcW w:w="4814" w:type="dxa"/>
          </w:tcPr>
          <w:p w14:paraId="61BAAF16" w14:textId="7336A8F8" w:rsidR="00572BD3" w:rsidRPr="003067B9" w:rsidRDefault="00572BD3" w:rsidP="000F20FB">
            <w:pPr>
              <w:pStyle w:val="Graphs"/>
              <w:cnfStyle w:val="100000000000" w:firstRow="1" w:lastRow="0" w:firstColumn="0" w:lastColumn="0" w:oddVBand="0" w:evenVBand="0" w:oddHBand="0" w:evenHBand="0" w:firstRowFirstColumn="0" w:firstRowLastColumn="0" w:lastRowFirstColumn="0" w:lastRowLastColumn="0"/>
              <w:rPr>
                <w:b w:val="0"/>
                <w:bCs/>
                <w:sz w:val="36"/>
                <w:szCs w:val="36"/>
                <w:lang w:val="en-NZ"/>
              </w:rPr>
            </w:pPr>
            <w:r w:rsidRPr="003067B9">
              <w:rPr>
                <w:noProof/>
                <w:lang w:val="en-NZ"/>
              </w:rPr>
              <w:drawing>
                <wp:inline distT="0" distB="0" distL="0" distR="0" wp14:anchorId="229CB834" wp14:editId="0B1BB230">
                  <wp:extent cx="2999463" cy="1212483"/>
                  <wp:effectExtent l="0" t="0" r="0" b="6985"/>
                  <wp:docPr id="16022694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69402" name="Picture 1">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999463" cy="1212483"/>
                          </a:xfrm>
                          <a:prstGeom prst="rect">
                            <a:avLst/>
                          </a:prstGeom>
                        </pic:spPr>
                      </pic:pic>
                    </a:graphicData>
                  </a:graphic>
                </wp:inline>
              </w:drawing>
            </w:r>
          </w:p>
        </w:tc>
      </w:tr>
      <w:tr w:rsidR="00572BD3" w:rsidRPr="00D4706E" w14:paraId="7799FC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787BB71" w14:textId="77777777" w:rsidR="00572BD3" w:rsidRPr="003067B9" w:rsidRDefault="00572BD3" w:rsidP="000F20FB">
            <w:pPr>
              <w:pStyle w:val="Graphs"/>
              <w:rPr>
                <w:sz w:val="36"/>
                <w:szCs w:val="36"/>
                <w:lang w:val="en-NZ"/>
              </w:rPr>
            </w:pPr>
            <w:r w:rsidRPr="003067B9">
              <w:rPr>
                <w:noProof/>
                <w:lang w:val="en-NZ"/>
              </w:rPr>
              <w:drawing>
                <wp:inline distT="0" distB="0" distL="0" distR="0" wp14:anchorId="28610094" wp14:editId="696CB9AB">
                  <wp:extent cx="2990850" cy="1210863"/>
                  <wp:effectExtent l="0" t="0" r="0" b="8890"/>
                  <wp:docPr id="6043211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21126" name="Picture 1">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990850" cy="1210863"/>
                          </a:xfrm>
                          <a:prstGeom prst="rect">
                            <a:avLst/>
                          </a:prstGeom>
                        </pic:spPr>
                      </pic:pic>
                    </a:graphicData>
                  </a:graphic>
                </wp:inline>
              </w:drawing>
            </w:r>
          </w:p>
        </w:tc>
        <w:tc>
          <w:tcPr>
            <w:tcW w:w="4814" w:type="dxa"/>
          </w:tcPr>
          <w:p w14:paraId="73CC16F7" w14:textId="3EE56C34" w:rsidR="00572BD3" w:rsidRPr="003067B9" w:rsidRDefault="00572BD3" w:rsidP="000F20FB">
            <w:pPr>
              <w:pStyle w:val="Graphs"/>
              <w:cnfStyle w:val="000000100000" w:firstRow="0" w:lastRow="0" w:firstColumn="0" w:lastColumn="0" w:oddVBand="0" w:evenVBand="0" w:oddHBand="1" w:evenHBand="0" w:firstRowFirstColumn="0" w:firstRowLastColumn="0" w:lastRowFirstColumn="0" w:lastRowLastColumn="0"/>
              <w:rPr>
                <w:sz w:val="36"/>
                <w:szCs w:val="36"/>
                <w:lang w:val="en-NZ"/>
              </w:rPr>
            </w:pPr>
            <w:r w:rsidRPr="003067B9">
              <w:rPr>
                <w:noProof/>
                <w:lang w:val="en-NZ"/>
              </w:rPr>
              <w:drawing>
                <wp:inline distT="0" distB="0" distL="0" distR="0" wp14:anchorId="75A15592" wp14:editId="1C3647C9">
                  <wp:extent cx="2993771" cy="1218257"/>
                  <wp:effectExtent l="0" t="0" r="0" b="1270"/>
                  <wp:docPr id="7938695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9530" name="Picture 1">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993771" cy="1218257"/>
                          </a:xfrm>
                          <a:prstGeom prst="rect">
                            <a:avLst/>
                          </a:prstGeom>
                        </pic:spPr>
                      </pic:pic>
                    </a:graphicData>
                  </a:graphic>
                </wp:inline>
              </w:drawing>
            </w:r>
          </w:p>
        </w:tc>
      </w:tr>
      <w:tr w:rsidR="00572BD3" w:rsidRPr="00D4706E" w14:paraId="7C39E208" w14:textId="77777777">
        <w:tc>
          <w:tcPr>
            <w:cnfStyle w:val="001000000000" w:firstRow="0" w:lastRow="0" w:firstColumn="1" w:lastColumn="0" w:oddVBand="0" w:evenVBand="0" w:oddHBand="0" w:evenHBand="0" w:firstRowFirstColumn="0" w:firstRowLastColumn="0" w:lastRowFirstColumn="0" w:lastRowLastColumn="0"/>
            <w:tcW w:w="4814" w:type="dxa"/>
          </w:tcPr>
          <w:p w14:paraId="6968C9A8" w14:textId="77777777" w:rsidR="00572BD3" w:rsidRPr="003067B9" w:rsidRDefault="00572BD3" w:rsidP="000F20FB">
            <w:pPr>
              <w:pStyle w:val="Graphs"/>
              <w:rPr>
                <w:sz w:val="36"/>
                <w:szCs w:val="36"/>
                <w:lang w:val="en-NZ"/>
              </w:rPr>
            </w:pPr>
            <w:r w:rsidRPr="003067B9">
              <w:rPr>
                <w:noProof/>
                <w:lang w:val="en-NZ"/>
              </w:rPr>
              <w:drawing>
                <wp:inline distT="0" distB="0" distL="0" distR="0" wp14:anchorId="0677D791" wp14:editId="7C81D787">
                  <wp:extent cx="2999374" cy="1215871"/>
                  <wp:effectExtent l="0" t="0" r="0" b="3810"/>
                  <wp:docPr id="2654876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87664" name="Picture 1">
                            <a:extLst>
                              <a:ext uri="{C183D7F6-B498-43B3-948B-1728B52AA6E4}">
                                <adec:decorative xmlns:adec="http://schemas.microsoft.com/office/drawing/2017/decorative" val="1"/>
                              </a:ext>
                            </a:extLst>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003828" cy="1217677"/>
                          </a:xfrm>
                          <a:prstGeom prst="rect">
                            <a:avLst/>
                          </a:prstGeom>
                        </pic:spPr>
                      </pic:pic>
                    </a:graphicData>
                  </a:graphic>
                </wp:inline>
              </w:drawing>
            </w:r>
          </w:p>
        </w:tc>
        <w:tc>
          <w:tcPr>
            <w:tcW w:w="4814" w:type="dxa"/>
          </w:tcPr>
          <w:p w14:paraId="287DC6A1" w14:textId="0B3DFB67" w:rsidR="00572BD3" w:rsidRPr="003067B9" w:rsidRDefault="00572BD3" w:rsidP="000F20FB">
            <w:pPr>
              <w:pStyle w:val="Graphs"/>
              <w:cnfStyle w:val="000000000000" w:firstRow="0" w:lastRow="0" w:firstColumn="0" w:lastColumn="0" w:oddVBand="0" w:evenVBand="0" w:oddHBand="0" w:evenHBand="0" w:firstRowFirstColumn="0" w:firstRowLastColumn="0" w:lastRowFirstColumn="0" w:lastRowLastColumn="0"/>
              <w:rPr>
                <w:sz w:val="36"/>
                <w:szCs w:val="36"/>
                <w:lang w:val="en-NZ"/>
              </w:rPr>
            </w:pPr>
            <w:r w:rsidRPr="003067B9">
              <w:rPr>
                <w:noProof/>
                <w:lang w:val="en-NZ"/>
              </w:rPr>
              <w:drawing>
                <wp:inline distT="0" distB="0" distL="0" distR="0" wp14:anchorId="0B22BEAD" wp14:editId="15C688FC">
                  <wp:extent cx="3004857" cy="1213104"/>
                  <wp:effectExtent l="0" t="0" r="5080" b="6350"/>
                  <wp:docPr id="12053020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02099" name="Picture 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004857" cy="1213104"/>
                          </a:xfrm>
                          <a:prstGeom prst="rect">
                            <a:avLst/>
                          </a:prstGeom>
                        </pic:spPr>
                      </pic:pic>
                    </a:graphicData>
                  </a:graphic>
                </wp:inline>
              </w:drawing>
            </w:r>
          </w:p>
        </w:tc>
      </w:tr>
      <w:tr w:rsidR="00572BD3" w:rsidRPr="00D4706E" w14:paraId="55014C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3A13B0D" w14:textId="77777777" w:rsidR="00572BD3" w:rsidRPr="003067B9" w:rsidRDefault="00572BD3" w:rsidP="000F20FB">
            <w:pPr>
              <w:pStyle w:val="Graphs"/>
              <w:rPr>
                <w:sz w:val="36"/>
                <w:szCs w:val="36"/>
                <w:lang w:val="en-NZ"/>
              </w:rPr>
            </w:pPr>
            <w:r w:rsidRPr="003067B9">
              <w:rPr>
                <w:noProof/>
                <w:lang w:val="en-NZ"/>
              </w:rPr>
              <w:drawing>
                <wp:inline distT="0" distB="0" distL="0" distR="0" wp14:anchorId="5DA78AB5" wp14:editId="5A679AEE">
                  <wp:extent cx="3002045" cy="1222248"/>
                  <wp:effectExtent l="0" t="0" r="8255" b="0"/>
                  <wp:docPr id="999198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9855" name="Picture 1">
                            <a:extLst>
                              <a:ext uri="{C183D7F6-B498-43B3-948B-1728B52AA6E4}">
                                <adec:decorative xmlns:adec="http://schemas.microsoft.com/office/drawing/2017/decorative" val="1"/>
                              </a:ext>
                            </a:extLst>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002045" cy="1222248"/>
                          </a:xfrm>
                          <a:prstGeom prst="rect">
                            <a:avLst/>
                          </a:prstGeom>
                        </pic:spPr>
                      </pic:pic>
                    </a:graphicData>
                  </a:graphic>
                </wp:inline>
              </w:drawing>
            </w:r>
          </w:p>
        </w:tc>
        <w:tc>
          <w:tcPr>
            <w:tcW w:w="4814" w:type="dxa"/>
          </w:tcPr>
          <w:p w14:paraId="77641187" w14:textId="629B051F" w:rsidR="00572BD3" w:rsidRPr="003067B9" w:rsidRDefault="00572BD3" w:rsidP="000F20FB">
            <w:pPr>
              <w:pStyle w:val="Graphs"/>
              <w:cnfStyle w:val="000000100000" w:firstRow="0" w:lastRow="0" w:firstColumn="0" w:lastColumn="0" w:oddVBand="0" w:evenVBand="0" w:oddHBand="1" w:evenHBand="0" w:firstRowFirstColumn="0" w:firstRowLastColumn="0" w:lastRowFirstColumn="0" w:lastRowLastColumn="0"/>
              <w:rPr>
                <w:sz w:val="36"/>
                <w:szCs w:val="36"/>
                <w:lang w:val="en-NZ"/>
              </w:rPr>
            </w:pPr>
            <w:r w:rsidRPr="003067B9">
              <w:rPr>
                <w:noProof/>
                <w:lang w:val="en-NZ"/>
              </w:rPr>
              <w:drawing>
                <wp:inline distT="0" distB="0" distL="0" distR="0" wp14:anchorId="17F53D6B" wp14:editId="37B7FF5C">
                  <wp:extent cx="3004568" cy="1222340"/>
                  <wp:effectExtent l="0" t="0" r="5715" b="0"/>
                  <wp:docPr id="1141845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4556" name="Picture 1">
                            <a:extLst>
                              <a:ext uri="{C183D7F6-B498-43B3-948B-1728B52AA6E4}">
                                <adec:decorative xmlns:adec="http://schemas.microsoft.com/office/drawing/2017/decorative" val="1"/>
                              </a:ext>
                            </a:extLst>
                          </pic:cNvP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004568" cy="1222340"/>
                          </a:xfrm>
                          <a:prstGeom prst="rect">
                            <a:avLst/>
                          </a:prstGeom>
                        </pic:spPr>
                      </pic:pic>
                    </a:graphicData>
                  </a:graphic>
                </wp:inline>
              </w:drawing>
            </w:r>
          </w:p>
        </w:tc>
      </w:tr>
      <w:tr w:rsidR="000F20FB" w:rsidRPr="00D4706E" w14:paraId="3F5335C5" w14:textId="77777777">
        <w:tc>
          <w:tcPr>
            <w:cnfStyle w:val="001000000000" w:firstRow="0" w:lastRow="0" w:firstColumn="1" w:lastColumn="0" w:oddVBand="0" w:evenVBand="0" w:oddHBand="0" w:evenHBand="0" w:firstRowFirstColumn="0" w:firstRowLastColumn="0" w:lastRowFirstColumn="0" w:lastRowLastColumn="0"/>
            <w:tcW w:w="4814" w:type="dxa"/>
          </w:tcPr>
          <w:p w14:paraId="72FD82C6" w14:textId="7F34AD39" w:rsidR="000F20FB" w:rsidRPr="003067B9" w:rsidRDefault="000F20FB" w:rsidP="000F20FB">
            <w:pPr>
              <w:pStyle w:val="Graphs"/>
              <w:rPr>
                <w:noProof/>
                <w:lang w:val="en-NZ"/>
              </w:rPr>
            </w:pPr>
            <w:r w:rsidRPr="003067B9">
              <w:rPr>
                <w:noProof/>
                <w:lang w:val="en-NZ"/>
              </w:rPr>
              <w:drawing>
                <wp:inline distT="0" distB="0" distL="0" distR="0" wp14:anchorId="22E65B38" wp14:editId="6FD98FDE">
                  <wp:extent cx="1056640" cy="842010"/>
                  <wp:effectExtent l="0" t="0" r="0" b="0"/>
                  <wp:docPr id="1484409727" name="Picture 1" descr="A graph showing the results of a trea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1673" name="Picture 1" descr="A graph showing the results of a treatment&#10;&#10;Description automatically generated"/>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1056640" cy="84201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028EE77C" w14:textId="77777777" w:rsidR="000F20FB" w:rsidRPr="003067B9" w:rsidRDefault="000F20FB" w:rsidP="000F20FB">
            <w:pPr>
              <w:pStyle w:val="Graphs"/>
              <w:cnfStyle w:val="000000000000" w:firstRow="0" w:lastRow="0" w:firstColumn="0" w:lastColumn="0" w:oddVBand="0" w:evenVBand="0" w:oddHBand="0" w:evenHBand="0" w:firstRowFirstColumn="0" w:firstRowLastColumn="0" w:lastRowFirstColumn="0" w:lastRowLastColumn="0"/>
              <w:rPr>
                <w:noProof/>
                <w:lang w:val="en-NZ"/>
              </w:rPr>
            </w:pPr>
          </w:p>
        </w:tc>
      </w:tr>
    </w:tbl>
    <w:p w14:paraId="2DEA1A06" w14:textId="0812C149" w:rsidR="00572BD3" w:rsidRPr="00D4706E" w:rsidRDefault="00572BD3" w:rsidP="00572BD3">
      <w:pPr>
        <w:pStyle w:val="Heading2"/>
        <w:rPr>
          <w:sz w:val="36"/>
          <w:szCs w:val="36"/>
        </w:rPr>
      </w:pPr>
      <w:r w:rsidRPr="00D4706E">
        <w:rPr>
          <w:sz w:val="36"/>
          <w:szCs w:val="36"/>
        </w:rPr>
        <w:br w:type="page"/>
      </w:r>
    </w:p>
    <w:tbl>
      <w:tblPr>
        <w:tblStyle w:val="ListTable2-Accent6"/>
        <w:tblpPr w:leftFromText="180" w:rightFromText="180" w:tblpY="870"/>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956"/>
        <w:gridCol w:w="4682"/>
      </w:tblGrid>
      <w:tr w:rsidR="00572BD3" w:rsidRPr="00D4706E" w14:paraId="3F774093" w14:textId="77777777" w:rsidTr="00964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tcPr>
          <w:p w14:paraId="08F51B78" w14:textId="77777777" w:rsidR="00572BD3" w:rsidRPr="003067B9" w:rsidRDefault="00572BD3" w:rsidP="00964ADE">
            <w:pPr>
              <w:pStyle w:val="Graphs"/>
              <w:rPr>
                <w:sz w:val="36"/>
                <w:szCs w:val="36"/>
                <w:lang w:val="en-NZ"/>
              </w:rPr>
            </w:pPr>
            <w:r w:rsidRPr="003067B9">
              <w:rPr>
                <w:noProof/>
                <w:lang w:val="en-NZ"/>
              </w:rPr>
              <w:lastRenderedPageBreak/>
              <w:drawing>
                <wp:anchor distT="0" distB="0" distL="114300" distR="114300" simplePos="0" relativeHeight="251658242" behindDoc="0" locked="0" layoutInCell="1" allowOverlap="1" wp14:anchorId="7D1D9C58" wp14:editId="0185DFAC">
                  <wp:simplePos x="0" y="0"/>
                  <wp:positionH relativeFrom="column">
                    <wp:posOffset>-46355</wp:posOffset>
                  </wp:positionH>
                  <wp:positionV relativeFrom="paragraph">
                    <wp:posOffset>269875</wp:posOffset>
                  </wp:positionV>
                  <wp:extent cx="3004684" cy="1216152"/>
                  <wp:effectExtent l="0" t="0" r="5715" b="3175"/>
                  <wp:wrapNone/>
                  <wp:docPr id="3513813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81363" name="Picture 1">
                            <a:extLst>
                              <a:ext uri="{C183D7F6-B498-43B3-948B-1728B52AA6E4}">
                                <adec:decorative xmlns:adec="http://schemas.microsoft.com/office/drawing/2017/decorative" val="1"/>
                              </a:ext>
                            </a:extLst>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004684" cy="1216152"/>
                          </a:xfrm>
                          <a:prstGeom prst="rect">
                            <a:avLst/>
                          </a:prstGeom>
                        </pic:spPr>
                      </pic:pic>
                    </a:graphicData>
                  </a:graphic>
                  <wp14:sizeRelH relativeFrom="page">
                    <wp14:pctWidth>0</wp14:pctWidth>
                  </wp14:sizeRelH>
                  <wp14:sizeRelV relativeFrom="page">
                    <wp14:pctHeight>0</wp14:pctHeight>
                  </wp14:sizeRelV>
                </wp:anchor>
              </w:drawing>
            </w:r>
          </w:p>
        </w:tc>
        <w:tc>
          <w:tcPr>
            <w:tcW w:w="4682" w:type="dxa"/>
          </w:tcPr>
          <w:p w14:paraId="3E2B826A" w14:textId="77777777" w:rsidR="00572BD3" w:rsidRPr="003067B9" w:rsidRDefault="00572BD3" w:rsidP="00964ADE">
            <w:pPr>
              <w:pStyle w:val="Graphs"/>
              <w:cnfStyle w:val="100000000000" w:firstRow="1" w:lastRow="0" w:firstColumn="0" w:lastColumn="0" w:oddVBand="0" w:evenVBand="0" w:oddHBand="0" w:evenHBand="0" w:firstRowFirstColumn="0" w:firstRowLastColumn="0" w:lastRowFirstColumn="0" w:lastRowLastColumn="0"/>
              <w:rPr>
                <w:b w:val="0"/>
                <w:bCs/>
                <w:sz w:val="36"/>
                <w:szCs w:val="36"/>
                <w:lang w:val="en-NZ"/>
              </w:rPr>
            </w:pPr>
            <w:r w:rsidRPr="003067B9">
              <w:rPr>
                <w:noProof/>
                <w:lang w:val="en-NZ"/>
              </w:rPr>
              <w:drawing>
                <wp:anchor distT="0" distB="0" distL="114300" distR="114300" simplePos="0" relativeHeight="251658243" behindDoc="0" locked="0" layoutInCell="1" allowOverlap="1" wp14:anchorId="536752A0" wp14:editId="28CC2CB6">
                  <wp:simplePos x="0" y="0"/>
                  <wp:positionH relativeFrom="column">
                    <wp:posOffset>-17182</wp:posOffset>
                  </wp:positionH>
                  <wp:positionV relativeFrom="paragraph">
                    <wp:posOffset>271145</wp:posOffset>
                  </wp:positionV>
                  <wp:extent cx="3008376" cy="1220768"/>
                  <wp:effectExtent l="0" t="0" r="1905" b="0"/>
                  <wp:wrapNone/>
                  <wp:docPr id="5764958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95884" name="Picture 1">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08376" cy="1220768"/>
                          </a:xfrm>
                          <a:prstGeom prst="rect">
                            <a:avLst/>
                          </a:prstGeom>
                        </pic:spPr>
                      </pic:pic>
                    </a:graphicData>
                  </a:graphic>
                  <wp14:sizeRelH relativeFrom="page">
                    <wp14:pctWidth>0</wp14:pctWidth>
                  </wp14:sizeRelH>
                  <wp14:sizeRelV relativeFrom="page">
                    <wp14:pctHeight>0</wp14:pctHeight>
                  </wp14:sizeRelV>
                </wp:anchor>
              </w:drawing>
            </w:r>
          </w:p>
          <w:p w14:paraId="263702B6" w14:textId="77777777" w:rsidR="00572BD3" w:rsidRPr="003067B9" w:rsidRDefault="00572BD3" w:rsidP="00964ADE">
            <w:pPr>
              <w:pStyle w:val="Graphs"/>
              <w:cnfStyle w:val="100000000000" w:firstRow="1" w:lastRow="0" w:firstColumn="0" w:lastColumn="0" w:oddVBand="0" w:evenVBand="0" w:oddHBand="0" w:evenHBand="0" w:firstRowFirstColumn="0" w:firstRowLastColumn="0" w:lastRowFirstColumn="0" w:lastRowLastColumn="0"/>
              <w:rPr>
                <w:b w:val="0"/>
                <w:bCs/>
                <w:lang w:val="en-NZ"/>
              </w:rPr>
            </w:pPr>
          </w:p>
          <w:p w14:paraId="276FD0AB" w14:textId="77777777" w:rsidR="00572BD3" w:rsidRPr="003067B9" w:rsidRDefault="00572BD3" w:rsidP="00964ADE">
            <w:pPr>
              <w:pStyle w:val="Graphs"/>
              <w:cnfStyle w:val="100000000000" w:firstRow="1" w:lastRow="0" w:firstColumn="0" w:lastColumn="0" w:oddVBand="0" w:evenVBand="0" w:oddHBand="0" w:evenHBand="0" w:firstRowFirstColumn="0" w:firstRowLastColumn="0" w:lastRowFirstColumn="0" w:lastRowLastColumn="0"/>
              <w:rPr>
                <w:b w:val="0"/>
                <w:bCs/>
                <w:lang w:val="en-NZ"/>
              </w:rPr>
            </w:pPr>
          </w:p>
          <w:p w14:paraId="07A4EDB7" w14:textId="77777777" w:rsidR="00572BD3" w:rsidRPr="003067B9" w:rsidRDefault="00572BD3" w:rsidP="00964ADE">
            <w:pPr>
              <w:pStyle w:val="Graphs"/>
              <w:cnfStyle w:val="100000000000" w:firstRow="1" w:lastRow="0" w:firstColumn="0" w:lastColumn="0" w:oddVBand="0" w:evenVBand="0" w:oddHBand="0" w:evenHBand="0" w:firstRowFirstColumn="0" w:firstRowLastColumn="0" w:lastRowFirstColumn="0" w:lastRowLastColumn="0"/>
              <w:rPr>
                <w:b w:val="0"/>
                <w:bCs/>
                <w:lang w:val="en-NZ"/>
              </w:rPr>
            </w:pPr>
          </w:p>
          <w:p w14:paraId="5D4044CB" w14:textId="77777777" w:rsidR="00572BD3" w:rsidRPr="003067B9" w:rsidRDefault="00572BD3" w:rsidP="00964ADE">
            <w:pPr>
              <w:pStyle w:val="Graphs"/>
              <w:cnfStyle w:val="100000000000" w:firstRow="1" w:lastRow="0" w:firstColumn="0" w:lastColumn="0" w:oddVBand="0" w:evenVBand="0" w:oddHBand="0" w:evenHBand="0" w:firstRowFirstColumn="0" w:firstRowLastColumn="0" w:lastRowFirstColumn="0" w:lastRowLastColumn="0"/>
              <w:rPr>
                <w:b w:val="0"/>
                <w:bCs/>
                <w:lang w:val="en-NZ"/>
              </w:rPr>
            </w:pPr>
          </w:p>
          <w:p w14:paraId="7647E709" w14:textId="77777777" w:rsidR="00572BD3" w:rsidRPr="003067B9" w:rsidRDefault="00572BD3" w:rsidP="00964ADE">
            <w:pPr>
              <w:pStyle w:val="Graphs"/>
              <w:cnfStyle w:val="100000000000" w:firstRow="1" w:lastRow="0" w:firstColumn="0" w:lastColumn="0" w:oddVBand="0" w:evenVBand="0" w:oddHBand="0" w:evenHBand="0" w:firstRowFirstColumn="0" w:firstRowLastColumn="0" w:lastRowFirstColumn="0" w:lastRowLastColumn="0"/>
              <w:rPr>
                <w:lang w:val="en-NZ"/>
              </w:rPr>
            </w:pPr>
          </w:p>
        </w:tc>
      </w:tr>
      <w:tr w:rsidR="00572BD3" w:rsidRPr="00D4706E" w14:paraId="77BC4339" w14:textId="77777777" w:rsidTr="00964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tcPr>
          <w:p w14:paraId="5CF52E6D" w14:textId="77777777" w:rsidR="00572BD3" w:rsidRPr="003067B9" w:rsidRDefault="00572BD3" w:rsidP="00964ADE">
            <w:pPr>
              <w:pStyle w:val="Graphs"/>
              <w:rPr>
                <w:sz w:val="36"/>
                <w:szCs w:val="36"/>
                <w:lang w:val="en-NZ"/>
              </w:rPr>
            </w:pPr>
            <w:r w:rsidRPr="003067B9">
              <w:rPr>
                <w:noProof/>
                <w:lang w:val="en-NZ"/>
              </w:rPr>
              <w:drawing>
                <wp:inline distT="0" distB="0" distL="0" distR="0" wp14:anchorId="63F7B716" wp14:editId="288D93B0">
                  <wp:extent cx="3001607" cy="1216152"/>
                  <wp:effectExtent l="0" t="0" r="8890" b="3175"/>
                  <wp:docPr id="10229766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76605" name="Picture 1">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001607" cy="1216152"/>
                          </a:xfrm>
                          <a:prstGeom prst="rect">
                            <a:avLst/>
                          </a:prstGeom>
                        </pic:spPr>
                      </pic:pic>
                    </a:graphicData>
                  </a:graphic>
                </wp:inline>
              </w:drawing>
            </w:r>
          </w:p>
        </w:tc>
        <w:tc>
          <w:tcPr>
            <w:tcW w:w="4682" w:type="dxa"/>
          </w:tcPr>
          <w:p w14:paraId="2DD8F859" w14:textId="77777777" w:rsidR="00572BD3" w:rsidRPr="003067B9" w:rsidRDefault="00572BD3" w:rsidP="00964ADE">
            <w:pPr>
              <w:pStyle w:val="Graphs"/>
              <w:cnfStyle w:val="000000100000" w:firstRow="0" w:lastRow="0" w:firstColumn="0" w:lastColumn="0" w:oddVBand="0" w:evenVBand="0" w:oddHBand="1" w:evenHBand="0" w:firstRowFirstColumn="0" w:firstRowLastColumn="0" w:lastRowFirstColumn="0" w:lastRowLastColumn="0"/>
              <w:rPr>
                <w:lang w:val="en-NZ"/>
              </w:rPr>
            </w:pPr>
          </w:p>
        </w:tc>
      </w:tr>
      <w:tr w:rsidR="00572BD3" w:rsidRPr="00D4706E" w14:paraId="6D3D0AAD" w14:textId="77777777" w:rsidTr="00964ADE">
        <w:tc>
          <w:tcPr>
            <w:cnfStyle w:val="001000000000" w:firstRow="0" w:lastRow="0" w:firstColumn="1" w:lastColumn="0" w:oddVBand="0" w:evenVBand="0" w:oddHBand="0" w:evenHBand="0" w:firstRowFirstColumn="0" w:firstRowLastColumn="0" w:lastRowFirstColumn="0" w:lastRowLastColumn="0"/>
            <w:tcW w:w="4956" w:type="dxa"/>
          </w:tcPr>
          <w:p w14:paraId="0C6BDA32" w14:textId="77777777" w:rsidR="00572BD3" w:rsidRPr="003067B9" w:rsidRDefault="00572BD3" w:rsidP="00964ADE">
            <w:pPr>
              <w:pStyle w:val="Graphs"/>
              <w:rPr>
                <w:sz w:val="36"/>
                <w:szCs w:val="36"/>
                <w:lang w:val="en-NZ"/>
              </w:rPr>
            </w:pPr>
            <w:r w:rsidRPr="003067B9">
              <w:rPr>
                <w:noProof/>
                <w:lang w:val="en-NZ"/>
              </w:rPr>
              <w:drawing>
                <wp:inline distT="0" distB="0" distL="0" distR="0" wp14:anchorId="400A8711" wp14:editId="24BC88D1">
                  <wp:extent cx="1056640" cy="842010"/>
                  <wp:effectExtent l="0" t="0" r="0" b="0"/>
                  <wp:docPr id="14496927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92708" name="Picture 1">
                            <a:extLst>
                              <a:ext uri="{C183D7F6-B498-43B3-948B-1728B52AA6E4}">
                                <adec:decorative xmlns:adec="http://schemas.microsoft.com/office/drawing/2017/decorative" val="1"/>
                              </a:ext>
                            </a:extLst>
                          </pic:cNvPr>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1056640" cy="842010"/>
                          </a:xfrm>
                          <a:prstGeom prst="rect">
                            <a:avLst/>
                          </a:prstGeom>
                          <a:ln>
                            <a:noFill/>
                          </a:ln>
                          <a:extLst>
                            <a:ext uri="{53640926-AAD7-44D8-BBD7-CCE9431645EC}">
                              <a14:shadowObscured xmlns:a14="http://schemas.microsoft.com/office/drawing/2010/main"/>
                            </a:ext>
                          </a:extLst>
                        </pic:spPr>
                      </pic:pic>
                    </a:graphicData>
                  </a:graphic>
                </wp:inline>
              </w:drawing>
            </w:r>
          </w:p>
        </w:tc>
        <w:tc>
          <w:tcPr>
            <w:tcW w:w="4682" w:type="dxa"/>
          </w:tcPr>
          <w:p w14:paraId="1FA3E2B5" w14:textId="77777777" w:rsidR="00572BD3" w:rsidRPr="003067B9" w:rsidRDefault="00572BD3" w:rsidP="00964ADE">
            <w:pPr>
              <w:pStyle w:val="Graphs"/>
              <w:cnfStyle w:val="000000000000" w:firstRow="0" w:lastRow="0" w:firstColumn="0" w:lastColumn="0" w:oddVBand="0" w:evenVBand="0" w:oddHBand="0" w:evenHBand="0" w:firstRowFirstColumn="0" w:firstRowLastColumn="0" w:lastRowFirstColumn="0" w:lastRowLastColumn="0"/>
              <w:rPr>
                <w:lang w:val="en-NZ"/>
              </w:rPr>
            </w:pPr>
          </w:p>
        </w:tc>
      </w:tr>
    </w:tbl>
    <w:p w14:paraId="22D3CD0A" w14:textId="77777777" w:rsidR="00572BD3" w:rsidRPr="003067B9" w:rsidRDefault="00572BD3" w:rsidP="00572BD3">
      <w:pPr>
        <w:jc w:val="center"/>
        <w:rPr>
          <w:lang w:val="en-NZ"/>
        </w:rPr>
      </w:pPr>
    </w:p>
    <w:p w14:paraId="326DB51A" w14:textId="77777777" w:rsidR="00572BD3" w:rsidRPr="003067B9" w:rsidRDefault="00572BD3" w:rsidP="00572BD3">
      <w:pPr>
        <w:rPr>
          <w:lang w:val="en-NZ"/>
        </w:rPr>
      </w:pPr>
      <w:r w:rsidRPr="003067B9">
        <w:rPr>
          <w:lang w:val="en-NZ"/>
        </w:rPr>
        <w:br w:type="page"/>
      </w:r>
    </w:p>
    <w:p w14:paraId="35C97053" w14:textId="2860C177" w:rsidR="00572BD3" w:rsidRPr="00D4706E" w:rsidRDefault="00572BD3" w:rsidP="00B414C3">
      <w:pPr>
        <w:pStyle w:val="Heading2"/>
        <w:rPr>
          <w:color w:val="15284C"/>
          <w:sz w:val="36"/>
          <w:szCs w:val="36"/>
        </w:rPr>
      </w:pPr>
      <w:bookmarkStart w:id="118" w:name="_Toc170199196"/>
      <w:r w:rsidRPr="00D4706E">
        <w:rPr>
          <w:color w:val="15284C"/>
          <w:sz w:val="36"/>
          <w:szCs w:val="36"/>
        </w:rPr>
        <w:lastRenderedPageBreak/>
        <w:t xml:space="preserve">Te Manawa Taki (Midlands) </w:t>
      </w:r>
      <w:r w:rsidR="0038161C">
        <w:rPr>
          <w:color w:val="15284C"/>
          <w:sz w:val="36"/>
          <w:szCs w:val="36"/>
        </w:rPr>
        <w:t>R</w:t>
      </w:r>
      <w:r w:rsidRPr="00D4706E">
        <w:rPr>
          <w:color w:val="15284C"/>
          <w:sz w:val="36"/>
          <w:szCs w:val="36"/>
        </w:rPr>
        <w:t>egion</w:t>
      </w:r>
      <w:bookmarkEnd w:id="118"/>
    </w:p>
    <w:tbl>
      <w:tblPr>
        <w:tblStyle w:val="ListTable2-Accent6"/>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818"/>
        <w:gridCol w:w="4820"/>
      </w:tblGrid>
      <w:tr w:rsidR="00572BD3" w:rsidRPr="00D4706E" w14:paraId="04F3BAD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BE6FDBE" w14:textId="77777777" w:rsidR="00572BD3" w:rsidRPr="003067B9" w:rsidRDefault="00572BD3" w:rsidP="00395442">
            <w:pPr>
              <w:pStyle w:val="Graphs"/>
              <w:rPr>
                <w:sz w:val="36"/>
                <w:szCs w:val="36"/>
                <w:lang w:val="en-NZ"/>
              </w:rPr>
            </w:pPr>
            <w:r w:rsidRPr="003067B9">
              <w:rPr>
                <w:noProof/>
                <w:lang w:val="en-NZ"/>
              </w:rPr>
              <w:drawing>
                <wp:inline distT="0" distB="0" distL="0" distR="0" wp14:anchorId="7E260A3A" wp14:editId="1B40EC78">
                  <wp:extent cx="3009363" cy="1228661"/>
                  <wp:effectExtent l="0" t="0" r="635" b="0"/>
                  <wp:docPr id="6229017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01787" name="Picture 1">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015553" cy="1231188"/>
                          </a:xfrm>
                          <a:prstGeom prst="rect">
                            <a:avLst/>
                          </a:prstGeom>
                        </pic:spPr>
                      </pic:pic>
                    </a:graphicData>
                  </a:graphic>
                </wp:inline>
              </w:drawing>
            </w:r>
          </w:p>
        </w:tc>
        <w:tc>
          <w:tcPr>
            <w:tcW w:w="4814" w:type="dxa"/>
          </w:tcPr>
          <w:p w14:paraId="26863032" w14:textId="62BCE2FF" w:rsidR="00572BD3" w:rsidRPr="003067B9" w:rsidRDefault="00572BD3" w:rsidP="00395442">
            <w:pPr>
              <w:pStyle w:val="Graphs"/>
              <w:cnfStyle w:val="100000000000" w:firstRow="1" w:lastRow="0" w:firstColumn="0" w:lastColumn="0" w:oddVBand="0" w:evenVBand="0" w:oddHBand="0" w:evenHBand="0" w:firstRowFirstColumn="0" w:firstRowLastColumn="0" w:lastRowFirstColumn="0" w:lastRowLastColumn="0"/>
              <w:rPr>
                <w:bCs/>
                <w:sz w:val="36"/>
                <w:szCs w:val="36"/>
                <w:lang w:val="en-NZ"/>
              </w:rPr>
            </w:pPr>
            <w:r w:rsidRPr="003067B9">
              <w:rPr>
                <w:noProof/>
                <w:lang w:val="en-NZ"/>
              </w:rPr>
              <w:drawing>
                <wp:inline distT="0" distB="0" distL="0" distR="0" wp14:anchorId="41AC741C" wp14:editId="53AF8E0D">
                  <wp:extent cx="2996704" cy="1223493"/>
                  <wp:effectExtent l="0" t="0" r="0" b="0"/>
                  <wp:docPr id="16371182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18202" name="Picture 1">
                            <a:extLst>
                              <a:ext uri="{C183D7F6-B498-43B3-948B-1728B52AA6E4}">
                                <adec:decorative xmlns:adec="http://schemas.microsoft.com/office/drawing/2017/decorative" val="1"/>
                              </a:ext>
                            </a:extLst>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013812" cy="1230478"/>
                          </a:xfrm>
                          <a:prstGeom prst="rect">
                            <a:avLst/>
                          </a:prstGeom>
                        </pic:spPr>
                      </pic:pic>
                    </a:graphicData>
                  </a:graphic>
                </wp:inline>
              </w:drawing>
            </w:r>
          </w:p>
        </w:tc>
      </w:tr>
      <w:tr w:rsidR="00572BD3" w:rsidRPr="00D4706E" w14:paraId="5A73D9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552B6CD" w14:textId="77777777" w:rsidR="00572BD3" w:rsidRPr="003067B9" w:rsidRDefault="00572BD3" w:rsidP="00395442">
            <w:pPr>
              <w:pStyle w:val="Graphs"/>
              <w:rPr>
                <w:sz w:val="36"/>
                <w:szCs w:val="36"/>
                <w:lang w:val="en-NZ"/>
              </w:rPr>
            </w:pPr>
            <w:r w:rsidRPr="003067B9">
              <w:rPr>
                <w:noProof/>
                <w:lang w:val="en-NZ"/>
              </w:rPr>
              <w:drawing>
                <wp:inline distT="0" distB="0" distL="0" distR="0" wp14:anchorId="62E9F91A" wp14:editId="054921C4">
                  <wp:extent cx="3001624" cy="1223010"/>
                  <wp:effectExtent l="0" t="0" r="8890" b="0"/>
                  <wp:docPr id="14331810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81049" name="Picture 1">
                            <a:extLst>
                              <a:ext uri="{C183D7F6-B498-43B3-948B-1728B52AA6E4}">
                                <adec:decorative xmlns:adec="http://schemas.microsoft.com/office/drawing/2017/decorative" val="1"/>
                              </a:ext>
                            </a:extLst>
                          </pic:cNvPr>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004234" cy="1224073"/>
                          </a:xfrm>
                          <a:prstGeom prst="rect">
                            <a:avLst/>
                          </a:prstGeom>
                        </pic:spPr>
                      </pic:pic>
                    </a:graphicData>
                  </a:graphic>
                </wp:inline>
              </w:drawing>
            </w:r>
          </w:p>
        </w:tc>
        <w:tc>
          <w:tcPr>
            <w:tcW w:w="4814" w:type="dxa"/>
          </w:tcPr>
          <w:p w14:paraId="306CD6A9" w14:textId="189A230F" w:rsidR="00572BD3" w:rsidRPr="003067B9" w:rsidRDefault="00572BD3" w:rsidP="00395442">
            <w:pPr>
              <w:pStyle w:val="Graphs"/>
              <w:cnfStyle w:val="000000100000" w:firstRow="0" w:lastRow="0" w:firstColumn="0" w:lastColumn="0" w:oddVBand="0" w:evenVBand="0" w:oddHBand="1" w:evenHBand="0" w:firstRowFirstColumn="0" w:firstRowLastColumn="0" w:lastRowFirstColumn="0" w:lastRowLastColumn="0"/>
              <w:rPr>
                <w:sz w:val="36"/>
                <w:szCs w:val="36"/>
                <w:lang w:val="en-NZ"/>
              </w:rPr>
            </w:pPr>
            <w:r w:rsidRPr="003067B9">
              <w:rPr>
                <w:noProof/>
                <w:lang w:val="en-NZ"/>
              </w:rPr>
              <w:drawing>
                <wp:inline distT="0" distB="0" distL="0" distR="0" wp14:anchorId="1B107AAF" wp14:editId="10E970A7">
                  <wp:extent cx="3011444" cy="1219200"/>
                  <wp:effectExtent l="0" t="0" r="0" b="0"/>
                  <wp:docPr id="7489318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31876" name="Picture 1">
                            <a:extLst>
                              <a:ext uri="{C183D7F6-B498-43B3-948B-1728B52AA6E4}">
                                <adec:decorative xmlns:adec="http://schemas.microsoft.com/office/drawing/2017/decorative"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042128" cy="1231623"/>
                          </a:xfrm>
                          <a:prstGeom prst="rect">
                            <a:avLst/>
                          </a:prstGeom>
                        </pic:spPr>
                      </pic:pic>
                    </a:graphicData>
                  </a:graphic>
                </wp:inline>
              </w:drawing>
            </w:r>
          </w:p>
        </w:tc>
      </w:tr>
      <w:tr w:rsidR="00572BD3" w:rsidRPr="00D4706E" w14:paraId="511E9331" w14:textId="77777777">
        <w:tc>
          <w:tcPr>
            <w:cnfStyle w:val="001000000000" w:firstRow="0" w:lastRow="0" w:firstColumn="1" w:lastColumn="0" w:oddVBand="0" w:evenVBand="0" w:oddHBand="0" w:evenHBand="0" w:firstRowFirstColumn="0" w:firstRowLastColumn="0" w:lastRowFirstColumn="0" w:lastRowLastColumn="0"/>
            <w:tcW w:w="4814" w:type="dxa"/>
          </w:tcPr>
          <w:p w14:paraId="295F6DA3" w14:textId="77777777" w:rsidR="00572BD3" w:rsidRPr="003067B9" w:rsidRDefault="00572BD3" w:rsidP="00395442">
            <w:pPr>
              <w:pStyle w:val="Graphs"/>
              <w:rPr>
                <w:sz w:val="36"/>
                <w:szCs w:val="36"/>
                <w:lang w:val="en-NZ"/>
              </w:rPr>
            </w:pPr>
            <w:r w:rsidRPr="003067B9">
              <w:rPr>
                <w:noProof/>
                <w:lang w:val="en-NZ"/>
              </w:rPr>
              <w:drawing>
                <wp:inline distT="0" distB="0" distL="0" distR="0" wp14:anchorId="31D82B13" wp14:editId="61A11DC3">
                  <wp:extent cx="3001010" cy="1224007"/>
                  <wp:effectExtent l="0" t="0" r="0" b="0"/>
                  <wp:docPr id="4589478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47881" name="Picture 1">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020140" cy="1231809"/>
                          </a:xfrm>
                          <a:prstGeom prst="rect">
                            <a:avLst/>
                          </a:prstGeom>
                        </pic:spPr>
                      </pic:pic>
                    </a:graphicData>
                  </a:graphic>
                </wp:inline>
              </w:drawing>
            </w:r>
          </w:p>
        </w:tc>
        <w:tc>
          <w:tcPr>
            <w:tcW w:w="4814" w:type="dxa"/>
          </w:tcPr>
          <w:p w14:paraId="791FB98F" w14:textId="01E5CC54" w:rsidR="00572BD3" w:rsidRPr="003067B9" w:rsidRDefault="00572BD3" w:rsidP="00395442">
            <w:pPr>
              <w:pStyle w:val="Graphs"/>
              <w:cnfStyle w:val="000000000000" w:firstRow="0" w:lastRow="0" w:firstColumn="0" w:lastColumn="0" w:oddVBand="0" w:evenVBand="0" w:oddHBand="0" w:evenHBand="0" w:firstRowFirstColumn="0" w:firstRowLastColumn="0" w:lastRowFirstColumn="0" w:lastRowLastColumn="0"/>
              <w:rPr>
                <w:sz w:val="36"/>
                <w:szCs w:val="36"/>
                <w:lang w:val="en-NZ"/>
              </w:rPr>
            </w:pPr>
            <w:r w:rsidRPr="003067B9">
              <w:rPr>
                <w:noProof/>
                <w:lang w:val="en-NZ"/>
              </w:rPr>
              <w:drawing>
                <wp:inline distT="0" distB="0" distL="0" distR="0" wp14:anchorId="10AB3B43" wp14:editId="669367AB">
                  <wp:extent cx="3000888" cy="1223645"/>
                  <wp:effectExtent l="0" t="0" r="9525" b="0"/>
                  <wp:docPr id="4459873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87340" name="Picture 1">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00888" cy="1223645"/>
                          </a:xfrm>
                          <a:prstGeom prst="rect">
                            <a:avLst/>
                          </a:prstGeom>
                        </pic:spPr>
                      </pic:pic>
                    </a:graphicData>
                  </a:graphic>
                </wp:inline>
              </w:drawing>
            </w:r>
          </w:p>
        </w:tc>
      </w:tr>
      <w:tr w:rsidR="00572BD3" w:rsidRPr="00D4706E" w14:paraId="132A2A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D019C8A" w14:textId="77777777" w:rsidR="00572BD3" w:rsidRPr="003067B9" w:rsidRDefault="00572BD3" w:rsidP="00395442">
            <w:pPr>
              <w:pStyle w:val="Graphs"/>
              <w:rPr>
                <w:sz w:val="36"/>
                <w:szCs w:val="36"/>
                <w:lang w:val="en-NZ"/>
              </w:rPr>
            </w:pPr>
            <w:r w:rsidRPr="003067B9">
              <w:rPr>
                <w:noProof/>
                <w:lang w:val="en-NZ"/>
              </w:rPr>
              <w:drawing>
                <wp:inline distT="0" distB="0" distL="0" distR="0" wp14:anchorId="5B881C8D" wp14:editId="3FFD0362">
                  <wp:extent cx="2996718" cy="1222255"/>
                  <wp:effectExtent l="0" t="0" r="0" b="0"/>
                  <wp:docPr id="19483127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12709" name="Picture 1">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996718" cy="1222255"/>
                          </a:xfrm>
                          <a:prstGeom prst="rect">
                            <a:avLst/>
                          </a:prstGeom>
                        </pic:spPr>
                      </pic:pic>
                    </a:graphicData>
                  </a:graphic>
                </wp:inline>
              </w:drawing>
            </w:r>
          </w:p>
        </w:tc>
        <w:tc>
          <w:tcPr>
            <w:tcW w:w="4814" w:type="dxa"/>
          </w:tcPr>
          <w:p w14:paraId="1D48F6A0" w14:textId="2AB905A4" w:rsidR="00572BD3" w:rsidRPr="003067B9" w:rsidRDefault="00572BD3" w:rsidP="00395442">
            <w:pPr>
              <w:pStyle w:val="Graphs"/>
              <w:cnfStyle w:val="000000100000" w:firstRow="0" w:lastRow="0" w:firstColumn="0" w:lastColumn="0" w:oddVBand="0" w:evenVBand="0" w:oddHBand="1" w:evenHBand="0" w:firstRowFirstColumn="0" w:firstRowLastColumn="0" w:lastRowFirstColumn="0" w:lastRowLastColumn="0"/>
              <w:rPr>
                <w:sz w:val="36"/>
                <w:szCs w:val="36"/>
                <w:lang w:val="en-NZ"/>
              </w:rPr>
            </w:pPr>
            <w:r w:rsidRPr="003067B9">
              <w:rPr>
                <w:noProof/>
                <w:lang w:val="en-NZ"/>
              </w:rPr>
              <w:drawing>
                <wp:inline distT="0" distB="0" distL="0" distR="0" wp14:anchorId="3F7E4AA2" wp14:editId="2E3AA7B7">
                  <wp:extent cx="2988700" cy="1218871"/>
                  <wp:effectExtent l="0" t="0" r="2540" b="635"/>
                  <wp:docPr id="16827578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57894" name="Picture 1">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988700" cy="1218871"/>
                          </a:xfrm>
                          <a:prstGeom prst="rect">
                            <a:avLst/>
                          </a:prstGeom>
                        </pic:spPr>
                      </pic:pic>
                    </a:graphicData>
                  </a:graphic>
                </wp:inline>
              </w:drawing>
            </w:r>
          </w:p>
        </w:tc>
      </w:tr>
      <w:tr w:rsidR="00AB391A" w:rsidRPr="00D4706E" w14:paraId="5A6F7A3C" w14:textId="77777777">
        <w:tc>
          <w:tcPr>
            <w:cnfStyle w:val="001000000000" w:firstRow="0" w:lastRow="0" w:firstColumn="1" w:lastColumn="0" w:oddVBand="0" w:evenVBand="0" w:oddHBand="0" w:evenHBand="0" w:firstRowFirstColumn="0" w:firstRowLastColumn="0" w:lastRowFirstColumn="0" w:lastRowLastColumn="0"/>
            <w:tcW w:w="4814" w:type="dxa"/>
          </w:tcPr>
          <w:p w14:paraId="0544EC83" w14:textId="7C920070" w:rsidR="00AB391A" w:rsidRPr="003067B9" w:rsidRDefault="00AB391A" w:rsidP="00395442">
            <w:pPr>
              <w:pStyle w:val="Graphs"/>
              <w:rPr>
                <w:noProof/>
                <w:lang w:val="en-NZ"/>
              </w:rPr>
            </w:pPr>
            <w:r w:rsidRPr="003067B9">
              <w:rPr>
                <w:noProof/>
                <w:lang w:val="en-NZ"/>
              </w:rPr>
              <w:drawing>
                <wp:inline distT="0" distB="0" distL="0" distR="0" wp14:anchorId="0827B663" wp14:editId="02D4868E">
                  <wp:extent cx="810260" cy="1000125"/>
                  <wp:effectExtent l="0" t="0" r="8890" b="9525"/>
                  <wp:docPr id="551944855"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36032" name="Picture 1" descr="A graph of a number of people&#10;&#10;Description automatically generated with medium confidence"/>
                          <pic:cNvPicPr/>
                        </pic:nvPicPr>
                        <pic:blipFill rotWithShape="1">
                          <a:blip r:embed="rId108" cstate="print">
                            <a:extLst>
                              <a:ext uri="{28A0092B-C50C-407E-A947-70E740481C1C}">
                                <a14:useLocalDpi xmlns:a14="http://schemas.microsoft.com/office/drawing/2010/main" val="0"/>
                              </a:ext>
                            </a:extLst>
                          </a:blip>
                          <a:srcRect/>
                          <a:stretch/>
                        </pic:blipFill>
                        <pic:spPr bwMode="auto">
                          <a:xfrm>
                            <a:off x="0" y="0"/>
                            <a:ext cx="810260" cy="1000125"/>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40320826" w14:textId="77777777" w:rsidR="00AB391A" w:rsidRPr="003067B9" w:rsidRDefault="00AB391A" w:rsidP="00395442">
            <w:pPr>
              <w:pStyle w:val="Graphs"/>
              <w:cnfStyle w:val="000000000000" w:firstRow="0" w:lastRow="0" w:firstColumn="0" w:lastColumn="0" w:oddVBand="0" w:evenVBand="0" w:oddHBand="0" w:evenHBand="0" w:firstRowFirstColumn="0" w:firstRowLastColumn="0" w:lastRowFirstColumn="0" w:lastRowLastColumn="0"/>
              <w:rPr>
                <w:noProof/>
                <w:lang w:val="en-NZ"/>
              </w:rPr>
            </w:pPr>
          </w:p>
        </w:tc>
      </w:tr>
    </w:tbl>
    <w:p w14:paraId="2F730978" w14:textId="77777777" w:rsidR="00572BD3" w:rsidRPr="003067B9" w:rsidRDefault="00572BD3" w:rsidP="00572BD3">
      <w:pPr>
        <w:rPr>
          <w:lang w:val="en-NZ"/>
        </w:rPr>
      </w:pPr>
    </w:p>
    <w:tbl>
      <w:tblPr>
        <w:tblStyle w:val="ListTable2-Accent6"/>
        <w:tblpPr w:leftFromText="180" w:rightFromText="180" w:tblpY="870"/>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821"/>
        <w:gridCol w:w="4817"/>
      </w:tblGrid>
      <w:tr w:rsidR="00572BD3" w:rsidRPr="00D4706E" w14:paraId="200191F7" w14:textId="77777777" w:rsidTr="00340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1" w:type="dxa"/>
          </w:tcPr>
          <w:p w14:paraId="6B3F0AD8" w14:textId="77777777" w:rsidR="00572BD3" w:rsidRPr="003067B9" w:rsidRDefault="00572BD3" w:rsidP="003402F7">
            <w:pPr>
              <w:pStyle w:val="Graphs"/>
              <w:rPr>
                <w:sz w:val="36"/>
                <w:szCs w:val="36"/>
                <w:lang w:val="en-NZ"/>
              </w:rPr>
            </w:pPr>
            <w:r w:rsidRPr="003067B9">
              <w:rPr>
                <w:noProof/>
                <w:lang w:val="en-NZ"/>
              </w:rPr>
              <w:lastRenderedPageBreak/>
              <w:drawing>
                <wp:inline distT="0" distB="0" distL="0" distR="0" wp14:anchorId="66F44794" wp14:editId="4DA3DFA2">
                  <wp:extent cx="2995133" cy="1224915"/>
                  <wp:effectExtent l="0" t="0" r="0" b="0"/>
                  <wp:docPr id="9026307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30729" name="Picture 1">
                            <a:extLst>
                              <a:ext uri="{C183D7F6-B498-43B3-948B-1728B52AA6E4}">
                                <adec:decorative xmlns:adec="http://schemas.microsoft.com/office/drawing/2017/decorative" val="1"/>
                              </a:ext>
                            </a:extLst>
                          </pic:cNvPr>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995133" cy="1224915"/>
                          </a:xfrm>
                          <a:prstGeom prst="rect">
                            <a:avLst/>
                          </a:prstGeom>
                        </pic:spPr>
                      </pic:pic>
                    </a:graphicData>
                  </a:graphic>
                </wp:inline>
              </w:drawing>
            </w:r>
          </w:p>
        </w:tc>
        <w:tc>
          <w:tcPr>
            <w:tcW w:w="4817" w:type="dxa"/>
          </w:tcPr>
          <w:p w14:paraId="74EC157F" w14:textId="2357A595" w:rsidR="00572BD3" w:rsidRPr="003067B9" w:rsidRDefault="00572BD3" w:rsidP="003402F7">
            <w:pPr>
              <w:pStyle w:val="Graphs"/>
              <w:cnfStyle w:val="100000000000" w:firstRow="1" w:lastRow="0" w:firstColumn="0" w:lastColumn="0" w:oddVBand="0" w:evenVBand="0" w:oddHBand="0" w:evenHBand="0" w:firstRowFirstColumn="0" w:firstRowLastColumn="0" w:lastRowFirstColumn="0" w:lastRowLastColumn="0"/>
              <w:rPr>
                <w:b w:val="0"/>
                <w:bCs/>
                <w:sz w:val="36"/>
                <w:szCs w:val="36"/>
                <w:lang w:val="en-NZ"/>
              </w:rPr>
            </w:pPr>
            <w:r w:rsidRPr="003067B9">
              <w:rPr>
                <w:noProof/>
                <w:lang w:val="en-NZ"/>
              </w:rPr>
              <w:drawing>
                <wp:inline distT="0" distB="0" distL="0" distR="0" wp14:anchorId="56DE13C4" wp14:editId="187D8881">
                  <wp:extent cx="2992258" cy="1218769"/>
                  <wp:effectExtent l="0" t="0" r="0" b="635"/>
                  <wp:docPr id="17723988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98869" name="Picture 1">
                            <a:extLst>
                              <a:ext uri="{C183D7F6-B498-43B3-948B-1728B52AA6E4}">
                                <adec:decorative xmlns:adec="http://schemas.microsoft.com/office/drawing/2017/decorative" val="1"/>
                              </a:ext>
                            </a:extLst>
                          </pic:cNvP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992258" cy="1218769"/>
                          </a:xfrm>
                          <a:prstGeom prst="rect">
                            <a:avLst/>
                          </a:prstGeom>
                        </pic:spPr>
                      </pic:pic>
                    </a:graphicData>
                  </a:graphic>
                </wp:inline>
              </w:drawing>
            </w:r>
          </w:p>
        </w:tc>
      </w:tr>
      <w:tr w:rsidR="00572BD3" w:rsidRPr="00D4706E" w14:paraId="6FC295FF" w14:textId="77777777" w:rsidTr="00340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1" w:type="dxa"/>
          </w:tcPr>
          <w:p w14:paraId="774968B3" w14:textId="77777777" w:rsidR="00572BD3" w:rsidRPr="003067B9" w:rsidRDefault="00572BD3" w:rsidP="003402F7">
            <w:pPr>
              <w:pStyle w:val="Graphs"/>
              <w:rPr>
                <w:sz w:val="36"/>
                <w:szCs w:val="36"/>
                <w:lang w:val="en-NZ"/>
              </w:rPr>
            </w:pPr>
            <w:r w:rsidRPr="003067B9">
              <w:rPr>
                <w:noProof/>
                <w:lang w:val="en-NZ"/>
              </w:rPr>
              <w:drawing>
                <wp:inline distT="0" distB="0" distL="0" distR="0" wp14:anchorId="132DD872" wp14:editId="1CD0FCC3">
                  <wp:extent cx="2981585" cy="1219374"/>
                  <wp:effectExtent l="0" t="0" r="0" b="0"/>
                  <wp:docPr id="2008601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01113" name="Picture 1">
                            <a:extLst>
                              <a:ext uri="{C183D7F6-B498-43B3-948B-1728B52AA6E4}">
                                <adec:decorative xmlns:adec="http://schemas.microsoft.com/office/drawing/2017/decorative" val="1"/>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981585" cy="1219374"/>
                          </a:xfrm>
                          <a:prstGeom prst="rect">
                            <a:avLst/>
                          </a:prstGeom>
                        </pic:spPr>
                      </pic:pic>
                    </a:graphicData>
                  </a:graphic>
                </wp:inline>
              </w:drawing>
            </w:r>
          </w:p>
        </w:tc>
        <w:tc>
          <w:tcPr>
            <w:tcW w:w="4817" w:type="dxa"/>
          </w:tcPr>
          <w:p w14:paraId="37165B8A" w14:textId="77777777" w:rsidR="00572BD3" w:rsidRPr="003067B9" w:rsidRDefault="00572BD3" w:rsidP="003402F7">
            <w:pPr>
              <w:pStyle w:val="Graphs"/>
              <w:cnfStyle w:val="000000100000" w:firstRow="0" w:lastRow="0" w:firstColumn="0" w:lastColumn="0" w:oddVBand="0" w:evenVBand="0" w:oddHBand="1" w:evenHBand="0" w:firstRowFirstColumn="0" w:firstRowLastColumn="0" w:lastRowFirstColumn="0" w:lastRowLastColumn="0"/>
              <w:rPr>
                <w:lang w:val="en-NZ"/>
              </w:rPr>
            </w:pPr>
          </w:p>
        </w:tc>
      </w:tr>
      <w:tr w:rsidR="00572BD3" w:rsidRPr="00D4706E" w14:paraId="5B17CD2D" w14:textId="77777777" w:rsidTr="003402F7">
        <w:tc>
          <w:tcPr>
            <w:cnfStyle w:val="001000000000" w:firstRow="0" w:lastRow="0" w:firstColumn="1" w:lastColumn="0" w:oddVBand="0" w:evenVBand="0" w:oddHBand="0" w:evenHBand="0" w:firstRowFirstColumn="0" w:firstRowLastColumn="0" w:lastRowFirstColumn="0" w:lastRowLastColumn="0"/>
            <w:tcW w:w="4821" w:type="dxa"/>
          </w:tcPr>
          <w:p w14:paraId="170141D0" w14:textId="77777777" w:rsidR="00572BD3" w:rsidRPr="003067B9" w:rsidRDefault="00572BD3" w:rsidP="003402F7">
            <w:pPr>
              <w:pStyle w:val="Graphs"/>
              <w:rPr>
                <w:sz w:val="36"/>
                <w:szCs w:val="36"/>
                <w:lang w:val="en-NZ"/>
              </w:rPr>
            </w:pPr>
            <w:r w:rsidRPr="003067B9">
              <w:rPr>
                <w:noProof/>
                <w:lang w:val="en-NZ"/>
              </w:rPr>
              <w:drawing>
                <wp:inline distT="0" distB="0" distL="0" distR="0" wp14:anchorId="73CA9298" wp14:editId="00100D22">
                  <wp:extent cx="810260" cy="1000125"/>
                  <wp:effectExtent l="0" t="0" r="8890" b="9525"/>
                  <wp:docPr id="1210609737"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36032" name="Picture 1" descr="A graph of a number of people&#10;&#10;Description automatically generated with medium confidence"/>
                          <pic:cNvPicPr/>
                        </pic:nvPicPr>
                        <pic:blipFill rotWithShape="1">
                          <a:blip r:embed="rId108" cstate="print">
                            <a:extLst>
                              <a:ext uri="{28A0092B-C50C-407E-A947-70E740481C1C}">
                                <a14:useLocalDpi xmlns:a14="http://schemas.microsoft.com/office/drawing/2010/main" val="0"/>
                              </a:ext>
                            </a:extLst>
                          </a:blip>
                          <a:srcRect/>
                          <a:stretch/>
                        </pic:blipFill>
                        <pic:spPr bwMode="auto">
                          <a:xfrm>
                            <a:off x="0" y="0"/>
                            <a:ext cx="810260" cy="1000125"/>
                          </a:xfrm>
                          <a:prstGeom prst="rect">
                            <a:avLst/>
                          </a:prstGeom>
                          <a:ln>
                            <a:noFill/>
                          </a:ln>
                          <a:extLst>
                            <a:ext uri="{53640926-AAD7-44D8-BBD7-CCE9431645EC}">
                              <a14:shadowObscured xmlns:a14="http://schemas.microsoft.com/office/drawing/2010/main"/>
                            </a:ext>
                          </a:extLst>
                        </pic:spPr>
                      </pic:pic>
                    </a:graphicData>
                  </a:graphic>
                </wp:inline>
              </w:drawing>
            </w:r>
          </w:p>
        </w:tc>
        <w:tc>
          <w:tcPr>
            <w:tcW w:w="4817" w:type="dxa"/>
          </w:tcPr>
          <w:p w14:paraId="4D97FED3" w14:textId="77777777" w:rsidR="00572BD3" w:rsidRPr="003067B9" w:rsidRDefault="00572BD3" w:rsidP="003402F7">
            <w:pPr>
              <w:pStyle w:val="Graphs"/>
              <w:cnfStyle w:val="000000000000" w:firstRow="0" w:lastRow="0" w:firstColumn="0" w:lastColumn="0" w:oddVBand="0" w:evenVBand="0" w:oddHBand="0" w:evenHBand="0" w:firstRowFirstColumn="0" w:firstRowLastColumn="0" w:lastRowFirstColumn="0" w:lastRowLastColumn="0"/>
              <w:rPr>
                <w:lang w:val="en-NZ"/>
              </w:rPr>
            </w:pPr>
          </w:p>
        </w:tc>
      </w:tr>
    </w:tbl>
    <w:p w14:paraId="0A60EA92" w14:textId="77777777" w:rsidR="00572BD3" w:rsidRPr="003067B9" w:rsidRDefault="00572BD3" w:rsidP="00572BD3">
      <w:pPr>
        <w:rPr>
          <w:lang w:val="en-NZ"/>
        </w:rPr>
      </w:pPr>
      <w:r w:rsidRPr="003067B9">
        <w:rPr>
          <w:lang w:val="en-NZ"/>
        </w:rPr>
        <w:br w:type="page"/>
      </w:r>
    </w:p>
    <w:p w14:paraId="4313A6C6" w14:textId="6D30AC3E" w:rsidR="00572BD3" w:rsidRPr="00D4706E" w:rsidRDefault="00572BD3" w:rsidP="00B414C3">
      <w:pPr>
        <w:pStyle w:val="Heading2"/>
        <w:rPr>
          <w:color w:val="15284C"/>
          <w:sz w:val="36"/>
          <w:szCs w:val="36"/>
        </w:rPr>
      </w:pPr>
      <w:bookmarkStart w:id="119" w:name="_Toc170199197"/>
      <w:r w:rsidRPr="00D4706E">
        <w:rPr>
          <w:color w:val="15284C"/>
          <w:sz w:val="36"/>
          <w:szCs w:val="36"/>
        </w:rPr>
        <w:lastRenderedPageBreak/>
        <w:t xml:space="preserve">Central </w:t>
      </w:r>
      <w:r w:rsidR="001D0656">
        <w:rPr>
          <w:color w:val="15284C"/>
          <w:sz w:val="36"/>
          <w:szCs w:val="36"/>
        </w:rPr>
        <w:t>R</w:t>
      </w:r>
      <w:r w:rsidRPr="00D4706E">
        <w:rPr>
          <w:color w:val="15284C"/>
          <w:sz w:val="36"/>
          <w:szCs w:val="36"/>
        </w:rPr>
        <w:t>egion</w:t>
      </w:r>
      <w:bookmarkEnd w:id="119"/>
    </w:p>
    <w:tbl>
      <w:tblPr>
        <w:tblStyle w:val="ListTable2-Accent6"/>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819"/>
        <w:gridCol w:w="4819"/>
      </w:tblGrid>
      <w:tr w:rsidR="00572BD3" w:rsidRPr="00D4706E" w14:paraId="3DE6C6E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F1DB8F" w14:textId="77777777" w:rsidR="00572BD3" w:rsidRPr="003067B9" w:rsidRDefault="00572BD3" w:rsidP="00983F5F">
            <w:pPr>
              <w:pStyle w:val="Graphs"/>
              <w:rPr>
                <w:sz w:val="36"/>
                <w:szCs w:val="36"/>
                <w:lang w:val="en-NZ"/>
              </w:rPr>
            </w:pPr>
            <w:r w:rsidRPr="003067B9">
              <w:rPr>
                <w:noProof/>
                <w:lang w:val="en-NZ"/>
              </w:rPr>
              <w:drawing>
                <wp:inline distT="0" distB="0" distL="0" distR="0" wp14:anchorId="2D8B21D3" wp14:editId="10331E5E">
                  <wp:extent cx="3002932" cy="1222608"/>
                  <wp:effectExtent l="0" t="0" r="6985" b="0"/>
                  <wp:docPr id="4379120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12096" name="Picture 1">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008646" cy="1224934"/>
                          </a:xfrm>
                          <a:prstGeom prst="rect">
                            <a:avLst/>
                          </a:prstGeom>
                        </pic:spPr>
                      </pic:pic>
                    </a:graphicData>
                  </a:graphic>
                </wp:inline>
              </w:drawing>
            </w:r>
          </w:p>
        </w:tc>
        <w:tc>
          <w:tcPr>
            <w:tcW w:w="4814" w:type="dxa"/>
          </w:tcPr>
          <w:p w14:paraId="63AB4E46" w14:textId="1CDB6391" w:rsidR="00572BD3" w:rsidRPr="003067B9" w:rsidRDefault="00572BD3" w:rsidP="009334A2">
            <w:pPr>
              <w:pStyle w:val="Graphs"/>
              <w:cnfStyle w:val="100000000000" w:firstRow="1" w:lastRow="0" w:firstColumn="0" w:lastColumn="0" w:oddVBand="0" w:evenVBand="0" w:oddHBand="0" w:evenHBand="0" w:firstRowFirstColumn="0" w:firstRowLastColumn="0" w:lastRowFirstColumn="0" w:lastRowLastColumn="0"/>
              <w:rPr>
                <w:b w:val="0"/>
                <w:bCs/>
                <w:sz w:val="36"/>
                <w:szCs w:val="36"/>
                <w:lang w:val="en-NZ"/>
              </w:rPr>
            </w:pPr>
            <w:r w:rsidRPr="003067B9">
              <w:rPr>
                <w:noProof/>
                <w:lang w:val="en-NZ"/>
              </w:rPr>
              <w:drawing>
                <wp:inline distT="0" distB="0" distL="0" distR="0" wp14:anchorId="2D1B8FA9" wp14:editId="1420C50F">
                  <wp:extent cx="3007005" cy="1214907"/>
                  <wp:effectExtent l="0" t="0" r="3175" b="4445"/>
                  <wp:docPr id="20312529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52994" name="Picture 1">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007005" cy="1214907"/>
                          </a:xfrm>
                          <a:prstGeom prst="rect">
                            <a:avLst/>
                          </a:prstGeom>
                        </pic:spPr>
                      </pic:pic>
                    </a:graphicData>
                  </a:graphic>
                </wp:inline>
              </w:drawing>
            </w:r>
          </w:p>
        </w:tc>
      </w:tr>
      <w:tr w:rsidR="00572BD3" w:rsidRPr="00D4706E" w14:paraId="31D8DB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9691582" w14:textId="77777777" w:rsidR="00572BD3" w:rsidRPr="003067B9" w:rsidRDefault="00572BD3" w:rsidP="00983F5F">
            <w:pPr>
              <w:pStyle w:val="Graphs"/>
              <w:rPr>
                <w:sz w:val="36"/>
                <w:szCs w:val="36"/>
                <w:lang w:val="en-NZ"/>
              </w:rPr>
            </w:pPr>
            <w:r w:rsidRPr="003067B9">
              <w:rPr>
                <w:noProof/>
                <w:lang w:val="en-NZ"/>
              </w:rPr>
              <w:drawing>
                <wp:inline distT="0" distB="0" distL="0" distR="0" wp14:anchorId="16EC8E91" wp14:editId="483479CF">
                  <wp:extent cx="3002915" cy="1220421"/>
                  <wp:effectExtent l="0" t="0" r="6985" b="0"/>
                  <wp:docPr id="17019821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82128" name="Picture 1">
                            <a:extLst>
                              <a:ext uri="{C183D7F6-B498-43B3-948B-1728B52AA6E4}">
                                <adec:decorative xmlns:adec="http://schemas.microsoft.com/office/drawing/2017/decorative" val="1"/>
                              </a:ext>
                            </a:extLst>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12939" cy="1224495"/>
                          </a:xfrm>
                          <a:prstGeom prst="rect">
                            <a:avLst/>
                          </a:prstGeom>
                        </pic:spPr>
                      </pic:pic>
                    </a:graphicData>
                  </a:graphic>
                </wp:inline>
              </w:drawing>
            </w:r>
          </w:p>
        </w:tc>
        <w:tc>
          <w:tcPr>
            <w:tcW w:w="4814" w:type="dxa"/>
          </w:tcPr>
          <w:p w14:paraId="2DD3CFD5" w14:textId="43C07AB0" w:rsidR="00572BD3" w:rsidRPr="003067B9" w:rsidRDefault="00572BD3" w:rsidP="009334A2">
            <w:pPr>
              <w:pStyle w:val="Graphs"/>
              <w:cnfStyle w:val="000000100000" w:firstRow="0" w:lastRow="0" w:firstColumn="0" w:lastColumn="0" w:oddVBand="0" w:evenVBand="0" w:oddHBand="1" w:evenHBand="0" w:firstRowFirstColumn="0" w:firstRowLastColumn="0" w:lastRowFirstColumn="0" w:lastRowLastColumn="0"/>
              <w:rPr>
                <w:sz w:val="36"/>
                <w:szCs w:val="36"/>
                <w:lang w:val="en-NZ"/>
              </w:rPr>
            </w:pPr>
            <w:r w:rsidRPr="003067B9">
              <w:rPr>
                <w:noProof/>
                <w:lang w:val="en-NZ"/>
              </w:rPr>
              <w:drawing>
                <wp:inline distT="0" distB="0" distL="0" distR="0" wp14:anchorId="2AD5EE31" wp14:editId="2031DE3B">
                  <wp:extent cx="2996484" cy="1206615"/>
                  <wp:effectExtent l="0" t="0" r="0" b="0"/>
                  <wp:docPr id="13679319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31941" name="Picture 1">
                            <a:extLst>
                              <a:ext uri="{C183D7F6-B498-43B3-948B-1728B52AA6E4}">
                                <adec:decorative xmlns:adec="http://schemas.microsoft.com/office/drawing/2017/decorative" val="1"/>
                              </a:ext>
                            </a:extLst>
                          </pic:cNvPr>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996484" cy="1206615"/>
                          </a:xfrm>
                          <a:prstGeom prst="rect">
                            <a:avLst/>
                          </a:prstGeom>
                        </pic:spPr>
                      </pic:pic>
                    </a:graphicData>
                  </a:graphic>
                </wp:inline>
              </w:drawing>
            </w:r>
          </w:p>
        </w:tc>
      </w:tr>
      <w:tr w:rsidR="00572BD3" w:rsidRPr="00D4706E" w14:paraId="7EFAA0C2" w14:textId="77777777">
        <w:tc>
          <w:tcPr>
            <w:cnfStyle w:val="001000000000" w:firstRow="0" w:lastRow="0" w:firstColumn="1" w:lastColumn="0" w:oddVBand="0" w:evenVBand="0" w:oddHBand="0" w:evenHBand="0" w:firstRowFirstColumn="0" w:firstRowLastColumn="0" w:lastRowFirstColumn="0" w:lastRowLastColumn="0"/>
            <w:tcW w:w="4814" w:type="dxa"/>
          </w:tcPr>
          <w:p w14:paraId="676D3F6A" w14:textId="77777777" w:rsidR="00572BD3" w:rsidRPr="003067B9" w:rsidRDefault="00572BD3" w:rsidP="00983F5F">
            <w:pPr>
              <w:pStyle w:val="Graphs"/>
              <w:rPr>
                <w:sz w:val="36"/>
                <w:szCs w:val="36"/>
                <w:lang w:val="en-NZ"/>
              </w:rPr>
            </w:pPr>
            <w:r w:rsidRPr="003067B9">
              <w:rPr>
                <w:noProof/>
                <w:lang w:val="en-NZ"/>
              </w:rPr>
              <w:drawing>
                <wp:inline distT="0" distB="0" distL="0" distR="0" wp14:anchorId="1560B0E6" wp14:editId="08A4294C">
                  <wp:extent cx="3002915" cy="1219175"/>
                  <wp:effectExtent l="0" t="0" r="6985" b="635"/>
                  <wp:docPr id="1078666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6639" name="Picture 1">
                            <a:extLst>
                              <a:ext uri="{C183D7F6-B498-43B3-948B-1728B52AA6E4}">
                                <adec:decorative xmlns:adec="http://schemas.microsoft.com/office/drawing/2017/decorative" val="1"/>
                              </a:ext>
                            </a:extLst>
                          </pic:cNvPr>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008255" cy="1221343"/>
                          </a:xfrm>
                          <a:prstGeom prst="rect">
                            <a:avLst/>
                          </a:prstGeom>
                        </pic:spPr>
                      </pic:pic>
                    </a:graphicData>
                  </a:graphic>
                </wp:inline>
              </w:drawing>
            </w:r>
          </w:p>
        </w:tc>
        <w:tc>
          <w:tcPr>
            <w:tcW w:w="4814" w:type="dxa"/>
          </w:tcPr>
          <w:p w14:paraId="0156EE25" w14:textId="79EA4EF8" w:rsidR="00572BD3" w:rsidRPr="003067B9" w:rsidRDefault="00572BD3" w:rsidP="009334A2">
            <w:pPr>
              <w:pStyle w:val="Graphs"/>
              <w:cnfStyle w:val="000000000000" w:firstRow="0" w:lastRow="0" w:firstColumn="0" w:lastColumn="0" w:oddVBand="0" w:evenVBand="0" w:oddHBand="0" w:evenHBand="0" w:firstRowFirstColumn="0" w:firstRowLastColumn="0" w:lastRowFirstColumn="0" w:lastRowLastColumn="0"/>
              <w:rPr>
                <w:sz w:val="36"/>
                <w:szCs w:val="36"/>
                <w:lang w:val="en-NZ"/>
              </w:rPr>
            </w:pPr>
            <w:r w:rsidRPr="003067B9">
              <w:rPr>
                <w:noProof/>
                <w:lang w:val="en-NZ"/>
              </w:rPr>
              <w:drawing>
                <wp:inline distT="0" distB="0" distL="0" distR="0" wp14:anchorId="7974F0A8" wp14:editId="27AF3C2C">
                  <wp:extent cx="3005402" cy="1218313"/>
                  <wp:effectExtent l="0" t="0" r="5080" b="1270"/>
                  <wp:docPr id="10313340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34033" name="Picture 1">
                            <a:extLst>
                              <a:ext uri="{C183D7F6-B498-43B3-948B-1728B52AA6E4}">
                                <adec:decorative xmlns:adec="http://schemas.microsoft.com/office/drawing/2017/decorative" val="1"/>
                              </a:ext>
                            </a:extLst>
                          </pic:cNvPr>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005402" cy="1218313"/>
                          </a:xfrm>
                          <a:prstGeom prst="rect">
                            <a:avLst/>
                          </a:prstGeom>
                        </pic:spPr>
                      </pic:pic>
                    </a:graphicData>
                  </a:graphic>
                </wp:inline>
              </w:drawing>
            </w:r>
          </w:p>
        </w:tc>
      </w:tr>
      <w:tr w:rsidR="00572BD3" w:rsidRPr="00D4706E" w14:paraId="38B34E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F62FD5" w14:textId="77777777" w:rsidR="00572BD3" w:rsidRPr="003067B9" w:rsidRDefault="00572BD3" w:rsidP="00983F5F">
            <w:pPr>
              <w:pStyle w:val="Graphs"/>
              <w:rPr>
                <w:sz w:val="36"/>
                <w:szCs w:val="36"/>
                <w:lang w:val="en-NZ"/>
              </w:rPr>
            </w:pPr>
            <w:r w:rsidRPr="003067B9">
              <w:rPr>
                <w:noProof/>
                <w:lang w:val="en-NZ"/>
              </w:rPr>
              <w:drawing>
                <wp:inline distT="0" distB="0" distL="0" distR="0" wp14:anchorId="648B9994" wp14:editId="17F83252">
                  <wp:extent cx="3002379" cy="1214907"/>
                  <wp:effectExtent l="0" t="0" r="7620" b="4445"/>
                  <wp:docPr id="7198357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35780" name="Picture 1">
                            <a:extLst>
                              <a:ext uri="{C183D7F6-B498-43B3-948B-1728B52AA6E4}">
                                <adec:decorative xmlns:adec="http://schemas.microsoft.com/office/drawing/2017/decorative" val="1"/>
                              </a:ext>
                            </a:extLst>
                          </pic:cNvP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002379" cy="1214907"/>
                          </a:xfrm>
                          <a:prstGeom prst="rect">
                            <a:avLst/>
                          </a:prstGeom>
                        </pic:spPr>
                      </pic:pic>
                    </a:graphicData>
                  </a:graphic>
                </wp:inline>
              </w:drawing>
            </w:r>
          </w:p>
        </w:tc>
        <w:tc>
          <w:tcPr>
            <w:tcW w:w="4814" w:type="dxa"/>
          </w:tcPr>
          <w:p w14:paraId="70DBBB74" w14:textId="5526B8DA" w:rsidR="00572BD3" w:rsidRPr="003067B9" w:rsidRDefault="00572BD3" w:rsidP="00983F5F">
            <w:pPr>
              <w:pStyle w:val="Graphs"/>
              <w:cnfStyle w:val="000000100000" w:firstRow="0" w:lastRow="0" w:firstColumn="0" w:lastColumn="0" w:oddVBand="0" w:evenVBand="0" w:oddHBand="1" w:evenHBand="0" w:firstRowFirstColumn="0" w:firstRowLastColumn="0" w:lastRowFirstColumn="0" w:lastRowLastColumn="0"/>
              <w:rPr>
                <w:sz w:val="36"/>
                <w:szCs w:val="36"/>
                <w:lang w:val="en-NZ"/>
              </w:rPr>
            </w:pPr>
            <w:r w:rsidRPr="003067B9">
              <w:rPr>
                <w:noProof/>
                <w:lang w:val="en-NZ"/>
              </w:rPr>
              <w:drawing>
                <wp:inline distT="0" distB="0" distL="0" distR="0" wp14:anchorId="52A2D60A" wp14:editId="556828F5">
                  <wp:extent cx="3004213" cy="1214907"/>
                  <wp:effectExtent l="0" t="0" r="5715" b="4445"/>
                  <wp:docPr id="7391942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94246" name="Picture 1">
                            <a:extLst>
                              <a:ext uri="{C183D7F6-B498-43B3-948B-1728B52AA6E4}">
                                <adec:decorative xmlns:adec="http://schemas.microsoft.com/office/drawing/2017/decorative" val="1"/>
                              </a:ext>
                            </a:extLst>
                          </pic:cNvPr>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004213" cy="1214907"/>
                          </a:xfrm>
                          <a:prstGeom prst="rect">
                            <a:avLst/>
                          </a:prstGeom>
                        </pic:spPr>
                      </pic:pic>
                    </a:graphicData>
                  </a:graphic>
                </wp:inline>
              </w:drawing>
            </w:r>
          </w:p>
        </w:tc>
      </w:tr>
      <w:tr w:rsidR="007C0423" w:rsidRPr="00D4706E" w14:paraId="0E86A4DF" w14:textId="77777777">
        <w:tc>
          <w:tcPr>
            <w:cnfStyle w:val="001000000000" w:firstRow="0" w:lastRow="0" w:firstColumn="1" w:lastColumn="0" w:oddVBand="0" w:evenVBand="0" w:oddHBand="0" w:evenHBand="0" w:firstRowFirstColumn="0" w:firstRowLastColumn="0" w:lastRowFirstColumn="0" w:lastRowLastColumn="0"/>
            <w:tcW w:w="4814" w:type="dxa"/>
          </w:tcPr>
          <w:p w14:paraId="21DD95F0" w14:textId="23B8FE6B" w:rsidR="007C0423" w:rsidRPr="003067B9" w:rsidRDefault="007C0423" w:rsidP="00983F5F">
            <w:pPr>
              <w:pStyle w:val="Graphs"/>
              <w:rPr>
                <w:noProof/>
                <w:lang w:val="en-NZ"/>
              </w:rPr>
            </w:pPr>
            <w:r w:rsidRPr="003067B9">
              <w:rPr>
                <w:noProof/>
                <w:lang w:val="en-NZ"/>
              </w:rPr>
              <w:drawing>
                <wp:inline distT="0" distB="0" distL="0" distR="0" wp14:anchorId="2BC9312C" wp14:editId="2301330C">
                  <wp:extent cx="774065" cy="929640"/>
                  <wp:effectExtent l="0" t="0" r="6985" b="3810"/>
                  <wp:docPr id="168380827"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9344" name="Picture 1" descr="A graph of a number of people&#10;&#10;Description automatically generated"/>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0" y="0"/>
                            <a:ext cx="774065" cy="92964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4CCDCEE2" w14:textId="77777777" w:rsidR="007C0423" w:rsidRPr="003067B9" w:rsidRDefault="007C0423" w:rsidP="00983F5F">
            <w:pPr>
              <w:pStyle w:val="Graphs"/>
              <w:cnfStyle w:val="000000000000" w:firstRow="0" w:lastRow="0" w:firstColumn="0" w:lastColumn="0" w:oddVBand="0" w:evenVBand="0" w:oddHBand="0" w:evenHBand="0" w:firstRowFirstColumn="0" w:firstRowLastColumn="0" w:lastRowFirstColumn="0" w:lastRowLastColumn="0"/>
              <w:rPr>
                <w:noProof/>
                <w:lang w:val="en-NZ"/>
              </w:rPr>
            </w:pPr>
          </w:p>
        </w:tc>
      </w:tr>
    </w:tbl>
    <w:p w14:paraId="6F477C51" w14:textId="6805384A" w:rsidR="00572BD3" w:rsidRPr="003067B9" w:rsidRDefault="00572BD3" w:rsidP="00572BD3">
      <w:pPr>
        <w:rPr>
          <w:lang w:val="en-NZ"/>
        </w:rPr>
      </w:pPr>
    </w:p>
    <w:p w14:paraId="6500D22B" w14:textId="5C42D40F" w:rsidR="00572BD3" w:rsidRPr="000F38FD" w:rsidRDefault="00B414C3" w:rsidP="00572BD3">
      <w:pPr>
        <w:rPr>
          <w:color w:val="000000"/>
          <w:lang w:val="en-NZ"/>
        </w:rPr>
      </w:pPr>
      <w:r w:rsidRPr="000F38FD">
        <w:rPr>
          <w:color w:val="000000"/>
          <w:lang w:val="en-NZ"/>
        </w:rPr>
        <w:t xml:space="preserve">People waiting more than four months for a procedure: Hawke’s Bay could not validate their numbers for National </w:t>
      </w:r>
      <w:r w:rsidR="001D0656" w:rsidRPr="000F38FD">
        <w:rPr>
          <w:color w:val="000000"/>
          <w:lang w:val="en-NZ"/>
        </w:rPr>
        <w:t>Collections</w:t>
      </w:r>
      <w:r w:rsidRPr="000F38FD">
        <w:rPr>
          <w:color w:val="000000"/>
          <w:lang w:val="en-NZ"/>
        </w:rPr>
        <w:t xml:space="preserve"> and therefore their results could not be published for quarter three 2023/24</w:t>
      </w:r>
      <w:r w:rsidR="001D0656" w:rsidRPr="000F38FD">
        <w:rPr>
          <w:color w:val="000000"/>
          <w:lang w:val="en-NZ"/>
        </w:rPr>
        <w:t>.</w:t>
      </w:r>
    </w:p>
    <w:tbl>
      <w:tblPr>
        <w:tblStyle w:val="ListTable2-Accent6"/>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819"/>
        <w:gridCol w:w="4819"/>
      </w:tblGrid>
      <w:tr w:rsidR="00572BD3" w:rsidRPr="00D4706E" w14:paraId="78DD904A" w14:textId="77777777" w:rsidTr="007C04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6B8BA472" w14:textId="77777777" w:rsidR="00572BD3" w:rsidRPr="003067B9" w:rsidRDefault="00572BD3" w:rsidP="007C0423">
            <w:pPr>
              <w:pStyle w:val="Graphs"/>
              <w:rPr>
                <w:sz w:val="36"/>
                <w:szCs w:val="36"/>
                <w:lang w:val="en-NZ"/>
              </w:rPr>
            </w:pPr>
            <w:r w:rsidRPr="003067B9">
              <w:rPr>
                <w:noProof/>
                <w:lang w:val="en-NZ"/>
              </w:rPr>
              <w:lastRenderedPageBreak/>
              <w:drawing>
                <wp:inline distT="0" distB="0" distL="0" distR="0" wp14:anchorId="1F76FCF8" wp14:editId="3648A98C">
                  <wp:extent cx="3005965" cy="1219048"/>
                  <wp:effectExtent l="0" t="0" r="4445" b="635"/>
                  <wp:docPr id="20278062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06244" name="Picture 1">
                            <a:extLst>
                              <a:ext uri="{C183D7F6-B498-43B3-948B-1728B52AA6E4}">
                                <adec:decorative xmlns:adec="http://schemas.microsoft.com/office/drawing/2017/decorative" val="1"/>
                              </a:ext>
                            </a:extLst>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005965" cy="1219048"/>
                          </a:xfrm>
                          <a:prstGeom prst="rect">
                            <a:avLst/>
                          </a:prstGeom>
                        </pic:spPr>
                      </pic:pic>
                    </a:graphicData>
                  </a:graphic>
                </wp:inline>
              </w:drawing>
            </w:r>
          </w:p>
        </w:tc>
        <w:tc>
          <w:tcPr>
            <w:tcW w:w="4819" w:type="dxa"/>
          </w:tcPr>
          <w:p w14:paraId="3D36C2D7" w14:textId="1AFC3D1E" w:rsidR="00572BD3" w:rsidRPr="003067B9" w:rsidRDefault="00572BD3" w:rsidP="007C0423">
            <w:pPr>
              <w:pStyle w:val="Graphs"/>
              <w:cnfStyle w:val="100000000000" w:firstRow="1" w:lastRow="0" w:firstColumn="0" w:lastColumn="0" w:oddVBand="0" w:evenVBand="0" w:oddHBand="0" w:evenHBand="0" w:firstRowFirstColumn="0" w:firstRowLastColumn="0" w:lastRowFirstColumn="0" w:lastRowLastColumn="0"/>
              <w:rPr>
                <w:b w:val="0"/>
                <w:bCs/>
                <w:sz w:val="36"/>
                <w:szCs w:val="36"/>
                <w:lang w:val="en-NZ"/>
              </w:rPr>
            </w:pPr>
            <w:r w:rsidRPr="003067B9">
              <w:rPr>
                <w:noProof/>
                <w:lang w:val="en-NZ"/>
              </w:rPr>
              <w:drawing>
                <wp:inline distT="0" distB="0" distL="0" distR="0" wp14:anchorId="7703CF7D" wp14:editId="332890D2">
                  <wp:extent cx="3001707" cy="1213270"/>
                  <wp:effectExtent l="0" t="0" r="8255" b="6350"/>
                  <wp:docPr id="2905864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86403" name="Picture 1">
                            <a:extLst>
                              <a:ext uri="{C183D7F6-B498-43B3-948B-1728B52AA6E4}">
                                <adec:decorative xmlns:adec="http://schemas.microsoft.com/office/drawing/2017/decorative" val="1"/>
                              </a:ext>
                            </a:extLst>
                          </pic:cNvPr>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001707" cy="1213270"/>
                          </a:xfrm>
                          <a:prstGeom prst="rect">
                            <a:avLst/>
                          </a:prstGeom>
                        </pic:spPr>
                      </pic:pic>
                    </a:graphicData>
                  </a:graphic>
                </wp:inline>
              </w:drawing>
            </w:r>
          </w:p>
        </w:tc>
      </w:tr>
      <w:tr w:rsidR="00572BD3" w:rsidRPr="00D4706E" w14:paraId="4B4010F1" w14:textId="77777777" w:rsidTr="007C0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66F54D15" w14:textId="77777777" w:rsidR="00572BD3" w:rsidRPr="003067B9" w:rsidRDefault="00572BD3" w:rsidP="007C0423">
            <w:pPr>
              <w:pStyle w:val="Graphs"/>
              <w:rPr>
                <w:sz w:val="36"/>
                <w:szCs w:val="36"/>
                <w:lang w:val="en-NZ"/>
              </w:rPr>
            </w:pPr>
            <w:r w:rsidRPr="003067B9">
              <w:rPr>
                <w:noProof/>
                <w:lang w:val="en-NZ"/>
              </w:rPr>
              <w:drawing>
                <wp:inline distT="0" distB="0" distL="0" distR="0" wp14:anchorId="5BD3CA83" wp14:editId="452B8F63">
                  <wp:extent cx="2992191" cy="1219673"/>
                  <wp:effectExtent l="0" t="0" r="0" b="0"/>
                  <wp:docPr id="2586173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17349" name="Picture 1">
                            <a:extLst>
                              <a:ext uri="{C183D7F6-B498-43B3-948B-1728B52AA6E4}">
                                <adec:decorative xmlns:adec="http://schemas.microsoft.com/office/drawing/2017/decorative" val="1"/>
                              </a:ext>
                            </a:extLst>
                          </pic:cNvPr>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992191" cy="1219673"/>
                          </a:xfrm>
                          <a:prstGeom prst="rect">
                            <a:avLst/>
                          </a:prstGeom>
                        </pic:spPr>
                      </pic:pic>
                    </a:graphicData>
                  </a:graphic>
                </wp:inline>
              </w:drawing>
            </w:r>
          </w:p>
        </w:tc>
        <w:tc>
          <w:tcPr>
            <w:tcW w:w="4819" w:type="dxa"/>
          </w:tcPr>
          <w:p w14:paraId="715B00F1" w14:textId="77777777" w:rsidR="00572BD3" w:rsidRPr="003067B9" w:rsidRDefault="00572BD3" w:rsidP="007C0423">
            <w:pPr>
              <w:pStyle w:val="Graphs"/>
              <w:cnfStyle w:val="000000100000" w:firstRow="0" w:lastRow="0" w:firstColumn="0" w:lastColumn="0" w:oddVBand="0" w:evenVBand="0" w:oddHBand="1" w:evenHBand="0" w:firstRowFirstColumn="0" w:firstRowLastColumn="0" w:lastRowFirstColumn="0" w:lastRowLastColumn="0"/>
              <w:rPr>
                <w:lang w:val="en-NZ"/>
              </w:rPr>
            </w:pPr>
          </w:p>
        </w:tc>
      </w:tr>
      <w:tr w:rsidR="00572BD3" w:rsidRPr="00D4706E" w14:paraId="7A60EDC4" w14:textId="77777777" w:rsidTr="007C0423">
        <w:tc>
          <w:tcPr>
            <w:cnfStyle w:val="001000000000" w:firstRow="0" w:lastRow="0" w:firstColumn="1" w:lastColumn="0" w:oddVBand="0" w:evenVBand="0" w:oddHBand="0" w:evenHBand="0" w:firstRowFirstColumn="0" w:firstRowLastColumn="0" w:lastRowFirstColumn="0" w:lastRowLastColumn="0"/>
            <w:tcW w:w="4819" w:type="dxa"/>
          </w:tcPr>
          <w:p w14:paraId="73D6BCE6" w14:textId="1CF3C2EC" w:rsidR="00572BD3" w:rsidRPr="003067B9" w:rsidRDefault="00572BD3" w:rsidP="007C0423">
            <w:pPr>
              <w:pStyle w:val="Graphs"/>
              <w:rPr>
                <w:sz w:val="36"/>
                <w:szCs w:val="36"/>
                <w:lang w:val="en-NZ"/>
              </w:rPr>
            </w:pPr>
            <w:r w:rsidRPr="003067B9">
              <w:rPr>
                <w:noProof/>
                <w:lang w:val="en-NZ"/>
              </w:rPr>
              <w:drawing>
                <wp:inline distT="0" distB="0" distL="0" distR="0" wp14:anchorId="74133112" wp14:editId="532DE6EF">
                  <wp:extent cx="774065" cy="929640"/>
                  <wp:effectExtent l="0" t="0" r="6985" b="3810"/>
                  <wp:docPr id="11733144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14457" name="Picture 1">
                            <a:extLst>
                              <a:ext uri="{C183D7F6-B498-43B3-948B-1728B52AA6E4}">
                                <adec:decorative xmlns:adec="http://schemas.microsoft.com/office/drawing/2017/decorative" val="1"/>
                              </a:ext>
                            </a:extLst>
                          </pic:cNvPr>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0" y="0"/>
                            <a:ext cx="774065" cy="92964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14:paraId="627695E2" w14:textId="77777777" w:rsidR="00572BD3" w:rsidRPr="003067B9" w:rsidRDefault="00572BD3" w:rsidP="007C0423">
            <w:pPr>
              <w:pStyle w:val="Graphs"/>
              <w:cnfStyle w:val="000000000000" w:firstRow="0" w:lastRow="0" w:firstColumn="0" w:lastColumn="0" w:oddVBand="0" w:evenVBand="0" w:oddHBand="0" w:evenHBand="0" w:firstRowFirstColumn="0" w:firstRowLastColumn="0" w:lastRowFirstColumn="0" w:lastRowLastColumn="0"/>
              <w:rPr>
                <w:lang w:val="en-NZ"/>
              </w:rPr>
            </w:pPr>
          </w:p>
        </w:tc>
      </w:tr>
    </w:tbl>
    <w:p w14:paraId="19696D66" w14:textId="77777777" w:rsidR="00572BD3" w:rsidRPr="003067B9" w:rsidRDefault="00572BD3" w:rsidP="00572BD3">
      <w:pPr>
        <w:rPr>
          <w:lang w:val="en-NZ"/>
        </w:rPr>
      </w:pPr>
    </w:p>
    <w:p w14:paraId="7C96A410" w14:textId="77777777" w:rsidR="00572BD3" w:rsidRPr="003067B9" w:rsidRDefault="00572BD3" w:rsidP="00572BD3">
      <w:pPr>
        <w:rPr>
          <w:lang w:val="en-NZ"/>
        </w:rPr>
      </w:pPr>
      <w:r w:rsidRPr="003067B9">
        <w:rPr>
          <w:lang w:val="en-NZ"/>
        </w:rPr>
        <w:br w:type="page"/>
      </w:r>
    </w:p>
    <w:p w14:paraId="3A20FAFD" w14:textId="665F79EA" w:rsidR="00572BD3" w:rsidRPr="00D4706E" w:rsidRDefault="00572BD3" w:rsidP="00572BD3">
      <w:pPr>
        <w:pStyle w:val="Heading2"/>
        <w:rPr>
          <w:color w:val="15284C"/>
          <w:sz w:val="36"/>
          <w:szCs w:val="36"/>
        </w:rPr>
      </w:pPr>
      <w:bookmarkStart w:id="120" w:name="_Toc170199198"/>
      <w:r w:rsidRPr="00D4706E">
        <w:rPr>
          <w:color w:val="15284C"/>
          <w:sz w:val="36"/>
          <w:szCs w:val="36"/>
        </w:rPr>
        <w:lastRenderedPageBreak/>
        <w:t xml:space="preserve">Te Waipounamu (South Island) </w:t>
      </w:r>
      <w:r w:rsidR="001D0656">
        <w:rPr>
          <w:color w:val="15284C"/>
          <w:sz w:val="36"/>
          <w:szCs w:val="36"/>
        </w:rPr>
        <w:t>R</w:t>
      </w:r>
      <w:r w:rsidRPr="00D4706E">
        <w:rPr>
          <w:color w:val="15284C"/>
          <w:sz w:val="36"/>
          <w:szCs w:val="36"/>
        </w:rPr>
        <w:t>egion</w:t>
      </w:r>
      <w:bookmarkEnd w:id="120"/>
    </w:p>
    <w:tbl>
      <w:tblPr>
        <w:tblW w:w="0" w:type="auto"/>
        <w:tblLook w:val="04A0" w:firstRow="1" w:lastRow="0" w:firstColumn="1" w:lastColumn="0" w:noHBand="0" w:noVBand="1"/>
      </w:tblPr>
      <w:tblGrid>
        <w:gridCol w:w="4819"/>
        <w:gridCol w:w="4819"/>
      </w:tblGrid>
      <w:tr w:rsidR="00572BD3" w:rsidRPr="00D4706E" w14:paraId="74C6B394" w14:textId="77777777" w:rsidTr="0088374E">
        <w:tc>
          <w:tcPr>
            <w:tcW w:w="4814" w:type="dxa"/>
          </w:tcPr>
          <w:p w14:paraId="1E499B72" w14:textId="77777777" w:rsidR="00572BD3" w:rsidRPr="003067B9" w:rsidRDefault="00572BD3" w:rsidP="007C0423">
            <w:pPr>
              <w:pStyle w:val="Graphs"/>
              <w:rPr>
                <w:sz w:val="36"/>
                <w:szCs w:val="36"/>
                <w:lang w:val="en-NZ"/>
              </w:rPr>
            </w:pPr>
            <w:r w:rsidRPr="003067B9">
              <w:rPr>
                <w:noProof/>
                <w:lang w:val="en-NZ"/>
              </w:rPr>
              <w:drawing>
                <wp:inline distT="0" distB="0" distL="0" distR="0" wp14:anchorId="1DE6F778" wp14:editId="53B0FBA8">
                  <wp:extent cx="2996484" cy="1213144"/>
                  <wp:effectExtent l="0" t="0" r="0" b="6350"/>
                  <wp:docPr id="11511667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66783" name="Picture 1">
                            <a:extLst>
                              <a:ext uri="{C183D7F6-B498-43B3-948B-1728B52AA6E4}">
                                <adec:decorative xmlns:adec="http://schemas.microsoft.com/office/drawing/2017/decorative" val="1"/>
                              </a:ext>
                            </a:extLst>
                          </pic:cNvPr>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996484" cy="1213144"/>
                          </a:xfrm>
                          <a:prstGeom prst="rect">
                            <a:avLst/>
                          </a:prstGeom>
                        </pic:spPr>
                      </pic:pic>
                    </a:graphicData>
                  </a:graphic>
                </wp:inline>
              </w:drawing>
            </w:r>
          </w:p>
        </w:tc>
        <w:tc>
          <w:tcPr>
            <w:tcW w:w="4814" w:type="dxa"/>
          </w:tcPr>
          <w:p w14:paraId="7281B341" w14:textId="6FF3ACBE" w:rsidR="00572BD3" w:rsidRPr="003067B9" w:rsidRDefault="00572BD3" w:rsidP="007C0423">
            <w:pPr>
              <w:pStyle w:val="Graphs"/>
              <w:rPr>
                <w:sz w:val="36"/>
                <w:szCs w:val="36"/>
                <w:lang w:val="en-NZ"/>
              </w:rPr>
            </w:pPr>
            <w:r w:rsidRPr="003067B9">
              <w:rPr>
                <w:noProof/>
                <w:lang w:val="en-NZ"/>
              </w:rPr>
              <w:drawing>
                <wp:inline distT="0" distB="0" distL="0" distR="0" wp14:anchorId="4ED2F8D1" wp14:editId="07794DF9">
                  <wp:extent cx="2984285" cy="1212850"/>
                  <wp:effectExtent l="0" t="0" r="6985" b="6350"/>
                  <wp:docPr id="5720364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36443" name="Picture 1">
                            <a:extLst>
                              <a:ext uri="{C183D7F6-B498-43B3-948B-1728B52AA6E4}">
                                <adec:decorative xmlns:adec="http://schemas.microsoft.com/office/drawing/2017/decorative" val="1"/>
                              </a:ext>
                            </a:extLst>
                          </pic:cNvPr>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996682" cy="1217888"/>
                          </a:xfrm>
                          <a:prstGeom prst="rect">
                            <a:avLst/>
                          </a:prstGeom>
                        </pic:spPr>
                      </pic:pic>
                    </a:graphicData>
                  </a:graphic>
                </wp:inline>
              </w:drawing>
            </w:r>
          </w:p>
        </w:tc>
      </w:tr>
      <w:tr w:rsidR="00572BD3" w:rsidRPr="00D4706E" w14:paraId="023C340D" w14:textId="77777777" w:rsidTr="0088374E">
        <w:tc>
          <w:tcPr>
            <w:tcW w:w="4814" w:type="dxa"/>
          </w:tcPr>
          <w:p w14:paraId="05E4356C" w14:textId="77777777" w:rsidR="00572BD3" w:rsidRPr="003067B9" w:rsidRDefault="00572BD3" w:rsidP="007C0423">
            <w:pPr>
              <w:pStyle w:val="Graphs"/>
              <w:rPr>
                <w:sz w:val="36"/>
                <w:szCs w:val="36"/>
                <w:lang w:val="en-NZ"/>
              </w:rPr>
            </w:pPr>
            <w:r w:rsidRPr="003067B9">
              <w:rPr>
                <w:noProof/>
                <w:lang w:val="en-NZ"/>
              </w:rPr>
              <w:drawing>
                <wp:inline distT="0" distB="0" distL="0" distR="0" wp14:anchorId="36F55520" wp14:editId="5CB42EEE">
                  <wp:extent cx="2997315" cy="1227786"/>
                  <wp:effectExtent l="0" t="0" r="0" b="0"/>
                  <wp:docPr id="285854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54632" name="Picture 1">
                            <a:extLst>
                              <a:ext uri="{C183D7F6-B498-43B3-948B-1728B52AA6E4}">
                                <adec:decorative xmlns:adec="http://schemas.microsoft.com/office/drawing/2017/decorative" val="1"/>
                              </a:ext>
                            </a:extLst>
                          </pic:cNvPr>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007781" cy="1232073"/>
                          </a:xfrm>
                          <a:prstGeom prst="rect">
                            <a:avLst/>
                          </a:prstGeom>
                        </pic:spPr>
                      </pic:pic>
                    </a:graphicData>
                  </a:graphic>
                </wp:inline>
              </w:drawing>
            </w:r>
          </w:p>
        </w:tc>
        <w:tc>
          <w:tcPr>
            <w:tcW w:w="4814" w:type="dxa"/>
          </w:tcPr>
          <w:p w14:paraId="1E1AB91C" w14:textId="31F3D8AE" w:rsidR="00572BD3" w:rsidRPr="003067B9" w:rsidRDefault="00572BD3" w:rsidP="007C0423">
            <w:pPr>
              <w:pStyle w:val="Graphs"/>
              <w:rPr>
                <w:sz w:val="36"/>
                <w:szCs w:val="36"/>
                <w:lang w:val="en-NZ"/>
              </w:rPr>
            </w:pPr>
            <w:r w:rsidRPr="003067B9">
              <w:rPr>
                <w:noProof/>
                <w:lang w:val="en-NZ"/>
              </w:rPr>
              <w:drawing>
                <wp:inline distT="0" distB="0" distL="0" distR="0" wp14:anchorId="3D051BD4" wp14:editId="0F2D6CD0">
                  <wp:extent cx="2996744" cy="1222266"/>
                  <wp:effectExtent l="0" t="0" r="0" b="0"/>
                  <wp:docPr id="12860563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56380" name="Picture 1">
                            <a:extLst>
                              <a:ext uri="{C183D7F6-B498-43B3-948B-1728B52AA6E4}">
                                <adec:decorative xmlns:adec="http://schemas.microsoft.com/office/drawing/2017/decorative" val="1"/>
                              </a:ext>
                            </a:extLst>
                          </pic:cNvPr>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996744" cy="1222266"/>
                          </a:xfrm>
                          <a:prstGeom prst="rect">
                            <a:avLst/>
                          </a:prstGeom>
                        </pic:spPr>
                      </pic:pic>
                    </a:graphicData>
                  </a:graphic>
                </wp:inline>
              </w:drawing>
            </w:r>
          </w:p>
        </w:tc>
      </w:tr>
      <w:tr w:rsidR="00572BD3" w:rsidRPr="00D4706E" w14:paraId="3B9055E8" w14:textId="77777777" w:rsidTr="0088374E">
        <w:tc>
          <w:tcPr>
            <w:tcW w:w="4814" w:type="dxa"/>
          </w:tcPr>
          <w:p w14:paraId="5AA59822" w14:textId="77777777" w:rsidR="00572BD3" w:rsidRPr="003067B9" w:rsidRDefault="00572BD3" w:rsidP="007C0423">
            <w:pPr>
              <w:pStyle w:val="Graphs"/>
              <w:rPr>
                <w:lang w:val="en-NZ"/>
              </w:rPr>
            </w:pPr>
            <w:r w:rsidRPr="003067B9">
              <w:rPr>
                <w:noProof/>
                <w:lang w:val="en-NZ"/>
              </w:rPr>
              <w:drawing>
                <wp:inline distT="0" distB="0" distL="0" distR="0" wp14:anchorId="6EA566C3" wp14:editId="3139BDA7">
                  <wp:extent cx="3001493" cy="1216729"/>
                  <wp:effectExtent l="0" t="0" r="8890" b="2540"/>
                  <wp:docPr id="1103307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0726" name="Picture 1">
                            <a:extLst>
                              <a:ext uri="{C183D7F6-B498-43B3-948B-1728B52AA6E4}">
                                <adec:decorative xmlns:adec="http://schemas.microsoft.com/office/drawing/2017/decorative" val="1"/>
                              </a:ext>
                            </a:extLst>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001493" cy="1216729"/>
                          </a:xfrm>
                          <a:prstGeom prst="rect">
                            <a:avLst/>
                          </a:prstGeom>
                        </pic:spPr>
                      </pic:pic>
                    </a:graphicData>
                  </a:graphic>
                </wp:inline>
              </w:drawing>
            </w:r>
          </w:p>
        </w:tc>
        <w:tc>
          <w:tcPr>
            <w:tcW w:w="4814" w:type="dxa"/>
          </w:tcPr>
          <w:p w14:paraId="5DCA78FC" w14:textId="0AD48C31" w:rsidR="00572BD3" w:rsidRPr="003067B9" w:rsidRDefault="00572BD3" w:rsidP="007C0423">
            <w:pPr>
              <w:pStyle w:val="Graphs"/>
              <w:rPr>
                <w:lang w:val="en-NZ"/>
              </w:rPr>
            </w:pPr>
            <w:r w:rsidRPr="003067B9">
              <w:rPr>
                <w:noProof/>
                <w:lang w:val="en-NZ"/>
              </w:rPr>
              <w:drawing>
                <wp:inline distT="0" distB="0" distL="0" distR="0" wp14:anchorId="4F2C7A9C" wp14:editId="008CB649">
                  <wp:extent cx="3007589" cy="1219200"/>
                  <wp:effectExtent l="0" t="0" r="2540" b="0"/>
                  <wp:docPr id="8177058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05869" name="Picture 1">
                            <a:extLst>
                              <a:ext uri="{C183D7F6-B498-43B3-948B-1728B52AA6E4}">
                                <adec:decorative xmlns:adec="http://schemas.microsoft.com/office/drawing/2017/decorative" val="1"/>
                              </a:ext>
                            </a:extLst>
                          </pic:cNvPr>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007589" cy="1219200"/>
                          </a:xfrm>
                          <a:prstGeom prst="rect">
                            <a:avLst/>
                          </a:prstGeom>
                        </pic:spPr>
                      </pic:pic>
                    </a:graphicData>
                  </a:graphic>
                </wp:inline>
              </w:drawing>
            </w:r>
          </w:p>
        </w:tc>
      </w:tr>
      <w:tr w:rsidR="00572BD3" w:rsidRPr="00D4706E" w14:paraId="02C08DB5" w14:textId="77777777" w:rsidTr="0088374E">
        <w:tc>
          <w:tcPr>
            <w:tcW w:w="4814" w:type="dxa"/>
          </w:tcPr>
          <w:p w14:paraId="2B3C7083" w14:textId="77777777" w:rsidR="00572BD3" w:rsidRPr="003067B9" w:rsidRDefault="00572BD3" w:rsidP="007C0423">
            <w:pPr>
              <w:pStyle w:val="Graphs"/>
              <w:rPr>
                <w:sz w:val="36"/>
                <w:szCs w:val="36"/>
                <w:lang w:val="en-NZ"/>
              </w:rPr>
            </w:pPr>
            <w:r w:rsidRPr="003067B9">
              <w:rPr>
                <w:noProof/>
                <w:lang w:val="en-NZ"/>
              </w:rPr>
              <w:drawing>
                <wp:inline distT="0" distB="0" distL="0" distR="0" wp14:anchorId="6133491C" wp14:editId="685784C0">
                  <wp:extent cx="2982498" cy="1214908"/>
                  <wp:effectExtent l="0" t="0" r="8890" b="4445"/>
                  <wp:docPr id="17530403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40316" name="Picture 1">
                            <a:extLst>
                              <a:ext uri="{C183D7F6-B498-43B3-948B-1728B52AA6E4}">
                                <adec:decorative xmlns:adec="http://schemas.microsoft.com/office/drawing/2017/decorative" val="1"/>
                              </a:ext>
                            </a:extLst>
                          </pic:cNvPr>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982498" cy="1214908"/>
                          </a:xfrm>
                          <a:prstGeom prst="rect">
                            <a:avLst/>
                          </a:prstGeom>
                        </pic:spPr>
                      </pic:pic>
                    </a:graphicData>
                  </a:graphic>
                </wp:inline>
              </w:drawing>
            </w:r>
          </w:p>
        </w:tc>
        <w:tc>
          <w:tcPr>
            <w:tcW w:w="4814" w:type="dxa"/>
          </w:tcPr>
          <w:p w14:paraId="5301AFC2" w14:textId="2ED63BFD" w:rsidR="00572BD3" w:rsidRPr="003067B9" w:rsidRDefault="00572BD3" w:rsidP="007C0423">
            <w:pPr>
              <w:pStyle w:val="Graphs"/>
              <w:rPr>
                <w:sz w:val="36"/>
                <w:szCs w:val="36"/>
                <w:lang w:val="en-NZ"/>
              </w:rPr>
            </w:pPr>
            <w:r w:rsidRPr="003067B9">
              <w:rPr>
                <w:noProof/>
                <w:lang w:val="en-NZ"/>
              </w:rPr>
              <w:drawing>
                <wp:inline distT="0" distB="0" distL="0" distR="0" wp14:anchorId="1EEA9DD9" wp14:editId="41800BF5">
                  <wp:extent cx="2992191" cy="1216878"/>
                  <wp:effectExtent l="0" t="0" r="0" b="2540"/>
                  <wp:docPr id="4214500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50090" name="Picture 1">
                            <a:extLst>
                              <a:ext uri="{C183D7F6-B498-43B3-948B-1728B52AA6E4}">
                                <adec:decorative xmlns:adec="http://schemas.microsoft.com/office/drawing/2017/decorative" val="1"/>
                              </a:ext>
                            </a:extLst>
                          </pic:cNvPr>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992191" cy="1216878"/>
                          </a:xfrm>
                          <a:prstGeom prst="rect">
                            <a:avLst/>
                          </a:prstGeom>
                        </pic:spPr>
                      </pic:pic>
                    </a:graphicData>
                  </a:graphic>
                </wp:inline>
              </w:drawing>
            </w:r>
          </w:p>
        </w:tc>
      </w:tr>
      <w:tr w:rsidR="00A06B5F" w:rsidRPr="00D4706E" w14:paraId="5C6A4F20" w14:textId="77777777" w:rsidTr="0088374E">
        <w:tc>
          <w:tcPr>
            <w:tcW w:w="4814" w:type="dxa"/>
          </w:tcPr>
          <w:p w14:paraId="23A1A98B" w14:textId="77969E47" w:rsidR="00A06B5F" w:rsidRPr="003067B9" w:rsidRDefault="00A06B5F" w:rsidP="007C0423">
            <w:pPr>
              <w:pStyle w:val="Graphs"/>
              <w:rPr>
                <w:noProof/>
                <w:lang w:val="en-NZ"/>
              </w:rPr>
            </w:pPr>
            <w:r w:rsidRPr="003067B9">
              <w:rPr>
                <w:noProof/>
                <w:lang w:val="en-NZ"/>
              </w:rPr>
              <w:drawing>
                <wp:inline distT="0" distB="0" distL="0" distR="0" wp14:anchorId="6843013A" wp14:editId="6D92FC96">
                  <wp:extent cx="904850" cy="777240"/>
                  <wp:effectExtent l="0" t="0" r="0" b="3810"/>
                  <wp:docPr id="95756461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51741" name="Picture 1" descr="A graph of a number of people&#10;&#10;Description automatically generated with medium confidence"/>
                          <pic:cNvPicPr/>
                        </pic:nvPicPr>
                        <pic:blipFill rotWithShape="1">
                          <a:blip r:embed="rId132"/>
                          <a:srcRect l="77704" t="31324" b="21689"/>
                          <a:stretch/>
                        </pic:blipFill>
                        <pic:spPr bwMode="auto">
                          <a:xfrm>
                            <a:off x="0" y="0"/>
                            <a:ext cx="905409" cy="77772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0BF1F5AB" w14:textId="77777777" w:rsidR="00A06B5F" w:rsidRPr="003067B9" w:rsidRDefault="00A06B5F" w:rsidP="007C0423">
            <w:pPr>
              <w:pStyle w:val="Graphs"/>
              <w:rPr>
                <w:noProof/>
                <w:lang w:val="en-NZ"/>
              </w:rPr>
            </w:pPr>
          </w:p>
        </w:tc>
      </w:tr>
    </w:tbl>
    <w:p w14:paraId="6435BB7B" w14:textId="06D2B06C" w:rsidR="00572BD3" w:rsidRPr="003067B9" w:rsidRDefault="00572BD3" w:rsidP="00572BD3">
      <w:pPr>
        <w:rPr>
          <w:lang w:val="en-NZ"/>
        </w:rPr>
      </w:pPr>
    </w:p>
    <w:p w14:paraId="7A710AE8" w14:textId="24BB4C6D" w:rsidR="00D10CFC" w:rsidRPr="000F38FD" w:rsidRDefault="00D10CFC" w:rsidP="00D10CFC">
      <w:pPr>
        <w:rPr>
          <w:color w:val="000000"/>
          <w:lang w:val="en-NZ"/>
        </w:rPr>
      </w:pPr>
      <w:r w:rsidRPr="000F38FD">
        <w:rPr>
          <w:color w:val="000000"/>
          <w:lang w:val="en-NZ"/>
        </w:rPr>
        <w:t xml:space="preserve">People waiting more than four months for a procedure: West Coast could not validate their numbers for National </w:t>
      </w:r>
      <w:r w:rsidR="005C68A2" w:rsidRPr="000F38FD">
        <w:rPr>
          <w:color w:val="000000"/>
          <w:lang w:val="en-NZ"/>
        </w:rPr>
        <w:t>Collections</w:t>
      </w:r>
      <w:r w:rsidRPr="000F38FD">
        <w:rPr>
          <w:color w:val="000000"/>
          <w:lang w:val="en-NZ"/>
        </w:rPr>
        <w:t xml:space="preserve"> and therefore their results could not be published for quarter three 2023/24.</w:t>
      </w:r>
    </w:p>
    <w:p w14:paraId="6C42799C" w14:textId="1AA04B9F" w:rsidR="00572BD3" w:rsidRPr="003067B9" w:rsidRDefault="00D10CFC" w:rsidP="00572BD3">
      <w:pPr>
        <w:rPr>
          <w:lang w:val="en-NZ"/>
        </w:rPr>
      </w:pPr>
      <w:r w:rsidRPr="003067B9">
        <w:rPr>
          <w:lang w:val="en-NZ"/>
        </w:rPr>
        <w:t xml:space="preserve">Cancer patients waiting less than 31 days for first treatment: West Coast for quarter three withheld due to data </w:t>
      </w:r>
      <w:r w:rsidR="005C68A2">
        <w:rPr>
          <w:lang w:val="en-NZ"/>
        </w:rPr>
        <w:t>submission</w:t>
      </w:r>
      <w:r w:rsidRPr="003067B9">
        <w:rPr>
          <w:lang w:val="en-NZ"/>
        </w:rPr>
        <w:t xml:space="preserve"> issues and are omitted from area-specific charts.</w:t>
      </w:r>
    </w:p>
    <w:p w14:paraId="7F0D0658" w14:textId="71A19DDE" w:rsidR="00626958" w:rsidRPr="00B32C53" w:rsidRDefault="00626958" w:rsidP="00626958">
      <w:pPr>
        <w:rPr>
          <w:szCs w:val="24"/>
          <w:shd w:val="clear" w:color="auto" w:fill="FFFFFF"/>
        </w:rPr>
      </w:pPr>
      <w:r w:rsidRPr="00B32C53">
        <w:rPr>
          <w:szCs w:val="24"/>
          <w:shd w:val="clear" w:color="auto" w:fill="FFFFFF"/>
        </w:rPr>
        <w:t xml:space="preserve">Shorter Stays in Emergency Department: There is a material data gap for Southern at the end of 2023 due to system change. This impacts </w:t>
      </w:r>
      <w:r w:rsidR="00623C59" w:rsidRPr="00B32C53">
        <w:rPr>
          <w:szCs w:val="24"/>
          <w:shd w:val="clear" w:color="auto" w:fill="FFFFFF"/>
        </w:rPr>
        <w:t xml:space="preserve">the </w:t>
      </w:r>
      <w:r w:rsidRPr="00B32C53">
        <w:rPr>
          <w:szCs w:val="24"/>
          <w:shd w:val="clear" w:color="auto" w:fill="FFFFFF"/>
        </w:rPr>
        <w:t>previous quarter result (Q2 23/24 period).</w:t>
      </w:r>
    </w:p>
    <w:p w14:paraId="5927F6F0" w14:textId="77777777" w:rsidR="00626958" w:rsidRPr="003067B9" w:rsidRDefault="00626958" w:rsidP="00572BD3">
      <w:pPr>
        <w:rPr>
          <w:lang w:val="en-NZ"/>
        </w:rPr>
      </w:pPr>
    </w:p>
    <w:tbl>
      <w:tblPr>
        <w:tblStyle w:val="ListTable2-Accent6"/>
        <w:tblpPr w:leftFromText="180" w:rightFromText="180" w:tblpY="870"/>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817"/>
        <w:gridCol w:w="4821"/>
      </w:tblGrid>
      <w:tr w:rsidR="00572BD3" w:rsidRPr="00D4706E" w14:paraId="051D810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D4052E0" w14:textId="77777777" w:rsidR="00572BD3" w:rsidRPr="003067B9" w:rsidRDefault="00572BD3" w:rsidP="007C0423">
            <w:pPr>
              <w:pStyle w:val="Graphs"/>
              <w:rPr>
                <w:sz w:val="36"/>
                <w:szCs w:val="36"/>
                <w:lang w:val="en-NZ"/>
              </w:rPr>
            </w:pPr>
            <w:r w:rsidRPr="003067B9">
              <w:rPr>
                <w:noProof/>
                <w:lang w:val="en-NZ"/>
              </w:rPr>
              <w:lastRenderedPageBreak/>
              <w:drawing>
                <wp:inline distT="0" distB="0" distL="0" distR="0" wp14:anchorId="40D205D0" wp14:editId="297D284E">
                  <wp:extent cx="2984298" cy="1214907"/>
                  <wp:effectExtent l="0" t="0" r="6985" b="4445"/>
                  <wp:docPr id="17568114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11447" name="Picture 1">
                            <a:extLst>
                              <a:ext uri="{C183D7F6-B498-43B3-948B-1728B52AA6E4}">
                                <adec:decorative xmlns:adec="http://schemas.microsoft.com/office/drawing/2017/decorative" val="1"/>
                              </a:ext>
                            </a:extLst>
                          </pic:cNvPr>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84298" cy="1214907"/>
                          </a:xfrm>
                          <a:prstGeom prst="rect">
                            <a:avLst/>
                          </a:prstGeom>
                        </pic:spPr>
                      </pic:pic>
                    </a:graphicData>
                  </a:graphic>
                </wp:inline>
              </w:drawing>
            </w:r>
          </w:p>
        </w:tc>
        <w:tc>
          <w:tcPr>
            <w:tcW w:w="4814" w:type="dxa"/>
          </w:tcPr>
          <w:p w14:paraId="3E6007F1" w14:textId="2759CAA2" w:rsidR="00572BD3" w:rsidRPr="003067B9" w:rsidRDefault="00572BD3" w:rsidP="007C0423">
            <w:pPr>
              <w:pStyle w:val="Graphs"/>
              <w:cnfStyle w:val="100000000000" w:firstRow="1" w:lastRow="0" w:firstColumn="0" w:lastColumn="0" w:oddVBand="0" w:evenVBand="0" w:oddHBand="0" w:evenHBand="0" w:firstRowFirstColumn="0" w:firstRowLastColumn="0" w:lastRowFirstColumn="0" w:lastRowLastColumn="0"/>
              <w:rPr>
                <w:bCs/>
                <w:sz w:val="36"/>
                <w:szCs w:val="36"/>
                <w:lang w:val="en-NZ"/>
              </w:rPr>
            </w:pPr>
            <w:r w:rsidRPr="003067B9">
              <w:rPr>
                <w:noProof/>
                <w:lang w:val="en-NZ"/>
              </w:rPr>
              <w:drawing>
                <wp:inline distT="0" distB="0" distL="0" distR="0" wp14:anchorId="2FF364A7" wp14:editId="63114B28">
                  <wp:extent cx="2996484" cy="1222668"/>
                  <wp:effectExtent l="0" t="0" r="0" b="0"/>
                  <wp:docPr id="986692162"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92162" name="Picture 1" descr="A graph of a number of people&#10;&#10;Description automatically generated with medium confidenc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996484" cy="1222668"/>
                          </a:xfrm>
                          <a:prstGeom prst="rect">
                            <a:avLst/>
                          </a:prstGeom>
                        </pic:spPr>
                      </pic:pic>
                    </a:graphicData>
                  </a:graphic>
                </wp:inline>
              </w:drawing>
            </w:r>
          </w:p>
        </w:tc>
      </w:tr>
      <w:tr w:rsidR="00572BD3" w:rsidRPr="00D4706E" w14:paraId="3E0139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7EC4A54" w14:textId="77777777" w:rsidR="00572BD3" w:rsidRPr="003067B9" w:rsidRDefault="00572BD3" w:rsidP="007C0423">
            <w:pPr>
              <w:pStyle w:val="Graphs"/>
              <w:rPr>
                <w:sz w:val="36"/>
                <w:szCs w:val="36"/>
                <w:lang w:val="en-NZ"/>
              </w:rPr>
            </w:pPr>
            <w:r w:rsidRPr="003067B9">
              <w:rPr>
                <w:noProof/>
                <w:lang w:val="en-NZ"/>
              </w:rPr>
              <w:drawing>
                <wp:inline distT="0" distB="0" distL="0" distR="0" wp14:anchorId="07CE6AE6" wp14:editId="7DFCB74F">
                  <wp:extent cx="2993936" cy="1223492"/>
                  <wp:effectExtent l="0" t="0" r="0" b="0"/>
                  <wp:docPr id="317031222" name="Picture 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31222" name="Picture 1" descr="A graph of a line graph&#10;&#10;Description automatically generated with medium confidenc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993936" cy="1223492"/>
                          </a:xfrm>
                          <a:prstGeom prst="rect">
                            <a:avLst/>
                          </a:prstGeom>
                        </pic:spPr>
                      </pic:pic>
                    </a:graphicData>
                  </a:graphic>
                </wp:inline>
              </w:drawing>
            </w:r>
          </w:p>
        </w:tc>
        <w:tc>
          <w:tcPr>
            <w:tcW w:w="4814" w:type="dxa"/>
          </w:tcPr>
          <w:p w14:paraId="15D24080" w14:textId="77777777" w:rsidR="00572BD3" w:rsidRPr="003067B9" w:rsidRDefault="00572BD3" w:rsidP="007C0423">
            <w:pPr>
              <w:pStyle w:val="Graphs"/>
              <w:cnfStyle w:val="000000100000" w:firstRow="0" w:lastRow="0" w:firstColumn="0" w:lastColumn="0" w:oddVBand="0" w:evenVBand="0" w:oddHBand="1" w:evenHBand="0" w:firstRowFirstColumn="0" w:firstRowLastColumn="0" w:lastRowFirstColumn="0" w:lastRowLastColumn="0"/>
              <w:rPr>
                <w:lang w:val="en-NZ"/>
              </w:rPr>
            </w:pPr>
          </w:p>
        </w:tc>
      </w:tr>
      <w:tr w:rsidR="00572BD3" w:rsidRPr="00D4706E" w14:paraId="7420F239" w14:textId="77777777">
        <w:tc>
          <w:tcPr>
            <w:cnfStyle w:val="001000000000" w:firstRow="0" w:lastRow="0" w:firstColumn="1" w:lastColumn="0" w:oddVBand="0" w:evenVBand="0" w:oddHBand="0" w:evenHBand="0" w:firstRowFirstColumn="0" w:firstRowLastColumn="0" w:lastRowFirstColumn="0" w:lastRowLastColumn="0"/>
            <w:tcW w:w="4814" w:type="dxa"/>
          </w:tcPr>
          <w:p w14:paraId="500D9CA0" w14:textId="06BE0613" w:rsidR="00572BD3" w:rsidRPr="003067B9" w:rsidRDefault="00572BD3" w:rsidP="007C0423">
            <w:pPr>
              <w:pStyle w:val="Graphs"/>
              <w:rPr>
                <w:lang w:val="en-NZ"/>
              </w:rPr>
            </w:pPr>
            <w:r w:rsidRPr="003067B9">
              <w:rPr>
                <w:noProof/>
                <w:lang w:val="en-NZ"/>
              </w:rPr>
              <w:drawing>
                <wp:inline distT="0" distB="0" distL="0" distR="0" wp14:anchorId="76628129" wp14:editId="35993FB6">
                  <wp:extent cx="904850" cy="777240"/>
                  <wp:effectExtent l="0" t="0" r="0" b="3810"/>
                  <wp:docPr id="246042561"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51741" name="Picture 1" descr="A graph of a number of people&#10;&#10;Description automatically generated with medium confidence"/>
                          <pic:cNvPicPr/>
                        </pic:nvPicPr>
                        <pic:blipFill rotWithShape="1">
                          <a:blip r:embed="rId136" cstate="print">
                            <a:extLst>
                              <a:ext uri="{28A0092B-C50C-407E-A947-70E740481C1C}">
                                <a14:useLocalDpi xmlns:a14="http://schemas.microsoft.com/office/drawing/2010/main" val="0"/>
                              </a:ext>
                            </a:extLst>
                          </a:blip>
                          <a:srcRect/>
                          <a:stretch/>
                        </pic:blipFill>
                        <pic:spPr bwMode="auto">
                          <a:xfrm>
                            <a:off x="0" y="0"/>
                            <a:ext cx="904850" cy="77724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44A474C8" w14:textId="77777777" w:rsidR="00572BD3" w:rsidRPr="003067B9" w:rsidRDefault="00572BD3" w:rsidP="007C0423">
            <w:pPr>
              <w:pStyle w:val="Graphs"/>
              <w:cnfStyle w:val="000000000000" w:firstRow="0" w:lastRow="0" w:firstColumn="0" w:lastColumn="0" w:oddVBand="0" w:evenVBand="0" w:oddHBand="0" w:evenHBand="0" w:firstRowFirstColumn="0" w:firstRowLastColumn="0" w:lastRowFirstColumn="0" w:lastRowLastColumn="0"/>
              <w:rPr>
                <w:lang w:val="en-NZ"/>
              </w:rPr>
            </w:pPr>
          </w:p>
        </w:tc>
      </w:tr>
    </w:tbl>
    <w:p w14:paraId="0F94ADA0" w14:textId="77777777" w:rsidR="006C48B2" w:rsidRPr="003067B9" w:rsidRDefault="006C48B2" w:rsidP="008F3153">
      <w:pPr>
        <w:rPr>
          <w:lang w:val="en-NZ"/>
        </w:rPr>
      </w:pPr>
    </w:p>
    <w:p w14:paraId="4BC84524" w14:textId="40C98F8B" w:rsidR="0044160F" w:rsidRPr="000F38FD" w:rsidRDefault="00D10CFC" w:rsidP="008F3153">
      <w:pPr>
        <w:rPr>
          <w:color w:val="000000"/>
          <w:szCs w:val="24"/>
          <w:lang w:val="en-NZ"/>
        </w:rPr>
      </w:pPr>
      <w:r w:rsidRPr="000F38FD">
        <w:rPr>
          <w:color w:val="000000"/>
          <w:szCs w:val="24"/>
          <w:lang w:val="en-NZ"/>
        </w:rPr>
        <w:t>People waiting more than 365 days for a procedure: Results for Canterbury, Nelson Marlborough, Southern and West Coast are withheld due to various issues at source; therefore, their results could not be published for quarter three 2023/24.  These districts are omitted from local area-specific charts.</w:t>
      </w:r>
    </w:p>
    <w:p w14:paraId="00AE9795" w14:textId="0522B653" w:rsidR="0044160F" w:rsidRPr="000F38FD" w:rsidRDefault="00FF46B7" w:rsidP="008F3153">
      <w:pPr>
        <w:rPr>
          <w:color w:val="000000"/>
          <w:szCs w:val="24"/>
          <w:lang w:val="en-NZ"/>
        </w:rPr>
      </w:pPr>
      <w:r w:rsidRPr="000F38FD">
        <w:rPr>
          <w:rStyle w:val="ui-provider"/>
          <w:color w:val="000000"/>
          <w:szCs w:val="24"/>
        </w:rPr>
        <w:t xml:space="preserve">Emergency Department </w:t>
      </w:r>
      <w:r w:rsidRPr="00385626">
        <w:rPr>
          <w:rStyle w:val="ui-provider"/>
        </w:rPr>
        <w:t>Presentation</w:t>
      </w:r>
      <w:r w:rsidR="007A404E">
        <w:rPr>
          <w:rStyle w:val="ui-provider"/>
        </w:rPr>
        <w:t>s and</w:t>
      </w:r>
      <w:r w:rsidR="00555DA7" w:rsidRPr="000F38FD">
        <w:rPr>
          <w:rStyle w:val="ui-provider"/>
          <w:color w:val="000000"/>
          <w:szCs w:val="24"/>
        </w:rPr>
        <w:t xml:space="preserve"> Admissions from Emergency Department: </w:t>
      </w:r>
      <w:r w:rsidRPr="000F38FD">
        <w:rPr>
          <w:rStyle w:val="ui-provider"/>
          <w:color w:val="000000"/>
          <w:szCs w:val="24"/>
        </w:rPr>
        <w:t xml:space="preserve">There is a material data gap for Southern at the end of 2023 due to system change. This impacts </w:t>
      </w:r>
      <w:r w:rsidR="001857BA" w:rsidRPr="000F38FD">
        <w:rPr>
          <w:rStyle w:val="ui-provider"/>
          <w:color w:val="000000"/>
          <w:szCs w:val="24"/>
        </w:rPr>
        <w:t>the</w:t>
      </w:r>
      <w:r w:rsidRPr="000F38FD">
        <w:rPr>
          <w:rStyle w:val="ui-provider"/>
          <w:color w:val="000000"/>
          <w:szCs w:val="24"/>
        </w:rPr>
        <w:t xml:space="preserve"> previous quarter result (Q2 23/24 period).</w:t>
      </w:r>
    </w:p>
    <w:sectPr w:rsidR="0044160F" w:rsidRPr="000F38FD" w:rsidSect="005A4500">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06810C" w14:textId="77777777" w:rsidR="005358DC" w:rsidRPr="00305E5C" w:rsidRDefault="005358DC" w:rsidP="00EB3422">
      <w:r w:rsidRPr="00305E5C">
        <w:separator/>
      </w:r>
    </w:p>
  </w:endnote>
  <w:endnote w:type="continuationSeparator" w:id="0">
    <w:p w14:paraId="7E071156" w14:textId="77777777" w:rsidR="005358DC" w:rsidRPr="00305E5C" w:rsidRDefault="005358DC" w:rsidP="00EB3422">
      <w:r w:rsidRPr="00305E5C">
        <w:continuationSeparator/>
      </w:r>
    </w:p>
  </w:endnote>
  <w:endnote w:type="continuationNotice" w:id="1">
    <w:p w14:paraId="22039D2F" w14:textId="77777777" w:rsidR="005358DC" w:rsidRPr="00305E5C" w:rsidRDefault="005358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GillSans">
    <w:altName w:val="Calibri"/>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n-e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1A51F" w14:textId="2871E222" w:rsidR="00EB3422" w:rsidRPr="00F15102" w:rsidRDefault="00BB1497" w:rsidP="00F15102">
    <w:pPr>
      <w:tabs>
        <w:tab w:val="right" w:pos="14570"/>
      </w:tabs>
      <w:spacing w:after="0"/>
      <w:rPr>
        <w:rFonts w:eastAsia="Calibri"/>
        <w:szCs w:val="24"/>
      </w:rPr>
    </w:pPr>
    <w:r w:rsidRPr="00305E5C">
      <w:rPr>
        <w:rFonts w:eastAsia="Calibri"/>
        <w:szCs w:val="24"/>
      </w:rPr>
      <w:t>Quarterly Performance Report: Quarter ending 31 March 2024</w:t>
    </w:r>
    <w:r w:rsidRPr="00305E5C">
      <w:rPr>
        <w:rFonts w:eastAsia="Calibri"/>
        <w:szCs w:val="24"/>
      </w:rPr>
      <w:tab/>
    </w:r>
    <w:r w:rsidRPr="00305E5C">
      <w:rPr>
        <w:rFonts w:eastAsia="Calibri"/>
        <w:szCs w:val="24"/>
      </w:rPr>
      <w:fldChar w:fldCharType="begin"/>
    </w:r>
    <w:r w:rsidRPr="00305E5C">
      <w:rPr>
        <w:rFonts w:eastAsia="Calibri"/>
        <w:szCs w:val="24"/>
      </w:rPr>
      <w:instrText xml:space="preserve"> PAGE   \* MERGEFORMAT </w:instrText>
    </w:r>
    <w:r w:rsidRPr="00305E5C">
      <w:rPr>
        <w:rFonts w:eastAsia="Calibri"/>
        <w:szCs w:val="24"/>
      </w:rPr>
      <w:fldChar w:fldCharType="separate"/>
    </w:r>
    <w:r w:rsidRPr="00305E5C">
      <w:rPr>
        <w:rFonts w:eastAsia="Calibri"/>
        <w:szCs w:val="24"/>
      </w:rPr>
      <w:t>2</w:t>
    </w:r>
    <w:r w:rsidRPr="00305E5C">
      <w:rPr>
        <w:rFonts w:eastAsia="Calibri"/>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376467"/>
      <w:docPartObj>
        <w:docPartGallery w:val="Page Numbers (Bottom of Page)"/>
        <w:docPartUnique/>
      </w:docPartObj>
    </w:sdtPr>
    <w:sdtEndPr>
      <w:rPr>
        <w:noProof/>
      </w:rPr>
    </w:sdtEndPr>
    <w:sdtContent>
      <w:p w14:paraId="1345FF9A" w14:textId="1E88D0F5" w:rsidR="000E64A3" w:rsidRDefault="000E64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D23D3D" w14:textId="77777777" w:rsidR="00696BB5" w:rsidRDefault="00696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0738F6" w14:textId="77777777" w:rsidR="005358DC" w:rsidRPr="00305E5C" w:rsidRDefault="005358DC" w:rsidP="00EB3422">
      <w:r w:rsidRPr="00305E5C">
        <w:separator/>
      </w:r>
    </w:p>
  </w:footnote>
  <w:footnote w:type="continuationSeparator" w:id="0">
    <w:p w14:paraId="1BE1467B" w14:textId="77777777" w:rsidR="005358DC" w:rsidRPr="00305E5C" w:rsidRDefault="005358DC" w:rsidP="00EB3422">
      <w:r w:rsidRPr="00305E5C">
        <w:continuationSeparator/>
      </w:r>
    </w:p>
  </w:footnote>
  <w:footnote w:type="continuationNotice" w:id="1">
    <w:p w14:paraId="073AD5AF" w14:textId="77777777" w:rsidR="005358DC" w:rsidRPr="00305E5C" w:rsidRDefault="005358DC">
      <w:pPr>
        <w:spacing w:after="0"/>
      </w:pPr>
    </w:p>
  </w:footnote>
  <w:footnote w:id="2">
    <w:p w14:paraId="210A3D44" w14:textId="77777777" w:rsidR="002333DD" w:rsidRPr="00455C02" w:rsidRDefault="002333DD" w:rsidP="002333DD">
      <w:pPr>
        <w:pStyle w:val="FootnoteText"/>
        <w:rPr>
          <w:rFonts w:cstheme="minorHAnsi"/>
        </w:rPr>
      </w:pPr>
      <w:r w:rsidRPr="0060749A">
        <w:rPr>
          <w:rStyle w:val="FootnoteReference"/>
          <w:rFonts w:cstheme="minorHAnsi"/>
          <w:vertAlign w:val="superscript"/>
        </w:rPr>
        <w:footnoteRef/>
      </w:r>
      <w:r w:rsidRPr="0060749A">
        <w:rPr>
          <w:rFonts w:cstheme="minorHAnsi"/>
          <w:vertAlign w:val="superscript"/>
        </w:rPr>
        <w:t xml:space="preserve"> </w:t>
      </w:r>
      <w:r w:rsidRPr="00455C02">
        <w:rPr>
          <w:rFonts w:cstheme="minorHAnsi"/>
          <w:color w:val="1C1C1C"/>
          <w:shd w:val="clear" w:color="auto" w:fill="FFFFFF"/>
        </w:rPr>
        <w:t>Additional details regarding Pharmacist Vaccinators is available here</w:t>
      </w:r>
      <w:r w:rsidRPr="00455C02">
        <w:rPr>
          <w:rFonts w:cstheme="minorHAnsi"/>
        </w:rPr>
        <w:t xml:space="preserve">: </w:t>
      </w:r>
      <w:hyperlink r:id="rId1" w:history="1">
        <w:r w:rsidRPr="00455C02">
          <w:rPr>
            <w:rStyle w:val="Hyperlink"/>
            <w:rFonts w:cstheme="minorHAnsi"/>
          </w:rPr>
          <w:t>https://www.tewhatuora.govt.nz/health-services-and-programmes/vaccine-information/vaccine-service-delivery/vaccinating-workforce/</w:t>
        </w:r>
      </w:hyperlink>
      <w:r w:rsidRPr="00455C02">
        <w:rPr>
          <w:rFonts w:cstheme="minorHAnsi"/>
        </w:rPr>
        <w:t xml:space="preserve"> </w:t>
      </w:r>
    </w:p>
  </w:footnote>
  <w:footnote w:id="3">
    <w:p w14:paraId="53871EA9" w14:textId="31477A67" w:rsidR="000A2835" w:rsidRPr="009C0767" w:rsidRDefault="000A2835">
      <w:pPr>
        <w:pStyle w:val="FootnoteText"/>
        <w:rPr>
          <w:rFonts w:cstheme="minorHAnsi"/>
        </w:rPr>
      </w:pPr>
      <w:r w:rsidRPr="009C0767">
        <w:rPr>
          <w:rStyle w:val="FootnoteReference"/>
          <w:rFonts w:cstheme="minorHAnsi"/>
          <w:sz w:val="20"/>
          <w:vertAlign w:val="superscript"/>
        </w:rPr>
        <w:footnoteRef/>
      </w:r>
      <w:r w:rsidRPr="009C0767">
        <w:rPr>
          <w:rFonts w:cstheme="minorHAnsi"/>
          <w:vertAlign w:val="superscript"/>
        </w:rPr>
        <w:t xml:space="preserve"> </w:t>
      </w:r>
      <w:r w:rsidR="009D4CEC" w:rsidRPr="009C0767">
        <w:rPr>
          <w:rFonts w:cstheme="minorHAnsi"/>
        </w:rPr>
        <w:t xml:space="preserve">Please note </w:t>
      </w:r>
      <w:r w:rsidR="0096093E" w:rsidRPr="009C0767">
        <w:rPr>
          <w:rFonts w:cstheme="minorHAnsi"/>
        </w:rPr>
        <w:t xml:space="preserve">that </w:t>
      </w:r>
      <w:r w:rsidR="009D4CEC" w:rsidRPr="009C0767">
        <w:rPr>
          <w:rFonts w:cstheme="minorHAnsi"/>
        </w:rPr>
        <w:t xml:space="preserve">previous </w:t>
      </w:r>
      <w:r w:rsidR="0096093E" w:rsidRPr="009C0767">
        <w:rPr>
          <w:rFonts w:cstheme="minorHAnsi"/>
        </w:rPr>
        <w:t xml:space="preserve">quarterly </w:t>
      </w:r>
      <w:r w:rsidR="009D4CEC" w:rsidRPr="009C0767">
        <w:rPr>
          <w:rFonts w:cstheme="minorHAnsi"/>
        </w:rPr>
        <w:t xml:space="preserve">status </w:t>
      </w:r>
      <w:r w:rsidR="0096093E" w:rsidRPr="009C0767">
        <w:rPr>
          <w:rFonts w:cstheme="minorHAnsi"/>
        </w:rPr>
        <w:t>updates</w:t>
      </w:r>
      <w:r w:rsidR="009D4CEC" w:rsidRPr="009C0767">
        <w:rPr>
          <w:rFonts w:cstheme="minorHAnsi"/>
        </w:rPr>
        <w:t xml:space="preserve"> ha</w:t>
      </w:r>
      <w:r w:rsidR="0096093E" w:rsidRPr="009C0767">
        <w:rPr>
          <w:rFonts w:cstheme="minorHAnsi"/>
        </w:rPr>
        <w:t>ve</w:t>
      </w:r>
      <w:r w:rsidR="009D4CEC" w:rsidRPr="009C0767">
        <w:rPr>
          <w:rFonts w:cstheme="minorHAnsi"/>
        </w:rPr>
        <w:t xml:space="preserve"> referred to the </w:t>
      </w:r>
      <w:r w:rsidR="0096093E" w:rsidRPr="009C0767">
        <w:rPr>
          <w:rFonts w:cstheme="minorHAnsi"/>
        </w:rPr>
        <w:t xml:space="preserve">number of </w:t>
      </w:r>
      <w:r w:rsidR="007F07B8" w:rsidRPr="009C0767">
        <w:rPr>
          <w:rFonts w:cstheme="minorHAnsi"/>
        </w:rPr>
        <w:t>milestones</w:t>
      </w:r>
      <w:r w:rsidR="0096093E" w:rsidRPr="009C0767">
        <w:rPr>
          <w:rFonts w:cstheme="minorHAnsi"/>
        </w:rPr>
        <w:t xml:space="preserve"> within the quarter</w:t>
      </w:r>
      <w:r w:rsidR="009D4CEC" w:rsidRPr="009C0767">
        <w:rPr>
          <w:rFonts w:cstheme="minorHAnsi"/>
        </w:rPr>
        <w:t xml:space="preserve">. </w:t>
      </w:r>
      <w:r w:rsidR="00375D89" w:rsidRPr="009C0767">
        <w:rPr>
          <w:rFonts w:cstheme="minorHAnsi"/>
        </w:rPr>
        <w:t xml:space="preserve"> As we are close to the end of the Te Pae Tata period 2022-2024, we are now tracking overall delivery of actions</w:t>
      </w:r>
      <w:r w:rsidR="009D4CEC" w:rsidRPr="009C0767">
        <w:rPr>
          <w:rFonts w:cstheme="minorHAnsi"/>
        </w:rPr>
        <w:t>.</w:t>
      </w:r>
    </w:p>
  </w:footnote>
  <w:footnote w:id="4">
    <w:p w14:paraId="0BE065F7" w14:textId="3CC71C62" w:rsidR="009D4CEC" w:rsidRPr="00305E5C" w:rsidRDefault="009D4CEC" w:rsidP="00956565">
      <w:pPr>
        <w:pStyle w:val="FootnoteText"/>
      </w:pPr>
      <w:r w:rsidRPr="009C0767">
        <w:rPr>
          <w:rStyle w:val="FootnoteReference"/>
          <w:rFonts w:cstheme="minorHAnsi"/>
          <w:sz w:val="20"/>
          <w:vertAlign w:val="superscript"/>
        </w:rPr>
        <w:footnoteRef/>
      </w:r>
      <w:r w:rsidRPr="009C0767">
        <w:rPr>
          <w:rFonts w:cstheme="minorHAnsi"/>
          <w:vertAlign w:val="superscript"/>
        </w:rPr>
        <w:t xml:space="preserve"> </w:t>
      </w:r>
      <w:r w:rsidRPr="009C0767">
        <w:rPr>
          <w:rFonts w:cstheme="minorHAnsi"/>
        </w:rPr>
        <w:t xml:space="preserve">No update was received for these actions prior to publication. Actions </w:t>
      </w:r>
      <w:r w:rsidR="005F3F33" w:rsidRPr="009C0767">
        <w:rPr>
          <w:rFonts w:cstheme="minorHAnsi"/>
        </w:rPr>
        <w:t>are monitored assessed monthly</w:t>
      </w:r>
      <w:r w:rsidRPr="009C0767">
        <w:rPr>
          <w:rFonts w:cstheme="minorHAnsi"/>
        </w:rPr>
        <w:t>.</w:t>
      </w:r>
    </w:p>
  </w:footnote>
  <w:footnote w:id="5">
    <w:p w14:paraId="2017970B" w14:textId="77777777" w:rsidR="00A561C6" w:rsidRPr="00230F54" w:rsidRDefault="00A561C6" w:rsidP="00A561C6">
      <w:pPr>
        <w:pStyle w:val="FootnoteText"/>
      </w:pPr>
      <w:r w:rsidRPr="00230F54">
        <w:rPr>
          <w:rStyle w:val="FootnoteReference"/>
          <w:sz w:val="20"/>
          <w:vertAlign w:val="superscript"/>
        </w:rPr>
        <w:footnoteRef/>
      </w:r>
      <w:r w:rsidRPr="00230F54">
        <w:rPr>
          <w:vertAlign w:val="superscript"/>
        </w:rPr>
        <w:t xml:space="preserve"> </w:t>
      </w:r>
      <w:r w:rsidRPr="00230F54">
        <w:t xml:space="preserve">Variation in the cumulative course uptake between the end of march (59,570) and end of December (57,581). Data extracted from </w:t>
      </w:r>
      <w:hyperlink r:id="rId2" w:history="1">
        <w:r w:rsidRPr="00230F54">
          <w:rPr>
            <w:rStyle w:val="Hyperlink"/>
          </w:rPr>
          <w:t>https://www.ecald.com/about-us/our-performance/course-uptake/</w:t>
        </w:r>
      </w:hyperlink>
      <w:r w:rsidRPr="00230F54">
        <w:t xml:space="preserve"> </w:t>
      </w:r>
    </w:p>
  </w:footnote>
  <w:footnote w:id="6">
    <w:p w14:paraId="6E74AB64" w14:textId="77777777" w:rsidR="00AD3A73" w:rsidRPr="009C6EB4" w:rsidRDefault="00AD3A73" w:rsidP="00AD3A73">
      <w:pPr>
        <w:pStyle w:val="FootnoteText"/>
      </w:pPr>
      <w:r w:rsidRPr="0074721C">
        <w:rPr>
          <w:rStyle w:val="FootnoteReference"/>
          <w:vertAlign w:val="superscript"/>
        </w:rPr>
        <w:footnoteRef/>
      </w:r>
      <w:r w:rsidRPr="0074721C">
        <w:rPr>
          <w:vertAlign w:val="superscript"/>
        </w:rPr>
        <w:t xml:space="preserve"> </w:t>
      </w:r>
      <w:r w:rsidRPr="0074721C">
        <w:rPr>
          <w:color w:val="000000"/>
          <w:shd w:val="clear" w:color="auto" w:fill="FFFFFF"/>
          <w:vertAlign w:val="superscript"/>
        </w:rPr>
        <w:t> </w:t>
      </w:r>
      <w:r w:rsidRPr="009C6EB4">
        <w:rPr>
          <w:color w:val="000000"/>
          <w:shd w:val="clear" w:color="auto" w:fill="FFFFFF"/>
        </w:rPr>
        <w:t>The networks are Mental Health and Addiction; Diabetes; Maternity; Oral Health; Cancer; Urology; Pathology; Respiratory; Rural Health; Vascular Surgery; Ear, Nose and Throat; Child Health; Critical Care; Eye Health; Radiology; Infection Services; Stroke, Cardiac; Trauma; Renal </w:t>
      </w:r>
    </w:p>
  </w:footnote>
  <w:footnote w:id="7">
    <w:p w14:paraId="493628C7" w14:textId="77777777" w:rsidR="006B31EB" w:rsidRPr="009C6EB4" w:rsidRDefault="006B31EB" w:rsidP="006B31EB">
      <w:pPr>
        <w:pStyle w:val="FootnoteText"/>
      </w:pPr>
      <w:r w:rsidRPr="0074721C">
        <w:rPr>
          <w:rStyle w:val="FootnoteReference"/>
          <w:vertAlign w:val="superscript"/>
        </w:rPr>
        <w:footnoteRef/>
      </w:r>
      <w:r w:rsidRPr="0074721C">
        <w:rPr>
          <w:vertAlign w:val="superscript"/>
        </w:rPr>
        <w:t xml:space="preserve"> </w:t>
      </w:r>
      <w:r w:rsidRPr="009C6EB4">
        <w:t xml:space="preserve">You can access My Health Record via the following link: </w:t>
      </w:r>
      <w:hyperlink r:id="rId3" w:history="1">
        <w:r w:rsidRPr="009C6EB4">
          <w:rPr>
            <w:rStyle w:val="Hyperlink"/>
          </w:rPr>
          <w:t>https://my.health.nz/</w:t>
        </w:r>
      </w:hyperlink>
      <w:r w:rsidRPr="009C6EB4">
        <w:t xml:space="preserve"> </w:t>
      </w:r>
    </w:p>
  </w:footnote>
  <w:footnote w:id="8">
    <w:p w14:paraId="4B8D4A4F" w14:textId="06BED95B" w:rsidR="002D2D19" w:rsidRPr="00455C02" w:rsidRDefault="002D2D19" w:rsidP="002D2D19">
      <w:pPr>
        <w:spacing w:after="0"/>
        <w:contextualSpacing/>
        <w:rPr>
          <w:rFonts w:asciiTheme="minorHAnsi" w:hAnsiTheme="minorHAnsi" w:cstheme="minorHAnsi"/>
          <w:color w:val="1C1C1C"/>
          <w:sz w:val="20"/>
          <w:szCs w:val="20"/>
          <w:shd w:val="clear" w:color="auto" w:fill="FFFFFF"/>
        </w:rPr>
      </w:pPr>
      <w:r w:rsidRPr="003B3FD8">
        <w:rPr>
          <w:rStyle w:val="FootnoteReference"/>
          <w:sz w:val="20"/>
          <w:szCs w:val="18"/>
          <w:vertAlign w:val="superscript"/>
        </w:rPr>
        <w:footnoteRef/>
      </w:r>
      <w:r w:rsidRPr="003B3FD8">
        <w:rPr>
          <w:rStyle w:val="FootnoteReference"/>
          <w:sz w:val="20"/>
          <w:szCs w:val="18"/>
          <w:vertAlign w:val="superscript"/>
        </w:rPr>
        <w:t xml:space="preserve"> </w:t>
      </w:r>
      <w:r w:rsidRPr="003B3FD8">
        <w:rPr>
          <w:rStyle w:val="FootnoteReference"/>
          <w:sz w:val="20"/>
          <w:szCs w:val="18"/>
        </w:rPr>
        <w:t xml:space="preserve">My COVID Record was decommissioned at the end of February 2024. Additional details regarding My Health Account is available here: </w:t>
      </w:r>
      <w:hyperlink r:id="rId4" w:history="1">
        <w:r w:rsidRPr="003B3FD8">
          <w:rPr>
            <w:rStyle w:val="FootnoteReference"/>
            <w:sz w:val="20"/>
            <w:szCs w:val="18"/>
          </w:rPr>
          <w:t>https://www.tewhatuora.govt.nz/health-services-and-programmes/digital-health/my-health-account/</w:t>
        </w:r>
      </w:hyperlink>
    </w:p>
  </w:footnote>
  <w:footnote w:id="9">
    <w:p w14:paraId="386D6A0C" w14:textId="4029417C" w:rsidR="00EE07B8" w:rsidRPr="003B3FD8" w:rsidRDefault="00EE07B8">
      <w:pPr>
        <w:pStyle w:val="FootnoteText"/>
        <w:rPr>
          <w:rStyle w:val="FootnoteReference"/>
          <w:sz w:val="20"/>
        </w:rPr>
      </w:pPr>
      <w:r w:rsidRPr="003B3FD8">
        <w:rPr>
          <w:rStyle w:val="FootnoteReference"/>
          <w:sz w:val="20"/>
          <w:vertAlign w:val="superscript"/>
        </w:rPr>
        <w:footnoteRef/>
      </w:r>
      <w:r w:rsidRPr="003B3FD8">
        <w:rPr>
          <w:rStyle w:val="FootnoteReference"/>
          <w:sz w:val="20"/>
          <w:vertAlign w:val="superscript"/>
        </w:rPr>
        <w:t xml:space="preserve"> </w:t>
      </w:r>
      <w:r w:rsidR="00D25DFD" w:rsidRPr="003B3FD8">
        <w:rPr>
          <w:rStyle w:val="FootnoteReference"/>
          <w:sz w:val="20"/>
          <w:vertAlign w:val="superscript"/>
        </w:rPr>
        <w:t xml:space="preserve"> </w:t>
      </w:r>
      <w:r w:rsidR="00017304" w:rsidRPr="003B3FD8">
        <w:rPr>
          <w:rStyle w:val="FootnoteReference"/>
          <w:sz w:val="20"/>
        </w:rPr>
        <w:t xml:space="preserve">The </w:t>
      </w:r>
      <w:r w:rsidR="00911C53" w:rsidRPr="003B3FD8">
        <w:rPr>
          <w:rStyle w:val="FootnoteReference"/>
          <w:sz w:val="20"/>
        </w:rPr>
        <w:t>A</w:t>
      </w:r>
      <w:r w:rsidR="00017304" w:rsidRPr="003B3FD8">
        <w:rPr>
          <w:rStyle w:val="FootnoteReference"/>
          <w:sz w:val="20"/>
        </w:rPr>
        <w:t>pp</w:t>
      </w:r>
      <w:r w:rsidR="0052314C" w:rsidRPr="003B3FD8">
        <w:rPr>
          <w:rStyle w:val="FootnoteReference"/>
          <w:sz w:val="20"/>
        </w:rPr>
        <w:t>lication</w:t>
      </w:r>
      <w:r w:rsidR="00017304" w:rsidRPr="003B3FD8">
        <w:rPr>
          <w:rStyle w:val="FootnoteReference"/>
          <w:sz w:val="20"/>
        </w:rPr>
        <w:t xml:space="preserve"> </w:t>
      </w:r>
      <w:r w:rsidR="00911C53" w:rsidRPr="003B3FD8">
        <w:rPr>
          <w:rStyle w:val="FootnoteReference"/>
          <w:sz w:val="20"/>
        </w:rPr>
        <w:t>L</w:t>
      </w:r>
      <w:r w:rsidR="00017304" w:rsidRPr="003B3FD8">
        <w:rPr>
          <w:rStyle w:val="FootnoteReference"/>
          <w:sz w:val="20"/>
        </w:rPr>
        <w:t xml:space="preserve">ibrary is available on: </w:t>
      </w:r>
      <w:hyperlink r:id="rId5" w:history="1">
        <w:r w:rsidR="00017304" w:rsidRPr="003B3FD8">
          <w:rPr>
            <w:rStyle w:val="FootnoteReference"/>
            <w:sz w:val="20"/>
          </w:rPr>
          <w:t>https://healthify.nz/app-library/</w:t>
        </w:r>
      </w:hyperlink>
    </w:p>
  </w:footnote>
  <w:footnote w:id="10">
    <w:p w14:paraId="6E0470CB" w14:textId="1B550587" w:rsidR="00761123" w:rsidRDefault="00761123">
      <w:pPr>
        <w:pStyle w:val="FootnoteText"/>
      </w:pPr>
      <w:r w:rsidRPr="00CA44DB">
        <w:rPr>
          <w:rStyle w:val="FootnoteReference"/>
          <w:sz w:val="20"/>
          <w:szCs w:val="16"/>
          <w:vertAlign w:val="superscript"/>
        </w:rPr>
        <w:footnoteRef/>
      </w:r>
      <w:r w:rsidRPr="00CA44DB">
        <w:rPr>
          <w:sz w:val="16"/>
          <w:szCs w:val="16"/>
          <w:vertAlign w:val="superscript"/>
        </w:rPr>
        <w:t xml:space="preserve">  </w:t>
      </w:r>
      <w:r w:rsidRPr="00CA44DB">
        <w:rPr>
          <w:rStyle w:val="FootnoteReference"/>
          <w:sz w:val="20"/>
          <w:szCs w:val="16"/>
        </w:rPr>
        <w:t>Hawke's Bay had a submission error but is included in summary graphs, otherwise results would be understated rather than likely overstated</w:t>
      </w:r>
      <w:r w:rsidRPr="00347CAF">
        <w:rPr>
          <w:rStyle w:val="FootnoteReference"/>
        </w:rPr>
        <w:t>.</w:t>
      </w:r>
    </w:p>
  </w:footnote>
  <w:footnote w:id="11">
    <w:p w14:paraId="1DAE3668" w14:textId="77777777" w:rsidR="00D02262" w:rsidRPr="00F75DAF" w:rsidRDefault="00D02262" w:rsidP="00D02262">
      <w:pPr>
        <w:pStyle w:val="FootnoteText"/>
        <w:rPr>
          <w:rStyle w:val="FootnoteReference"/>
        </w:rPr>
      </w:pPr>
      <w:r w:rsidRPr="00210BD7">
        <w:rPr>
          <w:rStyle w:val="FootnoteReference"/>
          <w:sz w:val="20"/>
          <w:szCs w:val="16"/>
          <w:vertAlign w:val="superscript"/>
        </w:rPr>
        <w:footnoteRef/>
      </w:r>
      <w:r w:rsidRPr="00210BD7">
        <w:rPr>
          <w:rStyle w:val="FootnoteReference"/>
          <w:sz w:val="20"/>
          <w:szCs w:val="16"/>
          <w:vertAlign w:val="superscript"/>
        </w:rPr>
        <w:t xml:space="preserve"> </w:t>
      </w:r>
      <w:r w:rsidRPr="00210BD7">
        <w:rPr>
          <w:rStyle w:val="FootnoteReference"/>
          <w:sz w:val="20"/>
          <w:szCs w:val="16"/>
        </w:rPr>
        <w:t xml:space="preserve">This measure reflects access to primary mental health and addiction services funded since 2019 only and excludes previously existing primary mental health and addiction services because of a lack of reliable data from those services. </w:t>
      </w:r>
    </w:p>
  </w:footnote>
  <w:footnote w:id="12">
    <w:p w14:paraId="7E735482" w14:textId="7FC706C9" w:rsidR="00CC34D2" w:rsidRPr="0074721C" w:rsidRDefault="00CC34D2">
      <w:pPr>
        <w:pStyle w:val="FootnoteText"/>
        <w:rPr>
          <w:rStyle w:val="FootnoteReference"/>
        </w:rPr>
      </w:pPr>
      <w:r w:rsidRPr="007348EC">
        <w:rPr>
          <w:rStyle w:val="FootnoteReference"/>
          <w:sz w:val="20"/>
          <w:szCs w:val="16"/>
          <w:vertAlign w:val="superscript"/>
        </w:rPr>
        <w:footnoteRef/>
      </w:r>
      <w:r w:rsidRPr="007348EC">
        <w:rPr>
          <w:rStyle w:val="FootnoteReference"/>
          <w:sz w:val="20"/>
          <w:szCs w:val="16"/>
          <w:vertAlign w:val="superscript"/>
        </w:rPr>
        <w:t xml:space="preserve"> </w:t>
      </w:r>
      <w:r w:rsidRPr="007348EC">
        <w:rPr>
          <w:rStyle w:val="FootnoteReference"/>
          <w:sz w:val="20"/>
          <w:szCs w:val="16"/>
        </w:rPr>
        <w:t>Most recent information as of the time of writing this report</w:t>
      </w:r>
      <w:r w:rsidRPr="0074721C">
        <w:rPr>
          <w:rStyle w:val="FootnoteReference"/>
        </w:rPr>
        <w:t>.</w:t>
      </w:r>
    </w:p>
  </w:footnote>
  <w:footnote w:id="13">
    <w:p w14:paraId="0733A317" w14:textId="77777777" w:rsidR="00EC3C3A" w:rsidRPr="0074721C" w:rsidRDefault="00EC3C3A" w:rsidP="00EC3C3A">
      <w:pPr>
        <w:pStyle w:val="FootnoteText"/>
        <w:rPr>
          <w:rStyle w:val="FootnoteReference"/>
        </w:rPr>
      </w:pPr>
      <w:r w:rsidRPr="0074721C">
        <w:rPr>
          <w:rStyle w:val="FootnoteReference"/>
          <w:vertAlign w:val="superscript"/>
        </w:rPr>
        <w:footnoteRef/>
      </w:r>
      <w:r w:rsidRPr="0074721C">
        <w:rPr>
          <w:rStyle w:val="FootnoteReference"/>
          <w:vertAlign w:val="superscript"/>
        </w:rPr>
        <w:t xml:space="preserve"> </w:t>
      </w:r>
      <w:r w:rsidRPr="0074721C">
        <w:rPr>
          <w:rStyle w:val="FootnoteReference"/>
        </w:rPr>
        <w:t>Baseline for all measures is based on the National achievement as at quarter one 2022-23.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CAB90" w14:textId="77777777" w:rsidR="00C449C7" w:rsidRDefault="00C449C7" w:rsidP="00C449C7">
    <w:r w:rsidRPr="001E1669">
      <w:rPr>
        <w:noProof/>
      </w:rPr>
      <w:drawing>
        <wp:anchor distT="0" distB="0" distL="114300" distR="114300" simplePos="0" relativeHeight="251658243" behindDoc="1" locked="0" layoutInCell="1" allowOverlap="1" wp14:anchorId="7F0E9670" wp14:editId="70F1A64E">
          <wp:simplePos x="0" y="0"/>
          <wp:positionH relativeFrom="page">
            <wp:posOffset>6985</wp:posOffset>
          </wp:positionH>
          <wp:positionV relativeFrom="paragraph">
            <wp:posOffset>-560705</wp:posOffset>
          </wp:positionV>
          <wp:extent cx="7543800" cy="1000125"/>
          <wp:effectExtent l="0" t="0" r="0" b="0"/>
          <wp:wrapNone/>
          <wp:docPr id="1484278157" name="Picture 1484278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76795" name="Picture 21198767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1000125"/>
                  </a:xfrm>
                  <a:prstGeom prst="rect">
                    <a:avLst/>
                  </a:prstGeom>
                </pic:spPr>
              </pic:pic>
            </a:graphicData>
          </a:graphic>
          <wp14:sizeRelH relativeFrom="margin">
            <wp14:pctWidth>0</wp14:pctWidth>
          </wp14:sizeRelH>
          <wp14:sizeRelV relativeFrom="margin">
            <wp14:pctHeight>0</wp14:pctHeight>
          </wp14:sizeRelV>
        </wp:anchor>
      </w:drawing>
    </w:r>
  </w:p>
  <w:p w14:paraId="1BFEE911" w14:textId="3C33222C" w:rsidR="00C76026" w:rsidRPr="00C449C7" w:rsidRDefault="00C76026" w:rsidP="00C449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83D08" w14:textId="356E0050" w:rsidR="00890979" w:rsidRPr="00305E5C" w:rsidRDefault="00890979">
    <w:pPr>
      <w:pStyle w:val="Header"/>
    </w:pPr>
    <w:r w:rsidRPr="0072264A">
      <w:rPr>
        <w:noProof/>
      </w:rPr>
      <w:drawing>
        <wp:anchor distT="0" distB="0" distL="114300" distR="114300" simplePos="0" relativeHeight="251658240" behindDoc="1" locked="0" layoutInCell="1" allowOverlap="1" wp14:anchorId="3ADC96F6" wp14:editId="002E50F4">
          <wp:simplePos x="0" y="0"/>
          <wp:positionH relativeFrom="page">
            <wp:posOffset>21265</wp:posOffset>
          </wp:positionH>
          <wp:positionV relativeFrom="paragraph">
            <wp:posOffset>-460848</wp:posOffset>
          </wp:positionV>
          <wp:extent cx="10653823" cy="936625"/>
          <wp:effectExtent l="0" t="0" r="0" b="0"/>
          <wp:wrapNone/>
          <wp:docPr id="1148120138" name="Picture 1148120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83755" name="Picture 152418375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53823" cy="9366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ACD9D" w14:textId="77777777" w:rsidR="004F4614" w:rsidRDefault="004F4614" w:rsidP="000170EE">
    <w:pPr>
      <w:pStyle w:val="Header"/>
    </w:pPr>
    <w:r w:rsidRPr="0072264A">
      <w:rPr>
        <w:noProof/>
      </w:rPr>
      <w:drawing>
        <wp:anchor distT="0" distB="0" distL="114300" distR="114300" simplePos="0" relativeHeight="251658242" behindDoc="1" locked="0" layoutInCell="1" allowOverlap="1" wp14:anchorId="523B6BC7" wp14:editId="4CA2A07A">
          <wp:simplePos x="0" y="0"/>
          <wp:positionH relativeFrom="margin">
            <wp:align>center</wp:align>
          </wp:positionH>
          <wp:positionV relativeFrom="paragraph">
            <wp:posOffset>-447040</wp:posOffset>
          </wp:positionV>
          <wp:extent cx="10653823" cy="936625"/>
          <wp:effectExtent l="0" t="0" r="0" b="0"/>
          <wp:wrapNone/>
          <wp:docPr id="91372062" name="Picture 91372062"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53823" cy="936625"/>
                  </a:xfrm>
                  <a:prstGeom prst="rect">
                    <a:avLst/>
                  </a:prstGeom>
                </pic:spPr>
              </pic:pic>
            </a:graphicData>
          </a:graphic>
          <wp14:sizeRelH relativeFrom="margin">
            <wp14:pctWidth>0</wp14:pctWidth>
          </wp14:sizeRelH>
          <wp14:sizeRelV relativeFrom="margin">
            <wp14:pctHeight>0</wp14:pctHeight>
          </wp14:sizeRelV>
        </wp:anchor>
      </w:drawing>
    </w:r>
  </w:p>
  <w:p w14:paraId="0ABEBBE8" w14:textId="77777777" w:rsidR="004F4614" w:rsidRPr="000170EE" w:rsidRDefault="004F4614" w:rsidP="000170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A51B3" w14:textId="0234284E" w:rsidR="000170EE" w:rsidRDefault="000170EE">
    <w:pPr>
      <w:pStyle w:val="Header"/>
    </w:pPr>
    <w:r w:rsidRPr="0072264A">
      <w:rPr>
        <w:noProof/>
      </w:rPr>
      <w:drawing>
        <wp:anchor distT="0" distB="0" distL="114300" distR="114300" simplePos="0" relativeHeight="251658241" behindDoc="1" locked="0" layoutInCell="1" allowOverlap="1" wp14:anchorId="158D304D" wp14:editId="04725EE4">
          <wp:simplePos x="0" y="0"/>
          <wp:positionH relativeFrom="margin">
            <wp:align>center</wp:align>
          </wp:positionH>
          <wp:positionV relativeFrom="paragraph">
            <wp:posOffset>-447040</wp:posOffset>
          </wp:positionV>
          <wp:extent cx="10653823" cy="936625"/>
          <wp:effectExtent l="0" t="0" r="0" b="0"/>
          <wp:wrapNone/>
          <wp:docPr id="838653373" name="Picture 838653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53373" name="Picture 83865337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53823" cy="936625"/>
                  </a:xfrm>
                  <a:prstGeom prst="rect">
                    <a:avLst/>
                  </a:prstGeom>
                </pic:spPr>
              </pic:pic>
            </a:graphicData>
          </a:graphic>
          <wp14:sizeRelH relativeFrom="margin">
            <wp14:pctWidth>0</wp14:pctWidth>
          </wp14:sizeRelH>
          <wp14:sizeRelV relativeFrom="margin">
            <wp14:pctHeight>0</wp14:pctHeight>
          </wp14:sizeRelV>
        </wp:anchor>
      </w:drawing>
    </w:r>
  </w:p>
  <w:p w14:paraId="4A576367" w14:textId="5EE13ED4" w:rsidR="000170EE" w:rsidRPr="00305E5C" w:rsidRDefault="000170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3ECCA" w14:textId="77777777" w:rsidR="00C449C7" w:rsidRDefault="00C449C7" w:rsidP="00C449C7">
    <w:r w:rsidRPr="001E1669">
      <w:rPr>
        <w:noProof/>
      </w:rPr>
      <w:drawing>
        <wp:anchor distT="0" distB="0" distL="114300" distR="114300" simplePos="0" relativeHeight="251658245" behindDoc="1" locked="0" layoutInCell="1" allowOverlap="1" wp14:anchorId="2ACFE184" wp14:editId="16112678">
          <wp:simplePos x="0" y="0"/>
          <wp:positionH relativeFrom="page">
            <wp:align>right</wp:align>
          </wp:positionH>
          <wp:positionV relativeFrom="paragraph">
            <wp:posOffset>-446405</wp:posOffset>
          </wp:positionV>
          <wp:extent cx="7543800" cy="1000125"/>
          <wp:effectExtent l="0" t="0" r="0" b="0"/>
          <wp:wrapNone/>
          <wp:docPr id="1744006783" name="Picture 1744006783"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06783" name="Picture 1744006783"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800" cy="1000125"/>
                  </a:xfrm>
                  <a:prstGeom prst="rect">
                    <a:avLst/>
                  </a:prstGeom>
                </pic:spPr>
              </pic:pic>
            </a:graphicData>
          </a:graphic>
          <wp14:sizeRelH relativeFrom="margin">
            <wp14:pctWidth>0</wp14:pctWidth>
          </wp14:sizeRelH>
          <wp14:sizeRelV relativeFrom="margin">
            <wp14:pctHeight>0</wp14:pctHeight>
          </wp14:sizeRelV>
        </wp:anchor>
      </w:drawing>
    </w:r>
  </w:p>
  <w:p w14:paraId="2D47FDC9" w14:textId="77777777" w:rsidR="00C449C7" w:rsidRPr="00C449C7" w:rsidRDefault="00C449C7" w:rsidP="00C449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B9CBE" w14:textId="77777777" w:rsidR="00C449C7" w:rsidRDefault="00C449C7">
    <w:pPr>
      <w:pStyle w:val="Header"/>
    </w:pPr>
    <w:r w:rsidRPr="0072264A">
      <w:rPr>
        <w:noProof/>
      </w:rPr>
      <w:drawing>
        <wp:anchor distT="0" distB="0" distL="114300" distR="114300" simplePos="0" relativeHeight="251658244" behindDoc="1" locked="0" layoutInCell="1" allowOverlap="1" wp14:anchorId="47927E70" wp14:editId="5A09599D">
          <wp:simplePos x="0" y="0"/>
          <wp:positionH relativeFrom="margin">
            <wp:align>center</wp:align>
          </wp:positionH>
          <wp:positionV relativeFrom="paragraph">
            <wp:posOffset>-447040</wp:posOffset>
          </wp:positionV>
          <wp:extent cx="10653823" cy="936625"/>
          <wp:effectExtent l="0" t="0" r="0" b="0"/>
          <wp:wrapNone/>
          <wp:docPr id="307799175" name="Picture 307799175"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53823" cy="936625"/>
                  </a:xfrm>
                  <a:prstGeom prst="rect">
                    <a:avLst/>
                  </a:prstGeom>
                </pic:spPr>
              </pic:pic>
            </a:graphicData>
          </a:graphic>
          <wp14:sizeRelH relativeFrom="margin">
            <wp14:pctWidth>0</wp14:pctWidth>
          </wp14:sizeRelH>
          <wp14:sizeRelV relativeFrom="margin">
            <wp14:pctHeight>0</wp14:pctHeight>
          </wp14:sizeRelV>
        </wp:anchor>
      </w:drawing>
    </w:r>
  </w:p>
  <w:p w14:paraId="63B8E768" w14:textId="77777777" w:rsidR="00C449C7" w:rsidRPr="00305E5C" w:rsidRDefault="00C449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6EFAF1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570C05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0FCC872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2CA0303B"/>
    <w:multiLevelType w:val="multilevel"/>
    <w:tmpl w:val="726CF418"/>
    <w:lvl w:ilvl="0">
      <w:start w:val="1"/>
      <w:numFmt w:val="bullet"/>
      <w:pStyle w:val="Bulletpoints"/>
      <w:lvlText w:val=""/>
      <w:lvlJc w:val="left"/>
      <w:pPr>
        <w:tabs>
          <w:tab w:val="num" w:pos="720"/>
        </w:tabs>
        <w:ind w:left="397" w:hanging="397"/>
      </w:pPr>
      <w:rPr>
        <w:rFonts w:ascii="Symbol" w:hAnsi="Symbol" w:hint="default"/>
        <w:sz w:val="20"/>
      </w:rPr>
    </w:lvl>
    <w:lvl w:ilvl="1">
      <w:start w:val="1"/>
      <w:numFmt w:val="lowerLetter"/>
      <w:pStyle w:val="Bulletpoints2"/>
      <w:lvlText w:val="%2)"/>
      <w:lvlJc w:val="left"/>
      <w:pPr>
        <w:ind w:left="757" w:hanging="360"/>
      </w:pPr>
    </w:lvl>
    <w:lvl w:ilvl="2">
      <w:numFmt w:val="bullet"/>
      <w:lvlText w:val=""/>
      <w:lvlJc w:val="left"/>
      <w:pPr>
        <w:tabs>
          <w:tab w:val="num" w:pos="1514"/>
        </w:tabs>
        <w:ind w:left="1191" w:hanging="397"/>
      </w:pPr>
      <w:rPr>
        <w:rFonts w:ascii="Symbol" w:hAnsi="Symbol" w:hint="default"/>
        <w:sz w:val="20"/>
      </w:rPr>
    </w:lvl>
    <w:lvl w:ilvl="3">
      <w:start w:val="1"/>
      <w:numFmt w:val="bullet"/>
      <w:lvlText w:val=""/>
      <w:lvlJc w:val="left"/>
      <w:pPr>
        <w:tabs>
          <w:tab w:val="num" w:pos="1911"/>
        </w:tabs>
        <w:ind w:left="1588" w:hanging="397"/>
      </w:pPr>
      <w:rPr>
        <w:rFonts w:ascii="Wingdings" w:hAnsi="Wingdings" w:hint="default"/>
        <w:sz w:val="20"/>
      </w:rPr>
    </w:lvl>
    <w:lvl w:ilvl="4">
      <w:start w:val="1"/>
      <w:numFmt w:val="bullet"/>
      <w:lvlText w:val=""/>
      <w:lvlJc w:val="left"/>
      <w:pPr>
        <w:tabs>
          <w:tab w:val="num" w:pos="2308"/>
        </w:tabs>
        <w:ind w:left="1985" w:hanging="397"/>
      </w:pPr>
      <w:rPr>
        <w:rFonts w:ascii="Wingdings" w:hAnsi="Wingdings" w:hint="default"/>
        <w:sz w:val="20"/>
      </w:rPr>
    </w:lvl>
    <w:lvl w:ilvl="5">
      <w:start w:val="1"/>
      <w:numFmt w:val="bullet"/>
      <w:lvlText w:val=""/>
      <w:lvlJc w:val="left"/>
      <w:pPr>
        <w:tabs>
          <w:tab w:val="num" w:pos="2705"/>
        </w:tabs>
        <w:ind w:left="2382" w:hanging="397"/>
      </w:pPr>
      <w:rPr>
        <w:rFonts w:ascii="Wingdings" w:hAnsi="Wingdings" w:hint="default"/>
        <w:sz w:val="20"/>
      </w:rPr>
    </w:lvl>
    <w:lvl w:ilvl="6">
      <w:start w:val="1"/>
      <w:numFmt w:val="bullet"/>
      <w:lvlText w:val=""/>
      <w:lvlJc w:val="left"/>
      <w:pPr>
        <w:tabs>
          <w:tab w:val="num" w:pos="3102"/>
        </w:tabs>
        <w:ind w:left="2779" w:hanging="397"/>
      </w:pPr>
      <w:rPr>
        <w:rFonts w:ascii="Wingdings" w:hAnsi="Wingdings" w:hint="default"/>
        <w:sz w:val="20"/>
      </w:rPr>
    </w:lvl>
    <w:lvl w:ilvl="7">
      <w:start w:val="1"/>
      <w:numFmt w:val="bullet"/>
      <w:lvlText w:val=""/>
      <w:lvlJc w:val="left"/>
      <w:pPr>
        <w:tabs>
          <w:tab w:val="num" w:pos="3499"/>
        </w:tabs>
        <w:ind w:left="3176" w:hanging="397"/>
      </w:pPr>
      <w:rPr>
        <w:rFonts w:ascii="Wingdings" w:hAnsi="Wingdings" w:hint="default"/>
        <w:sz w:val="20"/>
      </w:rPr>
    </w:lvl>
    <w:lvl w:ilvl="8">
      <w:start w:val="1"/>
      <w:numFmt w:val="bullet"/>
      <w:lvlText w:val=""/>
      <w:lvlJc w:val="left"/>
      <w:pPr>
        <w:tabs>
          <w:tab w:val="num" w:pos="3896"/>
        </w:tabs>
        <w:ind w:left="3573" w:hanging="397"/>
      </w:pPr>
      <w:rPr>
        <w:rFonts w:ascii="Wingdings" w:hAnsi="Wingdings" w:hint="default"/>
        <w:sz w:val="20"/>
      </w:rPr>
    </w:lvl>
  </w:abstractNum>
  <w:abstractNum w:abstractNumId="4" w15:restartNumberingAfterBreak="0">
    <w:nsid w:val="33480C13"/>
    <w:multiLevelType w:val="multilevel"/>
    <w:tmpl w:val="50C61EB4"/>
    <w:lvl w:ilvl="0">
      <w:start w:val="1"/>
      <w:numFmt w:val="decimal"/>
      <w:lvlText w:val="%1."/>
      <w:lvlJc w:val="left"/>
      <w:pPr>
        <w:ind w:left="567" w:hanging="567"/>
      </w:pPr>
      <w:rPr>
        <w:rFonts w:hint="default"/>
      </w:rPr>
    </w:lvl>
    <w:lvl w:ilvl="1">
      <w:start w:val="1"/>
      <w:numFmt w:val="decimal"/>
      <w:pStyle w:val="NumberedHeading2"/>
      <w:lvlText w:val="%1.%2."/>
      <w:lvlJc w:val="left"/>
      <w:pPr>
        <w:ind w:left="567" w:hanging="567"/>
      </w:pPr>
      <w:rPr>
        <w:rFonts w:hint="default"/>
        <w:i w:val="0"/>
        <w:iCs/>
      </w:rPr>
    </w:lvl>
    <w:lvl w:ilvl="2">
      <w:start w:val="1"/>
      <w:numFmt w:val="decimal"/>
      <w:pStyle w:val="NumberedHeading3"/>
      <w:suff w:val="space"/>
      <w:lvlText w:val="%1.%2.%3."/>
      <w:lvlJc w:val="left"/>
      <w:pPr>
        <w:ind w:left="567" w:hanging="567"/>
      </w:pPr>
      <w:rPr>
        <w:rFonts w:hint="default"/>
        <w:i w:val="0"/>
        <w:iCs/>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5" w15:restartNumberingAfterBreak="0">
    <w:nsid w:val="660A58EF"/>
    <w:multiLevelType w:val="hybridMultilevel"/>
    <w:tmpl w:val="1DB279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795B6790"/>
    <w:multiLevelType w:val="multilevel"/>
    <w:tmpl w:val="6638CE10"/>
    <w:lvl w:ilvl="0">
      <w:start w:val="2"/>
      <w:numFmt w:val="decimal"/>
      <w:lvlText w:val="%1"/>
      <w:lvlJc w:val="left"/>
      <w:pPr>
        <w:ind w:left="450" w:hanging="450"/>
      </w:pPr>
      <w:rPr>
        <w:rFonts w:hint="default"/>
      </w:rPr>
    </w:lvl>
    <w:lvl w:ilvl="1">
      <w:start w:val="5"/>
      <w:numFmt w:val="decimal"/>
      <w:lvlText w:val="%1.%2"/>
      <w:lvlJc w:val="left"/>
      <w:pPr>
        <w:ind w:left="450" w:hanging="45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6964855">
    <w:abstractNumId w:val="2"/>
  </w:num>
  <w:num w:numId="2" w16cid:durableId="989600263">
    <w:abstractNumId w:val="1"/>
  </w:num>
  <w:num w:numId="3" w16cid:durableId="1019088394">
    <w:abstractNumId w:val="0"/>
  </w:num>
  <w:num w:numId="4" w16cid:durableId="1618679860">
    <w:abstractNumId w:val="5"/>
  </w:num>
  <w:num w:numId="5" w16cid:durableId="1306397330">
    <w:abstractNumId w:val="3"/>
  </w:num>
  <w:num w:numId="6" w16cid:durableId="1463839758">
    <w:abstractNumId w:val="4"/>
  </w:num>
  <w:num w:numId="7" w16cid:durableId="164161832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efaultTableStyle w:val="ListTable4-Accent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22"/>
    <w:rsid w:val="000007B5"/>
    <w:rsid w:val="00000810"/>
    <w:rsid w:val="00000844"/>
    <w:rsid w:val="000008DF"/>
    <w:rsid w:val="00000910"/>
    <w:rsid w:val="00000A2B"/>
    <w:rsid w:val="0000125F"/>
    <w:rsid w:val="00001789"/>
    <w:rsid w:val="00001A12"/>
    <w:rsid w:val="00001C22"/>
    <w:rsid w:val="00002072"/>
    <w:rsid w:val="000020B9"/>
    <w:rsid w:val="00002194"/>
    <w:rsid w:val="000021CA"/>
    <w:rsid w:val="000024E4"/>
    <w:rsid w:val="0000255E"/>
    <w:rsid w:val="0000269B"/>
    <w:rsid w:val="00002DD2"/>
    <w:rsid w:val="00002DDE"/>
    <w:rsid w:val="000030F2"/>
    <w:rsid w:val="0000420A"/>
    <w:rsid w:val="00004411"/>
    <w:rsid w:val="0000474B"/>
    <w:rsid w:val="00004B1E"/>
    <w:rsid w:val="00004BF3"/>
    <w:rsid w:val="00005268"/>
    <w:rsid w:val="00005A06"/>
    <w:rsid w:val="00005CBF"/>
    <w:rsid w:val="00005EF6"/>
    <w:rsid w:val="000066D0"/>
    <w:rsid w:val="000068EC"/>
    <w:rsid w:val="00006FB9"/>
    <w:rsid w:val="00007054"/>
    <w:rsid w:val="00007890"/>
    <w:rsid w:val="00007DBC"/>
    <w:rsid w:val="0001016C"/>
    <w:rsid w:val="00010199"/>
    <w:rsid w:val="000101D0"/>
    <w:rsid w:val="000102A9"/>
    <w:rsid w:val="0001081A"/>
    <w:rsid w:val="00010AA8"/>
    <w:rsid w:val="00010DBD"/>
    <w:rsid w:val="00010DC1"/>
    <w:rsid w:val="00010EAD"/>
    <w:rsid w:val="00010F20"/>
    <w:rsid w:val="00011011"/>
    <w:rsid w:val="00011363"/>
    <w:rsid w:val="0001173C"/>
    <w:rsid w:val="0001176A"/>
    <w:rsid w:val="00011827"/>
    <w:rsid w:val="0001195F"/>
    <w:rsid w:val="00011DFE"/>
    <w:rsid w:val="00011E55"/>
    <w:rsid w:val="00012065"/>
    <w:rsid w:val="0001233E"/>
    <w:rsid w:val="00012562"/>
    <w:rsid w:val="000125FC"/>
    <w:rsid w:val="00012779"/>
    <w:rsid w:val="00012847"/>
    <w:rsid w:val="00012965"/>
    <w:rsid w:val="000129DE"/>
    <w:rsid w:val="00012A5F"/>
    <w:rsid w:val="00012CC4"/>
    <w:rsid w:val="00012DB5"/>
    <w:rsid w:val="00012EE7"/>
    <w:rsid w:val="00013397"/>
    <w:rsid w:val="000134B9"/>
    <w:rsid w:val="000136C6"/>
    <w:rsid w:val="00013730"/>
    <w:rsid w:val="00013A6B"/>
    <w:rsid w:val="00013E04"/>
    <w:rsid w:val="00014182"/>
    <w:rsid w:val="00014280"/>
    <w:rsid w:val="000148B6"/>
    <w:rsid w:val="00014B14"/>
    <w:rsid w:val="00014D89"/>
    <w:rsid w:val="00014DF0"/>
    <w:rsid w:val="000150B9"/>
    <w:rsid w:val="000150D3"/>
    <w:rsid w:val="0001523C"/>
    <w:rsid w:val="00015461"/>
    <w:rsid w:val="000158C6"/>
    <w:rsid w:val="00015945"/>
    <w:rsid w:val="00015A38"/>
    <w:rsid w:val="00015A4B"/>
    <w:rsid w:val="00015F70"/>
    <w:rsid w:val="000161F3"/>
    <w:rsid w:val="00016355"/>
    <w:rsid w:val="00016638"/>
    <w:rsid w:val="00016CA9"/>
    <w:rsid w:val="00016DBC"/>
    <w:rsid w:val="00016DBE"/>
    <w:rsid w:val="00016E2A"/>
    <w:rsid w:val="00016F32"/>
    <w:rsid w:val="000170D1"/>
    <w:rsid w:val="000170EE"/>
    <w:rsid w:val="00017203"/>
    <w:rsid w:val="00017304"/>
    <w:rsid w:val="000174B6"/>
    <w:rsid w:val="00017765"/>
    <w:rsid w:val="0001783A"/>
    <w:rsid w:val="0001798D"/>
    <w:rsid w:val="00017E05"/>
    <w:rsid w:val="00020502"/>
    <w:rsid w:val="00020549"/>
    <w:rsid w:val="00020C6E"/>
    <w:rsid w:val="00020F58"/>
    <w:rsid w:val="00020FA8"/>
    <w:rsid w:val="0002187E"/>
    <w:rsid w:val="00021CB0"/>
    <w:rsid w:val="00021E4B"/>
    <w:rsid w:val="00021EAC"/>
    <w:rsid w:val="000223A8"/>
    <w:rsid w:val="00022460"/>
    <w:rsid w:val="00022ACF"/>
    <w:rsid w:val="00022BBD"/>
    <w:rsid w:val="000231DB"/>
    <w:rsid w:val="0002351D"/>
    <w:rsid w:val="000235EF"/>
    <w:rsid w:val="0002394C"/>
    <w:rsid w:val="00023D4F"/>
    <w:rsid w:val="00023D69"/>
    <w:rsid w:val="00023FAE"/>
    <w:rsid w:val="00023FF3"/>
    <w:rsid w:val="00024323"/>
    <w:rsid w:val="000243AF"/>
    <w:rsid w:val="000248F4"/>
    <w:rsid w:val="00024D50"/>
    <w:rsid w:val="000252BA"/>
    <w:rsid w:val="000252D0"/>
    <w:rsid w:val="000253BD"/>
    <w:rsid w:val="00025536"/>
    <w:rsid w:val="0002565E"/>
    <w:rsid w:val="000257AC"/>
    <w:rsid w:val="00025983"/>
    <w:rsid w:val="0002622A"/>
    <w:rsid w:val="0002661A"/>
    <w:rsid w:val="00026BC1"/>
    <w:rsid w:val="00026C00"/>
    <w:rsid w:val="00026C7C"/>
    <w:rsid w:val="00026E05"/>
    <w:rsid w:val="000274BE"/>
    <w:rsid w:val="00027581"/>
    <w:rsid w:val="000278D3"/>
    <w:rsid w:val="0002798A"/>
    <w:rsid w:val="00027BBF"/>
    <w:rsid w:val="00027D19"/>
    <w:rsid w:val="00027DEE"/>
    <w:rsid w:val="0003002D"/>
    <w:rsid w:val="0003020F"/>
    <w:rsid w:val="000305B8"/>
    <w:rsid w:val="000305F9"/>
    <w:rsid w:val="0003082F"/>
    <w:rsid w:val="00030834"/>
    <w:rsid w:val="000310E2"/>
    <w:rsid w:val="000311F2"/>
    <w:rsid w:val="000314A0"/>
    <w:rsid w:val="0003177E"/>
    <w:rsid w:val="00031815"/>
    <w:rsid w:val="00031AC4"/>
    <w:rsid w:val="00032002"/>
    <w:rsid w:val="00032220"/>
    <w:rsid w:val="00032608"/>
    <w:rsid w:val="00032914"/>
    <w:rsid w:val="00032AB6"/>
    <w:rsid w:val="00032C97"/>
    <w:rsid w:val="00032E61"/>
    <w:rsid w:val="0003317A"/>
    <w:rsid w:val="0003323E"/>
    <w:rsid w:val="00033375"/>
    <w:rsid w:val="0003340E"/>
    <w:rsid w:val="000337F9"/>
    <w:rsid w:val="00033E41"/>
    <w:rsid w:val="00033FA0"/>
    <w:rsid w:val="000341CA"/>
    <w:rsid w:val="000348EF"/>
    <w:rsid w:val="00034C18"/>
    <w:rsid w:val="00034F16"/>
    <w:rsid w:val="0003573F"/>
    <w:rsid w:val="0003596D"/>
    <w:rsid w:val="000359B7"/>
    <w:rsid w:val="000364A7"/>
    <w:rsid w:val="0003671A"/>
    <w:rsid w:val="0003679B"/>
    <w:rsid w:val="00037049"/>
    <w:rsid w:val="00037254"/>
    <w:rsid w:val="0003726A"/>
    <w:rsid w:val="0003753D"/>
    <w:rsid w:val="0003758E"/>
    <w:rsid w:val="00040AB7"/>
    <w:rsid w:val="00040C35"/>
    <w:rsid w:val="00040C4E"/>
    <w:rsid w:val="000410A0"/>
    <w:rsid w:val="00041580"/>
    <w:rsid w:val="000417B2"/>
    <w:rsid w:val="00041823"/>
    <w:rsid w:val="00041A39"/>
    <w:rsid w:val="00041FF5"/>
    <w:rsid w:val="00041FFE"/>
    <w:rsid w:val="00042123"/>
    <w:rsid w:val="000422E0"/>
    <w:rsid w:val="0004279D"/>
    <w:rsid w:val="00042A6F"/>
    <w:rsid w:val="00042D13"/>
    <w:rsid w:val="000432EC"/>
    <w:rsid w:val="00043434"/>
    <w:rsid w:val="000445DB"/>
    <w:rsid w:val="00044887"/>
    <w:rsid w:val="00044E42"/>
    <w:rsid w:val="00044F98"/>
    <w:rsid w:val="000450B9"/>
    <w:rsid w:val="000457CE"/>
    <w:rsid w:val="000459FA"/>
    <w:rsid w:val="00045B4A"/>
    <w:rsid w:val="00045EB9"/>
    <w:rsid w:val="00046806"/>
    <w:rsid w:val="000468AF"/>
    <w:rsid w:val="0004793A"/>
    <w:rsid w:val="00047AB7"/>
    <w:rsid w:val="00047D6D"/>
    <w:rsid w:val="00050382"/>
    <w:rsid w:val="00050400"/>
    <w:rsid w:val="0005056C"/>
    <w:rsid w:val="0005078A"/>
    <w:rsid w:val="00050994"/>
    <w:rsid w:val="0005107D"/>
    <w:rsid w:val="0005160A"/>
    <w:rsid w:val="00051A9B"/>
    <w:rsid w:val="00051C86"/>
    <w:rsid w:val="00051CF9"/>
    <w:rsid w:val="000521A7"/>
    <w:rsid w:val="00052409"/>
    <w:rsid w:val="00052B43"/>
    <w:rsid w:val="00052BB2"/>
    <w:rsid w:val="00052CA5"/>
    <w:rsid w:val="00053029"/>
    <w:rsid w:val="0005302E"/>
    <w:rsid w:val="000531DC"/>
    <w:rsid w:val="000533DB"/>
    <w:rsid w:val="0005352D"/>
    <w:rsid w:val="000536F5"/>
    <w:rsid w:val="00054198"/>
    <w:rsid w:val="000544BD"/>
    <w:rsid w:val="00054512"/>
    <w:rsid w:val="00054AC3"/>
    <w:rsid w:val="00054B4C"/>
    <w:rsid w:val="00055233"/>
    <w:rsid w:val="00055320"/>
    <w:rsid w:val="00055B57"/>
    <w:rsid w:val="00055E76"/>
    <w:rsid w:val="00056060"/>
    <w:rsid w:val="00056093"/>
    <w:rsid w:val="00056119"/>
    <w:rsid w:val="00056BDA"/>
    <w:rsid w:val="00056FA6"/>
    <w:rsid w:val="00056FFE"/>
    <w:rsid w:val="00057371"/>
    <w:rsid w:val="0005742C"/>
    <w:rsid w:val="00057BC0"/>
    <w:rsid w:val="00057FCB"/>
    <w:rsid w:val="00060A53"/>
    <w:rsid w:val="00060BDB"/>
    <w:rsid w:val="0006157C"/>
    <w:rsid w:val="00061649"/>
    <w:rsid w:val="0006191F"/>
    <w:rsid w:val="00061C97"/>
    <w:rsid w:val="00061F7B"/>
    <w:rsid w:val="000621E2"/>
    <w:rsid w:val="00062649"/>
    <w:rsid w:val="000628C1"/>
    <w:rsid w:val="00062A93"/>
    <w:rsid w:val="00062BDA"/>
    <w:rsid w:val="00062D0E"/>
    <w:rsid w:val="00063373"/>
    <w:rsid w:val="00063C10"/>
    <w:rsid w:val="00063F5A"/>
    <w:rsid w:val="00064210"/>
    <w:rsid w:val="0006426F"/>
    <w:rsid w:val="0006465A"/>
    <w:rsid w:val="0006497B"/>
    <w:rsid w:val="000649BE"/>
    <w:rsid w:val="00064A31"/>
    <w:rsid w:val="00064C5E"/>
    <w:rsid w:val="000652C7"/>
    <w:rsid w:val="0006548E"/>
    <w:rsid w:val="000657E3"/>
    <w:rsid w:val="0006580B"/>
    <w:rsid w:val="00065815"/>
    <w:rsid w:val="00065CE5"/>
    <w:rsid w:val="00065D16"/>
    <w:rsid w:val="00065EFA"/>
    <w:rsid w:val="0006622F"/>
    <w:rsid w:val="000666EF"/>
    <w:rsid w:val="0006696B"/>
    <w:rsid w:val="000670F0"/>
    <w:rsid w:val="000678C6"/>
    <w:rsid w:val="0006792D"/>
    <w:rsid w:val="000679B0"/>
    <w:rsid w:val="00067C02"/>
    <w:rsid w:val="00067F60"/>
    <w:rsid w:val="0007003F"/>
    <w:rsid w:val="0007020E"/>
    <w:rsid w:val="0007028A"/>
    <w:rsid w:val="000704C4"/>
    <w:rsid w:val="00070577"/>
    <w:rsid w:val="000705C2"/>
    <w:rsid w:val="00070A31"/>
    <w:rsid w:val="00070AE9"/>
    <w:rsid w:val="00070CEB"/>
    <w:rsid w:val="00070DEB"/>
    <w:rsid w:val="00070E0E"/>
    <w:rsid w:val="00070E0F"/>
    <w:rsid w:val="00070FA2"/>
    <w:rsid w:val="00070FAC"/>
    <w:rsid w:val="0007126E"/>
    <w:rsid w:val="0007128D"/>
    <w:rsid w:val="0007155B"/>
    <w:rsid w:val="0007174B"/>
    <w:rsid w:val="00071986"/>
    <w:rsid w:val="00071C44"/>
    <w:rsid w:val="00071DE0"/>
    <w:rsid w:val="00072188"/>
    <w:rsid w:val="0007241C"/>
    <w:rsid w:val="000728D8"/>
    <w:rsid w:val="000729A1"/>
    <w:rsid w:val="000729AA"/>
    <w:rsid w:val="000729F2"/>
    <w:rsid w:val="000729FB"/>
    <w:rsid w:val="00072B3D"/>
    <w:rsid w:val="00072BE7"/>
    <w:rsid w:val="00072E9C"/>
    <w:rsid w:val="000732E3"/>
    <w:rsid w:val="000735F3"/>
    <w:rsid w:val="00073AB2"/>
    <w:rsid w:val="000748C4"/>
    <w:rsid w:val="00074C62"/>
    <w:rsid w:val="0007518C"/>
    <w:rsid w:val="00075468"/>
    <w:rsid w:val="000757D2"/>
    <w:rsid w:val="00075BD0"/>
    <w:rsid w:val="00075EAD"/>
    <w:rsid w:val="00076466"/>
    <w:rsid w:val="00076498"/>
    <w:rsid w:val="00076648"/>
    <w:rsid w:val="00076D3A"/>
    <w:rsid w:val="00077128"/>
    <w:rsid w:val="000771C8"/>
    <w:rsid w:val="0007732B"/>
    <w:rsid w:val="000779F9"/>
    <w:rsid w:val="00077CDE"/>
    <w:rsid w:val="00077E81"/>
    <w:rsid w:val="00080393"/>
    <w:rsid w:val="00080410"/>
    <w:rsid w:val="000807D1"/>
    <w:rsid w:val="000808C0"/>
    <w:rsid w:val="000808E6"/>
    <w:rsid w:val="00080A1E"/>
    <w:rsid w:val="00080DF0"/>
    <w:rsid w:val="00081824"/>
    <w:rsid w:val="00081875"/>
    <w:rsid w:val="00081B39"/>
    <w:rsid w:val="00081D7B"/>
    <w:rsid w:val="00081F73"/>
    <w:rsid w:val="00082209"/>
    <w:rsid w:val="00082816"/>
    <w:rsid w:val="0008297C"/>
    <w:rsid w:val="000829C0"/>
    <w:rsid w:val="00082AC7"/>
    <w:rsid w:val="0008360C"/>
    <w:rsid w:val="00083664"/>
    <w:rsid w:val="000836E6"/>
    <w:rsid w:val="00083A87"/>
    <w:rsid w:val="00083B80"/>
    <w:rsid w:val="00083E08"/>
    <w:rsid w:val="00084128"/>
    <w:rsid w:val="000843BE"/>
    <w:rsid w:val="00084688"/>
    <w:rsid w:val="0008469C"/>
    <w:rsid w:val="000846C9"/>
    <w:rsid w:val="00084987"/>
    <w:rsid w:val="00084C05"/>
    <w:rsid w:val="00084FD4"/>
    <w:rsid w:val="00085330"/>
    <w:rsid w:val="0008582E"/>
    <w:rsid w:val="000859D4"/>
    <w:rsid w:val="00085B1D"/>
    <w:rsid w:val="00085CBF"/>
    <w:rsid w:val="00086095"/>
    <w:rsid w:val="0008612F"/>
    <w:rsid w:val="00086134"/>
    <w:rsid w:val="0008629F"/>
    <w:rsid w:val="00086574"/>
    <w:rsid w:val="000867BA"/>
    <w:rsid w:val="000869CC"/>
    <w:rsid w:val="000872D9"/>
    <w:rsid w:val="000874E4"/>
    <w:rsid w:val="00087658"/>
    <w:rsid w:val="000876A5"/>
    <w:rsid w:val="00087793"/>
    <w:rsid w:val="000877DE"/>
    <w:rsid w:val="00087BE7"/>
    <w:rsid w:val="00087FA1"/>
    <w:rsid w:val="000902A4"/>
    <w:rsid w:val="000902FC"/>
    <w:rsid w:val="00090648"/>
    <w:rsid w:val="000907F8"/>
    <w:rsid w:val="00090BEA"/>
    <w:rsid w:val="00090E7E"/>
    <w:rsid w:val="000916A7"/>
    <w:rsid w:val="00091A45"/>
    <w:rsid w:val="00091D3F"/>
    <w:rsid w:val="00091D7D"/>
    <w:rsid w:val="00091E0E"/>
    <w:rsid w:val="00091E25"/>
    <w:rsid w:val="00091E3E"/>
    <w:rsid w:val="000923B6"/>
    <w:rsid w:val="000928B4"/>
    <w:rsid w:val="00092990"/>
    <w:rsid w:val="00092C30"/>
    <w:rsid w:val="00092CCA"/>
    <w:rsid w:val="00092DBA"/>
    <w:rsid w:val="00093536"/>
    <w:rsid w:val="0009355E"/>
    <w:rsid w:val="00094011"/>
    <w:rsid w:val="00094901"/>
    <w:rsid w:val="00094927"/>
    <w:rsid w:val="0009493D"/>
    <w:rsid w:val="00094B82"/>
    <w:rsid w:val="00094D1F"/>
    <w:rsid w:val="00094E87"/>
    <w:rsid w:val="000955EB"/>
    <w:rsid w:val="00095F58"/>
    <w:rsid w:val="00096103"/>
    <w:rsid w:val="0009622D"/>
    <w:rsid w:val="000964E0"/>
    <w:rsid w:val="00096623"/>
    <w:rsid w:val="00096672"/>
    <w:rsid w:val="00096B55"/>
    <w:rsid w:val="00096F73"/>
    <w:rsid w:val="00096FF8"/>
    <w:rsid w:val="000970EA"/>
    <w:rsid w:val="0009712D"/>
    <w:rsid w:val="00097176"/>
    <w:rsid w:val="0009731F"/>
    <w:rsid w:val="000974F2"/>
    <w:rsid w:val="00097660"/>
    <w:rsid w:val="00097929"/>
    <w:rsid w:val="00097C1C"/>
    <w:rsid w:val="00097C40"/>
    <w:rsid w:val="000A025F"/>
    <w:rsid w:val="000A0305"/>
    <w:rsid w:val="000A03B2"/>
    <w:rsid w:val="000A0858"/>
    <w:rsid w:val="000A0906"/>
    <w:rsid w:val="000A09A8"/>
    <w:rsid w:val="000A0AA8"/>
    <w:rsid w:val="000A0CE4"/>
    <w:rsid w:val="000A0D53"/>
    <w:rsid w:val="000A119F"/>
    <w:rsid w:val="000A17F4"/>
    <w:rsid w:val="000A1AB2"/>
    <w:rsid w:val="000A218D"/>
    <w:rsid w:val="000A26AB"/>
    <w:rsid w:val="000A2835"/>
    <w:rsid w:val="000A2D4F"/>
    <w:rsid w:val="000A2DF4"/>
    <w:rsid w:val="000A3292"/>
    <w:rsid w:val="000A360A"/>
    <w:rsid w:val="000A367A"/>
    <w:rsid w:val="000A3789"/>
    <w:rsid w:val="000A384B"/>
    <w:rsid w:val="000A3BA6"/>
    <w:rsid w:val="000A3BCA"/>
    <w:rsid w:val="000A3CF0"/>
    <w:rsid w:val="000A3EEB"/>
    <w:rsid w:val="000A4194"/>
    <w:rsid w:val="000A41E9"/>
    <w:rsid w:val="000A4248"/>
    <w:rsid w:val="000A43AD"/>
    <w:rsid w:val="000A43ED"/>
    <w:rsid w:val="000A49F6"/>
    <w:rsid w:val="000A4A7C"/>
    <w:rsid w:val="000A4AD9"/>
    <w:rsid w:val="000A4BF4"/>
    <w:rsid w:val="000A4DD3"/>
    <w:rsid w:val="000A4E15"/>
    <w:rsid w:val="000A5275"/>
    <w:rsid w:val="000A54C7"/>
    <w:rsid w:val="000A54EE"/>
    <w:rsid w:val="000A5A40"/>
    <w:rsid w:val="000A5F8F"/>
    <w:rsid w:val="000A60C5"/>
    <w:rsid w:val="000A650A"/>
    <w:rsid w:val="000A687C"/>
    <w:rsid w:val="000A6B48"/>
    <w:rsid w:val="000A6CB2"/>
    <w:rsid w:val="000A7080"/>
    <w:rsid w:val="000A712E"/>
    <w:rsid w:val="000A7387"/>
    <w:rsid w:val="000A7879"/>
    <w:rsid w:val="000A7D92"/>
    <w:rsid w:val="000A7FE8"/>
    <w:rsid w:val="000B0235"/>
    <w:rsid w:val="000B0465"/>
    <w:rsid w:val="000B047C"/>
    <w:rsid w:val="000B0835"/>
    <w:rsid w:val="000B0951"/>
    <w:rsid w:val="000B095F"/>
    <w:rsid w:val="000B0C17"/>
    <w:rsid w:val="000B0CA7"/>
    <w:rsid w:val="000B0CFC"/>
    <w:rsid w:val="000B0D20"/>
    <w:rsid w:val="000B0E81"/>
    <w:rsid w:val="000B0E8D"/>
    <w:rsid w:val="000B11DA"/>
    <w:rsid w:val="000B132A"/>
    <w:rsid w:val="000B19D7"/>
    <w:rsid w:val="000B1C3D"/>
    <w:rsid w:val="000B1CB9"/>
    <w:rsid w:val="000B1EDD"/>
    <w:rsid w:val="000B2291"/>
    <w:rsid w:val="000B25E0"/>
    <w:rsid w:val="000B2FDD"/>
    <w:rsid w:val="000B3871"/>
    <w:rsid w:val="000B3933"/>
    <w:rsid w:val="000B3C11"/>
    <w:rsid w:val="000B3F71"/>
    <w:rsid w:val="000B401F"/>
    <w:rsid w:val="000B4141"/>
    <w:rsid w:val="000B4180"/>
    <w:rsid w:val="000B44F3"/>
    <w:rsid w:val="000B460A"/>
    <w:rsid w:val="000B46B7"/>
    <w:rsid w:val="000B4817"/>
    <w:rsid w:val="000B4888"/>
    <w:rsid w:val="000B48E6"/>
    <w:rsid w:val="000B4A3E"/>
    <w:rsid w:val="000B4CB7"/>
    <w:rsid w:val="000B5129"/>
    <w:rsid w:val="000B5169"/>
    <w:rsid w:val="000B5801"/>
    <w:rsid w:val="000B5B4F"/>
    <w:rsid w:val="000B5C79"/>
    <w:rsid w:val="000B5CE5"/>
    <w:rsid w:val="000B5D82"/>
    <w:rsid w:val="000B6041"/>
    <w:rsid w:val="000B6360"/>
    <w:rsid w:val="000B647E"/>
    <w:rsid w:val="000B683B"/>
    <w:rsid w:val="000B687F"/>
    <w:rsid w:val="000B6C19"/>
    <w:rsid w:val="000B6E8A"/>
    <w:rsid w:val="000B6EE9"/>
    <w:rsid w:val="000B6F87"/>
    <w:rsid w:val="000B785B"/>
    <w:rsid w:val="000B7905"/>
    <w:rsid w:val="000B7C1E"/>
    <w:rsid w:val="000B7C61"/>
    <w:rsid w:val="000B7F8B"/>
    <w:rsid w:val="000C00C2"/>
    <w:rsid w:val="000C0138"/>
    <w:rsid w:val="000C029C"/>
    <w:rsid w:val="000C0499"/>
    <w:rsid w:val="000C04BD"/>
    <w:rsid w:val="000C0624"/>
    <w:rsid w:val="000C09AE"/>
    <w:rsid w:val="000C0A0D"/>
    <w:rsid w:val="000C0AFE"/>
    <w:rsid w:val="000C0C12"/>
    <w:rsid w:val="000C0C70"/>
    <w:rsid w:val="000C0DAE"/>
    <w:rsid w:val="000C1290"/>
    <w:rsid w:val="000C12AA"/>
    <w:rsid w:val="000C13D9"/>
    <w:rsid w:val="000C14EF"/>
    <w:rsid w:val="000C1A4E"/>
    <w:rsid w:val="000C1D8B"/>
    <w:rsid w:val="000C216B"/>
    <w:rsid w:val="000C22BA"/>
    <w:rsid w:val="000C2693"/>
    <w:rsid w:val="000C2CE0"/>
    <w:rsid w:val="000C2D85"/>
    <w:rsid w:val="000C3203"/>
    <w:rsid w:val="000C34C6"/>
    <w:rsid w:val="000C390F"/>
    <w:rsid w:val="000C3C14"/>
    <w:rsid w:val="000C3C4C"/>
    <w:rsid w:val="000C3CC3"/>
    <w:rsid w:val="000C3FA9"/>
    <w:rsid w:val="000C41FD"/>
    <w:rsid w:val="000C429C"/>
    <w:rsid w:val="000C4A64"/>
    <w:rsid w:val="000C4F5C"/>
    <w:rsid w:val="000C5176"/>
    <w:rsid w:val="000C534D"/>
    <w:rsid w:val="000C5830"/>
    <w:rsid w:val="000C5A48"/>
    <w:rsid w:val="000C5BB0"/>
    <w:rsid w:val="000C5F18"/>
    <w:rsid w:val="000C5F2E"/>
    <w:rsid w:val="000C6086"/>
    <w:rsid w:val="000C647C"/>
    <w:rsid w:val="000C6510"/>
    <w:rsid w:val="000C69F1"/>
    <w:rsid w:val="000C6A6E"/>
    <w:rsid w:val="000C6F22"/>
    <w:rsid w:val="000C76C7"/>
    <w:rsid w:val="000C7866"/>
    <w:rsid w:val="000C7A2E"/>
    <w:rsid w:val="000C7E28"/>
    <w:rsid w:val="000C7E6F"/>
    <w:rsid w:val="000C7FC9"/>
    <w:rsid w:val="000D021B"/>
    <w:rsid w:val="000D04BD"/>
    <w:rsid w:val="000D0580"/>
    <w:rsid w:val="000D0C88"/>
    <w:rsid w:val="000D0D20"/>
    <w:rsid w:val="000D0EAB"/>
    <w:rsid w:val="000D0F91"/>
    <w:rsid w:val="000D0FF6"/>
    <w:rsid w:val="000D1088"/>
    <w:rsid w:val="000D10E8"/>
    <w:rsid w:val="000D14D2"/>
    <w:rsid w:val="000D14E0"/>
    <w:rsid w:val="000D14FC"/>
    <w:rsid w:val="000D1535"/>
    <w:rsid w:val="000D2003"/>
    <w:rsid w:val="000D25AE"/>
    <w:rsid w:val="000D28C0"/>
    <w:rsid w:val="000D29DB"/>
    <w:rsid w:val="000D2D41"/>
    <w:rsid w:val="000D2F09"/>
    <w:rsid w:val="000D2F8E"/>
    <w:rsid w:val="000D3222"/>
    <w:rsid w:val="000D36F2"/>
    <w:rsid w:val="000D36FE"/>
    <w:rsid w:val="000D3840"/>
    <w:rsid w:val="000D38E4"/>
    <w:rsid w:val="000D3907"/>
    <w:rsid w:val="000D394F"/>
    <w:rsid w:val="000D395F"/>
    <w:rsid w:val="000D3DEA"/>
    <w:rsid w:val="000D4225"/>
    <w:rsid w:val="000D45B7"/>
    <w:rsid w:val="000D45FA"/>
    <w:rsid w:val="000D470E"/>
    <w:rsid w:val="000D49F5"/>
    <w:rsid w:val="000D4B99"/>
    <w:rsid w:val="000D4EC4"/>
    <w:rsid w:val="000D4ED9"/>
    <w:rsid w:val="000D4FA1"/>
    <w:rsid w:val="000D5031"/>
    <w:rsid w:val="000D51AF"/>
    <w:rsid w:val="000D53A1"/>
    <w:rsid w:val="000D53C4"/>
    <w:rsid w:val="000D5BC8"/>
    <w:rsid w:val="000D5CD0"/>
    <w:rsid w:val="000D6458"/>
    <w:rsid w:val="000D69B0"/>
    <w:rsid w:val="000D6B2F"/>
    <w:rsid w:val="000D6C0F"/>
    <w:rsid w:val="000D6D53"/>
    <w:rsid w:val="000D7045"/>
    <w:rsid w:val="000D70EE"/>
    <w:rsid w:val="000D754F"/>
    <w:rsid w:val="000D76FD"/>
    <w:rsid w:val="000D7CD0"/>
    <w:rsid w:val="000D7CE7"/>
    <w:rsid w:val="000D7D91"/>
    <w:rsid w:val="000E0217"/>
    <w:rsid w:val="000E049E"/>
    <w:rsid w:val="000E060D"/>
    <w:rsid w:val="000E0804"/>
    <w:rsid w:val="000E081B"/>
    <w:rsid w:val="000E0BC5"/>
    <w:rsid w:val="000E0C69"/>
    <w:rsid w:val="000E0DD5"/>
    <w:rsid w:val="000E0F35"/>
    <w:rsid w:val="000E12D8"/>
    <w:rsid w:val="000E1510"/>
    <w:rsid w:val="000E1A04"/>
    <w:rsid w:val="000E1F56"/>
    <w:rsid w:val="000E2021"/>
    <w:rsid w:val="000E2165"/>
    <w:rsid w:val="000E23A6"/>
    <w:rsid w:val="000E242C"/>
    <w:rsid w:val="000E2694"/>
    <w:rsid w:val="000E27EB"/>
    <w:rsid w:val="000E293C"/>
    <w:rsid w:val="000E2A9F"/>
    <w:rsid w:val="000E2AB5"/>
    <w:rsid w:val="000E2ACD"/>
    <w:rsid w:val="000E2CE9"/>
    <w:rsid w:val="000E302D"/>
    <w:rsid w:val="000E32D2"/>
    <w:rsid w:val="000E333E"/>
    <w:rsid w:val="000E3380"/>
    <w:rsid w:val="000E37B1"/>
    <w:rsid w:val="000E37D0"/>
    <w:rsid w:val="000E3CAB"/>
    <w:rsid w:val="000E3FA6"/>
    <w:rsid w:val="000E4308"/>
    <w:rsid w:val="000E4579"/>
    <w:rsid w:val="000E486A"/>
    <w:rsid w:val="000E50E0"/>
    <w:rsid w:val="000E5181"/>
    <w:rsid w:val="000E533B"/>
    <w:rsid w:val="000E5EA8"/>
    <w:rsid w:val="000E5FF6"/>
    <w:rsid w:val="000E62D0"/>
    <w:rsid w:val="000E64A3"/>
    <w:rsid w:val="000E6505"/>
    <w:rsid w:val="000E6FE9"/>
    <w:rsid w:val="000E7149"/>
    <w:rsid w:val="000E7289"/>
    <w:rsid w:val="000E73B7"/>
    <w:rsid w:val="000E744C"/>
    <w:rsid w:val="000E7714"/>
    <w:rsid w:val="000E772C"/>
    <w:rsid w:val="000E79D2"/>
    <w:rsid w:val="000E7DBC"/>
    <w:rsid w:val="000F02AA"/>
    <w:rsid w:val="000F03A8"/>
    <w:rsid w:val="000F0810"/>
    <w:rsid w:val="000F0F20"/>
    <w:rsid w:val="000F142F"/>
    <w:rsid w:val="000F154F"/>
    <w:rsid w:val="000F18F4"/>
    <w:rsid w:val="000F1D2C"/>
    <w:rsid w:val="000F20FB"/>
    <w:rsid w:val="000F23DA"/>
    <w:rsid w:val="000F2526"/>
    <w:rsid w:val="000F2E1B"/>
    <w:rsid w:val="000F2F2E"/>
    <w:rsid w:val="000F328A"/>
    <w:rsid w:val="000F3321"/>
    <w:rsid w:val="000F348D"/>
    <w:rsid w:val="000F36C0"/>
    <w:rsid w:val="000F37F6"/>
    <w:rsid w:val="000F38FD"/>
    <w:rsid w:val="000F39CA"/>
    <w:rsid w:val="000F3C02"/>
    <w:rsid w:val="000F406E"/>
    <w:rsid w:val="000F40D3"/>
    <w:rsid w:val="000F45A0"/>
    <w:rsid w:val="000F45DD"/>
    <w:rsid w:val="000F45F6"/>
    <w:rsid w:val="000F4BD1"/>
    <w:rsid w:val="000F4DD8"/>
    <w:rsid w:val="000F504E"/>
    <w:rsid w:val="000F5268"/>
    <w:rsid w:val="000F5288"/>
    <w:rsid w:val="000F52B4"/>
    <w:rsid w:val="000F54E7"/>
    <w:rsid w:val="000F5901"/>
    <w:rsid w:val="000F5AC4"/>
    <w:rsid w:val="000F5DA2"/>
    <w:rsid w:val="000F627E"/>
    <w:rsid w:val="000F65A6"/>
    <w:rsid w:val="000F67DD"/>
    <w:rsid w:val="000F67FB"/>
    <w:rsid w:val="000F693F"/>
    <w:rsid w:val="000F6E88"/>
    <w:rsid w:val="000F6EFB"/>
    <w:rsid w:val="000F6F2A"/>
    <w:rsid w:val="000F7027"/>
    <w:rsid w:val="000F7041"/>
    <w:rsid w:val="000F7163"/>
    <w:rsid w:val="000F755F"/>
    <w:rsid w:val="000F7C90"/>
    <w:rsid w:val="000F7CAA"/>
    <w:rsid w:val="000F7CFC"/>
    <w:rsid w:val="00100061"/>
    <w:rsid w:val="00100C9C"/>
    <w:rsid w:val="00100F25"/>
    <w:rsid w:val="00101129"/>
    <w:rsid w:val="00101301"/>
    <w:rsid w:val="001018CF"/>
    <w:rsid w:val="00101BE5"/>
    <w:rsid w:val="00101C9A"/>
    <w:rsid w:val="00101E5D"/>
    <w:rsid w:val="00101F35"/>
    <w:rsid w:val="0010241E"/>
    <w:rsid w:val="00102475"/>
    <w:rsid w:val="00102791"/>
    <w:rsid w:val="00102A66"/>
    <w:rsid w:val="00102EEB"/>
    <w:rsid w:val="001037FD"/>
    <w:rsid w:val="001038D8"/>
    <w:rsid w:val="00103BBD"/>
    <w:rsid w:val="00103E8F"/>
    <w:rsid w:val="0010460F"/>
    <w:rsid w:val="001047C0"/>
    <w:rsid w:val="00104CB6"/>
    <w:rsid w:val="00104CDB"/>
    <w:rsid w:val="00104D9A"/>
    <w:rsid w:val="00105370"/>
    <w:rsid w:val="00105A4A"/>
    <w:rsid w:val="00105A77"/>
    <w:rsid w:val="00105C76"/>
    <w:rsid w:val="00105E86"/>
    <w:rsid w:val="00106540"/>
    <w:rsid w:val="0010660F"/>
    <w:rsid w:val="00106703"/>
    <w:rsid w:val="001069E3"/>
    <w:rsid w:val="00106E13"/>
    <w:rsid w:val="00106F4A"/>
    <w:rsid w:val="001074E5"/>
    <w:rsid w:val="0010762B"/>
    <w:rsid w:val="00107833"/>
    <w:rsid w:val="00107B2E"/>
    <w:rsid w:val="00107BA9"/>
    <w:rsid w:val="00107DC5"/>
    <w:rsid w:val="00107FB3"/>
    <w:rsid w:val="00110106"/>
    <w:rsid w:val="00110127"/>
    <w:rsid w:val="00110D2C"/>
    <w:rsid w:val="00110D95"/>
    <w:rsid w:val="00110EBF"/>
    <w:rsid w:val="00111128"/>
    <w:rsid w:val="0011146B"/>
    <w:rsid w:val="00111655"/>
    <w:rsid w:val="001119BF"/>
    <w:rsid w:val="00111AB6"/>
    <w:rsid w:val="00111C5E"/>
    <w:rsid w:val="0011233F"/>
    <w:rsid w:val="0011245B"/>
    <w:rsid w:val="00112622"/>
    <w:rsid w:val="00112CE8"/>
    <w:rsid w:val="00112D55"/>
    <w:rsid w:val="00112DBB"/>
    <w:rsid w:val="00112F54"/>
    <w:rsid w:val="0011327F"/>
    <w:rsid w:val="00113553"/>
    <w:rsid w:val="00113D95"/>
    <w:rsid w:val="00114906"/>
    <w:rsid w:val="0011491A"/>
    <w:rsid w:val="00114962"/>
    <w:rsid w:val="00114C17"/>
    <w:rsid w:val="00114FED"/>
    <w:rsid w:val="00115530"/>
    <w:rsid w:val="00115BC4"/>
    <w:rsid w:val="00115E2F"/>
    <w:rsid w:val="00116370"/>
    <w:rsid w:val="001167E5"/>
    <w:rsid w:val="00116A15"/>
    <w:rsid w:val="00116BCC"/>
    <w:rsid w:val="00116E8B"/>
    <w:rsid w:val="00117276"/>
    <w:rsid w:val="001173E1"/>
    <w:rsid w:val="001176D1"/>
    <w:rsid w:val="00117CB7"/>
    <w:rsid w:val="00117E48"/>
    <w:rsid w:val="001200B6"/>
    <w:rsid w:val="001206F1"/>
    <w:rsid w:val="001209A2"/>
    <w:rsid w:val="00120D95"/>
    <w:rsid w:val="00120E93"/>
    <w:rsid w:val="0012100B"/>
    <w:rsid w:val="00121055"/>
    <w:rsid w:val="00121747"/>
    <w:rsid w:val="00121B32"/>
    <w:rsid w:val="00121D72"/>
    <w:rsid w:val="001223CA"/>
    <w:rsid w:val="00122C05"/>
    <w:rsid w:val="00122D7B"/>
    <w:rsid w:val="00122FE5"/>
    <w:rsid w:val="00123353"/>
    <w:rsid w:val="0012375E"/>
    <w:rsid w:val="00123A8C"/>
    <w:rsid w:val="00123B84"/>
    <w:rsid w:val="00123D47"/>
    <w:rsid w:val="00123DAB"/>
    <w:rsid w:val="00123E3B"/>
    <w:rsid w:val="00123E5A"/>
    <w:rsid w:val="0012426F"/>
    <w:rsid w:val="00124496"/>
    <w:rsid w:val="0012453F"/>
    <w:rsid w:val="00124CAB"/>
    <w:rsid w:val="00124E1E"/>
    <w:rsid w:val="00124E75"/>
    <w:rsid w:val="001250FD"/>
    <w:rsid w:val="001253F3"/>
    <w:rsid w:val="001254AD"/>
    <w:rsid w:val="00125B2A"/>
    <w:rsid w:val="00125C78"/>
    <w:rsid w:val="00126484"/>
    <w:rsid w:val="00126745"/>
    <w:rsid w:val="00126ADE"/>
    <w:rsid w:val="00126B95"/>
    <w:rsid w:val="00126BB6"/>
    <w:rsid w:val="00126BF1"/>
    <w:rsid w:val="00126E2E"/>
    <w:rsid w:val="001301D3"/>
    <w:rsid w:val="00130321"/>
    <w:rsid w:val="00130326"/>
    <w:rsid w:val="0013065F"/>
    <w:rsid w:val="00130B04"/>
    <w:rsid w:val="00130C4A"/>
    <w:rsid w:val="00130CBD"/>
    <w:rsid w:val="00130E45"/>
    <w:rsid w:val="00131285"/>
    <w:rsid w:val="00131387"/>
    <w:rsid w:val="00131824"/>
    <w:rsid w:val="00131921"/>
    <w:rsid w:val="00131BD3"/>
    <w:rsid w:val="00131F10"/>
    <w:rsid w:val="00132217"/>
    <w:rsid w:val="00132540"/>
    <w:rsid w:val="00132BC5"/>
    <w:rsid w:val="00132E88"/>
    <w:rsid w:val="00133147"/>
    <w:rsid w:val="00133225"/>
    <w:rsid w:val="0013337D"/>
    <w:rsid w:val="001333A9"/>
    <w:rsid w:val="00133F35"/>
    <w:rsid w:val="00133F81"/>
    <w:rsid w:val="00134197"/>
    <w:rsid w:val="0013432F"/>
    <w:rsid w:val="001343EF"/>
    <w:rsid w:val="001345C9"/>
    <w:rsid w:val="001346D7"/>
    <w:rsid w:val="001346F9"/>
    <w:rsid w:val="00134D17"/>
    <w:rsid w:val="00134DF6"/>
    <w:rsid w:val="00134E3D"/>
    <w:rsid w:val="00134F01"/>
    <w:rsid w:val="00135117"/>
    <w:rsid w:val="00135435"/>
    <w:rsid w:val="00135694"/>
    <w:rsid w:val="001356A4"/>
    <w:rsid w:val="00135700"/>
    <w:rsid w:val="0013585B"/>
    <w:rsid w:val="00135A2A"/>
    <w:rsid w:val="00135CD5"/>
    <w:rsid w:val="00135E0C"/>
    <w:rsid w:val="00135F1B"/>
    <w:rsid w:val="0013605A"/>
    <w:rsid w:val="0013615D"/>
    <w:rsid w:val="00136381"/>
    <w:rsid w:val="001363B7"/>
    <w:rsid w:val="00136626"/>
    <w:rsid w:val="00136839"/>
    <w:rsid w:val="00136849"/>
    <w:rsid w:val="00136907"/>
    <w:rsid w:val="00136A4C"/>
    <w:rsid w:val="00136D9B"/>
    <w:rsid w:val="001374C4"/>
    <w:rsid w:val="0013755F"/>
    <w:rsid w:val="0013770B"/>
    <w:rsid w:val="001377D8"/>
    <w:rsid w:val="00137A6A"/>
    <w:rsid w:val="00137B9C"/>
    <w:rsid w:val="00137F58"/>
    <w:rsid w:val="001405D7"/>
    <w:rsid w:val="001407DB"/>
    <w:rsid w:val="00140DFE"/>
    <w:rsid w:val="00140F8C"/>
    <w:rsid w:val="001410BE"/>
    <w:rsid w:val="001411C3"/>
    <w:rsid w:val="00141270"/>
    <w:rsid w:val="00141720"/>
    <w:rsid w:val="00141723"/>
    <w:rsid w:val="00141812"/>
    <w:rsid w:val="00141EE9"/>
    <w:rsid w:val="0014213B"/>
    <w:rsid w:val="0014226E"/>
    <w:rsid w:val="001422CB"/>
    <w:rsid w:val="0014248B"/>
    <w:rsid w:val="0014271F"/>
    <w:rsid w:val="00142D68"/>
    <w:rsid w:val="00143099"/>
    <w:rsid w:val="0014309C"/>
    <w:rsid w:val="001430DC"/>
    <w:rsid w:val="00143710"/>
    <w:rsid w:val="0014409D"/>
    <w:rsid w:val="001440EC"/>
    <w:rsid w:val="001449C8"/>
    <w:rsid w:val="00144AE1"/>
    <w:rsid w:val="00144D15"/>
    <w:rsid w:val="00144E7E"/>
    <w:rsid w:val="0014572B"/>
    <w:rsid w:val="00145885"/>
    <w:rsid w:val="00145DB2"/>
    <w:rsid w:val="00145FE7"/>
    <w:rsid w:val="001462C1"/>
    <w:rsid w:val="00146314"/>
    <w:rsid w:val="00146EAC"/>
    <w:rsid w:val="00147830"/>
    <w:rsid w:val="00147945"/>
    <w:rsid w:val="00147AB4"/>
    <w:rsid w:val="00147C34"/>
    <w:rsid w:val="0015009C"/>
    <w:rsid w:val="00150350"/>
    <w:rsid w:val="00150986"/>
    <w:rsid w:val="001515B4"/>
    <w:rsid w:val="0015168B"/>
    <w:rsid w:val="00151B5D"/>
    <w:rsid w:val="00151D4F"/>
    <w:rsid w:val="00151E63"/>
    <w:rsid w:val="0015262C"/>
    <w:rsid w:val="001527FA"/>
    <w:rsid w:val="001529BD"/>
    <w:rsid w:val="00152AB9"/>
    <w:rsid w:val="00152C54"/>
    <w:rsid w:val="00152C67"/>
    <w:rsid w:val="001533B6"/>
    <w:rsid w:val="0015344B"/>
    <w:rsid w:val="001534F5"/>
    <w:rsid w:val="001538CE"/>
    <w:rsid w:val="00153AA1"/>
    <w:rsid w:val="00153AD9"/>
    <w:rsid w:val="00153C7B"/>
    <w:rsid w:val="001542AF"/>
    <w:rsid w:val="001543C5"/>
    <w:rsid w:val="001544E9"/>
    <w:rsid w:val="0015457C"/>
    <w:rsid w:val="001547EB"/>
    <w:rsid w:val="00154D61"/>
    <w:rsid w:val="00154DD2"/>
    <w:rsid w:val="00154FF1"/>
    <w:rsid w:val="00155163"/>
    <w:rsid w:val="0015521A"/>
    <w:rsid w:val="00155592"/>
    <w:rsid w:val="0015608B"/>
    <w:rsid w:val="0015659B"/>
    <w:rsid w:val="00156855"/>
    <w:rsid w:val="0015685F"/>
    <w:rsid w:val="00157254"/>
    <w:rsid w:val="001573B7"/>
    <w:rsid w:val="00157BFC"/>
    <w:rsid w:val="00157F1A"/>
    <w:rsid w:val="00160204"/>
    <w:rsid w:val="00160348"/>
    <w:rsid w:val="00160469"/>
    <w:rsid w:val="00160719"/>
    <w:rsid w:val="00160E97"/>
    <w:rsid w:val="00160EA7"/>
    <w:rsid w:val="00161379"/>
    <w:rsid w:val="00161713"/>
    <w:rsid w:val="00161B96"/>
    <w:rsid w:val="0016221D"/>
    <w:rsid w:val="001624FC"/>
    <w:rsid w:val="00162544"/>
    <w:rsid w:val="00162546"/>
    <w:rsid w:val="00162A18"/>
    <w:rsid w:val="00162CC1"/>
    <w:rsid w:val="00162E4A"/>
    <w:rsid w:val="00162FBF"/>
    <w:rsid w:val="001632FC"/>
    <w:rsid w:val="0016345A"/>
    <w:rsid w:val="001634B4"/>
    <w:rsid w:val="00163A5F"/>
    <w:rsid w:val="00163AEF"/>
    <w:rsid w:val="00163BB7"/>
    <w:rsid w:val="00164085"/>
    <w:rsid w:val="001643A2"/>
    <w:rsid w:val="00164426"/>
    <w:rsid w:val="001647CB"/>
    <w:rsid w:val="001649B5"/>
    <w:rsid w:val="00164D62"/>
    <w:rsid w:val="0016529D"/>
    <w:rsid w:val="001653B8"/>
    <w:rsid w:val="001654E6"/>
    <w:rsid w:val="001654E8"/>
    <w:rsid w:val="00165A08"/>
    <w:rsid w:val="001663F3"/>
    <w:rsid w:val="00166520"/>
    <w:rsid w:val="00166548"/>
    <w:rsid w:val="00166EC6"/>
    <w:rsid w:val="00167061"/>
    <w:rsid w:val="00167252"/>
    <w:rsid w:val="001679C7"/>
    <w:rsid w:val="00167C37"/>
    <w:rsid w:val="00167EA1"/>
    <w:rsid w:val="001702C8"/>
    <w:rsid w:val="00170378"/>
    <w:rsid w:val="001703AD"/>
    <w:rsid w:val="0017076A"/>
    <w:rsid w:val="00170836"/>
    <w:rsid w:val="00170ACD"/>
    <w:rsid w:val="00170C7B"/>
    <w:rsid w:val="00170DE3"/>
    <w:rsid w:val="00170E93"/>
    <w:rsid w:val="00172259"/>
    <w:rsid w:val="00172603"/>
    <w:rsid w:val="001729C8"/>
    <w:rsid w:val="00172AB0"/>
    <w:rsid w:val="00172C04"/>
    <w:rsid w:val="00172CAD"/>
    <w:rsid w:val="00173002"/>
    <w:rsid w:val="0017336E"/>
    <w:rsid w:val="00173555"/>
    <w:rsid w:val="0017359B"/>
    <w:rsid w:val="00173808"/>
    <w:rsid w:val="00173820"/>
    <w:rsid w:val="00173DDB"/>
    <w:rsid w:val="00173ED7"/>
    <w:rsid w:val="00174093"/>
    <w:rsid w:val="001741BA"/>
    <w:rsid w:val="00174610"/>
    <w:rsid w:val="00174819"/>
    <w:rsid w:val="00174F5E"/>
    <w:rsid w:val="0017508C"/>
    <w:rsid w:val="0017519F"/>
    <w:rsid w:val="00175376"/>
    <w:rsid w:val="001754BF"/>
    <w:rsid w:val="0017575D"/>
    <w:rsid w:val="00175AC7"/>
    <w:rsid w:val="00175D96"/>
    <w:rsid w:val="001762BC"/>
    <w:rsid w:val="00176505"/>
    <w:rsid w:val="001765C0"/>
    <w:rsid w:val="00176C41"/>
    <w:rsid w:val="00176FCA"/>
    <w:rsid w:val="001770A9"/>
    <w:rsid w:val="001770BC"/>
    <w:rsid w:val="00177630"/>
    <w:rsid w:val="0017763D"/>
    <w:rsid w:val="001777BE"/>
    <w:rsid w:val="00177832"/>
    <w:rsid w:val="00177A7B"/>
    <w:rsid w:val="00177B3B"/>
    <w:rsid w:val="00177B5F"/>
    <w:rsid w:val="00177BD3"/>
    <w:rsid w:val="00177D36"/>
    <w:rsid w:val="00177F45"/>
    <w:rsid w:val="00180046"/>
    <w:rsid w:val="00180195"/>
    <w:rsid w:val="001802D3"/>
    <w:rsid w:val="00180AE1"/>
    <w:rsid w:val="00180F6F"/>
    <w:rsid w:val="001811C0"/>
    <w:rsid w:val="00181211"/>
    <w:rsid w:val="0018134C"/>
    <w:rsid w:val="001814F6"/>
    <w:rsid w:val="00181500"/>
    <w:rsid w:val="00181512"/>
    <w:rsid w:val="0018170A"/>
    <w:rsid w:val="00181CD9"/>
    <w:rsid w:val="00181DF8"/>
    <w:rsid w:val="00181EAC"/>
    <w:rsid w:val="001821CE"/>
    <w:rsid w:val="00182364"/>
    <w:rsid w:val="00182CB5"/>
    <w:rsid w:val="00182E81"/>
    <w:rsid w:val="0018310C"/>
    <w:rsid w:val="0018348C"/>
    <w:rsid w:val="001835B7"/>
    <w:rsid w:val="00183679"/>
    <w:rsid w:val="001836C7"/>
    <w:rsid w:val="00183EBD"/>
    <w:rsid w:val="001842EC"/>
    <w:rsid w:val="00184B0B"/>
    <w:rsid w:val="00184D6C"/>
    <w:rsid w:val="00184FF1"/>
    <w:rsid w:val="001851A2"/>
    <w:rsid w:val="001851BC"/>
    <w:rsid w:val="00185340"/>
    <w:rsid w:val="00185724"/>
    <w:rsid w:val="00185787"/>
    <w:rsid w:val="0018578E"/>
    <w:rsid w:val="001857BA"/>
    <w:rsid w:val="001858B4"/>
    <w:rsid w:val="00185F90"/>
    <w:rsid w:val="001861DD"/>
    <w:rsid w:val="00186227"/>
    <w:rsid w:val="001863E0"/>
    <w:rsid w:val="00186BD7"/>
    <w:rsid w:val="00186E7C"/>
    <w:rsid w:val="00186F58"/>
    <w:rsid w:val="00187223"/>
    <w:rsid w:val="0018775D"/>
    <w:rsid w:val="00187882"/>
    <w:rsid w:val="00187967"/>
    <w:rsid w:val="00187A24"/>
    <w:rsid w:val="00187CBE"/>
    <w:rsid w:val="00187D40"/>
    <w:rsid w:val="001901E2"/>
    <w:rsid w:val="00190369"/>
    <w:rsid w:val="0019039D"/>
    <w:rsid w:val="0019071A"/>
    <w:rsid w:val="00190B35"/>
    <w:rsid w:val="00190DE6"/>
    <w:rsid w:val="00190F89"/>
    <w:rsid w:val="00191049"/>
    <w:rsid w:val="0019138A"/>
    <w:rsid w:val="0019145E"/>
    <w:rsid w:val="001914A0"/>
    <w:rsid w:val="00191629"/>
    <w:rsid w:val="001917B1"/>
    <w:rsid w:val="00191B49"/>
    <w:rsid w:val="00191DA9"/>
    <w:rsid w:val="0019203E"/>
    <w:rsid w:val="00192226"/>
    <w:rsid w:val="00192757"/>
    <w:rsid w:val="00192C67"/>
    <w:rsid w:val="00192CA4"/>
    <w:rsid w:val="00192E8A"/>
    <w:rsid w:val="0019339D"/>
    <w:rsid w:val="00193442"/>
    <w:rsid w:val="001936A1"/>
    <w:rsid w:val="00193C2D"/>
    <w:rsid w:val="00193C4F"/>
    <w:rsid w:val="001940BF"/>
    <w:rsid w:val="00194140"/>
    <w:rsid w:val="00194438"/>
    <w:rsid w:val="0019591D"/>
    <w:rsid w:val="00196001"/>
    <w:rsid w:val="001968B3"/>
    <w:rsid w:val="001968E5"/>
    <w:rsid w:val="001969C6"/>
    <w:rsid w:val="00196A03"/>
    <w:rsid w:val="00196A5B"/>
    <w:rsid w:val="00196B13"/>
    <w:rsid w:val="00196D75"/>
    <w:rsid w:val="00196EEC"/>
    <w:rsid w:val="00196F37"/>
    <w:rsid w:val="00197359"/>
    <w:rsid w:val="0019767D"/>
    <w:rsid w:val="001978B3"/>
    <w:rsid w:val="00197D79"/>
    <w:rsid w:val="00197DDA"/>
    <w:rsid w:val="00197ECB"/>
    <w:rsid w:val="00197F7F"/>
    <w:rsid w:val="00197FD2"/>
    <w:rsid w:val="001A0206"/>
    <w:rsid w:val="001A052C"/>
    <w:rsid w:val="001A089D"/>
    <w:rsid w:val="001A08E5"/>
    <w:rsid w:val="001A0CEF"/>
    <w:rsid w:val="001A1319"/>
    <w:rsid w:val="001A1497"/>
    <w:rsid w:val="001A1576"/>
    <w:rsid w:val="001A1584"/>
    <w:rsid w:val="001A1760"/>
    <w:rsid w:val="001A1847"/>
    <w:rsid w:val="001A195B"/>
    <w:rsid w:val="001A195C"/>
    <w:rsid w:val="001A1B9E"/>
    <w:rsid w:val="001A1F75"/>
    <w:rsid w:val="001A2815"/>
    <w:rsid w:val="001A29F7"/>
    <w:rsid w:val="001A2D06"/>
    <w:rsid w:val="001A2F7F"/>
    <w:rsid w:val="001A31F3"/>
    <w:rsid w:val="001A3252"/>
    <w:rsid w:val="001A347A"/>
    <w:rsid w:val="001A35EB"/>
    <w:rsid w:val="001A361C"/>
    <w:rsid w:val="001A3727"/>
    <w:rsid w:val="001A3B3C"/>
    <w:rsid w:val="001A3D08"/>
    <w:rsid w:val="001A3D4C"/>
    <w:rsid w:val="001A4659"/>
    <w:rsid w:val="001A4ACC"/>
    <w:rsid w:val="001A4B02"/>
    <w:rsid w:val="001A4EC7"/>
    <w:rsid w:val="001A4F74"/>
    <w:rsid w:val="001A4F92"/>
    <w:rsid w:val="001A55EC"/>
    <w:rsid w:val="001A58B6"/>
    <w:rsid w:val="001A5E6A"/>
    <w:rsid w:val="001A6433"/>
    <w:rsid w:val="001A68CA"/>
    <w:rsid w:val="001A69AD"/>
    <w:rsid w:val="001A6B58"/>
    <w:rsid w:val="001A6F00"/>
    <w:rsid w:val="001A6F29"/>
    <w:rsid w:val="001A7886"/>
    <w:rsid w:val="001B00B1"/>
    <w:rsid w:val="001B00FC"/>
    <w:rsid w:val="001B0180"/>
    <w:rsid w:val="001B04B7"/>
    <w:rsid w:val="001B0553"/>
    <w:rsid w:val="001B0765"/>
    <w:rsid w:val="001B0AB6"/>
    <w:rsid w:val="001B0C2C"/>
    <w:rsid w:val="001B0DE9"/>
    <w:rsid w:val="001B1959"/>
    <w:rsid w:val="001B1D93"/>
    <w:rsid w:val="001B2BC5"/>
    <w:rsid w:val="001B2EA6"/>
    <w:rsid w:val="001B2EEB"/>
    <w:rsid w:val="001B3656"/>
    <w:rsid w:val="001B3669"/>
    <w:rsid w:val="001B38DC"/>
    <w:rsid w:val="001B3A6F"/>
    <w:rsid w:val="001B3F9F"/>
    <w:rsid w:val="001B4241"/>
    <w:rsid w:val="001B4283"/>
    <w:rsid w:val="001B42F8"/>
    <w:rsid w:val="001B485C"/>
    <w:rsid w:val="001B48BE"/>
    <w:rsid w:val="001B4B84"/>
    <w:rsid w:val="001B4DA7"/>
    <w:rsid w:val="001B5104"/>
    <w:rsid w:val="001B52B4"/>
    <w:rsid w:val="001B5344"/>
    <w:rsid w:val="001B5810"/>
    <w:rsid w:val="001B5972"/>
    <w:rsid w:val="001B5993"/>
    <w:rsid w:val="001B5CC3"/>
    <w:rsid w:val="001B5D2E"/>
    <w:rsid w:val="001B5FC1"/>
    <w:rsid w:val="001B62A8"/>
    <w:rsid w:val="001B62E0"/>
    <w:rsid w:val="001B667B"/>
    <w:rsid w:val="001B6943"/>
    <w:rsid w:val="001B6F6F"/>
    <w:rsid w:val="001B7635"/>
    <w:rsid w:val="001B7910"/>
    <w:rsid w:val="001B7CD8"/>
    <w:rsid w:val="001C0008"/>
    <w:rsid w:val="001C04C3"/>
    <w:rsid w:val="001C088F"/>
    <w:rsid w:val="001C0948"/>
    <w:rsid w:val="001C1254"/>
    <w:rsid w:val="001C1416"/>
    <w:rsid w:val="001C15F2"/>
    <w:rsid w:val="001C1632"/>
    <w:rsid w:val="001C1913"/>
    <w:rsid w:val="001C1B00"/>
    <w:rsid w:val="001C1DDF"/>
    <w:rsid w:val="001C294F"/>
    <w:rsid w:val="001C29B5"/>
    <w:rsid w:val="001C2F01"/>
    <w:rsid w:val="001C3626"/>
    <w:rsid w:val="001C36C6"/>
    <w:rsid w:val="001C3B11"/>
    <w:rsid w:val="001C3E70"/>
    <w:rsid w:val="001C4320"/>
    <w:rsid w:val="001C4376"/>
    <w:rsid w:val="001C43EB"/>
    <w:rsid w:val="001C4587"/>
    <w:rsid w:val="001C460D"/>
    <w:rsid w:val="001C478F"/>
    <w:rsid w:val="001C4947"/>
    <w:rsid w:val="001C4EEA"/>
    <w:rsid w:val="001C50D6"/>
    <w:rsid w:val="001C5377"/>
    <w:rsid w:val="001C5803"/>
    <w:rsid w:val="001C5DA9"/>
    <w:rsid w:val="001C5E57"/>
    <w:rsid w:val="001C6151"/>
    <w:rsid w:val="001C661C"/>
    <w:rsid w:val="001C6677"/>
    <w:rsid w:val="001C676E"/>
    <w:rsid w:val="001C67A3"/>
    <w:rsid w:val="001D0351"/>
    <w:rsid w:val="001D046C"/>
    <w:rsid w:val="001D0656"/>
    <w:rsid w:val="001D0754"/>
    <w:rsid w:val="001D0808"/>
    <w:rsid w:val="001D0829"/>
    <w:rsid w:val="001D0B33"/>
    <w:rsid w:val="001D0B8D"/>
    <w:rsid w:val="001D0CDC"/>
    <w:rsid w:val="001D0E3D"/>
    <w:rsid w:val="001D1155"/>
    <w:rsid w:val="001D1248"/>
    <w:rsid w:val="001D138D"/>
    <w:rsid w:val="001D147A"/>
    <w:rsid w:val="001D1548"/>
    <w:rsid w:val="001D15D4"/>
    <w:rsid w:val="001D17FE"/>
    <w:rsid w:val="001D1857"/>
    <w:rsid w:val="001D1C92"/>
    <w:rsid w:val="001D2025"/>
    <w:rsid w:val="001D2038"/>
    <w:rsid w:val="001D23E6"/>
    <w:rsid w:val="001D2FB0"/>
    <w:rsid w:val="001D36D8"/>
    <w:rsid w:val="001D3D7F"/>
    <w:rsid w:val="001D4477"/>
    <w:rsid w:val="001D46DF"/>
    <w:rsid w:val="001D48BF"/>
    <w:rsid w:val="001D4E19"/>
    <w:rsid w:val="001D4E4C"/>
    <w:rsid w:val="001D5248"/>
    <w:rsid w:val="001D54A6"/>
    <w:rsid w:val="001D57D6"/>
    <w:rsid w:val="001D5C04"/>
    <w:rsid w:val="001D5C32"/>
    <w:rsid w:val="001D5F56"/>
    <w:rsid w:val="001D5F61"/>
    <w:rsid w:val="001D6005"/>
    <w:rsid w:val="001D6948"/>
    <w:rsid w:val="001D6EAA"/>
    <w:rsid w:val="001D6FA5"/>
    <w:rsid w:val="001D711B"/>
    <w:rsid w:val="001D7149"/>
    <w:rsid w:val="001D7266"/>
    <w:rsid w:val="001D7945"/>
    <w:rsid w:val="001D7B2B"/>
    <w:rsid w:val="001E0069"/>
    <w:rsid w:val="001E019A"/>
    <w:rsid w:val="001E04F6"/>
    <w:rsid w:val="001E064F"/>
    <w:rsid w:val="001E0720"/>
    <w:rsid w:val="001E08B4"/>
    <w:rsid w:val="001E0924"/>
    <w:rsid w:val="001E0F10"/>
    <w:rsid w:val="001E12EC"/>
    <w:rsid w:val="001E1613"/>
    <w:rsid w:val="001E19B6"/>
    <w:rsid w:val="001E1E06"/>
    <w:rsid w:val="001E1EFD"/>
    <w:rsid w:val="001E2062"/>
    <w:rsid w:val="001E20FB"/>
    <w:rsid w:val="001E220D"/>
    <w:rsid w:val="001E2308"/>
    <w:rsid w:val="001E23A3"/>
    <w:rsid w:val="001E25BC"/>
    <w:rsid w:val="001E271B"/>
    <w:rsid w:val="001E2C1F"/>
    <w:rsid w:val="001E2CB2"/>
    <w:rsid w:val="001E2D22"/>
    <w:rsid w:val="001E2F82"/>
    <w:rsid w:val="001E3447"/>
    <w:rsid w:val="001E3BDE"/>
    <w:rsid w:val="001E40B8"/>
    <w:rsid w:val="001E43B8"/>
    <w:rsid w:val="001E45B9"/>
    <w:rsid w:val="001E4B35"/>
    <w:rsid w:val="001E4BC0"/>
    <w:rsid w:val="001E4C1B"/>
    <w:rsid w:val="001E4F05"/>
    <w:rsid w:val="001E4FAA"/>
    <w:rsid w:val="001E50D3"/>
    <w:rsid w:val="001E514A"/>
    <w:rsid w:val="001E5589"/>
    <w:rsid w:val="001E58F3"/>
    <w:rsid w:val="001E5AEF"/>
    <w:rsid w:val="001E612A"/>
    <w:rsid w:val="001E682D"/>
    <w:rsid w:val="001E6B8C"/>
    <w:rsid w:val="001E6BBA"/>
    <w:rsid w:val="001E6D2C"/>
    <w:rsid w:val="001E6DCB"/>
    <w:rsid w:val="001E6E73"/>
    <w:rsid w:val="001E708F"/>
    <w:rsid w:val="001E7109"/>
    <w:rsid w:val="001E745D"/>
    <w:rsid w:val="001E75BE"/>
    <w:rsid w:val="001E76B9"/>
    <w:rsid w:val="001E7769"/>
    <w:rsid w:val="001E7AD9"/>
    <w:rsid w:val="001E7BB4"/>
    <w:rsid w:val="001F0ADF"/>
    <w:rsid w:val="001F0B72"/>
    <w:rsid w:val="001F0BBF"/>
    <w:rsid w:val="001F0EC0"/>
    <w:rsid w:val="001F1014"/>
    <w:rsid w:val="001F1111"/>
    <w:rsid w:val="001F116B"/>
    <w:rsid w:val="001F12B0"/>
    <w:rsid w:val="001F12FF"/>
    <w:rsid w:val="001F1407"/>
    <w:rsid w:val="001F1445"/>
    <w:rsid w:val="001F1488"/>
    <w:rsid w:val="001F1A6F"/>
    <w:rsid w:val="001F1B84"/>
    <w:rsid w:val="001F2125"/>
    <w:rsid w:val="001F23FF"/>
    <w:rsid w:val="001F2821"/>
    <w:rsid w:val="001F2B9B"/>
    <w:rsid w:val="001F2D6F"/>
    <w:rsid w:val="001F2E17"/>
    <w:rsid w:val="001F2ED3"/>
    <w:rsid w:val="001F31AE"/>
    <w:rsid w:val="001F3259"/>
    <w:rsid w:val="001F3491"/>
    <w:rsid w:val="001F34CD"/>
    <w:rsid w:val="001F3706"/>
    <w:rsid w:val="001F3CD4"/>
    <w:rsid w:val="001F3E2D"/>
    <w:rsid w:val="001F41FB"/>
    <w:rsid w:val="001F434B"/>
    <w:rsid w:val="001F4431"/>
    <w:rsid w:val="001F458F"/>
    <w:rsid w:val="001F4607"/>
    <w:rsid w:val="001F46D1"/>
    <w:rsid w:val="001F48BF"/>
    <w:rsid w:val="001F4A56"/>
    <w:rsid w:val="001F4D66"/>
    <w:rsid w:val="001F53B7"/>
    <w:rsid w:val="001F55ED"/>
    <w:rsid w:val="001F56D0"/>
    <w:rsid w:val="001F5B1B"/>
    <w:rsid w:val="001F5DB7"/>
    <w:rsid w:val="001F5E54"/>
    <w:rsid w:val="001F6075"/>
    <w:rsid w:val="001F6162"/>
    <w:rsid w:val="001F6778"/>
    <w:rsid w:val="001F67D1"/>
    <w:rsid w:val="001F7393"/>
    <w:rsid w:val="001F740C"/>
    <w:rsid w:val="001F75E6"/>
    <w:rsid w:val="001F7694"/>
    <w:rsid w:val="001F7A90"/>
    <w:rsid w:val="001F7BDA"/>
    <w:rsid w:val="001F7C3B"/>
    <w:rsid w:val="001F7CF4"/>
    <w:rsid w:val="00200093"/>
    <w:rsid w:val="0020014F"/>
    <w:rsid w:val="00200600"/>
    <w:rsid w:val="00200726"/>
    <w:rsid w:val="002008C1"/>
    <w:rsid w:val="0020099E"/>
    <w:rsid w:val="00200BCD"/>
    <w:rsid w:val="00200CF8"/>
    <w:rsid w:val="002010F5"/>
    <w:rsid w:val="00201F57"/>
    <w:rsid w:val="00202686"/>
    <w:rsid w:val="00202EB9"/>
    <w:rsid w:val="00202ED6"/>
    <w:rsid w:val="00202FEE"/>
    <w:rsid w:val="00203970"/>
    <w:rsid w:val="00203B3E"/>
    <w:rsid w:val="00203C71"/>
    <w:rsid w:val="0020412E"/>
    <w:rsid w:val="0020424C"/>
    <w:rsid w:val="0020435A"/>
    <w:rsid w:val="002050E0"/>
    <w:rsid w:val="002052BC"/>
    <w:rsid w:val="002055C6"/>
    <w:rsid w:val="002059C4"/>
    <w:rsid w:val="00205A8E"/>
    <w:rsid w:val="00205CEE"/>
    <w:rsid w:val="00205F7A"/>
    <w:rsid w:val="002060BC"/>
    <w:rsid w:val="002060D8"/>
    <w:rsid w:val="002062C9"/>
    <w:rsid w:val="00206645"/>
    <w:rsid w:val="002066A0"/>
    <w:rsid w:val="0020676B"/>
    <w:rsid w:val="00206B87"/>
    <w:rsid w:val="00206E1C"/>
    <w:rsid w:val="002073FE"/>
    <w:rsid w:val="0020748E"/>
    <w:rsid w:val="00207788"/>
    <w:rsid w:val="002077AF"/>
    <w:rsid w:val="002077E8"/>
    <w:rsid w:val="0020791D"/>
    <w:rsid w:val="002079B9"/>
    <w:rsid w:val="00207B04"/>
    <w:rsid w:val="00207E3C"/>
    <w:rsid w:val="00207E88"/>
    <w:rsid w:val="00207F3A"/>
    <w:rsid w:val="002101A9"/>
    <w:rsid w:val="002101C0"/>
    <w:rsid w:val="0021036E"/>
    <w:rsid w:val="002104CF"/>
    <w:rsid w:val="002106A4"/>
    <w:rsid w:val="0021071D"/>
    <w:rsid w:val="00210757"/>
    <w:rsid w:val="0021087C"/>
    <w:rsid w:val="00210BD7"/>
    <w:rsid w:val="0021134C"/>
    <w:rsid w:val="002116ED"/>
    <w:rsid w:val="00211E4D"/>
    <w:rsid w:val="00211FF5"/>
    <w:rsid w:val="002120AA"/>
    <w:rsid w:val="002123F2"/>
    <w:rsid w:val="00212404"/>
    <w:rsid w:val="00212577"/>
    <w:rsid w:val="00212863"/>
    <w:rsid w:val="00212C15"/>
    <w:rsid w:val="00212E7A"/>
    <w:rsid w:val="00213106"/>
    <w:rsid w:val="00213193"/>
    <w:rsid w:val="002131E3"/>
    <w:rsid w:val="0021358B"/>
    <w:rsid w:val="0021370F"/>
    <w:rsid w:val="00213AF8"/>
    <w:rsid w:val="00213B24"/>
    <w:rsid w:val="00213F5F"/>
    <w:rsid w:val="002140D1"/>
    <w:rsid w:val="00214C17"/>
    <w:rsid w:val="00214C2C"/>
    <w:rsid w:val="00214C6F"/>
    <w:rsid w:val="00215412"/>
    <w:rsid w:val="002157C1"/>
    <w:rsid w:val="00215822"/>
    <w:rsid w:val="00215B78"/>
    <w:rsid w:val="00215BD7"/>
    <w:rsid w:val="00215E04"/>
    <w:rsid w:val="002160FE"/>
    <w:rsid w:val="002162C5"/>
    <w:rsid w:val="002163C6"/>
    <w:rsid w:val="00216529"/>
    <w:rsid w:val="00216CAD"/>
    <w:rsid w:val="00216EBE"/>
    <w:rsid w:val="00216EEF"/>
    <w:rsid w:val="00217348"/>
    <w:rsid w:val="002176B5"/>
    <w:rsid w:val="00217A1E"/>
    <w:rsid w:val="00217BF2"/>
    <w:rsid w:val="0022024E"/>
    <w:rsid w:val="0022044C"/>
    <w:rsid w:val="00220782"/>
    <w:rsid w:val="00221310"/>
    <w:rsid w:val="00221439"/>
    <w:rsid w:val="002215CC"/>
    <w:rsid w:val="00221693"/>
    <w:rsid w:val="002217A4"/>
    <w:rsid w:val="002217A7"/>
    <w:rsid w:val="00221FDA"/>
    <w:rsid w:val="00221FF9"/>
    <w:rsid w:val="00222104"/>
    <w:rsid w:val="00222267"/>
    <w:rsid w:val="00222CCE"/>
    <w:rsid w:val="00223016"/>
    <w:rsid w:val="0022302A"/>
    <w:rsid w:val="0022331D"/>
    <w:rsid w:val="00223598"/>
    <w:rsid w:val="00223A98"/>
    <w:rsid w:val="00223B7A"/>
    <w:rsid w:val="00223C5D"/>
    <w:rsid w:val="0022489B"/>
    <w:rsid w:val="00224A99"/>
    <w:rsid w:val="00224BEB"/>
    <w:rsid w:val="002251FE"/>
    <w:rsid w:val="002252B9"/>
    <w:rsid w:val="002255B1"/>
    <w:rsid w:val="00226007"/>
    <w:rsid w:val="00226229"/>
    <w:rsid w:val="002264F8"/>
    <w:rsid w:val="00226519"/>
    <w:rsid w:val="002265D0"/>
    <w:rsid w:val="00226627"/>
    <w:rsid w:val="00226754"/>
    <w:rsid w:val="002267BB"/>
    <w:rsid w:val="0022680C"/>
    <w:rsid w:val="00226CF2"/>
    <w:rsid w:val="00226D00"/>
    <w:rsid w:val="0022755B"/>
    <w:rsid w:val="00227CE3"/>
    <w:rsid w:val="002304F4"/>
    <w:rsid w:val="00230749"/>
    <w:rsid w:val="00230B13"/>
    <w:rsid w:val="00230F54"/>
    <w:rsid w:val="00231007"/>
    <w:rsid w:val="00231099"/>
    <w:rsid w:val="002313DE"/>
    <w:rsid w:val="0023157C"/>
    <w:rsid w:val="0023204C"/>
    <w:rsid w:val="00232191"/>
    <w:rsid w:val="002329F8"/>
    <w:rsid w:val="00232B57"/>
    <w:rsid w:val="00232DB4"/>
    <w:rsid w:val="0023315E"/>
    <w:rsid w:val="002333DD"/>
    <w:rsid w:val="002335EB"/>
    <w:rsid w:val="00233AF6"/>
    <w:rsid w:val="00233B28"/>
    <w:rsid w:val="00233CAA"/>
    <w:rsid w:val="00233E45"/>
    <w:rsid w:val="00233F57"/>
    <w:rsid w:val="00234655"/>
    <w:rsid w:val="00234945"/>
    <w:rsid w:val="0023496C"/>
    <w:rsid w:val="00234C54"/>
    <w:rsid w:val="00234E08"/>
    <w:rsid w:val="00234FD3"/>
    <w:rsid w:val="00235118"/>
    <w:rsid w:val="002356E9"/>
    <w:rsid w:val="0023594D"/>
    <w:rsid w:val="00235C59"/>
    <w:rsid w:val="00235D37"/>
    <w:rsid w:val="00235DFA"/>
    <w:rsid w:val="00235F2C"/>
    <w:rsid w:val="00236062"/>
    <w:rsid w:val="002364B0"/>
    <w:rsid w:val="00236842"/>
    <w:rsid w:val="00236F63"/>
    <w:rsid w:val="00236FF0"/>
    <w:rsid w:val="00237509"/>
    <w:rsid w:val="002375B8"/>
    <w:rsid w:val="002375CF"/>
    <w:rsid w:val="00237600"/>
    <w:rsid w:val="0023768A"/>
    <w:rsid w:val="0023780C"/>
    <w:rsid w:val="00237913"/>
    <w:rsid w:val="00237ACA"/>
    <w:rsid w:val="00237AF8"/>
    <w:rsid w:val="00237B28"/>
    <w:rsid w:val="00237D49"/>
    <w:rsid w:val="00237EDF"/>
    <w:rsid w:val="002403C1"/>
    <w:rsid w:val="00240530"/>
    <w:rsid w:val="00240F9C"/>
    <w:rsid w:val="002411AB"/>
    <w:rsid w:val="002415A0"/>
    <w:rsid w:val="00241BD8"/>
    <w:rsid w:val="00241DF1"/>
    <w:rsid w:val="0024208C"/>
    <w:rsid w:val="00242242"/>
    <w:rsid w:val="00242403"/>
    <w:rsid w:val="002426E7"/>
    <w:rsid w:val="00242DE6"/>
    <w:rsid w:val="00242F3E"/>
    <w:rsid w:val="002432A9"/>
    <w:rsid w:val="0024367C"/>
    <w:rsid w:val="00243765"/>
    <w:rsid w:val="00243B18"/>
    <w:rsid w:val="00243BAB"/>
    <w:rsid w:val="00243C89"/>
    <w:rsid w:val="0024421D"/>
    <w:rsid w:val="00244824"/>
    <w:rsid w:val="0024496F"/>
    <w:rsid w:val="00244AE9"/>
    <w:rsid w:val="00244FCC"/>
    <w:rsid w:val="002450E5"/>
    <w:rsid w:val="00245294"/>
    <w:rsid w:val="00245339"/>
    <w:rsid w:val="00245488"/>
    <w:rsid w:val="00245816"/>
    <w:rsid w:val="0024649F"/>
    <w:rsid w:val="002465D3"/>
    <w:rsid w:val="00246BAB"/>
    <w:rsid w:val="00246D39"/>
    <w:rsid w:val="00246D5F"/>
    <w:rsid w:val="00246E5D"/>
    <w:rsid w:val="00246F68"/>
    <w:rsid w:val="00247423"/>
    <w:rsid w:val="002474FC"/>
    <w:rsid w:val="002508B6"/>
    <w:rsid w:val="00250CD5"/>
    <w:rsid w:val="00250F96"/>
    <w:rsid w:val="00251303"/>
    <w:rsid w:val="0025141A"/>
    <w:rsid w:val="0025143D"/>
    <w:rsid w:val="00251514"/>
    <w:rsid w:val="002519FA"/>
    <w:rsid w:val="00251BB0"/>
    <w:rsid w:val="00251C53"/>
    <w:rsid w:val="0025265D"/>
    <w:rsid w:val="0025287F"/>
    <w:rsid w:val="002528F8"/>
    <w:rsid w:val="00252954"/>
    <w:rsid w:val="002529F7"/>
    <w:rsid w:val="00252AAB"/>
    <w:rsid w:val="00253486"/>
    <w:rsid w:val="002537CC"/>
    <w:rsid w:val="00253826"/>
    <w:rsid w:val="00253D76"/>
    <w:rsid w:val="00253DA6"/>
    <w:rsid w:val="00254199"/>
    <w:rsid w:val="00254E47"/>
    <w:rsid w:val="00255116"/>
    <w:rsid w:val="002553E8"/>
    <w:rsid w:val="00255A28"/>
    <w:rsid w:val="00255B4B"/>
    <w:rsid w:val="0025606F"/>
    <w:rsid w:val="002562BC"/>
    <w:rsid w:val="00256410"/>
    <w:rsid w:val="0025644D"/>
    <w:rsid w:val="00256688"/>
    <w:rsid w:val="00256879"/>
    <w:rsid w:val="00256A63"/>
    <w:rsid w:val="00256AA4"/>
    <w:rsid w:val="00256F27"/>
    <w:rsid w:val="002570D2"/>
    <w:rsid w:val="00257398"/>
    <w:rsid w:val="00257579"/>
    <w:rsid w:val="002577F0"/>
    <w:rsid w:val="00257AEC"/>
    <w:rsid w:val="00257B19"/>
    <w:rsid w:val="0026005A"/>
    <w:rsid w:val="002602A5"/>
    <w:rsid w:val="00260BFC"/>
    <w:rsid w:val="002612B3"/>
    <w:rsid w:val="002612E6"/>
    <w:rsid w:val="002614F2"/>
    <w:rsid w:val="00261928"/>
    <w:rsid w:val="00261A0B"/>
    <w:rsid w:val="0026248E"/>
    <w:rsid w:val="002624D6"/>
    <w:rsid w:val="0026282B"/>
    <w:rsid w:val="00262919"/>
    <w:rsid w:val="002634A0"/>
    <w:rsid w:val="00263C12"/>
    <w:rsid w:val="00263FE2"/>
    <w:rsid w:val="002641B7"/>
    <w:rsid w:val="00264795"/>
    <w:rsid w:val="002648A0"/>
    <w:rsid w:val="0026494F"/>
    <w:rsid w:val="00264C08"/>
    <w:rsid w:val="00264C3C"/>
    <w:rsid w:val="00264CA2"/>
    <w:rsid w:val="00264E6F"/>
    <w:rsid w:val="002652BF"/>
    <w:rsid w:val="002653F8"/>
    <w:rsid w:val="00265459"/>
    <w:rsid w:val="00265472"/>
    <w:rsid w:val="00265683"/>
    <w:rsid w:val="0026568B"/>
    <w:rsid w:val="00265AFA"/>
    <w:rsid w:val="00265E18"/>
    <w:rsid w:val="00266017"/>
    <w:rsid w:val="00266303"/>
    <w:rsid w:val="00266563"/>
    <w:rsid w:val="00266733"/>
    <w:rsid w:val="00266A9E"/>
    <w:rsid w:val="00266EA6"/>
    <w:rsid w:val="002670E6"/>
    <w:rsid w:val="002676C7"/>
    <w:rsid w:val="002679DE"/>
    <w:rsid w:val="00267DD9"/>
    <w:rsid w:val="00267E1C"/>
    <w:rsid w:val="00270189"/>
    <w:rsid w:val="002708DD"/>
    <w:rsid w:val="002709F1"/>
    <w:rsid w:val="00270C4A"/>
    <w:rsid w:val="00271045"/>
    <w:rsid w:val="00271050"/>
    <w:rsid w:val="00271386"/>
    <w:rsid w:val="00271424"/>
    <w:rsid w:val="002715EC"/>
    <w:rsid w:val="00271CF5"/>
    <w:rsid w:val="00272214"/>
    <w:rsid w:val="00272475"/>
    <w:rsid w:val="00272D48"/>
    <w:rsid w:val="00272D6F"/>
    <w:rsid w:val="00273166"/>
    <w:rsid w:val="00273406"/>
    <w:rsid w:val="0027478F"/>
    <w:rsid w:val="00274AE2"/>
    <w:rsid w:val="00275160"/>
    <w:rsid w:val="002753BB"/>
    <w:rsid w:val="00275918"/>
    <w:rsid w:val="002764E6"/>
    <w:rsid w:val="00276563"/>
    <w:rsid w:val="00276643"/>
    <w:rsid w:val="00276647"/>
    <w:rsid w:val="0027681B"/>
    <w:rsid w:val="00276A18"/>
    <w:rsid w:val="00276C19"/>
    <w:rsid w:val="002770CB"/>
    <w:rsid w:val="002776AA"/>
    <w:rsid w:val="00277927"/>
    <w:rsid w:val="00277A74"/>
    <w:rsid w:val="00277AE1"/>
    <w:rsid w:val="00277D7A"/>
    <w:rsid w:val="00277DE3"/>
    <w:rsid w:val="00277EBB"/>
    <w:rsid w:val="00280627"/>
    <w:rsid w:val="002806EC"/>
    <w:rsid w:val="00280818"/>
    <w:rsid w:val="002808EA"/>
    <w:rsid w:val="00280AD7"/>
    <w:rsid w:val="00280B78"/>
    <w:rsid w:val="00280C4D"/>
    <w:rsid w:val="00280E74"/>
    <w:rsid w:val="002815EB"/>
    <w:rsid w:val="00281908"/>
    <w:rsid w:val="002819F4"/>
    <w:rsid w:val="00281BB2"/>
    <w:rsid w:val="00281E8A"/>
    <w:rsid w:val="00281EFD"/>
    <w:rsid w:val="00282680"/>
    <w:rsid w:val="00282DF3"/>
    <w:rsid w:val="00283039"/>
    <w:rsid w:val="0028322E"/>
    <w:rsid w:val="002834D8"/>
    <w:rsid w:val="00283562"/>
    <w:rsid w:val="00283B7B"/>
    <w:rsid w:val="00284707"/>
    <w:rsid w:val="00284B08"/>
    <w:rsid w:val="00284E44"/>
    <w:rsid w:val="002850E2"/>
    <w:rsid w:val="0028540A"/>
    <w:rsid w:val="00285455"/>
    <w:rsid w:val="00285826"/>
    <w:rsid w:val="00285A53"/>
    <w:rsid w:val="00285D1C"/>
    <w:rsid w:val="00286170"/>
    <w:rsid w:val="002862AD"/>
    <w:rsid w:val="002863E3"/>
    <w:rsid w:val="0028642B"/>
    <w:rsid w:val="00286A39"/>
    <w:rsid w:val="002872A8"/>
    <w:rsid w:val="0028733F"/>
    <w:rsid w:val="002875F0"/>
    <w:rsid w:val="00287888"/>
    <w:rsid w:val="002878AF"/>
    <w:rsid w:val="00287B60"/>
    <w:rsid w:val="00287C7A"/>
    <w:rsid w:val="00287CC8"/>
    <w:rsid w:val="00287FF3"/>
    <w:rsid w:val="0029042E"/>
    <w:rsid w:val="0029065D"/>
    <w:rsid w:val="0029074C"/>
    <w:rsid w:val="00291066"/>
    <w:rsid w:val="002910FE"/>
    <w:rsid w:val="0029138C"/>
    <w:rsid w:val="00291A49"/>
    <w:rsid w:val="00291ACB"/>
    <w:rsid w:val="00291DD9"/>
    <w:rsid w:val="00291E78"/>
    <w:rsid w:val="00291F96"/>
    <w:rsid w:val="002920BF"/>
    <w:rsid w:val="002920EE"/>
    <w:rsid w:val="00292399"/>
    <w:rsid w:val="0029282E"/>
    <w:rsid w:val="0029290C"/>
    <w:rsid w:val="00292B1D"/>
    <w:rsid w:val="00292DB6"/>
    <w:rsid w:val="00292EE2"/>
    <w:rsid w:val="0029374E"/>
    <w:rsid w:val="0029398C"/>
    <w:rsid w:val="00293D14"/>
    <w:rsid w:val="002941CA"/>
    <w:rsid w:val="002942B0"/>
    <w:rsid w:val="0029461E"/>
    <w:rsid w:val="002946BE"/>
    <w:rsid w:val="002948CE"/>
    <w:rsid w:val="00294AF7"/>
    <w:rsid w:val="00294BFC"/>
    <w:rsid w:val="00294D95"/>
    <w:rsid w:val="00294E36"/>
    <w:rsid w:val="00294FAA"/>
    <w:rsid w:val="002951BC"/>
    <w:rsid w:val="002955C9"/>
    <w:rsid w:val="00295CA7"/>
    <w:rsid w:val="00295D78"/>
    <w:rsid w:val="00295E3E"/>
    <w:rsid w:val="00295F38"/>
    <w:rsid w:val="00296001"/>
    <w:rsid w:val="0029600C"/>
    <w:rsid w:val="002960E8"/>
    <w:rsid w:val="00296155"/>
    <w:rsid w:val="0029667E"/>
    <w:rsid w:val="002968F5"/>
    <w:rsid w:val="00296A14"/>
    <w:rsid w:val="00296A29"/>
    <w:rsid w:val="00296AC3"/>
    <w:rsid w:val="00296B7B"/>
    <w:rsid w:val="00297295"/>
    <w:rsid w:val="002974B3"/>
    <w:rsid w:val="00297A5A"/>
    <w:rsid w:val="00297E18"/>
    <w:rsid w:val="002A06DC"/>
    <w:rsid w:val="002A0B4D"/>
    <w:rsid w:val="002A0BAF"/>
    <w:rsid w:val="002A0C77"/>
    <w:rsid w:val="002A1480"/>
    <w:rsid w:val="002A1638"/>
    <w:rsid w:val="002A1BBE"/>
    <w:rsid w:val="002A1E29"/>
    <w:rsid w:val="002A1EB7"/>
    <w:rsid w:val="002A2449"/>
    <w:rsid w:val="002A248D"/>
    <w:rsid w:val="002A2666"/>
    <w:rsid w:val="002A28E3"/>
    <w:rsid w:val="002A2E52"/>
    <w:rsid w:val="002A2EC8"/>
    <w:rsid w:val="002A3073"/>
    <w:rsid w:val="002A32F9"/>
    <w:rsid w:val="002A37FC"/>
    <w:rsid w:val="002A3C94"/>
    <w:rsid w:val="002A3CA6"/>
    <w:rsid w:val="002A3D35"/>
    <w:rsid w:val="002A3FBD"/>
    <w:rsid w:val="002A420D"/>
    <w:rsid w:val="002A45F8"/>
    <w:rsid w:val="002A4764"/>
    <w:rsid w:val="002A483C"/>
    <w:rsid w:val="002A487C"/>
    <w:rsid w:val="002A4A29"/>
    <w:rsid w:val="002A4D0C"/>
    <w:rsid w:val="002A518F"/>
    <w:rsid w:val="002A576A"/>
    <w:rsid w:val="002A57ED"/>
    <w:rsid w:val="002A5870"/>
    <w:rsid w:val="002A5A4C"/>
    <w:rsid w:val="002A5AFE"/>
    <w:rsid w:val="002A5E2B"/>
    <w:rsid w:val="002A5EF1"/>
    <w:rsid w:val="002A616E"/>
    <w:rsid w:val="002A63CB"/>
    <w:rsid w:val="002A6416"/>
    <w:rsid w:val="002A64E0"/>
    <w:rsid w:val="002A69B0"/>
    <w:rsid w:val="002A6B30"/>
    <w:rsid w:val="002A6EB7"/>
    <w:rsid w:val="002A7080"/>
    <w:rsid w:val="002A78ED"/>
    <w:rsid w:val="002A7A9B"/>
    <w:rsid w:val="002A7B1C"/>
    <w:rsid w:val="002A7F94"/>
    <w:rsid w:val="002B007A"/>
    <w:rsid w:val="002B05D9"/>
    <w:rsid w:val="002B0B7E"/>
    <w:rsid w:val="002B0C4D"/>
    <w:rsid w:val="002B0E1C"/>
    <w:rsid w:val="002B11EF"/>
    <w:rsid w:val="002B16E8"/>
    <w:rsid w:val="002B1AF5"/>
    <w:rsid w:val="002B1B28"/>
    <w:rsid w:val="002B1EB9"/>
    <w:rsid w:val="002B1FA4"/>
    <w:rsid w:val="002B20FF"/>
    <w:rsid w:val="002B21DC"/>
    <w:rsid w:val="002B223F"/>
    <w:rsid w:val="002B2698"/>
    <w:rsid w:val="002B28E5"/>
    <w:rsid w:val="002B29AD"/>
    <w:rsid w:val="002B2BA0"/>
    <w:rsid w:val="002B2E6E"/>
    <w:rsid w:val="002B2F8D"/>
    <w:rsid w:val="002B36E6"/>
    <w:rsid w:val="002B39D4"/>
    <w:rsid w:val="002B3C22"/>
    <w:rsid w:val="002B3DAF"/>
    <w:rsid w:val="002B3DB7"/>
    <w:rsid w:val="002B512E"/>
    <w:rsid w:val="002B54C4"/>
    <w:rsid w:val="002B5672"/>
    <w:rsid w:val="002B5733"/>
    <w:rsid w:val="002B5B39"/>
    <w:rsid w:val="002B5B53"/>
    <w:rsid w:val="002B5E6A"/>
    <w:rsid w:val="002B62F1"/>
    <w:rsid w:val="002B6512"/>
    <w:rsid w:val="002B6668"/>
    <w:rsid w:val="002B6A02"/>
    <w:rsid w:val="002B6BBC"/>
    <w:rsid w:val="002B6C8F"/>
    <w:rsid w:val="002B6DCD"/>
    <w:rsid w:val="002B6E87"/>
    <w:rsid w:val="002B70DD"/>
    <w:rsid w:val="002B72C7"/>
    <w:rsid w:val="002B7406"/>
    <w:rsid w:val="002B789C"/>
    <w:rsid w:val="002B78D6"/>
    <w:rsid w:val="002B7BCE"/>
    <w:rsid w:val="002B7D10"/>
    <w:rsid w:val="002C00DE"/>
    <w:rsid w:val="002C018C"/>
    <w:rsid w:val="002C09B8"/>
    <w:rsid w:val="002C09C8"/>
    <w:rsid w:val="002C0D99"/>
    <w:rsid w:val="002C108B"/>
    <w:rsid w:val="002C113C"/>
    <w:rsid w:val="002C12AA"/>
    <w:rsid w:val="002C14BD"/>
    <w:rsid w:val="002C181C"/>
    <w:rsid w:val="002C1C7C"/>
    <w:rsid w:val="002C1CB7"/>
    <w:rsid w:val="002C240B"/>
    <w:rsid w:val="002C2477"/>
    <w:rsid w:val="002C25F4"/>
    <w:rsid w:val="002C2671"/>
    <w:rsid w:val="002C2990"/>
    <w:rsid w:val="002C29AA"/>
    <w:rsid w:val="002C2C94"/>
    <w:rsid w:val="002C2FE3"/>
    <w:rsid w:val="002C391B"/>
    <w:rsid w:val="002C4011"/>
    <w:rsid w:val="002C458A"/>
    <w:rsid w:val="002C4A31"/>
    <w:rsid w:val="002C54BC"/>
    <w:rsid w:val="002C55D4"/>
    <w:rsid w:val="002C5A4C"/>
    <w:rsid w:val="002C5BC6"/>
    <w:rsid w:val="002C5E88"/>
    <w:rsid w:val="002C5FAE"/>
    <w:rsid w:val="002C6306"/>
    <w:rsid w:val="002C6375"/>
    <w:rsid w:val="002C7217"/>
    <w:rsid w:val="002C723D"/>
    <w:rsid w:val="002C77BE"/>
    <w:rsid w:val="002C77D1"/>
    <w:rsid w:val="002C7931"/>
    <w:rsid w:val="002C79BE"/>
    <w:rsid w:val="002C79FE"/>
    <w:rsid w:val="002C7F08"/>
    <w:rsid w:val="002D00E6"/>
    <w:rsid w:val="002D02AB"/>
    <w:rsid w:val="002D0450"/>
    <w:rsid w:val="002D05C5"/>
    <w:rsid w:val="002D094A"/>
    <w:rsid w:val="002D1292"/>
    <w:rsid w:val="002D1409"/>
    <w:rsid w:val="002D1525"/>
    <w:rsid w:val="002D1772"/>
    <w:rsid w:val="002D178E"/>
    <w:rsid w:val="002D1B1A"/>
    <w:rsid w:val="002D1B70"/>
    <w:rsid w:val="002D212A"/>
    <w:rsid w:val="002D2298"/>
    <w:rsid w:val="002D2663"/>
    <w:rsid w:val="002D27B2"/>
    <w:rsid w:val="002D2D19"/>
    <w:rsid w:val="002D2E10"/>
    <w:rsid w:val="002D2ED8"/>
    <w:rsid w:val="002D375B"/>
    <w:rsid w:val="002D3F20"/>
    <w:rsid w:val="002D4181"/>
    <w:rsid w:val="002D433B"/>
    <w:rsid w:val="002D447E"/>
    <w:rsid w:val="002D47EE"/>
    <w:rsid w:val="002D4874"/>
    <w:rsid w:val="002D4AD5"/>
    <w:rsid w:val="002D4B0E"/>
    <w:rsid w:val="002D4D0E"/>
    <w:rsid w:val="002D50E6"/>
    <w:rsid w:val="002D53FD"/>
    <w:rsid w:val="002D540A"/>
    <w:rsid w:val="002D595A"/>
    <w:rsid w:val="002D597B"/>
    <w:rsid w:val="002D5A45"/>
    <w:rsid w:val="002D5AE9"/>
    <w:rsid w:val="002D5B1A"/>
    <w:rsid w:val="002D5D25"/>
    <w:rsid w:val="002D61AA"/>
    <w:rsid w:val="002D624D"/>
    <w:rsid w:val="002D6508"/>
    <w:rsid w:val="002D65FE"/>
    <w:rsid w:val="002D6696"/>
    <w:rsid w:val="002D6CAA"/>
    <w:rsid w:val="002D6D4A"/>
    <w:rsid w:val="002D7036"/>
    <w:rsid w:val="002D7379"/>
    <w:rsid w:val="002D7694"/>
    <w:rsid w:val="002D780B"/>
    <w:rsid w:val="002D7A8B"/>
    <w:rsid w:val="002D7D07"/>
    <w:rsid w:val="002E006F"/>
    <w:rsid w:val="002E012C"/>
    <w:rsid w:val="002E0350"/>
    <w:rsid w:val="002E0CD5"/>
    <w:rsid w:val="002E0EAF"/>
    <w:rsid w:val="002E15DC"/>
    <w:rsid w:val="002E17C5"/>
    <w:rsid w:val="002E1A8D"/>
    <w:rsid w:val="002E1B29"/>
    <w:rsid w:val="002E1DB2"/>
    <w:rsid w:val="002E2461"/>
    <w:rsid w:val="002E2829"/>
    <w:rsid w:val="002E2978"/>
    <w:rsid w:val="002E3255"/>
    <w:rsid w:val="002E39C1"/>
    <w:rsid w:val="002E3A46"/>
    <w:rsid w:val="002E3DF3"/>
    <w:rsid w:val="002E412F"/>
    <w:rsid w:val="002E425C"/>
    <w:rsid w:val="002E433D"/>
    <w:rsid w:val="002E4598"/>
    <w:rsid w:val="002E4A08"/>
    <w:rsid w:val="002E4FD9"/>
    <w:rsid w:val="002E5159"/>
    <w:rsid w:val="002E54B4"/>
    <w:rsid w:val="002E5BD8"/>
    <w:rsid w:val="002E62B8"/>
    <w:rsid w:val="002E66AE"/>
    <w:rsid w:val="002E719C"/>
    <w:rsid w:val="002E7626"/>
    <w:rsid w:val="002E7BCB"/>
    <w:rsid w:val="002F04E2"/>
    <w:rsid w:val="002F0619"/>
    <w:rsid w:val="002F0CB9"/>
    <w:rsid w:val="002F0FFB"/>
    <w:rsid w:val="002F1066"/>
    <w:rsid w:val="002F10B0"/>
    <w:rsid w:val="002F10C5"/>
    <w:rsid w:val="002F1368"/>
    <w:rsid w:val="002F14F6"/>
    <w:rsid w:val="002F1900"/>
    <w:rsid w:val="002F195C"/>
    <w:rsid w:val="002F2106"/>
    <w:rsid w:val="002F2195"/>
    <w:rsid w:val="002F2538"/>
    <w:rsid w:val="002F2AC2"/>
    <w:rsid w:val="002F2B71"/>
    <w:rsid w:val="002F2EF9"/>
    <w:rsid w:val="002F2F81"/>
    <w:rsid w:val="002F3414"/>
    <w:rsid w:val="002F369E"/>
    <w:rsid w:val="002F36F4"/>
    <w:rsid w:val="002F3732"/>
    <w:rsid w:val="002F374D"/>
    <w:rsid w:val="002F3C1F"/>
    <w:rsid w:val="002F3E26"/>
    <w:rsid w:val="002F3F54"/>
    <w:rsid w:val="002F4408"/>
    <w:rsid w:val="002F4417"/>
    <w:rsid w:val="002F4471"/>
    <w:rsid w:val="002F4488"/>
    <w:rsid w:val="002F464D"/>
    <w:rsid w:val="002F4A7A"/>
    <w:rsid w:val="002F4A90"/>
    <w:rsid w:val="002F4F15"/>
    <w:rsid w:val="002F5064"/>
    <w:rsid w:val="002F50A0"/>
    <w:rsid w:val="002F50F3"/>
    <w:rsid w:val="002F5159"/>
    <w:rsid w:val="002F5311"/>
    <w:rsid w:val="002F57DD"/>
    <w:rsid w:val="002F5923"/>
    <w:rsid w:val="002F5B51"/>
    <w:rsid w:val="002F602E"/>
    <w:rsid w:val="002F619B"/>
    <w:rsid w:val="002F61EF"/>
    <w:rsid w:val="002F63E7"/>
    <w:rsid w:val="002F6402"/>
    <w:rsid w:val="002F65F7"/>
    <w:rsid w:val="002F67C1"/>
    <w:rsid w:val="002F6879"/>
    <w:rsid w:val="002F68E4"/>
    <w:rsid w:val="002F7804"/>
    <w:rsid w:val="002F7F22"/>
    <w:rsid w:val="002F7F95"/>
    <w:rsid w:val="003003F5"/>
    <w:rsid w:val="003009E3"/>
    <w:rsid w:val="00300BFD"/>
    <w:rsid w:val="00300F96"/>
    <w:rsid w:val="00301075"/>
    <w:rsid w:val="0030107A"/>
    <w:rsid w:val="00301AC5"/>
    <w:rsid w:val="00301B65"/>
    <w:rsid w:val="00301F54"/>
    <w:rsid w:val="003020F2"/>
    <w:rsid w:val="003022B0"/>
    <w:rsid w:val="0030273F"/>
    <w:rsid w:val="00302838"/>
    <w:rsid w:val="00302862"/>
    <w:rsid w:val="00302B1C"/>
    <w:rsid w:val="0030310E"/>
    <w:rsid w:val="00303168"/>
    <w:rsid w:val="00303462"/>
    <w:rsid w:val="00303BC9"/>
    <w:rsid w:val="003041A8"/>
    <w:rsid w:val="00304769"/>
    <w:rsid w:val="00304ACB"/>
    <w:rsid w:val="00304B9E"/>
    <w:rsid w:val="00304EEE"/>
    <w:rsid w:val="00304F61"/>
    <w:rsid w:val="00304FDD"/>
    <w:rsid w:val="00305453"/>
    <w:rsid w:val="003055DA"/>
    <w:rsid w:val="003055FD"/>
    <w:rsid w:val="00305609"/>
    <w:rsid w:val="003056F9"/>
    <w:rsid w:val="00305BCA"/>
    <w:rsid w:val="00305C78"/>
    <w:rsid w:val="00305C85"/>
    <w:rsid w:val="00305E5C"/>
    <w:rsid w:val="003067B9"/>
    <w:rsid w:val="0030680D"/>
    <w:rsid w:val="0030696D"/>
    <w:rsid w:val="003069A6"/>
    <w:rsid w:val="00306B34"/>
    <w:rsid w:val="00306E78"/>
    <w:rsid w:val="00306ED0"/>
    <w:rsid w:val="00307599"/>
    <w:rsid w:val="003075C1"/>
    <w:rsid w:val="00307EFE"/>
    <w:rsid w:val="00310028"/>
    <w:rsid w:val="003101BA"/>
    <w:rsid w:val="003104FE"/>
    <w:rsid w:val="00310552"/>
    <w:rsid w:val="00310A68"/>
    <w:rsid w:val="003111D0"/>
    <w:rsid w:val="003112D1"/>
    <w:rsid w:val="00311459"/>
    <w:rsid w:val="00311D50"/>
    <w:rsid w:val="003125CE"/>
    <w:rsid w:val="003126B6"/>
    <w:rsid w:val="003126E2"/>
    <w:rsid w:val="003127C8"/>
    <w:rsid w:val="003130DC"/>
    <w:rsid w:val="00313D0C"/>
    <w:rsid w:val="00313EAD"/>
    <w:rsid w:val="00313EFB"/>
    <w:rsid w:val="00314027"/>
    <w:rsid w:val="0031422A"/>
    <w:rsid w:val="0031444B"/>
    <w:rsid w:val="003145DA"/>
    <w:rsid w:val="003147F9"/>
    <w:rsid w:val="00314EB5"/>
    <w:rsid w:val="0031531B"/>
    <w:rsid w:val="0031539A"/>
    <w:rsid w:val="00315533"/>
    <w:rsid w:val="003155FA"/>
    <w:rsid w:val="00315811"/>
    <w:rsid w:val="00315C81"/>
    <w:rsid w:val="00315CFC"/>
    <w:rsid w:val="003160CD"/>
    <w:rsid w:val="0031654A"/>
    <w:rsid w:val="0031672D"/>
    <w:rsid w:val="00316ECA"/>
    <w:rsid w:val="00317008"/>
    <w:rsid w:val="00317159"/>
    <w:rsid w:val="00317339"/>
    <w:rsid w:val="0031740D"/>
    <w:rsid w:val="0031771F"/>
    <w:rsid w:val="00317FCD"/>
    <w:rsid w:val="00320122"/>
    <w:rsid w:val="003203A5"/>
    <w:rsid w:val="003209DC"/>
    <w:rsid w:val="00320BC9"/>
    <w:rsid w:val="00320F16"/>
    <w:rsid w:val="003210C8"/>
    <w:rsid w:val="0032119C"/>
    <w:rsid w:val="003213E8"/>
    <w:rsid w:val="003215BB"/>
    <w:rsid w:val="00321DF4"/>
    <w:rsid w:val="003227CD"/>
    <w:rsid w:val="00322A49"/>
    <w:rsid w:val="00322B45"/>
    <w:rsid w:val="00323127"/>
    <w:rsid w:val="0032365A"/>
    <w:rsid w:val="00323780"/>
    <w:rsid w:val="00323CED"/>
    <w:rsid w:val="00323F54"/>
    <w:rsid w:val="00324201"/>
    <w:rsid w:val="003247A7"/>
    <w:rsid w:val="00324A41"/>
    <w:rsid w:val="00324C01"/>
    <w:rsid w:val="00324C2D"/>
    <w:rsid w:val="00325243"/>
    <w:rsid w:val="0032572B"/>
    <w:rsid w:val="00325833"/>
    <w:rsid w:val="00325A39"/>
    <w:rsid w:val="0032660C"/>
    <w:rsid w:val="0032682F"/>
    <w:rsid w:val="003269E1"/>
    <w:rsid w:val="00326BB3"/>
    <w:rsid w:val="0032727B"/>
    <w:rsid w:val="0032731B"/>
    <w:rsid w:val="00327494"/>
    <w:rsid w:val="003274C8"/>
    <w:rsid w:val="00327506"/>
    <w:rsid w:val="0032761F"/>
    <w:rsid w:val="0032767A"/>
    <w:rsid w:val="00327815"/>
    <w:rsid w:val="003278A1"/>
    <w:rsid w:val="00327A6C"/>
    <w:rsid w:val="00327CD8"/>
    <w:rsid w:val="00330231"/>
    <w:rsid w:val="0033053E"/>
    <w:rsid w:val="0033074E"/>
    <w:rsid w:val="0033079D"/>
    <w:rsid w:val="00330AFE"/>
    <w:rsid w:val="00330B11"/>
    <w:rsid w:val="00330D1A"/>
    <w:rsid w:val="00330DAA"/>
    <w:rsid w:val="00330E25"/>
    <w:rsid w:val="00331AC7"/>
    <w:rsid w:val="00331AEE"/>
    <w:rsid w:val="00332192"/>
    <w:rsid w:val="003321A0"/>
    <w:rsid w:val="00332549"/>
    <w:rsid w:val="0033265B"/>
    <w:rsid w:val="00332715"/>
    <w:rsid w:val="003327A8"/>
    <w:rsid w:val="003329A9"/>
    <w:rsid w:val="00332A33"/>
    <w:rsid w:val="00332A6B"/>
    <w:rsid w:val="00332B72"/>
    <w:rsid w:val="00332C82"/>
    <w:rsid w:val="0033300D"/>
    <w:rsid w:val="003335B7"/>
    <w:rsid w:val="00333CD7"/>
    <w:rsid w:val="00334199"/>
    <w:rsid w:val="003344BE"/>
    <w:rsid w:val="00334CDB"/>
    <w:rsid w:val="00335B9D"/>
    <w:rsid w:val="00335EBB"/>
    <w:rsid w:val="00336502"/>
    <w:rsid w:val="003375EB"/>
    <w:rsid w:val="00337AAE"/>
    <w:rsid w:val="00337BC2"/>
    <w:rsid w:val="00337BF1"/>
    <w:rsid w:val="00337C4F"/>
    <w:rsid w:val="00337E40"/>
    <w:rsid w:val="00337FF3"/>
    <w:rsid w:val="00340147"/>
    <w:rsid w:val="003402F7"/>
    <w:rsid w:val="00340D80"/>
    <w:rsid w:val="003418AA"/>
    <w:rsid w:val="00341ACB"/>
    <w:rsid w:val="00342179"/>
    <w:rsid w:val="00342B3B"/>
    <w:rsid w:val="00342C14"/>
    <w:rsid w:val="00342C81"/>
    <w:rsid w:val="00342EB9"/>
    <w:rsid w:val="00342F97"/>
    <w:rsid w:val="00342FD1"/>
    <w:rsid w:val="00343009"/>
    <w:rsid w:val="0034313E"/>
    <w:rsid w:val="00343522"/>
    <w:rsid w:val="00343593"/>
    <w:rsid w:val="0034401B"/>
    <w:rsid w:val="003440DE"/>
    <w:rsid w:val="00344118"/>
    <w:rsid w:val="00344586"/>
    <w:rsid w:val="003447EC"/>
    <w:rsid w:val="00344A29"/>
    <w:rsid w:val="00344BE6"/>
    <w:rsid w:val="00344EF2"/>
    <w:rsid w:val="0034507D"/>
    <w:rsid w:val="003457A9"/>
    <w:rsid w:val="0034585A"/>
    <w:rsid w:val="0034592A"/>
    <w:rsid w:val="00345A62"/>
    <w:rsid w:val="003460B9"/>
    <w:rsid w:val="0034620F"/>
    <w:rsid w:val="003464E6"/>
    <w:rsid w:val="0034673B"/>
    <w:rsid w:val="00346BBD"/>
    <w:rsid w:val="00346E9F"/>
    <w:rsid w:val="00347848"/>
    <w:rsid w:val="00347853"/>
    <w:rsid w:val="00347A0B"/>
    <w:rsid w:val="00347ADE"/>
    <w:rsid w:val="00347CAF"/>
    <w:rsid w:val="00347CC3"/>
    <w:rsid w:val="0035069F"/>
    <w:rsid w:val="003506D0"/>
    <w:rsid w:val="00350890"/>
    <w:rsid w:val="00350BB6"/>
    <w:rsid w:val="00350E01"/>
    <w:rsid w:val="00350E24"/>
    <w:rsid w:val="003512C3"/>
    <w:rsid w:val="00351654"/>
    <w:rsid w:val="003516FB"/>
    <w:rsid w:val="003519B0"/>
    <w:rsid w:val="003519F8"/>
    <w:rsid w:val="00351C2D"/>
    <w:rsid w:val="003521DC"/>
    <w:rsid w:val="00352243"/>
    <w:rsid w:val="003525F7"/>
    <w:rsid w:val="00352C80"/>
    <w:rsid w:val="0035300B"/>
    <w:rsid w:val="00353050"/>
    <w:rsid w:val="0035319D"/>
    <w:rsid w:val="00353A65"/>
    <w:rsid w:val="00353CF0"/>
    <w:rsid w:val="00353F4B"/>
    <w:rsid w:val="00354001"/>
    <w:rsid w:val="00354016"/>
    <w:rsid w:val="0035423E"/>
    <w:rsid w:val="0035427A"/>
    <w:rsid w:val="0035499C"/>
    <w:rsid w:val="00354CCC"/>
    <w:rsid w:val="003559A7"/>
    <w:rsid w:val="00355C74"/>
    <w:rsid w:val="00355CE1"/>
    <w:rsid w:val="003560E1"/>
    <w:rsid w:val="0035610B"/>
    <w:rsid w:val="00356152"/>
    <w:rsid w:val="00356174"/>
    <w:rsid w:val="00356257"/>
    <w:rsid w:val="003562F8"/>
    <w:rsid w:val="00356450"/>
    <w:rsid w:val="0035681E"/>
    <w:rsid w:val="00356C1E"/>
    <w:rsid w:val="00356E28"/>
    <w:rsid w:val="00357278"/>
    <w:rsid w:val="00357283"/>
    <w:rsid w:val="00357396"/>
    <w:rsid w:val="00357632"/>
    <w:rsid w:val="00357665"/>
    <w:rsid w:val="00357738"/>
    <w:rsid w:val="00357B0E"/>
    <w:rsid w:val="00357C32"/>
    <w:rsid w:val="00357EE1"/>
    <w:rsid w:val="00357F6F"/>
    <w:rsid w:val="003605CA"/>
    <w:rsid w:val="003607FF"/>
    <w:rsid w:val="00360BE3"/>
    <w:rsid w:val="00360DF5"/>
    <w:rsid w:val="00360EF4"/>
    <w:rsid w:val="0036112F"/>
    <w:rsid w:val="00361178"/>
    <w:rsid w:val="00361254"/>
    <w:rsid w:val="0036137A"/>
    <w:rsid w:val="00361397"/>
    <w:rsid w:val="003614EE"/>
    <w:rsid w:val="00361590"/>
    <w:rsid w:val="003615CA"/>
    <w:rsid w:val="003619DD"/>
    <w:rsid w:val="00361A0D"/>
    <w:rsid w:val="003620E2"/>
    <w:rsid w:val="00362426"/>
    <w:rsid w:val="00362DBB"/>
    <w:rsid w:val="00362E08"/>
    <w:rsid w:val="0036341B"/>
    <w:rsid w:val="0036361F"/>
    <w:rsid w:val="00363CF5"/>
    <w:rsid w:val="00363D07"/>
    <w:rsid w:val="00363E07"/>
    <w:rsid w:val="00364240"/>
    <w:rsid w:val="0036443D"/>
    <w:rsid w:val="003648C9"/>
    <w:rsid w:val="00364990"/>
    <w:rsid w:val="00364A43"/>
    <w:rsid w:val="00365009"/>
    <w:rsid w:val="003653B0"/>
    <w:rsid w:val="003654E7"/>
    <w:rsid w:val="00365673"/>
    <w:rsid w:val="003659AC"/>
    <w:rsid w:val="00365F3E"/>
    <w:rsid w:val="003660C0"/>
    <w:rsid w:val="0036617F"/>
    <w:rsid w:val="00366189"/>
    <w:rsid w:val="003663B4"/>
    <w:rsid w:val="003667A1"/>
    <w:rsid w:val="00366A31"/>
    <w:rsid w:val="00366E03"/>
    <w:rsid w:val="00366E21"/>
    <w:rsid w:val="00367468"/>
    <w:rsid w:val="00367771"/>
    <w:rsid w:val="0036785A"/>
    <w:rsid w:val="00367C4D"/>
    <w:rsid w:val="00367D5D"/>
    <w:rsid w:val="00370018"/>
    <w:rsid w:val="003700B4"/>
    <w:rsid w:val="0037024C"/>
    <w:rsid w:val="003704E3"/>
    <w:rsid w:val="0037067C"/>
    <w:rsid w:val="00370F87"/>
    <w:rsid w:val="0037142F"/>
    <w:rsid w:val="003714EE"/>
    <w:rsid w:val="00371B03"/>
    <w:rsid w:val="00372026"/>
    <w:rsid w:val="003721CA"/>
    <w:rsid w:val="00372597"/>
    <w:rsid w:val="00372786"/>
    <w:rsid w:val="00372D84"/>
    <w:rsid w:val="00372F38"/>
    <w:rsid w:val="00373098"/>
    <w:rsid w:val="003731CD"/>
    <w:rsid w:val="00373213"/>
    <w:rsid w:val="003734CE"/>
    <w:rsid w:val="00373652"/>
    <w:rsid w:val="003737A3"/>
    <w:rsid w:val="003737E8"/>
    <w:rsid w:val="00373993"/>
    <w:rsid w:val="00373EDF"/>
    <w:rsid w:val="00374070"/>
    <w:rsid w:val="003740B2"/>
    <w:rsid w:val="00374177"/>
    <w:rsid w:val="0037434D"/>
    <w:rsid w:val="00374390"/>
    <w:rsid w:val="0037454E"/>
    <w:rsid w:val="003746E0"/>
    <w:rsid w:val="0037495E"/>
    <w:rsid w:val="003749AB"/>
    <w:rsid w:val="00374B5B"/>
    <w:rsid w:val="00375197"/>
    <w:rsid w:val="0037548A"/>
    <w:rsid w:val="0037555C"/>
    <w:rsid w:val="003756E0"/>
    <w:rsid w:val="00375869"/>
    <w:rsid w:val="003758DA"/>
    <w:rsid w:val="00375D89"/>
    <w:rsid w:val="00376453"/>
    <w:rsid w:val="00376805"/>
    <w:rsid w:val="00376910"/>
    <w:rsid w:val="00376A37"/>
    <w:rsid w:val="00376F43"/>
    <w:rsid w:val="00377877"/>
    <w:rsid w:val="00377A01"/>
    <w:rsid w:val="00377A0C"/>
    <w:rsid w:val="00377F19"/>
    <w:rsid w:val="00377F4A"/>
    <w:rsid w:val="00380083"/>
    <w:rsid w:val="003800DC"/>
    <w:rsid w:val="0038015A"/>
    <w:rsid w:val="0038048E"/>
    <w:rsid w:val="00380E44"/>
    <w:rsid w:val="00381142"/>
    <w:rsid w:val="00381329"/>
    <w:rsid w:val="0038161C"/>
    <w:rsid w:val="00381E31"/>
    <w:rsid w:val="00381FC6"/>
    <w:rsid w:val="00382181"/>
    <w:rsid w:val="0038220E"/>
    <w:rsid w:val="00382234"/>
    <w:rsid w:val="00382B07"/>
    <w:rsid w:val="00382BF5"/>
    <w:rsid w:val="0038308C"/>
    <w:rsid w:val="0038308E"/>
    <w:rsid w:val="003832C3"/>
    <w:rsid w:val="00383A5E"/>
    <w:rsid w:val="00383BF3"/>
    <w:rsid w:val="00383D61"/>
    <w:rsid w:val="00383EB6"/>
    <w:rsid w:val="003842CE"/>
    <w:rsid w:val="003844EF"/>
    <w:rsid w:val="00384A31"/>
    <w:rsid w:val="00384CAF"/>
    <w:rsid w:val="00384CD6"/>
    <w:rsid w:val="00384D27"/>
    <w:rsid w:val="003850F9"/>
    <w:rsid w:val="0038518A"/>
    <w:rsid w:val="003852CE"/>
    <w:rsid w:val="0038560C"/>
    <w:rsid w:val="00385626"/>
    <w:rsid w:val="00385681"/>
    <w:rsid w:val="0038576F"/>
    <w:rsid w:val="00385CEA"/>
    <w:rsid w:val="00385D0F"/>
    <w:rsid w:val="003861C8"/>
    <w:rsid w:val="0038633F"/>
    <w:rsid w:val="0038638B"/>
    <w:rsid w:val="003863A9"/>
    <w:rsid w:val="003866F7"/>
    <w:rsid w:val="0038709A"/>
    <w:rsid w:val="003873BA"/>
    <w:rsid w:val="003873F2"/>
    <w:rsid w:val="003874B9"/>
    <w:rsid w:val="0038770C"/>
    <w:rsid w:val="00387AA1"/>
    <w:rsid w:val="00387CDA"/>
    <w:rsid w:val="00387F17"/>
    <w:rsid w:val="00390080"/>
    <w:rsid w:val="00390196"/>
    <w:rsid w:val="00390211"/>
    <w:rsid w:val="0039041B"/>
    <w:rsid w:val="0039060B"/>
    <w:rsid w:val="00390626"/>
    <w:rsid w:val="003908CB"/>
    <w:rsid w:val="003909D8"/>
    <w:rsid w:val="00390B25"/>
    <w:rsid w:val="00390B72"/>
    <w:rsid w:val="00390C99"/>
    <w:rsid w:val="00390E58"/>
    <w:rsid w:val="00390E8B"/>
    <w:rsid w:val="003912C9"/>
    <w:rsid w:val="003913E8"/>
    <w:rsid w:val="00391433"/>
    <w:rsid w:val="00391652"/>
    <w:rsid w:val="0039165E"/>
    <w:rsid w:val="00391991"/>
    <w:rsid w:val="00391AF0"/>
    <w:rsid w:val="00391B66"/>
    <w:rsid w:val="00391C8B"/>
    <w:rsid w:val="00391E0A"/>
    <w:rsid w:val="00392087"/>
    <w:rsid w:val="003920A0"/>
    <w:rsid w:val="003929F3"/>
    <w:rsid w:val="00392B6B"/>
    <w:rsid w:val="00392D90"/>
    <w:rsid w:val="0039301B"/>
    <w:rsid w:val="0039314C"/>
    <w:rsid w:val="0039338D"/>
    <w:rsid w:val="003935B3"/>
    <w:rsid w:val="00393630"/>
    <w:rsid w:val="00393E58"/>
    <w:rsid w:val="0039419D"/>
    <w:rsid w:val="00394763"/>
    <w:rsid w:val="00394BC9"/>
    <w:rsid w:val="00394D11"/>
    <w:rsid w:val="00394DC8"/>
    <w:rsid w:val="00394DDB"/>
    <w:rsid w:val="00394FBA"/>
    <w:rsid w:val="0039542E"/>
    <w:rsid w:val="00395442"/>
    <w:rsid w:val="003954AB"/>
    <w:rsid w:val="0039563B"/>
    <w:rsid w:val="0039597F"/>
    <w:rsid w:val="00395A6D"/>
    <w:rsid w:val="00395B96"/>
    <w:rsid w:val="00396143"/>
    <w:rsid w:val="003962AF"/>
    <w:rsid w:val="003964C1"/>
    <w:rsid w:val="00396719"/>
    <w:rsid w:val="003973E6"/>
    <w:rsid w:val="003977A0"/>
    <w:rsid w:val="003977E5"/>
    <w:rsid w:val="00397884"/>
    <w:rsid w:val="00397E2A"/>
    <w:rsid w:val="003A00A5"/>
    <w:rsid w:val="003A0723"/>
    <w:rsid w:val="003A074C"/>
    <w:rsid w:val="003A0840"/>
    <w:rsid w:val="003A0A1C"/>
    <w:rsid w:val="003A0AF3"/>
    <w:rsid w:val="003A0BCC"/>
    <w:rsid w:val="003A1A3E"/>
    <w:rsid w:val="003A1AB4"/>
    <w:rsid w:val="003A1CA0"/>
    <w:rsid w:val="003A225B"/>
    <w:rsid w:val="003A25FE"/>
    <w:rsid w:val="003A2764"/>
    <w:rsid w:val="003A2A33"/>
    <w:rsid w:val="003A2A61"/>
    <w:rsid w:val="003A2C64"/>
    <w:rsid w:val="003A3561"/>
    <w:rsid w:val="003A363B"/>
    <w:rsid w:val="003A38F9"/>
    <w:rsid w:val="003A39C2"/>
    <w:rsid w:val="003A3CFE"/>
    <w:rsid w:val="003A3F7E"/>
    <w:rsid w:val="003A415F"/>
    <w:rsid w:val="003A4D4D"/>
    <w:rsid w:val="003A58AD"/>
    <w:rsid w:val="003A5A71"/>
    <w:rsid w:val="003A5BDB"/>
    <w:rsid w:val="003A5BE8"/>
    <w:rsid w:val="003A5C24"/>
    <w:rsid w:val="003A5EB4"/>
    <w:rsid w:val="003A61EC"/>
    <w:rsid w:val="003A6429"/>
    <w:rsid w:val="003A6692"/>
    <w:rsid w:val="003A6929"/>
    <w:rsid w:val="003A6FFE"/>
    <w:rsid w:val="003A725D"/>
    <w:rsid w:val="003A7418"/>
    <w:rsid w:val="003A7BC1"/>
    <w:rsid w:val="003A7D75"/>
    <w:rsid w:val="003B061A"/>
    <w:rsid w:val="003B0880"/>
    <w:rsid w:val="003B0AFD"/>
    <w:rsid w:val="003B0BFA"/>
    <w:rsid w:val="003B0D02"/>
    <w:rsid w:val="003B1172"/>
    <w:rsid w:val="003B154A"/>
    <w:rsid w:val="003B183D"/>
    <w:rsid w:val="003B1881"/>
    <w:rsid w:val="003B1B44"/>
    <w:rsid w:val="003B2051"/>
    <w:rsid w:val="003B2248"/>
    <w:rsid w:val="003B26D3"/>
    <w:rsid w:val="003B2784"/>
    <w:rsid w:val="003B298B"/>
    <w:rsid w:val="003B29E0"/>
    <w:rsid w:val="003B2E86"/>
    <w:rsid w:val="003B2E96"/>
    <w:rsid w:val="003B330D"/>
    <w:rsid w:val="003B3E74"/>
    <w:rsid w:val="003B3F90"/>
    <w:rsid w:val="003B3FD8"/>
    <w:rsid w:val="003B410D"/>
    <w:rsid w:val="003B4204"/>
    <w:rsid w:val="003B4595"/>
    <w:rsid w:val="003B493F"/>
    <w:rsid w:val="003B4B3B"/>
    <w:rsid w:val="003B4F93"/>
    <w:rsid w:val="003B50BB"/>
    <w:rsid w:val="003B52B2"/>
    <w:rsid w:val="003B532E"/>
    <w:rsid w:val="003B53BB"/>
    <w:rsid w:val="003B55AC"/>
    <w:rsid w:val="003B5767"/>
    <w:rsid w:val="003B6729"/>
    <w:rsid w:val="003B69B9"/>
    <w:rsid w:val="003B6B06"/>
    <w:rsid w:val="003B6BF1"/>
    <w:rsid w:val="003B6CA2"/>
    <w:rsid w:val="003B6D5F"/>
    <w:rsid w:val="003B6E9B"/>
    <w:rsid w:val="003B6EFB"/>
    <w:rsid w:val="003B6FA6"/>
    <w:rsid w:val="003B7685"/>
    <w:rsid w:val="003B7751"/>
    <w:rsid w:val="003B7C1B"/>
    <w:rsid w:val="003C0077"/>
    <w:rsid w:val="003C0330"/>
    <w:rsid w:val="003C033A"/>
    <w:rsid w:val="003C0B2C"/>
    <w:rsid w:val="003C0DA3"/>
    <w:rsid w:val="003C0E81"/>
    <w:rsid w:val="003C1056"/>
    <w:rsid w:val="003C10FA"/>
    <w:rsid w:val="003C12CE"/>
    <w:rsid w:val="003C142A"/>
    <w:rsid w:val="003C16D3"/>
    <w:rsid w:val="003C1C0F"/>
    <w:rsid w:val="003C1C26"/>
    <w:rsid w:val="003C1EF4"/>
    <w:rsid w:val="003C1FD9"/>
    <w:rsid w:val="003C2270"/>
    <w:rsid w:val="003C307C"/>
    <w:rsid w:val="003C30D9"/>
    <w:rsid w:val="003C3339"/>
    <w:rsid w:val="003C33BE"/>
    <w:rsid w:val="003C347C"/>
    <w:rsid w:val="003C366F"/>
    <w:rsid w:val="003C372D"/>
    <w:rsid w:val="003C38C6"/>
    <w:rsid w:val="003C3B43"/>
    <w:rsid w:val="003C3DB4"/>
    <w:rsid w:val="003C40E2"/>
    <w:rsid w:val="003C419C"/>
    <w:rsid w:val="003C422D"/>
    <w:rsid w:val="003C4BE4"/>
    <w:rsid w:val="003C5144"/>
    <w:rsid w:val="003C59D1"/>
    <w:rsid w:val="003C5B27"/>
    <w:rsid w:val="003C5B9D"/>
    <w:rsid w:val="003C5EFA"/>
    <w:rsid w:val="003C6084"/>
    <w:rsid w:val="003C65F3"/>
    <w:rsid w:val="003C6886"/>
    <w:rsid w:val="003C6C56"/>
    <w:rsid w:val="003C6F21"/>
    <w:rsid w:val="003C73CA"/>
    <w:rsid w:val="003C7618"/>
    <w:rsid w:val="003C765C"/>
    <w:rsid w:val="003C76B9"/>
    <w:rsid w:val="003C7954"/>
    <w:rsid w:val="003C7DA5"/>
    <w:rsid w:val="003D03D4"/>
    <w:rsid w:val="003D0466"/>
    <w:rsid w:val="003D0601"/>
    <w:rsid w:val="003D064C"/>
    <w:rsid w:val="003D077E"/>
    <w:rsid w:val="003D07B6"/>
    <w:rsid w:val="003D0EC0"/>
    <w:rsid w:val="003D1031"/>
    <w:rsid w:val="003D1416"/>
    <w:rsid w:val="003D16E8"/>
    <w:rsid w:val="003D1834"/>
    <w:rsid w:val="003D1954"/>
    <w:rsid w:val="003D19B9"/>
    <w:rsid w:val="003D1DFE"/>
    <w:rsid w:val="003D2020"/>
    <w:rsid w:val="003D2232"/>
    <w:rsid w:val="003D2412"/>
    <w:rsid w:val="003D24FC"/>
    <w:rsid w:val="003D284F"/>
    <w:rsid w:val="003D29D0"/>
    <w:rsid w:val="003D2D2D"/>
    <w:rsid w:val="003D3120"/>
    <w:rsid w:val="003D339A"/>
    <w:rsid w:val="003D469A"/>
    <w:rsid w:val="003D4723"/>
    <w:rsid w:val="003D4AA2"/>
    <w:rsid w:val="003D4B47"/>
    <w:rsid w:val="003D597A"/>
    <w:rsid w:val="003D5F88"/>
    <w:rsid w:val="003D632A"/>
    <w:rsid w:val="003D64AB"/>
    <w:rsid w:val="003D64ED"/>
    <w:rsid w:val="003D669F"/>
    <w:rsid w:val="003D6726"/>
    <w:rsid w:val="003D67E6"/>
    <w:rsid w:val="003D6C01"/>
    <w:rsid w:val="003D7117"/>
    <w:rsid w:val="003D7283"/>
    <w:rsid w:val="003D798C"/>
    <w:rsid w:val="003D7A93"/>
    <w:rsid w:val="003D7C55"/>
    <w:rsid w:val="003D7CD5"/>
    <w:rsid w:val="003D7EC4"/>
    <w:rsid w:val="003E0183"/>
    <w:rsid w:val="003E0711"/>
    <w:rsid w:val="003E096C"/>
    <w:rsid w:val="003E0C25"/>
    <w:rsid w:val="003E0D0C"/>
    <w:rsid w:val="003E0EBD"/>
    <w:rsid w:val="003E10FC"/>
    <w:rsid w:val="003E112D"/>
    <w:rsid w:val="003E187D"/>
    <w:rsid w:val="003E1886"/>
    <w:rsid w:val="003E1937"/>
    <w:rsid w:val="003E1D5D"/>
    <w:rsid w:val="003E1D94"/>
    <w:rsid w:val="003E1EB7"/>
    <w:rsid w:val="003E1F32"/>
    <w:rsid w:val="003E1F7A"/>
    <w:rsid w:val="003E1FFE"/>
    <w:rsid w:val="003E2089"/>
    <w:rsid w:val="003E2289"/>
    <w:rsid w:val="003E2870"/>
    <w:rsid w:val="003E292F"/>
    <w:rsid w:val="003E2E77"/>
    <w:rsid w:val="003E315A"/>
    <w:rsid w:val="003E32AA"/>
    <w:rsid w:val="003E32E6"/>
    <w:rsid w:val="003E3875"/>
    <w:rsid w:val="003E3D4C"/>
    <w:rsid w:val="003E3D62"/>
    <w:rsid w:val="003E3D86"/>
    <w:rsid w:val="003E3FE7"/>
    <w:rsid w:val="003E4040"/>
    <w:rsid w:val="003E4128"/>
    <w:rsid w:val="003E47A6"/>
    <w:rsid w:val="003E4A3E"/>
    <w:rsid w:val="003E4CE6"/>
    <w:rsid w:val="003E4E36"/>
    <w:rsid w:val="003E5112"/>
    <w:rsid w:val="003E5304"/>
    <w:rsid w:val="003E5974"/>
    <w:rsid w:val="003E5ABD"/>
    <w:rsid w:val="003E6100"/>
    <w:rsid w:val="003E6219"/>
    <w:rsid w:val="003E6381"/>
    <w:rsid w:val="003E644D"/>
    <w:rsid w:val="003E6584"/>
    <w:rsid w:val="003E66F3"/>
    <w:rsid w:val="003E6785"/>
    <w:rsid w:val="003E6987"/>
    <w:rsid w:val="003E6CCD"/>
    <w:rsid w:val="003E70EC"/>
    <w:rsid w:val="003E77FD"/>
    <w:rsid w:val="003E79D9"/>
    <w:rsid w:val="003E7D0E"/>
    <w:rsid w:val="003E7F6A"/>
    <w:rsid w:val="003E7FF1"/>
    <w:rsid w:val="003F0574"/>
    <w:rsid w:val="003F0646"/>
    <w:rsid w:val="003F06F5"/>
    <w:rsid w:val="003F07F9"/>
    <w:rsid w:val="003F0B4D"/>
    <w:rsid w:val="003F12C7"/>
    <w:rsid w:val="003F186E"/>
    <w:rsid w:val="003F1CAB"/>
    <w:rsid w:val="003F1E0B"/>
    <w:rsid w:val="003F1F07"/>
    <w:rsid w:val="003F2293"/>
    <w:rsid w:val="003F230E"/>
    <w:rsid w:val="003F24A9"/>
    <w:rsid w:val="003F26AA"/>
    <w:rsid w:val="003F2E12"/>
    <w:rsid w:val="003F30A7"/>
    <w:rsid w:val="003F34BD"/>
    <w:rsid w:val="003F34DB"/>
    <w:rsid w:val="003F38D6"/>
    <w:rsid w:val="003F38EE"/>
    <w:rsid w:val="003F3B11"/>
    <w:rsid w:val="003F3D8C"/>
    <w:rsid w:val="003F3DFB"/>
    <w:rsid w:val="003F40C1"/>
    <w:rsid w:val="003F46F6"/>
    <w:rsid w:val="003F48F8"/>
    <w:rsid w:val="003F4E08"/>
    <w:rsid w:val="003F50E8"/>
    <w:rsid w:val="003F5AAB"/>
    <w:rsid w:val="003F5C4E"/>
    <w:rsid w:val="003F5D30"/>
    <w:rsid w:val="003F5E5A"/>
    <w:rsid w:val="003F5ECC"/>
    <w:rsid w:val="003F6116"/>
    <w:rsid w:val="003F64A4"/>
    <w:rsid w:val="003F65CC"/>
    <w:rsid w:val="003F6662"/>
    <w:rsid w:val="003F667D"/>
    <w:rsid w:val="003F6A36"/>
    <w:rsid w:val="003F6AFA"/>
    <w:rsid w:val="003F6DD6"/>
    <w:rsid w:val="003F6F7C"/>
    <w:rsid w:val="003F7363"/>
    <w:rsid w:val="003F7AEC"/>
    <w:rsid w:val="0040006A"/>
    <w:rsid w:val="004002C5"/>
    <w:rsid w:val="004003A0"/>
    <w:rsid w:val="004003B9"/>
    <w:rsid w:val="00400514"/>
    <w:rsid w:val="00400B20"/>
    <w:rsid w:val="00400C88"/>
    <w:rsid w:val="00401018"/>
    <w:rsid w:val="0040121C"/>
    <w:rsid w:val="00401312"/>
    <w:rsid w:val="00401540"/>
    <w:rsid w:val="0040154F"/>
    <w:rsid w:val="00401ABE"/>
    <w:rsid w:val="00401D4E"/>
    <w:rsid w:val="00401F81"/>
    <w:rsid w:val="004023E5"/>
    <w:rsid w:val="00402425"/>
    <w:rsid w:val="004026B6"/>
    <w:rsid w:val="00402A1E"/>
    <w:rsid w:val="00402FDA"/>
    <w:rsid w:val="0040310A"/>
    <w:rsid w:val="00403174"/>
    <w:rsid w:val="004031CA"/>
    <w:rsid w:val="00404A3A"/>
    <w:rsid w:val="00404ACA"/>
    <w:rsid w:val="00404B53"/>
    <w:rsid w:val="00404B6D"/>
    <w:rsid w:val="004051C5"/>
    <w:rsid w:val="00405A67"/>
    <w:rsid w:val="00406024"/>
    <w:rsid w:val="00406250"/>
    <w:rsid w:val="00406390"/>
    <w:rsid w:val="004064D3"/>
    <w:rsid w:val="0040700D"/>
    <w:rsid w:val="004075DA"/>
    <w:rsid w:val="00407F22"/>
    <w:rsid w:val="00410202"/>
    <w:rsid w:val="00410313"/>
    <w:rsid w:val="004109C8"/>
    <w:rsid w:val="00410D9F"/>
    <w:rsid w:val="00410E3F"/>
    <w:rsid w:val="0041121E"/>
    <w:rsid w:val="00411240"/>
    <w:rsid w:val="00411267"/>
    <w:rsid w:val="00411342"/>
    <w:rsid w:val="00411486"/>
    <w:rsid w:val="00411832"/>
    <w:rsid w:val="004119DF"/>
    <w:rsid w:val="00412118"/>
    <w:rsid w:val="00412525"/>
    <w:rsid w:val="004125D4"/>
    <w:rsid w:val="00412637"/>
    <w:rsid w:val="00412662"/>
    <w:rsid w:val="004128E5"/>
    <w:rsid w:val="00412C76"/>
    <w:rsid w:val="00412FEA"/>
    <w:rsid w:val="00413000"/>
    <w:rsid w:val="00413337"/>
    <w:rsid w:val="004136A8"/>
    <w:rsid w:val="00413AE6"/>
    <w:rsid w:val="00413AF1"/>
    <w:rsid w:val="00413B71"/>
    <w:rsid w:val="00413EF0"/>
    <w:rsid w:val="004140F0"/>
    <w:rsid w:val="00414272"/>
    <w:rsid w:val="00414D54"/>
    <w:rsid w:val="00414E21"/>
    <w:rsid w:val="00414E43"/>
    <w:rsid w:val="00414EBC"/>
    <w:rsid w:val="004153F0"/>
    <w:rsid w:val="004153F4"/>
    <w:rsid w:val="004158AC"/>
    <w:rsid w:val="00415AF9"/>
    <w:rsid w:val="00415B37"/>
    <w:rsid w:val="00415B95"/>
    <w:rsid w:val="0041618D"/>
    <w:rsid w:val="0041626F"/>
    <w:rsid w:val="0041668B"/>
    <w:rsid w:val="00416754"/>
    <w:rsid w:val="00416A13"/>
    <w:rsid w:val="00416A2D"/>
    <w:rsid w:val="00417081"/>
    <w:rsid w:val="00417310"/>
    <w:rsid w:val="00417C24"/>
    <w:rsid w:val="00417E99"/>
    <w:rsid w:val="00420586"/>
    <w:rsid w:val="00420701"/>
    <w:rsid w:val="0042072D"/>
    <w:rsid w:val="00420770"/>
    <w:rsid w:val="00420849"/>
    <w:rsid w:val="00420988"/>
    <w:rsid w:val="00420BBE"/>
    <w:rsid w:val="004210F8"/>
    <w:rsid w:val="004211E3"/>
    <w:rsid w:val="0042193E"/>
    <w:rsid w:val="0042195C"/>
    <w:rsid w:val="00421DC9"/>
    <w:rsid w:val="00421FEF"/>
    <w:rsid w:val="004220A1"/>
    <w:rsid w:val="004224A8"/>
    <w:rsid w:val="0042269A"/>
    <w:rsid w:val="00422763"/>
    <w:rsid w:val="0042276B"/>
    <w:rsid w:val="00422F46"/>
    <w:rsid w:val="0042305B"/>
    <w:rsid w:val="004232F8"/>
    <w:rsid w:val="0042334F"/>
    <w:rsid w:val="00423417"/>
    <w:rsid w:val="00423713"/>
    <w:rsid w:val="0042395B"/>
    <w:rsid w:val="004239AB"/>
    <w:rsid w:val="00423A4E"/>
    <w:rsid w:val="00423B82"/>
    <w:rsid w:val="0042430E"/>
    <w:rsid w:val="00424357"/>
    <w:rsid w:val="0042474B"/>
    <w:rsid w:val="00424B7A"/>
    <w:rsid w:val="004254DD"/>
    <w:rsid w:val="004259E7"/>
    <w:rsid w:val="00425DC8"/>
    <w:rsid w:val="0042624D"/>
    <w:rsid w:val="004262E6"/>
    <w:rsid w:val="004264B1"/>
    <w:rsid w:val="00426A17"/>
    <w:rsid w:val="00426FE5"/>
    <w:rsid w:val="004272B6"/>
    <w:rsid w:val="00427346"/>
    <w:rsid w:val="004277D1"/>
    <w:rsid w:val="004278B0"/>
    <w:rsid w:val="00427B0F"/>
    <w:rsid w:val="004301AD"/>
    <w:rsid w:val="0043061E"/>
    <w:rsid w:val="0043080E"/>
    <w:rsid w:val="004308AA"/>
    <w:rsid w:val="00430ADA"/>
    <w:rsid w:val="00430D68"/>
    <w:rsid w:val="00430F97"/>
    <w:rsid w:val="0043154F"/>
    <w:rsid w:val="004318A9"/>
    <w:rsid w:val="0043194D"/>
    <w:rsid w:val="004319E3"/>
    <w:rsid w:val="00431B1E"/>
    <w:rsid w:val="00431DA2"/>
    <w:rsid w:val="004324BE"/>
    <w:rsid w:val="004324D5"/>
    <w:rsid w:val="004325B9"/>
    <w:rsid w:val="004325BB"/>
    <w:rsid w:val="00432780"/>
    <w:rsid w:val="00432E2B"/>
    <w:rsid w:val="00433098"/>
    <w:rsid w:val="00433155"/>
    <w:rsid w:val="0043340B"/>
    <w:rsid w:val="004334CC"/>
    <w:rsid w:val="00433C85"/>
    <w:rsid w:val="00433DD1"/>
    <w:rsid w:val="00433E0F"/>
    <w:rsid w:val="004340F2"/>
    <w:rsid w:val="004341D1"/>
    <w:rsid w:val="004348C0"/>
    <w:rsid w:val="00434DE3"/>
    <w:rsid w:val="00434F24"/>
    <w:rsid w:val="0043501C"/>
    <w:rsid w:val="0043519E"/>
    <w:rsid w:val="004352FC"/>
    <w:rsid w:val="004353F2"/>
    <w:rsid w:val="004355CB"/>
    <w:rsid w:val="00435D7E"/>
    <w:rsid w:val="00435D81"/>
    <w:rsid w:val="00435DA2"/>
    <w:rsid w:val="00435E2F"/>
    <w:rsid w:val="0043640D"/>
    <w:rsid w:val="004366B3"/>
    <w:rsid w:val="00436A1B"/>
    <w:rsid w:val="00436F14"/>
    <w:rsid w:val="0043712B"/>
    <w:rsid w:val="00437696"/>
    <w:rsid w:val="00437AC3"/>
    <w:rsid w:val="00437B91"/>
    <w:rsid w:val="00437E4F"/>
    <w:rsid w:val="00440065"/>
    <w:rsid w:val="0044037A"/>
    <w:rsid w:val="0044058D"/>
    <w:rsid w:val="004406BE"/>
    <w:rsid w:val="004407BD"/>
    <w:rsid w:val="004409FB"/>
    <w:rsid w:val="00440D94"/>
    <w:rsid w:val="0044107A"/>
    <w:rsid w:val="0044109D"/>
    <w:rsid w:val="004410ED"/>
    <w:rsid w:val="00441100"/>
    <w:rsid w:val="0044117B"/>
    <w:rsid w:val="00441286"/>
    <w:rsid w:val="0044141C"/>
    <w:rsid w:val="0044160F"/>
    <w:rsid w:val="004417ED"/>
    <w:rsid w:val="00441B12"/>
    <w:rsid w:val="00441F54"/>
    <w:rsid w:val="00442110"/>
    <w:rsid w:val="00442304"/>
    <w:rsid w:val="00442377"/>
    <w:rsid w:val="0044262E"/>
    <w:rsid w:val="00442A12"/>
    <w:rsid w:val="00442D25"/>
    <w:rsid w:val="00442F22"/>
    <w:rsid w:val="004432CD"/>
    <w:rsid w:val="004434AF"/>
    <w:rsid w:val="004437A0"/>
    <w:rsid w:val="004437A9"/>
    <w:rsid w:val="00443A81"/>
    <w:rsid w:val="00443D1E"/>
    <w:rsid w:val="00443D79"/>
    <w:rsid w:val="004445D7"/>
    <w:rsid w:val="00444743"/>
    <w:rsid w:val="004448AB"/>
    <w:rsid w:val="0044492E"/>
    <w:rsid w:val="00444AFE"/>
    <w:rsid w:val="00444EA1"/>
    <w:rsid w:val="00444F1A"/>
    <w:rsid w:val="0044501D"/>
    <w:rsid w:val="004455F4"/>
    <w:rsid w:val="00445721"/>
    <w:rsid w:val="004458CD"/>
    <w:rsid w:val="00445C85"/>
    <w:rsid w:val="00446121"/>
    <w:rsid w:val="00446293"/>
    <w:rsid w:val="00446328"/>
    <w:rsid w:val="00446340"/>
    <w:rsid w:val="0044646A"/>
    <w:rsid w:val="00446545"/>
    <w:rsid w:val="00446D8E"/>
    <w:rsid w:val="00446E2D"/>
    <w:rsid w:val="004471F2"/>
    <w:rsid w:val="004471F3"/>
    <w:rsid w:val="004472FF"/>
    <w:rsid w:val="00447320"/>
    <w:rsid w:val="0044741E"/>
    <w:rsid w:val="00447549"/>
    <w:rsid w:val="00447835"/>
    <w:rsid w:val="0044797A"/>
    <w:rsid w:val="00447A16"/>
    <w:rsid w:val="00447C5F"/>
    <w:rsid w:val="00447EBF"/>
    <w:rsid w:val="004503B4"/>
    <w:rsid w:val="00450A4D"/>
    <w:rsid w:val="00450B1F"/>
    <w:rsid w:val="00450E93"/>
    <w:rsid w:val="00450FA9"/>
    <w:rsid w:val="004510C7"/>
    <w:rsid w:val="00451327"/>
    <w:rsid w:val="0045153A"/>
    <w:rsid w:val="00451A94"/>
    <w:rsid w:val="00451F90"/>
    <w:rsid w:val="00452187"/>
    <w:rsid w:val="00452565"/>
    <w:rsid w:val="00452CA8"/>
    <w:rsid w:val="00452E61"/>
    <w:rsid w:val="004533DF"/>
    <w:rsid w:val="0045380D"/>
    <w:rsid w:val="00453CA7"/>
    <w:rsid w:val="004542FD"/>
    <w:rsid w:val="00454849"/>
    <w:rsid w:val="00454B50"/>
    <w:rsid w:val="00454BC0"/>
    <w:rsid w:val="00454C61"/>
    <w:rsid w:val="00454D2A"/>
    <w:rsid w:val="004550FC"/>
    <w:rsid w:val="00455317"/>
    <w:rsid w:val="004553E1"/>
    <w:rsid w:val="004554FF"/>
    <w:rsid w:val="004557CB"/>
    <w:rsid w:val="00455C02"/>
    <w:rsid w:val="004560BD"/>
    <w:rsid w:val="0045629A"/>
    <w:rsid w:val="00456580"/>
    <w:rsid w:val="004568EE"/>
    <w:rsid w:val="00457229"/>
    <w:rsid w:val="00457459"/>
    <w:rsid w:val="004574E7"/>
    <w:rsid w:val="00457874"/>
    <w:rsid w:val="00457D2F"/>
    <w:rsid w:val="00457DD2"/>
    <w:rsid w:val="00457FC5"/>
    <w:rsid w:val="0046004E"/>
    <w:rsid w:val="00460342"/>
    <w:rsid w:val="0046072D"/>
    <w:rsid w:val="00460DC1"/>
    <w:rsid w:val="00461246"/>
    <w:rsid w:val="004613E7"/>
    <w:rsid w:val="00461565"/>
    <w:rsid w:val="0046164F"/>
    <w:rsid w:val="0046185E"/>
    <w:rsid w:val="004619EC"/>
    <w:rsid w:val="0046211B"/>
    <w:rsid w:val="00462676"/>
    <w:rsid w:val="00462897"/>
    <w:rsid w:val="00463007"/>
    <w:rsid w:val="0046335A"/>
    <w:rsid w:val="0046392B"/>
    <w:rsid w:val="00463F2C"/>
    <w:rsid w:val="00463FD5"/>
    <w:rsid w:val="0046400C"/>
    <w:rsid w:val="004640D2"/>
    <w:rsid w:val="004642F3"/>
    <w:rsid w:val="00464396"/>
    <w:rsid w:val="004643E1"/>
    <w:rsid w:val="00464679"/>
    <w:rsid w:val="004646A9"/>
    <w:rsid w:val="00464DC2"/>
    <w:rsid w:val="00464E34"/>
    <w:rsid w:val="0046518B"/>
    <w:rsid w:val="004658C1"/>
    <w:rsid w:val="00465FE6"/>
    <w:rsid w:val="00466620"/>
    <w:rsid w:val="004666F3"/>
    <w:rsid w:val="00466878"/>
    <w:rsid w:val="00466A3A"/>
    <w:rsid w:val="00466B28"/>
    <w:rsid w:val="00466D8E"/>
    <w:rsid w:val="004670B7"/>
    <w:rsid w:val="004677C6"/>
    <w:rsid w:val="00467B47"/>
    <w:rsid w:val="00467D70"/>
    <w:rsid w:val="00467D9A"/>
    <w:rsid w:val="00467EAC"/>
    <w:rsid w:val="004700D1"/>
    <w:rsid w:val="00470272"/>
    <w:rsid w:val="004704A9"/>
    <w:rsid w:val="0047082B"/>
    <w:rsid w:val="0047084C"/>
    <w:rsid w:val="004709D7"/>
    <w:rsid w:val="00470D12"/>
    <w:rsid w:val="004710D7"/>
    <w:rsid w:val="00471235"/>
    <w:rsid w:val="00471363"/>
    <w:rsid w:val="004714BB"/>
    <w:rsid w:val="00471510"/>
    <w:rsid w:val="004715AF"/>
    <w:rsid w:val="0047170E"/>
    <w:rsid w:val="00471867"/>
    <w:rsid w:val="0047186F"/>
    <w:rsid w:val="00471FA2"/>
    <w:rsid w:val="00472239"/>
    <w:rsid w:val="00472C86"/>
    <w:rsid w:val="00473124"/>
    <w:rsid w:val="004732B7"/>
    <w:rsid w:val="0047334B"/>
    <w:rsid w:val="00473474"/>
    <w:rsid w:val="0047389F"/>
    <w:rsid w:val="00474002"/>
    <w:rsid w:val="004740CC"/>
    <w:rsid w:val="0047473F"/>
    <w:rsid w:val="004749A1"/>
    <w:rsid w:val="00475083"/>
    <w:rsid w:val="004751C2"/>
    <w:rsid w:val="0047533F"/>
    <w:rsid w:val="004754BC"/>
    <w:rsid w:val="0047552E"/>
    <w:rsid w:val="0047578E"/>
    <w:rsid w:val="00475F46"/>
    <w:rsid w:val="0047601C"/>
    <w:rsid w:val="004773F7"/>
    <w:rsid w:val="00477F9D"/>
    <w:rsid w:val="0048013E"/>
    <w:rsid w:val="004801FD"/>
    <w:rsid w:val="004802D9"/>
    <w:rsid w:val="00480559"/>
    <w:rsid w:val="00480867"/>
    <w:rsid w:val="00480C28"/>
    <w:rsid w:val="00480E29"/>
    <w:rsid w:val="00480F5D"/>
    <w:rsid w:val="00481328"/>
    <w:rsid w:val="00481546"/>
    <w:rsid w:val="00481609"/>
    <w:rsid w:val="0048175B"/>
    <w:rsid w:val="00481E17"/>
    <w:rsid w:val="00482132"/>
    <w:rsid w:val="00482239"/>
    <w:rsid w:val="00482327"/>
    <w:rsid w:val="00482706"/>
    <w:rsid w:val="00482947"/>
    <w:rsid w:val="00482A01"/>
    <w:rsid w:val="00482C00"/>
    <w:rsid w:val="0048302A"/>
    <w:rsid w:val="004830CF"/>
    <w:rsid w:val="004830DD"/>
    <w:rsid w:val="0048351D"/>
    <w:rsid w:val="00483679"/>
    <w:rsid w:val="004839EA"/>
    <w:rsid w:val="0048410B"/>
    <w:rsid w:val="00484179"/>
    <w:rsid w:val="004844AA"/>
    <w:rsid w:val="00484659"/>
    <w:rsid w:val="00484B2C"/>
    <w:rsid w:val="00484BAB"/>
    <w:rsid w:val="00484BE8"/>
    <w:rsid w:val="00485182"/>
    <w:rsid w:val="004854E4"/>
    <w:rsid w:val="004856A7"/>
    <w:rsid w:val="004856EC"/>
    <w:rsid w:val="0048588D"/>
    <w:rsid w:val="00485984"/>
    <w:rsid w:val="00485DB4"/>
    <w:rsid w:val="00485E7F"/>
    <w:rsid w:val="0048601D"/>
    <w:rsid w:val="00486898"/>
    <w:rsid w:val="00486A05"/>
    <w:rsid w:val="00486CC8"/>
    <w:rsid w:val="00486DDF"/>
    <w:rsid w:val="00487114"/>
    <w:rsid w:val="004875B5"/>
    <w:rsid w:val="004900E4"/>
    <w:rsid w:val="00490434"/>
    <w:rsid w:val="004908AF"/>
    <w:rsid w:val="00490BBB"/>
    <w:rsid w:val="00490C1D"/>
    <w:rsid w:val="00490C55"/>
    <w:rsid w:val="00490FA8"/>
    <w:rsid w:val="004916E6"/>
    <w:rsid w:val="00491C5D"/>
    <w:rsid w:val="00492320"/>
    <w:rsid w:val="00492A4C"/>
    <w:rsid w:val="00492BFE"/>
    <w:rsid w:val="004933E1"/>
    <w:rsid w:val="00493405"/>
    <w:rsid w:val="00493415"/>
    <w:rsid w:val="00493DAE"/>
    <w:rsid w:val="0049429B"/>
    <w:rsid w:val="0049446F"/>
    <w:rsid w:val="0049483C"/>
    <w:rsid w:val="004949EC"/>
    <w:rsid w:val="00494A8B"/>
    <w:rsid w:val="00494B06"/>
    <w:rsid w:val="00494CFB"/>
    <w:rsid w:val="004951B5"/>
    <w:rsid w:val="004953FA"/>
    <w:rsid w:val="0049546E"/>
    <w:rsid w:val="00495FBD"/>
    <w:rsid w:val="0049610D"/>
    <w:rsid w:val="004961D3"/>
    <w:rsid w:val="00496235"/>
    <w:rsid w:val="00496581"/>
    <w:rsid w:val="004965DD"/>
    <w:rsid w:val="00496694"/>
    <w:rsid w:val="00496704"/>
    <w:rsid w:val="00496E44"/>
    <w:rsid w:val="00496FF4"/>
    <w:rsid w:val="004972E8"/>
    <w:rsid w:val="00497A88"/>
    <w:rsid w:val="00497AD4"/>
    <w:rsid w:val="00497AE1"/>
    <w:rsid w:val="00497D8B"/>
    <w:rsid w:val="004A049F"/>
    <w:rsid w:val="004A06A6"/>
    <w:rsid w:val="004A0786"/>
    <w:rsid w:val="004A08DA"/>
    <w:rsid w:val="004A0A67"/>
    <w:rsid w:val="004A0ADD"/>
    <w:rsid w:val="004A0B7B"/>
    <w:rsid w:val="004A0BEF"/>
    <w:rsid w:val="004A0C2B"/>
    <w:rsid w:val="004A15D4"/>
    <w:rsid w:val="004A183E"/>
    <w:rsid w:val="004A1A7F"/>
    <w:rsid w:val="004A1AF0"/>
    <w:rsid w:val="004A1CAE"/>
    <w:rsid w:val="004A1CC0"/>
    <w:rsid w:val="004A201F"/>
    <w:rsid w:val="004A219C"/>
    <w:rsid w:val="004A2294"/>
    <w:rsid w:val="004A2439"/>
    <w:rsid w:val="004A253A"/>
    <w:rsid w:val="004A2C76"/>
    <w:rsid w:val="004A2DEC"/>
    <w:rsid w:val="004A3225"/>
    <w:rsid w:val="004A3758"/>
    <w:rsid w:val="004A37AB"/>
    <w:rsid w:val="004A3B97"/>
    <w:rsid w:val="004A3BF1"/>
    <w:rsid w:val="004A3CEC"/>
    <w:rsid w:val="004A3E23"/>
    <w:rsid w:val="004A409B"/>
    <w:rsid w:val="004A52C1"/>
    <w:rsid w:val="004A55D6"/>
    <w:rsid w:val="004A5A8E"/>
    <w:rsid w:val="004A5C37"/>
    <w:rsid w:val="004A5D7B"/>
    <w:rsid w:val="004A66E6"/>
    <w:rsid w:val="004A6771"/>
    <w:rsid w:val="004A6D55"/>
    <w:rsid w:val="004A6D8A"/>
    <w:rsid w:val="004A6F85"/>
    <w:rsid w:val="004A709F"/>
    <w:rsid w:val="004A7355"/>
    <w:rsid w:val="004A7C8C"/>
    <w:rsid w:val="004A7D00"/>
    <w:rsid w:val="004B0159"/>
    <w:rsid w:val="004B029C"/>
    <w:rsid w:val="004B04B5"/>
    <w:rsid w:val="004B0856"/>
    <w:rsid w:val="004B0CEE"/>
    <w:rsid w:val="004B0F49"/>
    <w:rsid w:val="004B10A8"/>
    <w:rsid w:val="004B11BB"/>
    <w:rsid w:val="004B1590"/>
    <w:rsid w:val="004B1B4D"/>
    <w:rsid w:val="004B1C68"/>
    <w:rsid w:val="004B1C7E"/>
    <w:rsid w:val="004B24E3"/>
    <w:rsid w:val="004B2573"/>
    <w:rsid w:val="004B2AF7"/>
    <w:rsid w:val="004B2C34"/>
    <w:rsid w:val="004B3197"/>
    <w:rsid w:val="004B31CB"/>
    <w:rsid w:val="004B3409"/>
    <w:rsid w:val="004B353D"/>
    <w:rsid w:val="004B371B"/>
    <w:rsid w:val="004B37D4"/>
    <w:rsid w:val="004B39D7"/>
    <w:rsid w:val="004B3A00"/>
    <w:rsid w:val="004B3B95"/>
    <w:rsid w:val="004B3BD4"/>
    <w:rsid w:val="004B3D70"/>
    <w:rsid w:val="004B408E"/>
    <w:rsid w:val="004B40C2"/>
    <w:rsid w:val="004B47FA"/>
    <w:rsid w:val="004B4BC5"/>
    <w:rsid w:val="004B4F50"/>
    <w:rsid w:val="004B5219"/>
    <w:rsid w:val="004B56EA"/>
    <w:rsid w:val="004B576E"/>
    <w:rsid w:val="004B594D"/>
    <w:rsid w:val="004B595E"/>
    <w:rsid w:val="004B5A54"/>
    <w:rsid w:val="004B5BE6"/>
    <w:rsid w:val="004B5DD1"/>
    <w:rsid w:val="004B6077"/>
    <w:rsid w:val="004B647F"/>
    <w:rsid w:val="004B66B2"/>
    <w:rsid w:val="004B690D"/>
    <w:rsid w:val="004B6B4A"/>
    <w:rsid w:val="004B6D78"/>
    <w:rsid w:val="004B7090"/>
    <w:rsid w:val="004B71C9"/>
    <w:rsid w:val="004B789E"/>
    <w:rsid w:val="004B7C01"/>
    <w:rsid w:val="004B7DBE"/>
    <w:rsid w:val="004B7E52"/>
    <w:rsid w:val="004B7F2E"/>
    <w:rsid w:val="004C0468"/>
    <w:rsid w:val="004C0B42"/>
    <w:rsid w:val="004C1728"/>
    <w:rsid w:val="004C1BAB"/>
    <w:rsid w:val="004C1EAE"/>
    <w:rsid w:val="004C21B7"/>
    <w:rsid w:val="004C21BC"/>
    <w:rsid w:val="004C235D"/>
    <w:rsid w:val="004C2403"/>
    <w:rsid w:val="004C24F9"/>
    <w:rsid w:val="004C2756"/>
    <w:rsid w:val="004C2B2F"/>
    <w:rsid w:val="004C301D"/>
    <w:rsid w:val="004C32A5"/>
    <w:rsid w:val="004C32E0"/>
    <w:rsid w:val="004C3748"/>
    <w:rsid w:val="004C3764"/>
    <w:rsid w:val="004C387B"/>
    <w:rsid w:val="004C39FA"/>
    <w:rsid w:val="004C3AF7"/>
    <w:rsid w:val="004C4089"/>
    <w:rsid w:val="004C4972"/>
    <w:rsid w:val="004C4ABC"/>
    <w:rsid w:val="004C4DAA"/>
    <w:rsid w:val="004C4FEE"/>
    <w:rsid w:val="004C510C"/>
    <w:rsid w:val="004C51B0"/>
    <w:rsid w:val="004C5A50"/>
    <w:rsid w:val="004C5EDE"/>
    <w:rsid w:val="004C6218"/>
    <w:rsid w:val="004C62BF"/>
    <w:rsid w:val="004C679A"/>
    <w:rsid w:val="004C70B7"/>
    <w:rsid w:val="004C70F4"/>
    <w:rsid w:val="004C79D8"/>
    <w:rsid w:val="004C7A1F"/>
    <w:rsid w:val="004C7B2A"/>
    <w:rsid w:val="004C7F5E"/>
    <w:rsid w:val="004C7F76"/>
    <w:rsid w:val="004D0061"/>
    <w:rsid w:val="004D007A"/>
    <w:rsid w:val="004D0D21"/>
    <w:rsid w:val="004D0F0A"/>
    <w:rsid w:val="004D130B"/>
    <w:rsid w:val="004D1679"/>
    <w:rsid w:val="004D18B7"/>
    <w:rsid w:val="004D1C97"/>
    <w:rsid w:val="004D1FC9"/>
    <w:rsid w:val="004D2230"/>
    <w:rsid w:val="004D2378"/>
    <w:rsid w:val="004D25A6"/>
    <w:rsid w:val="004D2BA5"/>
    <w:rsid w:val="004D31F4"/>
    <w:rsid w:val="004D3B14"/>
    <w:rsid w:val="004D3DE9"/>
    <w:rsid w:val="004D3DF4"/>
    <w:rsid w:val="004D3EA9"/>
    <w:rsid w:val="004D4005"/>
    <w:rsid w:val="004D4306"/>
    <w:rsid w:val="004D4804"/>
    <w:rsid w:val="004D4E92"/>
    <w:rsid w:val="004D50D9"/>
    <w:rsid w:val="004D55E3"/>
    <w:rsid w:val="004D599B"/>
    <w:rsid w:val="004D5AE7"/>
    <w:rsid w:val="004D5BFB"/>
    <w:rsid w:val="004D647A"/>
    <w:rsid w:val="004D689F"/>
    <w:rsid w:val="004D6C24"/>
    <w:rsid w:val="004D6CF4"/>
    <w:rsid w:val="004D6E8F"/>
    <w:rsid w:val="004D6F50"/>
    <w:rsid w:val="004D78E2"/>
    <w:rsid w:val="004D7BC0"/>
    <w:rsid w:val="004E061E"/>
    <w:rsid w:val="004E07EB"/>
    <w:rsid w:val="004E0C53"/>
    <w:rsid w:val="004E0F16"/>
    <w:rsid w:val="004E105A"/>
    <w:rsid w:val="004E168A"/>
    <w:rsid w:val="004E255F"/>
    <w:rsid w:val="004E273B"/>
    <w:rsid w:val="004E27E7"/>
    <w:rsid w:val="004E2E44"/>
    <w:rsid w:val="004E317C"/>
    <w:rsid w:val="004E31AB"/>
    <w:rsid w:val="004E3289"/>
    <w:rsid w:val="004E343F"/>
    <w:rsid w:val="004E3AD9"/>
    <w:rsid w:val="004E40F4"/>
    <w:rsid w:val="004E4692"/>
    <w:rsid w:val="004E4825"/>
    <w:rsid w:val="004E4AE4"/>
    <w:rsid w:val="004E4E54"/>
    <w:rsid w:val="004E4F1F"/>
    <w:rsid w:val="004E54D7"/>
    <w:rsid w:val="004E5B42"/>
    <w:rsid w:val="004E60BA"/>
    <w:rsid w:val="004E6307"/>
    <w:rsid w:val="004E6377"/>
    <w:rsid w:val="004E67EB"/>
    <w:rsid w:val="004E6814"/>
    <w:rsid w:val="004E70A1"/>
    <w:rsid w:val="004E70CB"/>
    <w:rsid w:val="004E7559"/>
    <w:rsid w:val="004E75B7"/>
    <w:rsid w:val="004E75C7"/>
    <w:rsid w:val="004E7A65"/>
    <w:rsid w:val="004E7AF4"/>
    <w:rsid w:val="004E7B5F"/>
    <w:rsid w:val="004F02A8"/>
    <w:rsid w:val="004F0420"/>
    <w:rsid w:val="004F132A"/>
    <w:rsid w:val="004F132C"/>
    <w:rsid w:val="004F18AA"/>
    <w:rsid w:val="004F19BA"/>
    <w:rsid w:val="004F1A78"/>
    <w:rsid w:val="004F1CDE"/>
    <w:rsid w:val="004F20FB"/>
    <w:rsid w:val="004F284B"/>
    <w:rsid w:val="004F29B0"/>
    <w:rsid w:val="004F2C93"/>
    <w:rsid w:val="004F3080"/>
    <w:rsid w:val="004F3855"/>
    <w:rsid w:val="004F3CB6"/>
    <w:rsid w:val="004F41F2"/>
    <w:rsid w:val="004F4614"/>
    <w:rsid w:val="004F46F6"/>
    <w:rsid w:val="004F4910"/>
    <w:rsid w:val="004F4EA0"/>
    <w:rsid w:val="004F512C"/>
    <w:rsid w:val="004F5594"/>
    <w:rsid w:val="004F5C12"/>
    <w:rsid w:val="004F5C83"/>
    <w:rsid w:val="004F6E90"/>
    <w:rsid w:val="004F6E94"/>
    <w:rsid w:val="004F7281"/>
    <w:rsid w:val="004F72B4"/>
    <w:rsid w:val="004F748C"/>
    <w:rsid w:val="004F75CB"/>
    <w:rsid w:val="004F764B"/>
    <w:rsid w:val="004F7B4C"/>
    <w:rsid w:val="004F7D97"/>
    <w:rsid w:val="005006B9"/>
    <w:rsid w:val="005008D1"/>
    <w:rsid w:val="00500942"/>
    <w:rsid w:val="00500A2C"/>
    <w:rsid w:val="00500AFA"/>
    <w:rsid w:val="0050221B"/>
    <w:rsid w:val="00503D74"/>
    <w:rsid w:val="00503E13"/>
    <w:rsid w:val="00503EB2"/>
    <w:rsid w:val="00503EBC"/>
    <w:rsid w:val="00503F8F"/>
    <w:rsid w:val="00504151"/>
    <w:rsid w:val="005048D5"/>
    <w:rsid w:val="00504B52"/>
    <w:rsid w:val="00504F33"/>
    <w:rsid w:val="00505056"/>
    <w:rsid w:val="005052D5"/>
    <w:rsid w:val="005052E8"/>
    <w:rsid w:val="0050548C"/>
    <w:rsid w:val="00505D33"/>
    <w:rsid w:val="00506211"/>
    <w:rsid w:val="00506310"/>
    <w:rsid w:val="00506595"/>
    <w:rsid w:val="005068DA"/>
    <w:rsid w:val="005069D7"/>
    <w:rsid w:val="00506B02"/>
    <w:rsid w:val="00506DB1"/>
    <w:rsid w:val="00507390"/>
    <w:rsid w:val="005075B8"/>
    <w:rsid w:val="005075FB"/>
    <w:rsid w:val="00507D82"/>
    <w:rsid w:val="00507F09"/>
    <w:rsid w:val="0051002C"/>
    <w:rsid w:val="005102EF"/>
    <w:rsid w:val="00510779"/>
    <w:rsid w:val="0051081A"/>
    <w:rsid w:val="00510D05"/>
    <w:rsid w:val="00511274"/>
    <w:rsid w:val="00511605"/>
    <w:rsid w:val="00511657"/>
    <w:rsid w:val="00511A18"/>
    <w:rsid w:val="00511B75"/>
    <w:rsid w:val="00511CD8"/>
    <w:rsid w:val="00512765"/>
    <w:rsid w:val="0051296A"/>
    <w:rsid w:val="005129EE"/>
    <w:rsid w:val="00512D69"/>
    <w:rsid w:val="00512DB8"/>
    <w:rsid w:val="0051319C"/>
    <w:rsid w:val="0051334E"/>
    <w:rsid w:val="00513865"/>
    <w:rsid w:val="00513D3A"/>
    <w:rsid w:val="00514025"/>
    <w:rsid w:val="00514217"/>
    <w:rsid w:val="00514B6D"/>
    <w:rsid w:val="0051543A"/>
    <w:rsid w:val="00515CED"/>
    <w:rsid w:val="00515DB4"/>
    <w:rsid w:val="00515F28"/>
    <w:rsid w:val="005160D2"/>
    <w:rsid w:val="005165FE"/>
    <w:rsid w:val="0051696F"/>
    <w:rsid w:val="005169A3"/>
    <w:rsid w:val="005169A5"/>
    <w:rsid w:val="00516A60"/>
    <w:rsid w:val="00517078"/>
    <w:rsid w:val="005171C0"/>
    <w:rsid w:val="0051748E"/>
    <w:rsid w:val="005174BB"/>
    <w:rsid w:val="00517520"/>
    <w:rsid w:val="005178E9"/>
    <w:rsid w:val="00517A61"/>
    <w:rsid w:val="00517E72"/>
    <w:rsid w:val="0052021D"/>
    <w:rsid w:val="005202EC"/>
    <w:rsid w:val="005208F8"/>
    <w:rsid w:val="00520F37"/>
    <w:rsid w:val="005210F2"/>
    <w:rsid w:val="00521160"/>
    <w:rsid w:val="00521186"/>
    <w:rsid w:val="005211E9"/>
    <w:rsid w:val="005213F5"/>
    <w:rsid w:val="00521A93"/>
    <w:rsid w:val="00521DFE"/>
    <w:rsid w:val="005220DA"/>
    <w:rsid w:val="005222C6"/>
    <w:rsid w:val="00522412"/>
    <w:rsid w:val="005224DD"/>
    <w:rsid w:val="00522649"/>
    <w:rsid w:val="0052314C"/>
    <w:rsid w:val="00523349"/>
    <w:rsid w:val="00523738"/>
    <w:rsid w:val="005238BF"/>
    <w:rsid w:val="00523D65"/>
    <w:rsid w:val="00523F89"/>
    <w:rsid w:val="00524059"/>
    <w:rsid w:val="005242AB"/>
    <w:rsid w:val="0052441B"/>
    <w:rsid w:val="005244C9"/>
    <w:rsid w:val="0052486C"/>
    <w:rsid w:val="005248B2"/>
    <w:rsid w:val="00524F27"/>
    <w:rsid w:val="00525189"/>
    <w:rsid w:val="005251E9"/>
    <w:rsid w:val="00525E19"/>
    <w:rsid w:val="0052604F"/>
    <w:rsid w:val="00526128"/>
    <w:rsid w:val="005261E6"/>
    <w:rsid w:val="00526478"/>
    <w:rsid w:val="0052661E"/>
    <w:rsid w:val="00526626"/>
    <w:rsid w:val="00526987"/>
    <w:rsid w:val="00526AEA"/>
    <w:rsid w:val="00526DB5"/>
    <w:rsid w:val="00526DCC"/>
    <w:rsid w:val="00526F44"/>
    <w:rsid w:val="005274F8"/>
    <w:rsid w:val="0052779E"/>
    <w:rsid w:val="00527974"/>
    <w:rsid w:val="00527CFB"/>
    <w:rsid w:val="005301A3"/>
    <w:rsid w:val="00530CF0"/>
    <w:rsid w:val="005315F0"/>
    <w:rsid w:val="00531604"/>
    <w:rsid w:val="0053178D"/>
    <w:rsid w:val="00531B0F"/>
    <w:rsid w:val="00531B37"/>
    <w:rsid w:val="00531BEE"/>
    <w:rsid w:val="00531C31"/>
    <w:rsid w:val="00531C45"/>
    <w:rsid w:val="00531D48"/>
    <w:rsid w:val="00532055"/>
    <w:rsid w:val="00532072"/>
    <w:rsid w:val="00532284"/>
    <w:rsid w:val="00532306"/>
    <w:rsid w:val="0053270A"/>
    <w:rsid w:val="005327FF"/>
    <w:rsid w:val="005329DB"/>
    <w:rsid w:val="00532A9E"/>
    <w:rsid w:val="00532BB8"/>
    <w:rsid w:val="00532E3F"/>
    <w:rsid w:val="00532F54"/>
    <w:rsid w:val="0053329E"/>
    <w:rsid w:val="00533736"/>
    <w:rsid w:val="00533797"/>
    <w:rsid w:val="00533B71"/>
    <w:rsid w:val="00533BD3"/>
    <w:rsid w:val="00533D63"/>
    <w:rsid w:val="00533F20"/>
    <w:rsid w:val="0053407C"/>
    <w:rsid w:val="005340D1"/>
    <w:rsid w:val="00534360"/>
    <w:rsid w:val="00534A1E"/>
    <w:rsid w:val="00534A63"/>
    <w:rsid w:val="00534AB0"/>
    <w:rsid w:val="00534B7E"/>
    <w:rsid w:val="005350A7"/>
    <w:rsid w:val="00535526"/>
    <w:rsid w:val="0053581A"/>
    <w:rsid w:val="005358DC"/>
    <w:rsid w:val="005359F8"/>
    <w:rsid w:val="00535D02"/>
    <w:rsid w:val="00535E4B"/>
    <w:rsid w:val="005360E3"/>
    <w:rsid w:val="0053625F"/>
    <w:rsid w:val="00536667"/>
    <w:rsid w:val="005368F3"/>
    <w:rsid w:val="00536A54"/>
    <w:rsid w:val="0053719E"/>
    <w:rsid w:val="005373E7"/>
    <w:rsid w:val="00537417"/>
    <w:rsid w:val="005376C7"/>
    <w:rsid w:val="00537745"/>
    <w:rsid w:val="0053798F"/>
    <w:rsid w:val="00537A1D"/>
    <w:rsid w:val="00537A6D"/>
    <w:rsid w:val="00537FBF"/>
    <w:rsid w:val="00540496"/>
    <w:rsid w:val="0054059E"/>
    <w:rsid w:val="00540775"/>
    <w:rsid w:val="005407C3"/>
    <w:rsid w:val="005408E2"/>
    <w:rsid w:val="00540C70"/>
    <w:rsid w:val="00540E0F"/>
    <w:rsid w:val="00541054"/>
    <w:rsid w:val="00541071"/>
    <w:rsid w:val="00541759"/>
    <w:rsid w:val="00541CDC"/>
    <w:rsid w:val="00542194"/>
    <w:rsid w:val="00542532"/>
    <w:rsid w:val="00542D2B"/>
    <w:rsid w:val="00542F95"/>
    <w:rsid w:val="005431E9"/>
    <w:rsid w:val="0054367E"/>
    <w:rsid w:val="005437A6"/>
    <w:rsid w:val="00543A1F"/>
    <w:rsid w:val="00543D44"/>
    <w:rsid w:val="00543D65"/>
    <w:rsid w:val="0054446F"/>
    <w:rsid w:val="00544556"/>
    <w:rsid w:val="005446EA"/>
    <w:rsid w:val="00544B78"/>
    <w:rsid w:val="00544C81"/>
    <w:rsid w:val="00544DDB"/>
    <w:rsid w:val="00544F95"/>
    <w:rsid w:val="00545296"/>
    <w:rsid w:val="0054551A"/>
    <w:rsid w:val="00545C1B"/>
    <w:rsid w:val="00545ECB"/>
    <w:rsid w:val="0054613D"/>
    <w:rsid w:val="00546270"/>
    <w:rsid w:val="005462AC"/>
    <w:rsid w:val="0054643C"/>
    <w:rsid w:val="00546940"/>
    <w:rsid w:val="0054699C"/>
    <w:rsid w:val="00546FBF"/>
    <w:rsid w:val="005471C7"/>
    <w:rsid w:val="00547519"/>
    <w:rsid w:val="0054766E"/>
    <w:rsid w:val="005478EB"/>
    <w:rsid w:val="00547A74"/>
    <w:rsid w:val="00547B49"/>
    <w:rsid w:val="00547D7A"/>
    <w:rsid w:val="00547F00"/>
    <w:rsid w:val="00547FB3"/>
    <w:rsid w:val="00547FCF"/>
    <w:rsid w:val="005502DD"/>
    <w:rsid w:val="005505A9"/>
    <w:rsid w:val="0055061A"/>
    <w:rsid w:val="00550BEE"/>
    <w:rsid w:val="00550F4B"/>
    <w:rsid w:val="0055119C"/>
    <w:rsid w:val="005516A2"/>
    <w:rsid w:val="005516D7"/>
    <w:rsid w:val="00551771"/>
    <w:rsid w:val="005517AB"/>
    <w:rsid w:val="00551900"/>
    <w:rsid w:val="005520E7"/>
    <w:rsid w:val="00552693"/>
    <w:rsid w:val="0055282A"/>
    <w:rsid w:val="00552A80"/>
    <w:rsid w:val="00552AA9"/>
    <w:rsid w:val="00552F85"/>
    <w:rsid w:val="00553256"/>
    <w:rsid w:val="005533D2"/>
    <w:rsid w:val="005535E6"/>
    <w:rsid w:val="00553637"/>
    <w:rsid w:val="00554193"/>
    <w:rsid w:val="005541BE"/>
    <w:rsid w:val="005542E1"/>
    <w:rsid w:val="0055461F"/>
    <w:rsid w:val="00554B6E"/>
    <w:rsid w:val="00554B98"/>
    <w:rsid w:val="00554B9C"/>
    <w:rsid w:val="00554C6F"/>
    <w:rsid w:val="00554D2C"/>
    <w:rsid w:val="00555383"/>
    <w:rsid w:val="00555412"/>
    <w:rsid w:val="005556A3"/>
    <w:rsid w:val="00555916"/>
    <w:rsid w:val="00555DA7"/>
    <w:rsid w:val="00555EEF"/>
    <w:rsid w:val="00555F3E"/>
    <w:rsid w:val="00556098"/>
    <w:rsid w:val="005561EC"/>
    <w:rsid w:val="005562C1"/>
    <w:rsid w:val="005563F4"/>
    <w:rsid w:val="00556428"/>
    <w:rsid w:val="0055683F"/>
    <w:rsid w:val="00556AA9"/>
    <w:rsid w:val="00556F3E"/>
    <w:rsid w:val="005570F1"/>
    <w:rsid w:val="005573A1"/>
    <w:rsid w:val="005575DF"/>
    <w:rsid w:val="0055779F"/>
    <w:rsid w:val="0055785C"/>
    <w:rsid w:val="00557BC3"/>
    <w:rsid w:val="00560050"/>
    <w:rsid w:val="00560195"/>
    <w:rsid w:val="00560253"/>
    <w:rsid w:val="005604FE"/>
    <w:rsid w:val="0056091D"/>
    <w:rsid w:val="00560A36"/>
    <w:rsid w:val="00560AE9"/>
    <w:rsid w:val="00560EC8"/>
    <w:rsid w:val="00561187"/>
    <w:rsid w:val="00561259"/>
    <w:rsid w:val="0056147F"/>
    <w:rsid w:val="00561623"/>
    <w:rsid w:val="0056169E"/>
    <w:rsid w:val="00561BBA"/>
    <w:rsid w:val="00561CF7"/>
    <w:rsid w:val="00561D05"/>
    <w:rsid w:val="00561F48"/>
    <w:rsid w:val="00561FA2"/>
    <w:rsid w:val="00561FC4"/>
    <w:rsid w:val="00562127"/>
    <w:rsid w:val="00562595"/>
    <w:rsid w:val="00562810"/>
    <w:rsid w:val="00562C26"/>
    <w:rsid w:val="00562E7F"/>
    <w:rsid w:val="0056319D"/>
    <w:rsid w:val="005632A8"/>
    <w:rsid w:val="0056352B"/>
    <w:rsid w:val="005635A9"/>
    <w:rsid w:val="00563655"/>
    <w:rsid w:val="00563806"/>
    <w:rsid w:val="00563C5E"/>
    <w:rsid w:val="00563F3C"/>
    <w:rsid w:val="0056405C"/>
    <w:rsid w:val="00564363"/>
    <w:rsid w:val="00564666"/>
    <w:rsid w:val="005648B4"/>
    <w:rsid w:val="00564B0E"/>
    <w:rsid w:val="00564EA3"/>
    <w:rsid w:val="005658C5"/>
    <w:rsid w:val="00565B0E"/>
    <w:rsid w:val="00565B61"/>
    <w:rsid w:val="00565E2E"/>
    <w:rsid w:val="00565EFF"/>
    <w:rsid w:val="00566733"/>
    <w:rsid w:val="0056685F"/>
    <w:rsid w:val="00566B2B"/>
    <w:rsid w:val="00566C75"/>
    <w:rsid w:val="00566FB7"/>
    <w:rsid w:val="005679EF"/>
    <w:rsid w:val="00567B03"/>
    <w:rsid w:val="00567FDF"/>
    <w:rsid w:val="005701BA"/>
    <w:rsid w:val="00570550"/>
    <w:rsid w:val="0057055C"/>
    <w:rsid w:val="00570829"/>
    <w:rsid w:val="00570844"/>
    <w:rsid w:val="005709EF"/>
    <w:rsid w:val="00570A0A"/>
    <w:rsid w:val="00570D10"/>
    <w:rsid w:val="00570E5F"/>
    <w:rsid w:val="00571294"/>
    <w:rsid w:val="005717DF"/>
    <w:rsid w:val="00571B30"/>
    <w:rsid w:val="00571B7F"/>
    <w:rsid w:val="00571D3F"/>
    <w:rsid w:val="00572233"/>
    <w:rsid w:val="0057289E"/>
    <w:rsid w:val="00572BD3"/>
    <w:rsid w:val="005730E9"/>
    <w:rsid w:val="005732C6"/>
    <w:rsid w:val="005733FE"/>
    <w:rsid w:val="0057368C"/>
    <w:rsid w:val="00573941"/>
    <w:rsid w:val="00573F69"/>
    <w:rsid w:val="005740B3"/>
    <w:rsid w:val="00574163"/>
    <w:rsid w:val="0057467C"/>
    <w:rsid w:val="00574896"/>
    <w:rsid w:val="0057490F"/>
    <w:rsid w:val="00574A7B"/>
    <w:rsid w:val="00574BD0"/>
    <w:rsid w:val="00574CEC"/>
    <w:rsid w:val="0057548C"/>
    <w:rsid w:val="005754A8"/>
    <w:rsid w:val="005758E3"/>
    <w:rsid w:val="00575AD2"/>
    <w:rsid w:val="00575D4B"/>
    <w:rsid w:val="0057609E"/>
    <w:rsid w:val="00576BD4"/>
    <w:rsid w:val="00576CAF"/>
    <w:rsid w:val="00577A03"/>
    <w:rsid w:val="00577DA1"/>
    <w:rsid w:val="00577DB4"/>
    <w:rsid w:val="005806AA"/>
    <w:rsid w:val="00580957"/>
    <w:rsid w:val="00580B87"/>
    <w:rsid w:val="00581026"/>
    <w:rsid w:val="0058105B"/>
    <w:rsid w:val="00581120"/>
    <w:rsid w:val="005812D5"/>
    <w:rsid w:val="00581300"/>
    <w:rsid w:val="0058135A"/>
    <w:rsid w:val="0058161B"/>
    <w:rsid w:val="0058167D"/>
    <w:rsid w:val="0058171C"/>
    <w:rsid w:val="00581A7B"/>
    <w:rsid w:val="00581E68"/>
    <w:rsid w:val="005821DB"/>
    <w:rsid w:val="00582229"/>
    <w:rsid w:val="00582259"/>
    <w:rsid w:val="00582894"/>
    <w:rsid w:val="00583477"/>
    <w:rsid w:val="00583852"/>
    <w:rsid w:val="00583C57"/>
    <w:rsid w:val="00583CA6"/>
    <w:rsid w:val="00583FDB"/>
    <w:rsid w:val="005842CF"/>
    <w:rsid w:val="00584368"/>
    <w:rsid w:val="00584671"/>
    <w:rsid w:val="0058496C"/>
    <w:rsid w:val="00584997"/>
    <w:rsid w:val="0058529F"/>
    <w:rsid w:val="005854AE"/>
    <w:rsid w:val="0058595B"/>
    <w:rsid w:val="005865E9"/>
    <w:rsid w:val="0058695E"/>
    <w:rsid w:val="00586AB1"/>
    <w:rsid w:val="00586F40"/>
    <w:rsid w:val="0058779C"/>
    <w:rsid w:val="00587B30"/>
    <w:rsid w:val="00587F41"/>
    <w:rsid w:val="005901F0"/>
    <w:rsid w:val="0059030E"/>
    <w:rsid w:val="005914EF"/>
    <w:rsid w:val="00591514"/>
    <w:rsid w:val="005915E2"/>
    <w:rsid w:val="00591BD8"/>
    <w:rsid w:val="00591D5B"/>
    <w:rsid w:val="0059237F"/>
    <w:rsid w:val="0059247A"/>
    <w:rsid w:val="00592794"/>
    <w:rsid w:val="005927B5"/>
    <w:rsid w:val="0059289A"/>
    <w:rsid w:val="00592B4A"/>
    <w:rsid w:val="00593823"/>
    <w:rsid w:val="00593C9C"/>
    <w:rsid w:val="00593EE9"/>
    <w:rsid w:val="00593F0C"/>
    <w:rsid w:val="00594343"/>
    <w:rsid w:val="005943D1"/>
    <w:rsid w:val="00594BA5"/>
    <w:rsid w:val="00594DF8"/>
    <w:rsid w:val="00594EB2"/>
    <w:rsid w:val="005952E5"/>
    <w:rsid w:val="005953A8"/>
    <w:rsid w:val="0059586E"/>
    <w:rsid w:val="00595970"/>
    <w:rsid w:val="00595A6B"/>
    <w:rsid w:val="00595FCB"/>
    <w:rsid w:val="00595FEC"/>
    <w:rsid w:val="005964CC"/>
    <w:rsid w:val="005965BC"/>
    <w:rsid w:val="00596B3C"/>
    <w:rsid w:val="00596FA4"/>
    <w:rsid w:val="00596FA5"/>
    <w:rsid w:val="0059736C"/>
    <w:rsid w:val="0059739B"/>
    <w:rsid w:val="005973AD"/>
    <w:rsid w:val="00597408"/>
    <w:rsid w:val="005974D0"/>
    <w:rsid w:val="005975A6"/>
    <w:rsid w:val="0059764E"/>
    <w:rsid w:val="00597E33"/>
    <w:rsid w:val="00597EA5"/>
    <w:rsid w:val="00597EF9"/>
    <w:rsid w:val="005A02BB"/>
    <w:rsid w:val="005A0853"/>
    <w:rsid w:val="005A0C74"/>
    <w:rsid w:val="005A104B"/>
    <w:rsid w:val="005A10D9"/>
    <w:rsid w:val="005A1167"/>
    <w:rsid w:val="005A1215"/>
    <w:rsid w:val="005A1A0D"/>
    <w:rsid w:val="005A1C05"/>
    <w:rsid w:val="005A1E6A"/>
    <w:rsid w:val="005A28BA"/>
    <w:rsid w:val="005A2E7F"/>
    <w:rsid w:val="005A3055"/>
    <w:rsid w:val="005A30C0"/>
    <w:rsid w:val="005A3847"/>
    <w:rsid w:val="005A3888"/>
    <w:rsid w:val="005A3914"/>
    <w:rsid w:val="005A3CDE"/>
    <w:rsid w:val="005A3E4A"/>
    <w:rsid w:val="005A3EF4"/>
    <w:rsid w:val="005A40D1"/>
    <w:rsid w:val="005A4500"/>
    <w:rsid w:val="005A474F"/>
    <w:rsid w:val="005A48B4"/>
    <w:rsid w:val="005A4B54"/>
    <w:rsid w:val="005A4ECD"/>
    <w:rsid w:val="005A561A"/>
    <w:rsid w:val="005A5729"/>
    <w:rsid w:val="005A5F64"/>
    <w:rsid w:val="005A60F7"/>
    <w:rsid w:val="005A6EAA"/>
    <w:rsid w:val="005A6F0E"/>
    <w:rsid w:val="005A719B"/>
    <w:rsid w:val="005A71F2"/>
    <w:rsid w:val="005A7270"/>
    <w:rsid w:val="005A77F4"/>
    <w:rsid w:val="005A7B73"/>
    <w:rsid w:val="005B00EA"/>
    <w:rsid w:val="005B0584"/>
    <w:rsid w:val="005B05FA"/>
    <w:rsid w:val="005B1191"/>
    <w:rsid w:val="005B143F"/>
    <w:rsid w:val="005B17C8"/>
    <w:rsid w:val="005B1984"/>
    <w:rsid w:val="005B1A47"/>
    <w:rsid w:val="005B1FCA"/>
    <w:rsid w:val="005B203E"/>
    <w:rsid w:val="005B22D6"/>
    <w:rsid w:val="005B25D9"/>
    <w:rsid w:val="005B26CC"/>
    <w:rsid w:val="005B26CF"/>
    <w:rsid w:val="005B2848"/>
    <w:rsid w:val="005B2916"/>
    <w:rsid w:val="005B2A35"/>
    <w:rsid w:val="005B2AC8"/>
    <w:rsid w:val="005B2B8C"/>
    <w:rsid w:val="005B2E7F"/>
    <w:rsid w:val="005B3439"/>
    <w:rsid w:val="005B3449"/>
    <w:rsid w:val="005B3775"/>
    <w:rsid w:val="005B37F0"/>
    <w:rsid w:val="005B3D60"/>
    <w:rsid w:val="005B4432"/>
    <w:rsid w:val="005B46FE"/>
    <w:rsid w:val="005B47A2"/>
    <w:rsid w:val="005B4AFD"/>
    <w:rsid w:val="005B4B71"/>
    <w:rsid w:val="005B4C3D"/>
    <w:rsid w:val="005B4C9B"/>
    <w:rsid w:val="005B4DDA"/>
    <w:rsid w:val="005B4EC5"/>
    <w:rsid w:val="005B5072"/>
    <w:rsid w:val="005B5355"/>
    <w:rsid w:val="005B54E2"/>
    <w:rsid w:val="005B54E3"/>
    <w:rsid w:val="005B56D6"/>
    <w:rsid w:val="005B5E0D"/>
    <w:rsid w:val="005B64D5"/>
    <w:rsid w:val="005B6548"/>
    <w:rsid w:val="005B6B3C"/>
    <w:rsid w:val="005B6E10"/>
    <w:rsid w:val="005B7411"/>
    <w:rsid w:val="005B7585"/>
    <w:rsid w:val="005B7690"/>
    <w:rsid w:val="005B7974"/>
    <w:rsid w:val="005B7A41"/>
    <w:rsid w:val="005B7B00"/>
    <w:rsid w:val="005B7B4B"/>
    <w:rsid w:val="005B7BAB"/>
    <w:rsid w:val="005C01E7"/>
    <w:rsid w:val="005C09EB"/>
    <w:rsid w:val="005C0B3B"/>
    <w:rsid w:val="005C0D5C"/>
    <w:rsid w:val="005C0F86"/>
    <w:rsid w:val="005C144F"/>
    <w:rsid w:val="005C14B6"/>
    <w:rsid w:val="005C1B76"/>
    <w:rsid w:val="005C1EBC"/>
    <w:rsid w:val="005C2342"/>
    <w:rsid w:val="005C2511"/>
    <w:rsid w:val="005C26F4"/>
    <w:rsid w:val="005C2942"/>
    <w:rsid w:val="005C2A72"/>
    <w:rsid w:val="005C2E97"/>
    <w:rsid w:val="005C2F10"/>
    <w:rsid w:val="005C300B"/>
    <w:rsid w:val="005C3431"/>
    <w:rsid w:val="005C3882"/>
    <w:rsid w:val="005C388A"/>
    <w:rsid w:val="005C3D82"/>
    <w:rsid w:val="005C4052"/>
    <w:rsid w:val="005C42A2"/>
    <w:rsid w:val="005C44E8"/>
    <w:rsid w:val="005C460D"/>
    <w:rsid w:val="005C4AFF"/>
    <w:rsid w:val="005C4CE9"/>
    <w:rsid w:val="005C4D94"/>
    <w:rsid w:val="005C4F34"/>
    <w:rsid w:val="005C5109"/>
    <w:rsid w:val="005C554C"/>
    <w:rsid w:val="005C5644"/>
    <w:rsid w:val="005C5672"/>
    <w:rsid w:val="005C5A70"/>
    <w:rsid w:val="005C5AD3"/>
    <w:rsid w:val="005C5FFD"/>
    <w:rsid w:val="005C639F"/>
    <w:rsid w:val="005C68A2"/>
    <w:rsid w:val="005C6F6E"/>
    <w:rsid w:val="005C70CD"/>
    <w:rsid w:val="005C76E2"/>
    <w:rsid w:val="005C77AF"/>
    <w:rsid w:val="005C7AA4"/>
    <w:rsid w:val="005C7FF0"/>
    <w:rsid w:val="005D0B09"/>
    <w:rsid w:val="005D0E46"/>
    <w:rsid w:val="005D0F55"/>
    <w:rsid w:val="005D1008"/>
    <w:rsid w:val="005D172B"/>
    <w:rsid w:val="005D1796"/>
    <w:rsid w:val="005D198D"/>
    <w:rsid w:val="005D22AF"/>
    <w:rsid w:val="005D24C3"/>
    <w:rsid w:val="005D28FB"/>
    <w:rsid w:val="005D2A54"/>
    <w:rsid w:val="005D2ABB"/>
    <w:rsid w:val="005D2D7A"/>
    <w:rsid w:val="005D3396"/>
    <w:rsid w:val="005D3771"/>
    <w:rsid w:val="005D3889"/>
    <w:rsid w:val="005D4453"/>
    <w:rsid w:val="005D4721"/>
    <w:rsid w:val="005D47C6"/>
    <w:rsid w:val="005D47CC"/>
    <w:rsid w:val="005D4A10"/>
    <w:rsid w:val="005D4A15"/>
    <w:rsid w:val="005D4A31"/>
    <w:rsid w:val="005D4FE4"/>
    <w:rsid w:val="005D565C"/>
    <w:rsid w:val="005D5B4D"/>
    <w:rsid w:val="005D67E2"/>
    <w:rsid w:val="005D68A5"/>
    <w:rsid w:val="005D6FEE"/>
    <w:rsid w:val="005D7017"/>
    <w:rsid w:val="005D7462"/>
    <w:rsid w:val="005D782E"/>
    <w:rsid w:val="005D7E9F"/>
    <w:rsid w:val="005E005A"/>
    <w:rsid w:val="005E0911"/>
    <w:rsid w:val="005E0A00"/>
    <w:rsid w:val="005E0DBE"/>
    <w:rsid w:val="005E0F78"/>
    <w:rsid w:val="005E1200"/>
    <w:rsid w:val="005E123C"/>
    <w:rsid w:val="005E1757"/>
    <w:rsid w:val="005E1BDA"/>
    <w:rsid w:val="005E1CC0"/>
    <w:rsid w:val="005E1D16"/>
    <w:rsid w:val="005E1F1B"/>
    <w:rsid w:val="005E1FC9"/>
    <w:rsid w:val="005E20D8"/>
    <w:rsid w:val="005E238C"/>
    <w:rsid w:val="005E25FE"/>
    <w:rsid w:val="005E26C2"/>
    <w:rsid w:val="005E2A21"/>
    <w:rsid w:val="005E2B91"/>
    <w:rsid w:val="005E2EA6"/>
    <w:rsid w:val="005E35AB"/>
    <w:rsid w:val="005E373A"/>
    <w:rsid w:val="005E3789"/>
    <w:rsid w:val="005E3B8C"/>
    <w:rsid w:val="005E3C62"/>
    <w:rsid w:val="005E4393"/>
    <w:rsid w:val="005E4449"/>
    <w:rsid w:val="005E4827"/>
    <w:rsid w:val="005E4853"/>
    <w:rsid w:val="005E4AFD"/>
    <w:rsid w:val="005E4E18"/>
    <w:rsid w:val="005E4F0F"/>
    <w:rsid w:val="005E4FFB"/>
    <w:rsid w:val="005E50BE"/>
    <w:rsid w:val="005E5688"/>
    <w:rsid w:val="005E56C8"/>
    <w:rsid w:val="005E598F"/>
    <w:rsid w:val="005E60EB"/>
    <w:rsid w:val="005E6144"/>
    <w:rsid w:val="005E6443"/>
    <w:rsid w:val="005E6891"/>
    <w:rsid w:val="005E6B0D"/>
    <w:rsid w:val="005E6D97"/>
    <w:rsid w:val="005E70B4"/>
    <w:rsid w:val="005E7311"/>
    <w:rsid w:val="005E75A6"/>
    <w:rsid w:val="005E75C7"/>
    <w:rsid w:val="005E773B"/>
    <w:rsid w:val="005E77EF"/>
    <w:rsid w:val="005F07DA"/>
    <w:rsid w:val="005F07F9"/>
    <w:rsid w:val="005F0AF3"/>
    <w:rsid w:val="005F0EF1"/>
    <w:rsid w:val="005F0F71"/>
    <w:rsid w:val="005F130A"/>
    <w:rsid w:val="005F1364"/>
    <w:rsid w:val="005F137C"/>
    <w:rsid w:val="005F155A"/>
    <w:rsid w:val="005F1939"/>
    <w:rsid w:val="005F1958"/>
    <w:rsid w:val="005F19FE"/>
    <w:rsid w:val="005F1A9F"/>
    <w:rsid w:val="005F1D63"/>
    <w:rsid w:val="005F1DEF"/>
    <w:rsid w:val="005F1FC0"/>
    <w:rsid w:val="005F20A9"/>
    <w:rsid w:val="005F22AE"/>
    <w:rsid w:val="005F2593"/>
    <w:rsid w:val="005F26C7"/>
    <w:rsid w:val="005F2803"/>
    <w:rsid w:val="005F2990"/>
    <w:rsid w:val="005F2C92"/>
    <w:rsid w:val="005F2CAC"/>
    <w:rsid w:val="005F2F1F"/>
    <w:rsid w:val="005F324C"/>
    <w:rsid w:val="005F350B"/>
    <w:rsid w:val="005F36EE"/>
    <w:rsid w:val="005F39F0"/>
    <w:rsid w:val="005F3A98"/>
    <w:rsid w:val="005F3A9F"/>
    <w:rsid w:val="005F3F33"/>
    <w:rsid w:val="005F425D"/>
    <w:rsid w:val="005F465F"/>
    <w:rsid w:val="005F46B2"/>
    <w:rsid w:val="005F4BDD"/>
    <w:rsid w:val="005F4EBC"/>
    <w:rsid w:val="005F529F"/>
    <w:rsid w:val="005F5586"/>
    <w:rsid w:val="005F5809"/>
    <w:rsid w:val="005F5B0A"/>
    <w:rsid w:val="005F5CBE"/>
    <w:rsid w:val="005F5EC2"/>
    <w:rsid w:val="005F648B"/>
    <w:rsid w:val="005F6832"/>
    <w:rsid w:val="005F6897"/>
    <w:rsid w:val="005F692E"/>
    <w:rsid w:val="005F6C7C"/>
    <w:rsid w:val="005F6D39"/>
    <w:rsid w:val="005F6E04"/>
    <w:rsid w:val="005F6E1B"/>
    <w:rsid w:val="005F71E6"/>
    <w:rsid w:val="005F755F"/>
    <w:rsid w:val="005F76DE"/>
    <w:rsid w:val="005F774D"/>
    <w:rsid w:val="005F7962"/>
    <w:rsid w:val="005F7B7A"/>
    <w:rsid w:val="005F7D8E"/>
    <w:rsid w:val="005F7FDF"/>
    <w:rsid w:val="00600593"/>
    <w:rsid w:val="00600689"/>
    <w:rsid w:val="006006C6"/>
    <w:rsid w:val="006007D7"/>
    <w:rsid w:val="00600D9B"/>
    <w:rsid w:val="0060122A"/>
    <w:rsid w:val="0060131D"/>
    <w:rsid w:val="0060135F"/>
    <w:rsid w:val="00601411"/>
    <w:rsid w:val="00601420"/>
    <w:rsid w:val="006016DC"/>
    <w:rsid w:val="00601CF4"/>
    <w:rsid w:val="00601F1C"/>
    <w:rsid w:val="006020E1"/>
    <w:rsid w:val="0060210D"/>
    <w:rsid w:val="0060214D"/>
    <w:rsid w:val="00602955"/>
    <w:rsid w:val="00602C75"/>
    <w:rsid w:val="00602CC2"/>
    <w:rsid w:val="00602E26"/>
    <w:rsid w:val="00602EEC"/>
    <w:rsid w:val="00603265"/>
    <w:rsid w:val="0060337C"/>
    <w:rsid w:val="006036A3"/>
    <w:rsid w:val="00603CEC"/>
    <w:rsid w:val="00604139"/>
    <w:rsid w:val="006042EC"/>
    <w:rsid w:val="006046C5"/>
    <w:rsid w:val="006046D5"/>
    <w:rsid w:val="0060477E"/>
    <w:rsid w:val="00604B66"/>
    <w:rsid w:val="00604EB4"/>
    <w:rsid w:val="00604EEC"/>
    <w:rsid w:val="00604F35"/>
    <w:rsid w:val="006050E2"/>
    <w:rsid w:val="006052DB"/>
    <w:rsid w:val="006054AB"/>
    <w:rsid w:val="0060573A"/>
    <w:rsid w:val="00605FFC"/>
    <w:rsid w:val="0060625D"/>
    <w:rsid w:val="006063B3"/>
    <w:rsid w:val="00606832"/>
    <w:rsid w:val="006068F3"/>
    <w:rsid w:val="00606B74"/>
    <w:rsid w:val="00606C5C"/>
    <w:rsid w:val="00606C9B"/>
    <w:rsid w:val="00606E33"/>
    <w:rsid w:val="00606F23"/>
    <w:rsid w:val="006072C1"/>
    <w:rsid w:val="006072EA"/>
    <w:rsid w:val="0060749A"/>
    <w:rsid w:val="006075A0"/>
    <w:rsid w:val="00607BCF"/>
    <w:rsid w:val="00607DA7"/>
    <w:rsid w:val="00607F20"/>
    <w:rsid w:val="00607F75"/>
    <w:rsid w:val="006101D6"/>
    <w:rsid w:val="0061054D"/>
    <w:rsid w:val="00610562"/>
    <w:rsid w:val="006108ED"/>
    <w:rsid w:val="00610929"/>
    <w:rsid w:val="00610F44"/>
    <w:rsid w:val="006111FE"/>
    <w:rsid w:val="00611217"/>
    <w:rsid w:val="00611B52"/>
    <w:rsid w:val="00611EB1"/>
    <w:rsid w:val="00612519"/>
    <w:rsid w:val="006127D9"/>
    <w:rsid w:val="006129EE"/>
    <w:rsid w:val="00612A15"/>
    <w:rsid w:val="00612B91"/>
    <w:rsid w:val="00612C02"/>
    <w:rsid w:val="00613038"/>
    <w:rsid w:val="00613462"/>
    <w:rsid w:val="00613476"/>
    <w:rsid w:val="00613852"/>
    <w:rsid w:val="00614091"/>
    <w:rsid w:val="00614226"/>
    <w:rsid w:val="006144B6"/>
    <w:rsid w:val="006146B6"/>
    <w:rsid w:val="0061477B"/>
    <w:rsid w:val="00614BF6"/>
    <w:rsid w:val="00615282"/>
    <w:rsid w:val="0061561E"/>
    <w:rsid w:val="00615739"/>
    <w:rsid w:val="006158B8"/>
    <w:rsid w:val="00615EBE"/>
    <w:rsid w:val="00615FCD"/>
    <w:rsid w:val="0061611B"/>
    <w:rsid w:val="00616690"/>
    <w:rsid w:val="00616A11"/>
    <w:rsid w:val="00616A77"/>
    <w:rsid w:val="00616FD4"/>
    <w:rsid w:val="006172C2"/>
    <w:rsid w:val="0061739A"/>
    <w:rsid w:val="0061772C"/>
    <w:rsid w:val="00617923"/>
    <w:rsid w:val="00617CF7"/>
    <w:rsid w:val="00617E2C"/>
    <w:rsid w:val="00617F76"/>
    <w:rsid w:val="00617F87"/>
    <w:rsid w:val="006201E9"/>
    <w:rsid w:val="0062023E"/>
    <w:rsid w:val="0062046C"/>
    <w:rsid w:val="0062066D"/>
    <w:rsid w:val="00620E14"/>
    <w:rsid w:val="00620F69"/>
    <w:rsid w:val="00621350"/>
    <w:rsid w:val="006213E2"/>
    <w:rsid w:val="00621650"/>
    <w:rsid w:val="00621A62"/>
    <w:rsid w:val="00621E8B"/>
    <w:rsid w:val="00622329"/>
    <w:rsid w:val="006229A8"/>
    <w:rsid w:val="006229B4"/>
    <w:rsid w:val="006229E6"/>
    <w:rsid w:val="00622A61"/>
    <w:rsid w:val="00622D3D"/>
    <w:rsid w:val="006230B9"/>
    <w:rsid w:val="006230EB"/>
    <w:rsid w:val="0062382D"/>
    <w:rsid w:val="00623871"/>
    <w:rsid w:val="006238E8"/>
    <w:rsid w:val="00623C59"/>
    <w:rsid w:val="00623F23"/>
    <w:rsid w:val="00623FD8"/>
    <w:rsid w:val="00624750"/>
    <w:rsid w:val="00624C54"/>
    <w:rsid w:val="00624D19"/>
    <w:rsid w:val="00624D62"/>
    <w:rsid w:val="006254A4"/>
    <w:rsid w:val="00625971"/>
    <w:rsid w:val="00625993"/>
    <w:rsid w:val="00625A2B"/>
    <w:rsid w:val="00625B47"/>
    <w:rsid w:val="00625FB7"/>
    <w:rsid w:val="006260F4"/>
    <w:rsid w:val="00626958"/>
    <w:rsid w:val="00626A1C"/>
    <w:rsid w:val="00626C04"/>
    <w:rsid w:val="00626CCB"/>
    <w:rsid w:val="00627075"/>
    <w:rsid w:val="00627AF4"/>
    <w:rsid w:val="00630489"/>
    <w:rsid w:val="006308B3"/>
    <w:rsid w:val="00630DCC"/>
    <w:rsid w:val="00630EB4"/>
    <w:rsid w:val="006314EA"/>
    <w:rsid w:val="006317AE"/>
    <w:rsid w:val="006317BC"/>
    <w:rsid w:val="00631863"/>
    <w:rsid w:val="006318C5"/>
    <w:rsid w:val="00631F78"/>
    <w:rsid w:val="00632494"/>
    <w:rsid w:val="006325C4"/>
    <w:rsid w:val="006326C9"/>
    <w:rsid w:val="006329D3"/>
    <w:rsid w:val="00632A01"/>
    <w:rsid w:val="00632B12"/>
    <w:rsid w:val="0063353E"/>
    <w:rsid w:val="00633A02"/>
    <w:rsid w:val="00633DFD"/>
    <w:rsid w:val="00633E95"/>
    <w:rsid w:val="00634566"/>
    <w:rsid w:val="00634842"/>
    <w:rsid w:val="006350BA"/>
    <w:rsid w:val="0063568A"/>
    <w:rsid w:val="0063582F"/>
    <w:rsid w:val="006359CF"/>
    <w:rsid w:val="00635ABE"/>
    <w:rsid w:val="00635BC3"/>
    <w:rsid w:val="006360CE"/>
    <w:rsid w:val="0063626E"/>
    <w:rsid w:val="006367B5"/>
    <w:rsid w:val="006367EC"/>
    <w:rsid w:val="00636BD2"/>
    <w:rsid w:val="00636F52"/>
    <w:rsid w:val="0063743F"/>
    <w:rsid w:val="006375BC"/>
    <w:rsid w:val="00637B7C"/>
    <w:rsid w:val="00640121"/>
    <w:rsid w:val="006401F5"/>
    <w:rsid w:val="0064052C"/>
    <w:rsid w:val="00640614"/>
    <w:rsid w:val="00640791"/>
    <w:rsid w:val="006407A2"/>
    <w:rsid w:val="00640F17"/>
    <w:rsid w:val="0064125F"/>
    <w:rsid w:val="0064133F"/>
    <w:rsid w:val="0064139C"/>
    <w:rsid w:val="00641469"/>
    <w:rsid w:val="00641499"/>
    <w:rsid w:val="006414FB"/>
    <w:rsid w:val="0064171E"/>
    <w:rsid w:val="00641967"/>
    <w:rsid w:val="00641A26"/>
    <w:rsid w:val="00641AAF"/>
    <w:rsid w:val="00641CD3"/>
    <w:rsid w:val="00641ECB"/>
    <w:rsid w:val="006421AF"/>
    <w:rsid w:val="00642375"/>
    <w:rsid w:val="00642697"/>
    <w:rsid w:val="006428E5"/>
    <w:rsid w:val="00642CBC"/>
    <w:rsid w:val="006435FC"/>
    <w:rsid w:val="00643698"/>
    <w:rsid w:val="00643D37"/>
    <w:rsid w:val="00643FD5"/>
    <w:rsid w:val="00643FDB"/>
    <w:rsid w:val="00644086"/>
    <w:rsid w:val="006446D9"/>
    <w:rsid w:val="00644A27"/>
    <w:rsid w:val="00644E03"/>
    <w:rsid w:val="00644E3F"/>
    <w:rsid w:val="006451BD"/>
    <w:rsid w:val="006456F8"/>
    <w:rsid w:val="0064583E"/>
    <w:rsid w:val="006458C9"/>
    <w:rsid w:val="00645EF6"/>
    <w:rsid w:val="0064664F"/>
    <w:rsid w:val="00646716"/>
    <w:rsid w:val="00646A72"/>
    <w:rsid w:val="00646A87"/>
    <w:rsid w:val="00646CD6"/>
    <w:rsid w:val="0064738B"/>
    <w:rsid w:val="006473F6"/>
    <w:rsid w:val="006474C1"/>
    <w:rsid w:val="006475A4"/>
    <w:rsid w:val="00647968"/>
    <w:rsid w:val="00647CD0"/>
    <w:rsid w:val="00647EA8"/>
    <w:rsid w:val="0065025E"/>
    <w:rsid w:val="006506B7"/>
    <w:rsid w:val="00650B86"/>
    <w:rsid w:val="00650C68"/>
    <w:rsid w:val="006512B7"/>
    <w:rsid w:val="006512E5"/>
    <w:rsid w:val="00651397"/>
    <w:rsid w:val="006513DA"/>
    <w:rsid w:val="00651E1F"/>
    <w:rsid w:val="00652179"/>
    <w:rsid w:val="0065219E"/>
    <w:rsid w:val="006521BD"/>
    <w:rsid w:val="0065240F"/>
    <w:rsid w:val="00652614"/>
    <w:rsid w:val="00652628"/>
    <w:rsid w:val="0065262C"/>
    <w:rsid w:val="00652D51"/>
    <w:rsid w:val="00652D83"/>
    <w:rsid w:val="00653496"/>
    <w:rsid w:val="00653719"/>
    <w:rsid w:val="00653801"/>
    <w:rsid w:val="00653AA2"/>
    <w:rsid w:val="00653E79"/>
    <w:rsid w:val="0065491E"/>
    <w:rsid w:val="00654B55"/>
    <w:rsid w:val="00654E5F"/>
    <w:rsid w:val="00654EFF"/>
    <w:rsid w:val="00655039"/>
    <w:rsid w:val="0065525C"/>
    <w:rsid w:val="0065560E"/>
    <w:rsid w:val="0065599F"/>
    <w:rsid w:val="00655ACD"/>
    <w:rsid w:val="00655BAB"/>
    <w:rsid w:val="00655E87"/>
    <w:rsid w:val="00656210"/>
    <w:rsid w:val="00656AB0"/>
    <w:rsid w:val="00656C9D"/>
    <w:rsid w:val="00657504"/>
    <w:rsid w:val="0065765F"/>
    <w:rsid w:val="00657C0C"/>
    <w:rsid w:val="00660069"/>
    <w:rsid w:val="0066015A"/>
    <w:rsid w:val="006605A9"/>
    <w:rsid w:val="006606D8"/>
    <w:rsid w:val="00660820"/>
    <w:rsid w:val="00660AC4"/>
    <w:rsid w:val="00660CA3"/>
    <w:rsid w:val="00660DC9"/>
    <w:rsid w:val="00660E03"/>
    <w:rsid w:val="006617B1"/>
    <w:rsid w:val="00661C70"/>
    <w:rsid w:val="00661FDD"/>
    <w:rsid w:val="00661FED"/>
    <w:rsid w:val="0066289B"/>
    <w:rsid w:val="00662F5D"/>
    <w:rsid w:val="00662F66"/>
    <w:rsid w:val="006630C0"/>
    <w:rsid w:val="006631DC"/>
    <w:rsid w:val="006631E0"/>
    <w:rsid w:val="006636D3"/>
    <w:rsid w:val="006638E5"/>
    <w:rsid w:val="00663913"/>
    <w:rsid w:val="00663AD5"/>
    <w:rsid w:val="00663B4A"/>
    <w:rsid w:val="00663B58"/>
    <w:rsid w:val="00663D8C"/>
    <w:rsid w:val="00663F1B"/>
    <w:rsid w:val="0066401A"/>
    <w:rsid w:val="0066412F"/>
    <w:rsid w:val="00664176"/>
    <w:rsid w:val="00664218"/>
    <w:rsid w:val="00664876"/>
    <w:rsid w:val="00664B37"/>
    <w:rsid w:val="00664B4F"/>
    <w:rsid w:val="0066547B"/>
    <w:rsid w:val="006655AA"/>
    <w:rsid w:val="00665945"/>
    <w:rsid w:val="00665BB5"/>
    <w:rsid w:val="00665CBE"/>
    <w:rsid w:val="00665E14"/>
    <w:rsid w:val="006667E3"/>
    <w:rsid w:val="00666B13"/>
    <w:rsid w:val="00666BED"/>
    <w:rsid w:val="00666C89"/>
    <w:rsid w:val="00666D58"/>
    <w:rsid w:val="00666F70"/>
    <w:rsid w:val="00667411"/>
    <w:rsid w:val="00667441"/>
    <w:rsid w:val="006679D3"/>
    <w:rsid w:val="00667E03"/>
    <w:rsid w:val="00667EE1"/>
    <w:rsid w:val="006700EB"/>
    <w:rsid w:val="00670357"/>
    <w:rsid w:val="006704E7"/>
    <w:rsid w:val="00670819"/>
    <w:rsid w:val="006708BC"/>
    <w:rsid w:val="006708D1"/>
    <w:rsid w:val="006709DC"/>
    <w:rsid w:val="00670B37"/>
    <w:rsid w:val="0067109E"/>
    <w:rsid w:val="00671677"/>
    <w:rsid w:val="0067187D"/>
    <w:rsid w:val="0067245E"/>
    <w:rsid w:val="00673271"/>
    <w:rsid w:val="006734C5"/>
    <w:rsid w:val="0067368B"/>
    <w:rsid w:val="006736D9"/>
    <w:rsid w:val="00673742"/>
    <w:rsid w:val="006737FC"/>
    <w:rsid w:val="00673CD5"/>
    <w:rsid w:val="00673F49"/>
    <w:rsid w:val="00674259"/>
    <w:rsid w:val="0067450C"/>
    <w:rsid w:val="00675057"/>
    <w:rsid w:val="00675B3E"/>
    <w:rsid w:val="00675F6F"/>
    <w:rsid w:val="0067638A"/>
    <w:rsid w:val="006764B1"/>
    <w:rsid w:val="00676560"/>
    <w:rsid w:val="006765DF"/>
    <w:rsid w:val="006769E0"/>
    <w:rsid w:val="00676D25"/>
    <w:rsid w:val="0067731A"/>
    <w:rsid w:val="0067747E"/>
    <w:rsid w:val="00677BCF"/>
    <w:rsid w:val="00677F12"/>
    <w:rsid w:val="006802DF"/>
    <w:rsid w:val="00680684"/>
    <w:rsid w:val="00680907"/>
    <w:rsid w:val="00680BA5"/>
    <w:rsid w:val="00680DC4"/>
    <w:rsid w:val="00680E81"/>
    <w:rsid w:val="00681969"/>
    <w:rsid w:val="006819C3"/>
    <w:rsid w:val="00681E71"/>
    <w:rsid w:val="00681FC3"/>
    <w:rsid w:val="00682053"/>
    <w:rsid w:val="006822C7"/>
    <w:rsid w:val="00682827"/>
    <w:rsid w:val="00682B09"/>
    <w:rsid w:val="00682E66"/>
    <w:rsid w:val="0068318F"/>
    <w:rsid w:val="0068377D"/>
    <w:rsid w:val="00683B2B"/>
    <w:rsid w:val="00683D0D"/>
    <w:rsid w:val="00683E08"/>
    <w:rsid w:val="00685053"/>
    <w:rsid w:val="0068505B"/>
    <w:rsid w:val="0068532B"/>
    <w:rsid w:val="0068576C"/>
    <w:rsid w:val="00685AE6"/>
    <w:rsid w:val="00685C02"/>
    <w:rsid w:val="00685F7D"/>
    <w:rsid w:val="00686146"/>
    <w:rsid w:val="00686249"/>
    <w:rsid w:val="00686785"/>
    <w:rsid w:val="006869E5"/>
    <w:rsid w:val="00686F6F"/>
    <w:rsid w:val="00687102"/>
    <w:rsid w:val="00687185"/>
    <w:rsid w:val="00687271"/>
    <w:rsid w:val="006872EA"/>
    <w:rsid w:val="00687356"/>
    <w:rsid w:val="00687790"/>
    <w:rsid w:val="00687D09"/>
    <w:rsid w:val="006902A8"/>
    <w:rsid w:val="0069084D"/>
    <w:rsid w:val="00690B80"/>
    <w:rsid w:val="00690F4B"/>
    <w:rsid w:val="00691441"/>
    <w:rsid w:val="0069159A"/>
    <w:rsid w:val="006915FA"/>
    <w:rsid w:val="006917DB"/>
    <w:rsid w:val="0069288E"/>
    <w:rsid w:val="00692EAE"/>
    <w:rsid w:val="0069310C"/>
    <w:rsid w:val="0069330B"/>
    <w:rsid w:val="00693771"/>
    <w:rsid w:val="00693835"/>
    <w:rsid w:val="00693969"/>
    <w:rsid w:val="00693DD3"/>
    <w:rsid w:val="00693FAE"/>
    <w:rsid w:val="00693FD2"/>
    <w:rsid w:val="0069410F"/>
    <w:rsid w:val="00694114"/>
    <w:rsid w:val="00694339"/>
    <w:rsid w:val="006943C2"/>
    <w:rsid w:val="00694558"/>
    <w:rsid w:val="00694833"/>
    <w:rsid w:val="00694EB9"/>
    <w:rsid w:val="00695040"/>
    <w:rsid w:val="006953A4"/>
    <w:rsid w:val="006953D9"/>
    <w:rsid w:val="0069542F"/>
    <w:rsid w:val="00695646"/>
    <w:rsid w:val="00695A6D"/>
    <w:rsid w:val="00695DE7"/>
    <w:rsid w:val="00696BB5"/>
    <w:rsid w:val="00697283"/>
    <w:rsid w:val="006973B6"/>
    <w:rsid w:val="00697696"/>
    <w:rsid w:val="0069798E"/>
    <w:rsid w:val="00697D08"/>
    <w:rsid w:val="00697D32"/>
    <w:rsid w:val="00697FFC"/>
    <w:rsid w:val="006A0098"/>
    <w:rsid w:val="006A00A2"/>
    <w:rsid w:val="006A0417"/>
    <w:rsid w:val="006A0435"/>
    <w:rsid w:val="006A061D"/>
    <w:rsid w:val="006A0909"/>
    <w:rsid w:val="006A0B0D"/>
    <w:rsid w:val="006A1023"/>
    <w:rsid w:val="006A12A7"/>
    <w:rsid w:val="006A1379"/>
    <w:rsid w:val="006A13B6"/>
    <w:rsid w:val="006A13C5"/>
    <w:rsid w:val="006A1403"/>
    <w:rsid w:val="006A1553"/>
    <w:rsid w:val="006A19B7"/>
    <w:rsid w:val="006A1AD1"/>
    <w:rsid w:val="006A1CA2"/>
    <w:rsid w:val="006A1E13"/>
    <w:rsid w:val="006A1E36"/>
    <w:rsid w:val="006A2061"/>
    <w:rsid w:val="006A2127"/>
    <w:rsid w:val="006A2408"/>
    <w:rsid w:val="006A2452"/>
    <w:rsid w:val="006A24DD"/>
    <w:rsid w:val="006A252F"/>
    <w:rsid w:val="006A2767"/>
    <w:rsid w:val="006A2B28"/>
    <w:rsid w:val="006A3043"/>
    <w:rsid w:val="006A3098"/>
    <w:rsid w:val="006A35F6"/>
    <w:rsid w:val="006A3AB9"/>
    <w:rsid w:val="006A3BFF"/>
    <w:rsid w:val="006A3EF6"/>
    <w:rsid w:val="006A3F05"/>
    <w:rsid w:val="006A3FBD"/>
    <w:rsid w:val="006A408B"/>
    <w:rsid w:val="006A44E3"/>
    <w:rsid w:val="006A4B5C"/>
    <w:rsid w:val="006A4B86"/>
    <w:rsid w:val="006A4C23"/>
    <w:rsid w:val="006A4E9E"/>
    <w:rsid w:val="006A566F"/>
    <w:rsid w:val="006A59F0"/>
    <w:rsid w:val="006A5AFF"/>
    <w:rsid w:val="006A5BB8"/>
    <w:rsid w:val="006A5D6F"/>
    <w:rsid w:val="006A64FB"/>
    <w:rsid w:val="006A667C"/>
    <w:rsid w:val="006A69CF"/>
    <w:rsid w:val="006A6A45"/>
    <w:rsid w:val="006A6B05"/>
    <w:rsid w:val="006A6B1E"/>
    <w:rsid w:val="006A6B77"/>
    <w:rsid w:val="006A6BEE"/>
    <w:rsid w:val="006A6F8D"/>
    <w:rsid w:val="006A73BD"/>
    <w:rsid w:val="006A7A8B"/>
    <w:rsid w:val="006A7D6E"/>
    <w:rsid w:val="006A7D89"/>
    <w:rsid w:val="006B0091"/>
    <w:rsid w:val="006B0127"/>
    <w:rsid w:val="006B0246"/>
    <w:rsid w:val="006B0858"/>
    <w:rsid w:val="006B0D0F"/>
    <w:rsid w:val="006B0D3D"/>
    <w:rsid w:val="006B0F01"/>
    <w:rsid w:val="006B0F66"/>
    <w:rsid w:val="006B1473"/>
    <w:rsid w:val="006B14BA"/>
    <w:rsid w:val="006B1572"/>
    <w:rsid w:val="006B166C"/>
    <w:rsid w:val="006B171D"/>
    <w:rsid w:val="006B1786"/>
    <w:rsid w:val="006B18A1"/>
    <w:rsid w:val="006B2349"/>
    <w:rsid w:val="006B282C"/>
    <w:rsid w:val="006B2876"/>
    <w:rsid w:val="006B29EA"/>
    <w:rsid w:val="006B2DCF"/>
    <w:rsid w:val="006B2DE5"/>
    <w:rsid w:val="006B2F0C"/>
    <w:rsid w:val="006B3156"/>
    <w:rsid w:val="006B31E8"/>
    <w:rsid w:val="006B31EB"/>
    <w:rsid w:val="006B3FDF"/>
    <w:rsid w:val="006B408A"/>
    <w:rsid w:val="006B41AC"/>
    <w:rsid w:val="006B42A8"/>
    <w:rsid w:val="006B434B"/>
    <w:rsid w:val="006B43DD"/>
    <w:rsid w:val="006B4BC0"/>
    <w:rsid w:val="006B4C90"/>
    <w:rsid w:val="006B4CAA"/>
    <w:rsid w:val="006B546C"/>
    <w:rsid w:val="006B54A9"/>
    <w:rsid w:val="006B54AA"/>
    <w:rsid w:val="006B5565"/>
    <w:rsid w:val="006B561B"/>
    <w:rsid w:val="006B58E3"/>
    <w:rsid w:val="006B5933"/>
    <w:rsid w:val="006B595B"/>
    <w:rsid w:val="006B59AB"/>
    <w:rsid w:val="006B5C6A"/>
    <w:rsid w:val="006B5CD9"/>
    <w:rsid w:val="006B6C42"/>
    <w:rsid w:val="006B6FC3"/>
    <w:rsid w:val="006B712D"/>
    <w:rsid w:val="006B7234"/>
    <w:rsid w:val="006B76FB"/>
    <w:rsid w:val="006B7CC5"/>
    <w:rsid w:val="006C0170"/>
    <w:rsid w:val="006C0334"/>
    <w:rsid w:val="006C0DDC"/>
    <w:rsid w:val="006C1599"/>
    <w:rsid w:val="006C18E9"/>
    <w:rsid w:val="006C1BEB"/>
    <w:rsid w:val="006C26A2"/>
    <w:rsid w:val="006C2BC1"/>
    <w:rsid w:val="006C3557"/>
    <w:rsid w:val="006C35B6"/>
    <w:rsid w:val="006C35C1"/>
    <w:rsid w:val="006C3682"/>
    <w:rsid w:val="006C3948"/>
    <w:rsid w:val="006C3B24"/>
    <w:rsid w:val="006C4358"/>
    <w:rsid w:val="006C454A"/>
    <w:rsid w:val="006C45E0"/>
    <w:rsid w:val="006C48B2"/>
    <w:rsid w:val="006C4968"/>
    <w:rsid w:val="006C4B0B"/>
    <w:rsid w:val="006C4C93"/>
    <w:rsid w:val="006C4FB6"/>
    <w:rsid w:val="006C4FEE"/>
    <w:rsid w:val="006C562C"/>
    <w:rsid w:val="006C5A64"/>
    <w:rsid w:val="006C5A75"/>
    <w:rsid w:val="006C5C7E"/>
    <w:rsid w:val="006C5F04"/>
    <w:rsid w:val="006C636C"/>
    <w:rsid w:val="006C67F0"/>
    <w:rsid w:val="006C6ADF"/>
    <w:rsid w:val="006C6AED"/>
    <w:rsid w:val="006C6AF2"/>
    <w:rsid w:val="006C6BE1"/>
    <w:rsid w:val="006C701C"/>
    <w:rsid w:val="006C72E2"/>
    <w:rsid w:val="006C750E"/>
    <w:rsid w:val="006C7640"/>
    <w:rsid w:val="006C76E7"/>
    <w:rsid w:val="006C78A4"/>
    <w:rsid w:val="006C7BEB"/>
    <w:rsid w:val="006C7FB3"/>
    <w:rsid w:val="006D0222"/>
    <w:rsid w:val="006D05C1"/>
    <w:rsid w:val="006D10B4"/>
    <w:rsid w:val="006D12FC"/>
    <w:rsid w:val="006D1836"/>
    <w:rsid w:val="006D1A3C"/>
    <w:rsid w:val="006D1AD9"/>
    <w:rsid w:val="006D1D2B"/>
    <w:rsid w:val="006D1FF5"/>
    <w:rsid w:val="006D24AB"/>
    <w:rsid w:val="006D24D1"/>
    <w:rsid w:val="006D28C5"/>
    <w:rsid w:val="006D298F"/>
    <w:rsid w:val="006D2BE9"/>
    <w:rsid w:val="006D3446"/>
    <w:rsid w:val="006D39A8"/>
    <w:rsid w:val="006D3A4E"/>
    <w:rsid w:val="006D3E07"/>
    <w:rsid w:val="006D45FA"/>
    <w:rsid w:val="006D4D53"/>
    <w:rsid w:val="006D50AF"/>
    <w:rsid w:val="006D5340"/>
    <w:rsid w:val="006D5632"/>
    <w:rsid w:val="006D5859"/>
    <w:rsid w:val="006D67C0"/>
    <w:rsid w:val="006D68CD"/>
    <w:rsid w:val="006D6A25"/>
    <w:rsid w:val="006D6C83"/>
    <w:rsid w:val="006D76D1"/>
    <w:rsid w:val="006D777C"/>
    <w:rsid w:val="006D78AD"/>
    <w:rsid w:val="006D7997"/>
    <w:rsid w:val="006D7E41"/>
    <w:rsid w:val="006E0031"/>
    <w:rsid w:val="006E03A3"/>
    <w:rsid w:val="006E0B5F"/>
    <w:rsid w:val="006E108D"/>
    <w:rsid w:val="006E1107"/>
    <w:rsid w:val="006E11FA"/>
    <w:rsid w:val="006E1502"/>
    <w:rsid w:val="006E1653"/>
    <w:rsid w:val="006E1792"/>
    <w:rsid w:val="006E18A3"/>
    <w:rsid w:val="006E1D23"/>
    <w:rsid w:val="006E207A"/>
    <w:rsid w:val="006E2114"/>
    <w:rsid w:val="006E221A"/>
    <w:rsid w:val="006E2454"/>
    <w:rsid w:val="006E25A7"/>
    <w:rsid w:val="006E25C1"/>
    <w:rsid w:val="006E285A"/>
    <w:rsid w:val="006E303F"/>
    <w:rsid w:val="006E30E1"/>
    <w:rsid w:val="006E3123"/>
    <w:rsid w:val="006E330A"/>
    <w:rsid w:val="006E3890"/>
    <w:rsid w:val="006E3D66"/>
    <w:rsid w:val="006E3DB3"/>
    <w:rsid w:val="006E3E26"/>
    <w:rsid w:val="006E42A1"/>
    <w:rsid w:val="006E43B2"/>
    <w:rsid w:val="006E4596"/>
    <w:rsid w:val="006E51C0"/>
    <w:rsid w:val="006E55FC"/>
    <w:rsid w:val="006E5684"/>
    <w:rsid w:val="006E5929"/>
    <w:rsid w:val="006E6181"/>
    <w:rsid w:val="006E624C"/>
    <w:rsid w:val="006E6401"/>
    <w:rsid w:val="006E6899"/>
    <w:rsid w:val="006E6A6C"/>
    <w:rsid w:val="006E710F"/>
    <w:rsid w:val="006E7253"/>
    <w:rsid w:val="006E781F"/>
    <w:rsid w:val="006E784D"/>
    <w:rsid w:val="006E7875"/>
    <w:rsid w:val="006E78C6"/>
    <w:rsid w:val="006E8585"/>
    <w:rsid w:val="006F0381"/>
    <w:rsid w:val="006F0AFF"/>
    <w:rsid w:val="006F0DEB"/>
    <w:rsid w:val="006F101E"/>
    <w:rsid w:val="006F102B"/>
    <w:rsid w:val="006F13B1"/>
    <w:rsid w:val="006F1869"/>
    <w:rsid w:val="006F1984"/>
    <w:rsid w:val="006F227E"/>
    <w:rsid w:val="006F2A7F"/>
    <w:rsid w:val="006F31AF"/>
    <w:rsid w:val="006F32ED"/>
    <w:rsid w:val="006F32F3"/>
    <w:rsid w:val="006F34ED"/>
    <w:rsid w:val="006F358D"/>
    <w:rsid w:val="006F35B6"/>
    <w:rsid w:val="006F3C10"/>
    <w:rsid w:val="006F3C55"/>
    <w:rsid w:val="006F3D61"/>
    <w:rsid w:val="006F3FE7"/>
    <w:rsid w:val="006F41A2"/>
    <w:rsid w:val="006F4733"/>
    <w:rsid w:val="006F49A7"/>
    <w:rsid w:val="006F4BF8"/>
    <w:rsid w:val="006F4E48"/>
    <w:rsid w:val="006F4EE4"/>
    <w:rsid w:val="006F50F1"/>
    <w:rsid w:val="006F5758"/>
    <w:rsid w:val="006F5C2E"/>
    <w:rsid w:val="006F5D13"/>
    <w:rsid w:val="006F6FE7"/>
    <w:rsid w:val="006F7F12"/>
    <w:rsid w:val="0070004D"/>
    <w:rsid w:val="0070006E"/>
    <w:rsid w:val="0070059D"/>
    <w:rsid w:val="00700B03"/>
    <w:rsid w:val="00700BA7"/>
    <w:rsid w:val="00700DEC"/>
    <w:rsid w:val="007010E0"/>
    <w:rsid w:val="00701273"/>
    <w:rsid w:val="00701594"/>
    <w:rsid w:val="00701752"/>
    <w:rsid w:val="0070209D"/>
    <w:rsid w:val="0070228E"/>
    <w:rsid w:val="0070275E"/>
    <w:rsid w:val="007028AE"/>
    <w:rsid w:val="00702A75"/>
    <w:rsid w:val="00702D67"/>
    <w:rsid w:val="0070355F"/>
    <w:rsid w:val="007037E0"/>
    <w:rsid w:val="00703BE6"/>
    <w:rsid w:val="00703DB3"/>
    <w:rsid w:val="007041AE"/>
    <w:rsid w:val="00704223"/>
    <w:rsid w:val="007042C4"/>
    <w:rsid w:val="007042DC"/>
    <w:rsid w:val="00704562"/>
    <w:rsid w:val="0070488E"/>
    <w:rsid w:val="007048BA"/>
    <w:rsid w:val="00704DE5"/>
    <w:rsid w:val="007050A2"/>
    <w:rsid w:val="007050AC"/>
    <w:rsid w:val="0070544C"/>
    <w:rsid w:val="00705FE4"/>
    <w:rsid w:val="007066B1"/>
    <w:rsid w:val="0070699B"/>
    <w:rsid w:val="00706DB5"/>
    <w:rsid w:val="00706E91"/>
    <w:rsid w:val="00706F39"/>
    <w:rsid w:val="00707941"/>
    <w:rsid w:val="007079DE"/>
    <w:rsid w:val="00707A8F"/>
    <w:rsid w:val="00707D0F"/>
    <w:rsid w:val="00707FF3"/>
    <w:rsid w:val="0071006B"/>
    <w:rsid w:val="007100CF"/>
    <w:rsid w:val="0071013D"/>
    <w:rsid w:val="007104F8"/>
    <w:rsid w:val="0071065F"/>
    <w:rsid w:val="007107B5"/>
    <w:rsid w:val="007108FB"/>
    <w:rsid w:val="00710BBC"/>
    <w:rsid w:val="00710E7D"/>
    <w:rsid w:val="00710ED9"/>
    <w:rsid w:val="00711177"/>
    <w:rsid w:val="0071120D"/>
    <w:rsid w:val="00711456"/>
    <w:rsid w:val="007114F9"/>
    <w:rsid w:val="007116F4"/>
    <w:rsid w:val="00711A47"/>
    <w:rsid w:val="00711AAC"/>
    <w:rsid w:val="00711CD4"/>
    <w:rsid w:val="00711F05"/>
    <w:rsid w:val="00712154"/>
    <w:rsid w:val="00712172"/>
    <w:rsid w:val="00712A2C"/>
    <w:rsid w:val="00712E13"/>
    <w:rsid w:val="00712F6B"/>
    <w:rsid w:val="00713052"/>
    <w:rsid w:val="007130FA"/>
    <w:rsid w:val="007131B3"/>
    <w:rsid w:val="007136B8"/>
    <w:rsid w:val="007138DD"/>
    <w:rsid w:val="00713A60"/>
    <w:rsid w:val="00713A8F"/>
    <w:rsid w:val="00713BF0"/>
    <w:rsid w:val="007145EA"/>
    <w:rsid w:val="00714991"/>
    <w:rsid w:val="00714AC0"/>
    <w:rsid w:val="00714CFE"/>
    <w:rsid w:val="00714FB1"/>
    <w:rsid w:val="007151EE"/>
    <w:rsid w:val="007153DC"/>
    <w:rsid w:val="007154A1"/>
    <w:rsid w:val="007155E9"/>
    <w:rsid w:val="007157EF"/>
    <w:rsid w:val="00715984"/>
    <w:rsid w:val="00715A16"/>
    <w:rsid w:val="00715B98"/>
    <w:rsid w:val="00716078"/>
    <w:rsid w:val="00716B65"/>
    <w:rsid w:val="00716E74"/>
    <w:rsid w:val="007170F1"/>
    <w:rsid w:val="007172E8"/>
    <w:rsid w:val="007172EE"/>
    <w:rsid w:val="00717996"/>
    <w:rsid w:val="00717B6E"/>
    <w:rsid w:val="00717FE8"/>
    <w:rsid w:val="0072017A"/>
    <w:rsid w:val="0072028D"/>
    <w:rsid w:val="007203B3"/>
    <w:rsid w:val="007206D5"/>
    <w:rsid w:val="00720CE0"/>
    <w:rsid w:val="00720DEE"/>
    <w:rsid w:val="00720FC1"/>
    <w:rsid w:val="00720FF1"/>
    <w:rsid w:val="00721502"/>
    <w:rsid w:val="00721BE0"/>
    <w:rsid w:val="00721C40"/>
    <w:rsid w:val="00721D0E"/>
    <w:rsid w:val="00721E00"/>
    <w:rsid w:val="007221A7"/>
    <w:rsid w:val="00722454"/>
    <w:rsid w:val="00722588"/>
    <w:rsid w:val="0072264A"/>
    <w:rsid w:val="00722684"/>
    <w:rsid w:val="007226EE"/>
    <w:rsid w:val="00722AB8"/>
    <w:rsid w:val="007234A7"/>
    <w:rsid w:val="007235A0"/>
    <w:rsid w:val="00723B53"/>
    <w:rsid w:val="00723B5D"/>
    <w:rsid w:val="00723DC0"/>
    <w:rsid w:val="00724113"/>
    <w:rsid w:val="00724411"/>
    <w:rsid w:val="007245E1"/>
    <w:rsid w:val="00724A03"/>
    <w:rsid w:val="00724F4B"/>
    <w:rsid w:val="00725519"/>
    <w:rsid w:val="0072554D"/>
    <w:rsid w:val="007256D2"/>
    <w:rsid w:val="00725824"/>
    <w:rsid w:val="00725CE7"/>
    <w:rsid w:val="00725FD1"/>
    <w:rsid w:val="007263B5"/>
    <w:rsid w:val="0072645A"/>
    <w:rsid w:val="007269C2"/>
    <w:rsid w:val="00726B2F"/>
    <w:rsid w:val="00726BF4"/>
    <w:rsid w:val="00726DB2"/>
    <w:rsid w:val="00726F9C"/>
    <w:rsid w:val="007270B1"/>
    <w:rsid w:val="007274DD"/>
    <w:rsid w:val="007275C9"/>
    <w:rsid w:val="00727C15"/>
    <w:rsid w:val="007303E2"/>
    <w:rsid w:val="00730B37"/>
    <w:rsid w:val="0073112B"/>
    <w:rsid w:val="007311A3"/>
    <w:rsid w:val="007312EE"/>
    <w:rsid w:val="0073139C"/>
    <w:rsid w:val="00731510"/>
    <w:rsid w:val="00731777"/>
    <w:rsid w:val="00731DB0"/>
    <w:rsid w:val="0073251C"/>
    <w:rsid w:val="007329C1"/>
    <w:rsid w:val="00733076"/>
    <w:rsid w:val="0073340F"/>
    <w:rsid w:val="0073386F"/>
    <w:rsid w:val="007339D0"/>
    <w:rsid w:val="00733ABC"/>
    <w:rsid w:val="00733F37"/>
    <w:rsid w:val="00733FEE"/>
    <w:rsid w:val="0073442A"/>
    <w:rsid w:val="007348EC"/>
    <w:rsid w:val="00734E02"/>
    <w:rsid w:val="0073518C"/>
    <w:rsid w:val="007351D9"/>
    <w:rsid w:val="00735311"/>
    <w:rsid w:val="00735550"/>
    <w:rsid w:val="007358E2"/>
    <w:rsid w:val="00735977"/>
    <w:rsid w:val="00735C46"/>
    <w:rsid w:val="00735F80"/>
    <w:rsid w:val="007361B6"/>
    <w:rsid w:val="007364E6"/>
    <w:rsid w:val="00736639"/>
    <w:rsid w:val="00736E41"/>
    <w:rsid w:val="00736EB3"/>
    <w:rsid w:val="00737144"/>
    <w:rsid w:val="00737231"/>
    <w:rsid w:val="007378BF"/>
    <w:rsid w:val="00737F77"/>
    <w:rsid w:val="00740116"/>
    <w:rsid w:val="007404E7"/>
    <w:rsid w:val="007404E8"/>
    <w:rsid w:val="0074103C"/>
    <w:rsid w:val="007412D9"/>
    <w:rsid w:val="00741687"/>
    <w:rsid w:val="0074185E"/>
    <w:rsid w:val="00741DA4"/>
    <w:rsid w:val="00741DA9"/>
    <w:rsid w:val="00742311"/>
    <w:rsid w:val="00742C5B"/>
    <w:rsid w:val="00743087"/>
    <w:rsid w:val="007431EE"/>
    <w:rsid w:val="00743565"/>
    <w:rsid w:val="00743DA1"/>
    <w:rsid w:val="007444CE"/>
    <w:rsid w:val="0074481F"/>
    <w:rsid w:val="00744823"/>
    <w:rsid w:val="007449D4"/>
    <w:rsid w:val="00744BA9"/>
    <w:rsid w:val="00744C9A"/>
    <w:rsid w:val="00745212"/>
    <w:rsid w:val="00745469"/>
    <w:rsid w:val="00745478"/>
    <w:rsid w:val="00745693"/>
    <w:rsid w:val="00745725"/>
    <w:rsid w:val="00745BE2"/>
    <w:rsid w:val="00746945"/>
    <w:rsid w:val="00746DEA"/>
    <w:rsid w:val="0074721C"/>
    <w:rsid w:val="0074730F"/>
    <w:rsid w:val="00747314"/>
    <w:rsid w:val="00747868"/>
    <w:rsid w:val="00747CBA"/>
    <w:rsid w:val="00747CFF"/>
    <w:rsid w:val="00747D19"/>
    <w:rsid w:val="00747E1C"/>
    <w:rsid w:val="00747F7D"/>
    <w:rsid w:val="007504E0"/>
    <w:rsid w:val="007505EE"/>
    <w:rsid w:val="00750976"/>
    <w:rsid w:val="00751167"/>
    <w:rsid w:val="007511B0"/>
    <w:rsid w:val="00751421"/>
    <w:rsid w:val="00751AC2"/>
    <w:rsid w:val="00751AFF"/>
    <w:rsid w:val="00751C93"/>
    <w:rsid w:val="00751DF9"/>
    <w:rsid w:val="00751F17"/>
    <w:rsid w:val="0075264F"/>
    <w:rsid w:val="00752CEE"/>
    <w:rsid w:val="00753114"/>
    <w:rsid w:val="00753389"/>
    <w:rsid w:val="00753603"/>
    <w:rsid w:val="00753AF0"/>
    <w:rsid w:val="00753C89"/>
    <w:rsid w:val="00753EBE"/>
    <w:rsid w:val="00753EF6"/>
    <w:rsid w:val="0075431C"/>
    <w:rsid w:val="00754378"/>
    <w:rsid w:val="007545A4"/>
    <w:rsid w:val="0075472E"/>
    <w:rsid w:val="00754CD7"/>
    <w:rsid w:val="00754F7C"/>
    <w:rsid w:val="00755077"/>
    <w:rsid w:val="007550AB"/>
    <w:rsid w:val="007550D4"/>
    <w:rsid w:val="00755156"/>
    <w:rsid w:val="007551BA"/>
    <w:rsid w:val="00755402"/>
    <w:rsid w:val="00755422"/>
    <w:rsid w:val="00755761"/>
    <w:rsid w:val="00755C83"/>
    <w:rsid w:val="00755D23"/>
    <w:rsid w:val="00755D76"/>
    <w:rsid w:val="0075649F"/>
    <w:rsid w:val="007566CB"/>
    <w:rsid w:val="00756B41"/>
    <w:rsid w:val="007570E3"/>
    <w:rsid w:val="0075748A"/>
    <w:rsid w:val="007575D1"/>
    <w:rsid w:val="00757D7F"/>
    <w:rsid w:val="00760EEB"/>
    <w:rsid w:val="00760F49"/>
    <w:rsid w:val="00761123"/>
    <w:rsid w:val="007611DE"/>
    <w:rsid w:val="0076139B"/>
    <w:rsid w:val="007613CD"/>
    <w:rsid w:val="0076147B"/>
    <w:rsid w:val="00761699"/>
    <w:rsid w:val="00761A91"/>
    <w:rsid w:val="00761D7C"/>
    <w:rsid w:val="007620FB"/>
    <w:rsid w:val="0076210A"/>
    <w:rsid w:val="00762343"/>
    <w:rsid w:val="0076261B"/>
    <w:rsid w:val="0076267B"/>
    <w:rsid w:val="007629A4"/>
    <w:rsid w:val="00762A5A"/>
    <w:rsid w:val="007633CC"/>
    <w:rsid w:val="0076404D"/>
    <w:rsid w:val="007651C5"/>
    <w:rsid w:val="00765CC7"/>
    <w:rsid w:val="00765E37"/>
    <w:rsid w:val="00765F2D"/>
    <w:rsid w:val="00765FEB"/>
    <w:rsid w:val="00766016"/>
    <w:rsid w:val="0076603B"/>
    <w:rsid w:val="00766387"/>
    <w:rsid w:val="00766510"/>
    <w:rsid w:val="007669DB"/>
    <w:rsid w:val="0076742F"/>
    <w:rsid w:val="00767543"/>
    <w:rsid w:val="007679C2"/>
    <w:rsid w:val="007679CF"/>
    <w:rsid w:val="00767BCA"/>
    <w:rsid w:val="00767F3F"/>
    <w:rsid w:val="0077006E"/>
    <w:rsid w:val="00770407"/>
    <w:rsid w:val="007708F6"/>
    <w:rsid w:val="00770BB4"/>
    <w:rsid w:val="00771483"/>
    <w:rsid w:val="007714E4"/>
    <w:rsid w:val="0077186D"/>
    <w:rsid w:val="00771912"/>
    <w:rsid w:val="00771C0C"/>
    <w:rsid w:val="007720E6"/>
    <w:rsid w:val="00772250"/>
    <w:rsid w:val="00772923"/>
    <w:rsid w:val="00772DC6"/>
    <w:rsid w:val="007732D2"/>
    <w:rsid w:val="007734B6"/>
    <w:rsid w:val="007739BA"/>
    <w:rsid w:val="00773A1B"/>
    <w:rsid w:val="00773DAC"/>
    <w:rsid w:val="00773DD5"/>
    <w:rsid w:val="007746FD"/>
    <w:rsid w:val="007748B3"/>
    <w:rsid w:val="00774C85"/>
    <w:rsid w:val="00774DB6"/>
    <w:rsid w:val="007752C9"/>
    <w:rsid w:val="007763D6"/>
    <w:rsid w:val="007766B0"/>
    <w:rsid w:val="007769A1"/>
    <w:rsid w:val="007769FD"/>
    <w:rsid w:val="00776C91"/>
    <w:rsid w:val="00776FBA"/>
    <w:rsid w:val="007774C0"/>
    <w:rsid w:val="007775B3"/>
    <w:rsid w:val="007779D9"/>
    <w:rsid w:val="00777D13"/>
    <w:rsid w:val="00777F27"/>
    <w:rsid w:val="0078005C"/>
    <w:rsid w:val="007802F6"/>
    <w:rsid w:val="007803B1"/>
    <w:rsid w:val="00781134"/>
    <w:rsid w:val="007815E3"/>
    <w:rsid w:val="0078193D"/>
    <w:rsid w:val="00781953"/>
    <w:rsid w:val="00781AE7"/>
    <w:rsid w:val="00781E1F"/>
    <w:rsid w:val="0078257F"/>
    <w:rsid w:val="007826E9"/>
    <w:rsid w:val="00782893"/>
    <w:rsid w:val="00782C43"/>
    <w:rsid w:val="00782EFD"/>
    <w:rsid w:val="00783192"/>
    <w:rsid w:val="0078326F"/>
    <w:rsid w:val="00783389"/>
    <w:rsid w:val="00783660"/>
    <w:rsid w:val="00783914"/>
    <w:rsid w:val="00783A8E"/>
    <w:rsid w:val="00783C08"/>
    <w:rsid w:val="007840D8"/>
    <w:rsid w:val="0078485C"/>
    <w:rsid w:val="007848C6"/>
    <w:rsid w:val="00784B56"/>
    <w:rsid w:val="00784CA1"/>
    <w:rsid w:val="00784ED4"/>
    <w:rsid w:val="0078505F"/>
    <w:rsid w:val="0078531E"/>
    <w:rsid w:val="007854A5"/>
    <w:rsid w:val="00785AC6"/>
    <w:rsid w:val="00785C44"/>
    <w:rsid w:val="00785E0D"/>
    <w:rsid w:val="00785EB9"/>
    <w:rsid w:val="00786096"/>
    <w:rsid w:val="007862A0"/>
    <w:rsid w:val="007865BD"/>
    <w:rsid w:val="00786976"/>
    <w:rsid w:val="00786B57"/>
    <w:rsid w:val="00786E73"/>
    <w:rsid w:val="00786FA2"/>
    <w:rsid w:val="007873D3"/>
    <w:rsid w:val="00787674"/>
    <w:rsid w:val="00787763"/>
    <w:rsid w:val="00787C23"/>
    <w:rsid w:val="00787CB0"/>
    <w:rsid w:val="00790663"/>
    <w:rsid w:val="007906C7"/>
    <w:rsid w:val="00790822"/>
    <w:rsid w:val="00790E2B"/>
    <w:rsid w:val="00791AA6"/>
    <w:rsid w:val="00791F5B"/>
    <w:rsid w:val="00791F87"/>
    <w:rsid w:val="00792122"/>
    <w:rsid w:val="007925FD"/>
    <w:rsid w:val="00792647"/>
    <w:rsid w:val="00792933"/>
    <w:rsid w:val="00792ACE"/>
    <w:rsid w:val="00792ADA"/>
    <w:rsid w:val="00793038"/>
    <w:rsid w:val="00793077"/>
    <w:rsid w:val="00793182"/>
    <w:rsid w:val="007931D5"/>
    <w:rsid w:val="007934A1"/>
    <w:rsid w:val="0079357F"/>
    <w:rsid w:val="00793795"/>
    <w:rsid w:val="00793E71"/>
    <w:rsid w:val="0079428D"/>
    <w:rsid w:val="00794338"/>
    <w:rsid w:val="007945E1"/>
    <w:rsid w:val="00794BB7"/>
    <w:rsid w:val="00794C3E"/>
    <w:rsid w:val="00794CCB"/>
    <w:rsid w:val="00794E27"/>
    <w:rsid w:val="007953A3"/>
    <w:rsid w:val="0079553B"/>
    <w:rsid w:val="007955FA"/>
    <w:rsid w:val="007957F7"/>
    <w:rsid w:val="007959EF"/>
    <w:rsid w:val="00795D41"/>
    <w:rsid w:val="00795E1A"/>
    <w:rsid w:val="0079626F"/>
    <w:rsid w:val="0079647D"/>
    <w:rsid w:val="00796568"/>
    <w:rsid w:val="00796785"/>
    <w:rsid w:val="00796DBE"/>
    <w:rsid w:val="00797089"/>
    <w:rsid w:val="00797A12"/>
    <w:rsid w:val="00797CE7"/>
    <w:rsid w:val="00797DE0"/>
    <w:rsid w:val="00797FCB"/>
    <w:rsid w:val="007A01B6"/>
    <w:rsid w:val="007A042C"/>
    <w:rsid w:val="007A05BC"/>
    <w:rsid w:val="007A0620"/>
    <w:rsid w:val="007A0705"/>
    <w:rsid w:val="007A0723"/>
    <w:rsid w:val="007A0B2B"/>
    <w:rsid w:val="007A0B30"/>
    <w:rsid w:val="007A114E"/>
    <w:rsid w:val="007A199A"/>
    <w:rsid w:val="007A1A7D"/>
    <w:rsid w:val="007A1C15"/>
    <w:rsid w:val="007A2526"/>
    <w:rsid w:val="007A26B4"/>
    <w:rsid w:val="007A2717"/>
    <w:rsid w:val="007A278C"/>
    <w:rsid w:val="007A2792"/>
    <w:rsid w:val="007A2B8F"/>
    <w:rsid w:val="007A2F04"/>
    <w:rsid w:val="007A2FB2"/>
    <w:rsid w:val="007A2FBF"/>
    <w:rsid w:val="007A32B5"/>
    <w:rsid w:val="007A36E1"/>
    <w:rsid w:val="007A3762"/>
    <w:rsid w:val="007A3EA7"/>
    <w:rsid w:val="007A404E"/>
    <w:rsid w:val="007A4461"/>
    <w:rsid w:val="007A44C1"/>
    <w:rsid w:val="007A4717"/>
    <w:rsid w:val="007A4A59"/>
    <w:rsid w:val="007A500F"/>
    <w:rsid w:val="007A56A9"/>
    <w:rsid w:val="007A578D"/>
    <w:rsid w:val="007A57E8"/>
    <w:rsid w:val="007A5944"/>
    <w:rsid w:val="007A594B"/>
    <w:rsid w:val="007A5C80"/>
    <w:rsid w:val="007A5D69"/>
    <w:rsid w:val="007A639D"/>
    <w:rsid w:val="007A6486"/>
    <w:rsid w:val="007A656E"/>
    <w:rsid w:val="007A6A4E"/>
    <w:rsid w:val="007A6B95"/>
    <w:rsid w:val="007A6E04"/>
    <w:rsid w:val="007A75EB"/>
    <w:rsid w:val="007A773F"/>
    <w:rsid w:val="007A7769"/>
    <w:rsid w:val="007A78BB"/>
    <w:rsid w:val="007A7956"/>
    <w:rsid w:val="007A7F53"/>
    <w:rsid w:val="007B015C"/>
    <w:rsid w:val="007B0175"/>
    <w:rsid w:val="007B01A2"/>
    <w:rsid w:val="007B0219"/>
    <w:rsid w:val="007B043E"/>
    <w:rsid w:val="007B09E7"/>
    <w:rsid w:val="007B1009"/>
    <w:rsid w:val="007B16E0"/>
    <w:rsid w:val="007B18D8"/>
    <w:rsid w:val="007B1BF8"/>
    <w:rsid w:val="007B1BFA"/>
    <w:rsid w:val="007B1ED9"/>
    <w:rsid w:val="007B218C"/>
    <w:rsid w:val="007B21AC"/>
    <w:rsid w:val="007B25D1"/>
    <w:rsid w:val="007B2D4B"/>
    <w:rsid w:val="007B32C3"/>
    <w:rsid w:val="007B3A3F"/>
    <w:rsid w:val="007B3BB8"/>
    <w:rsid w:val="007B3DC5"/>
    <w:rsid w:val="007B3FDC"/>
    <w:rsid w:val="007B3FEB"/>
    <w:rsid w:val="007B3FEE"/>
    <w:rsid w:val="007B4D2C"/>
    <w:rsid w:val="007B4E66"/>
    <w:rsid w:val="007B5187"/>
    <w:rsid w:val="007B58A0"/>
    <w:rsid w:val="007B591E"/>
    <w:rsid w:val="007B5AB3"/>
    <w:rsid w:val="007B5B8F"/>
    <w:rsid w:val="007B60ED"/>
    <w:rsid w:val="007B6721"/>
    <w:rsid w:val="007B6746"/>
    <w:rsid w:val="007B6B4C"/>
    <w:rsid w:val="007B7299"/>
    <w:rsid w:val="007B757E"/>
    <w:rsid w:val="007B78AB"/>
    <w:rsid w:val="007B7B2F"/>
    <w:rsid w:val="007B7E85"/>
    <w:rsid w:val="007B7FD8"/>
    <w:rsid w:val="007C0107"/>
    <w:rsid w:val="007C0140"/>
    <w:rsid w:val="007C0423"/>
    <w:rsid w:val="007C0483"/>
    <w:rsid w:val="007C0493"/>
    <w:rsid w:val="007C106C"/>
    <w:rsid w:val="007C117E"/>
    <w:rsid w:val="007C15CC"/>
    <w:rsid w:val="007C1BB5"/>
    <w:rsid w:val="007C230B"/>
    <w:rsid w:val="007C25AB"/>
    <w:rsid w:val="007C2CF2"/>
    <w:rsid w:val="007C30B9"/>
    <w:rsid w:val="007C33BF"/>
    <w:rsid w:val="007C33F7"/>
    <w:rsid w:val="007C3668"/>
    <w:rsid w:val="007C377A"/>
    <w:rsid w:val="007C3AB6"/>
    <w:rsid w:val="007C3B05"/>
    <w:rsid w:val="007C3B94"/>
    <w:rsid w:val="007C3C5F"/>
    <w:rsid w:val="007C3D5A"/>
    <w:rsid w:val="007C3DE8"/>
    <w:rsid w:val="007C3E45"/>
    <w:rsid w:val="007C42E9"/>
    <w:rsid w:val="007C42F4"/>
    <w:rsid w:val="007C4848"/>
    <w:rsid w:val="007C4949"/>
    <w:rsid w:val="007C4B38"/>
    <w:rsid w:val="007C4CD5"/>
    <w:rsid w:val="007C4CD6"/>
    <w:rsid w:val="007C4F5C"/>
    <w:rsid w:val="007C5DBF"/>
    <w:rsid w:val="007C5ECA"/>
    <w:rsid w:val="007C6761"/>
    <w:rsid w:val="007C67C6"/>
    <w:rsid w:val="007C6C1D"/>
    <w:rsid w:val="007C7C75"/>
    <w:rsid w:val="007C7E41"/>
    <w:rsid w:val="007D042C"/>
    <w:rsid w:val="007D081A"/>
    <w:rsid w:val="007D0F2B"/>
    <w:rsid w:val="007D1233"/>
    <w:rsid w:val="007D12DD"/>
    <w:rsid w:val="007D170E"/>
    <w:rsid w:val="007D17A9"/>
    <w:rsid w:val="007D18A5"/>
    <w:rsid w:val="007D18AD"/>
    <w:rsid w:val="007D1A22"/>
    <w:rsid w:val="007D1A45"/>
    <w:rsid w:val="007D1FC0"/>
    <w:rsid w:val="007D2BF7"/>
    <w:rsid w:val="007D2CAB"/>
    <w:rsid w:val="007D2D7B"/>
    <w:rsid w:val="007D2ED4"/>
    <w:rsid w:val="007D30F5"/>
    <w:rsid w:val="007D317D"/>
    <w:rsid w:val="007D339C"/>
    <w:rsid w:val="007D3814"/>
    <w:rsid w:val="007D3C00"/>
    <w:rsid w:val="007D3DF4"/>
    <w:rsid w:val="007D3F9B"/>
    <w:rsid w:val="007D43C7"/>
    <w:rsid w:val="007D4DFD"/>
    <w:rsid w:val="007D4E85"/>
    <w:rsid w:val="007D519A"/>
    <w:rsid w:val="007D576C"/>
    <w:rsid w:val="007D5A0C"/>
    <w:rsid w:val="007D5D25"/>
    <w:rsid w:val="007D5E2C"/>
    <w:rsid w:val="007D6268"/>
    <w:rsid w:val="007D6384"/>
    <w:rsid w:val="007D69B5"/>
    <w:rsid w:val="007D706C"/>
    <w:rsid w:val="007E074E"/>
    <w:rsid w:val="007E09F1"/>
    <w:rsid w:val="007E0AEE"/>
    <w:rsid w:val="007E0C9B"/>
    <w:rsid w:val="007E0CD2"/>
    <w:rsid w:val="007E0DE1"/>
    <w:rsid w:val="007E0E44"/>
    <w:rsid w:val="007E0E57"/>
    <w:rsid w:val="007E0EF0"/>
    <w:rsid w:val="007E0F8C"/>
    <w:rsid w:val="007E109A"/>
    <w:rsid w:val="007E157D"/>
    <w:rsid w:val="007E1789"/>
    <w:rsid w:val="007E19D1"/>
    <w:rsid w:val="007E1CB7"/>
    <w:rsid w:val="007E1D20"/>
    <w:rsid w:val="007E2238"/>
    <w:rsid w:val="007E250B"/>
    <w:rsid w:val="007E2AA5"/>
    <w:rsid w:val="007E2B82"/>
    <w:rsid w:val="007E303F"/>
    <w:rsid w:val="007E30B9"/>
    <w:rsid w:val="007E329B"/>
    <w:rsid w:val="007E3D41"/>
    <w:rsid w:val="007E40E3"/>
    <w:rsid w:val="007E410A"/>
    <w:rsid w:val="007E4278"/>
    <w:rsid w:val="007E43EC"/>
    <w:rsid w:val="007E477E"/>
    <w:rsid w:val="007E49D9"/>
    <w:rsid w:val="007E4CFD"/>
    <w:rsid w:val="007E55AC"/>
    <w:rsid w:val="007E55AD"/>
    <w:rsid w:val="007E56D4"/>
    <w:rsid w:val="007E5D86"/>
    <w:rsid w:val="007E5E33"/>
    <w:rsid w:val="007E6691"/>
    <w:rsid w:val="007E682D"/>
    <w:rsid w:val="007E6840"/>
    <w:rsid w:val="007E6B1F"/>
    <w:rsid w:val="007E730B"/>
    <w:rsid w:val="007E7315"/>
    <w:rsid w:val="007E7686"/>
    <w:rsid w:val="007E76DB"/>
    <w:rsid w:val="007E7B9B"/>
    <w:rsid w:val="007E7C9E"/>
    <w:rsid w:val="007E7CF6"/>
    <w:rsid w:val="007E7E0E"/>
    <w:rsid w:val="007F00F2"/>
    <w:rsid w:val="007F01A7"/>
    <w:rsid w:val="007F07B8"/>
    <w:rsid w:val="007F0A3A"/>
    <w:rsid w:val="007F0AEE"/>
    <w:rsid w:val="007F0B1D"/>
    <w:rsid w:val="007F0BF3"/>
    <w:rsid w:val="007F1026"/>
    <w:rsid w:val="007F1272"/>
    <w:rsid w:val="007F16FD"/>
    <w:rsid w:val="007F1834"/>
    <w:rsid w:val="007F1A72"/>
    <w:rsid w:val="007F1AB1"/>
    <w:rsid w:val="007F21A9"/>
    <w:rsid w:val="007F2682"/>
    <w:rsid w:val="007F29E6"/>
    <w:rsid w:val="007F2BA0"/>
    <w:rsid w:val="007F2D4D"/>
    <w:rsid w:val="007F2FC0"/>
    <w:rsid w:val="007F3086"/>
    <w:rsid w:val="007F3423"/>
    <w:rsid w:val="007F3492"/>
    <w:rsid w:val="007F37B6"/>
    <w:rsid w:val="007F3BBB"/>
    <w:rsid w:val="007F3DC3"/>
    <w:rsid w:val="007F426B"/>
    <w:rsid w:val="007F44DC"/>
    <w:rsid w:val="007F4588"/>
    <w:rsid w:val="007F492A"/>
    <w:rsid w:val="007F5114"/>
    <w:rsid w:val="007F57DD"/>
    <w:rsid w:val="007F58E6"/>
    <w:rsid w:val="007F5BE5"/>
    <w:rsid w:val="007F5C2C"/>
    <w:rsid w:val="007F5D1E"/>
    <w:rsid w:val="007F5EFA"/>
    <w:rsid w:val="007F5F4B"/>
    <w:rsid w:val="007F628C"/>
    <w:rsid w:val="007F6710"/>
    <w:rsid w:val="007F6977"/>
    <w:rsid w:val="007F6FF9"/>
    <w:rsid w:val="007F700C"/>
    <w:rsid w:val="007F7113"/>
    <w:rsid w:val="007F72A7"/>
    <w:rsid w:val="007F79E2"/>
    <w:rsid w:val="007F7A77"/>
    <w:rsid w:val="007F7BC7"/>
    <w:rsid w:val="007F7CAF"/>
    <w:rsid w:val="00800528"/>
    <w:rsid w:val="00800673"/>
    <w:rsid w:val="008006A3"/>
    <w:rsid w:val="0080097D"/>
    <w:rsid w:val="00800F04"/>
    <w:rsid w:val="00800F07"/>
    <w:rsid w:val="008010DC"/>
    <w:rsid w:val="00801165"/>
    <w:rsid w:val="008014FF"/>
    <w:rsid w:val="0080177B"/>
    <w:rsid w:val="008019F4"/>
    <w:rsid w:val="00801BFE"/>
    <w:rsid w:val="00801C1C"/>
    <w:rsid w:val="00801E52"/>
    <w:rsid w:val="00801FCB"/>
    <w:rsid w:val="00802076"/>
    <w:rsid w:val="008021C9"/>
    <w:rsid w:val="008022C2"/>
    <w:rsid w:val="00802445"/>
    <w:rsid w:val="008024A3"/>
    <w:rsid w:val="008025FE"/>
    <w:rsid w:val="00802BD4"/>
    <w:rsid w:val="00802D39"/>
    <w:rsid w:val="00802E5A"/>
    <w:rsid w:val="00802F1A"/>
    <w:rsid w:val="00802FDE"/>
    <w:rsid w:val="008032DD"/>
    <w:rsid w:val="0080343C"/>
    <w:rsid w:val="00803471"/>
    <w:rsid w:val="008036F3"/>
    <w:rsid w:val="008038A2"/>
    <w:rsid w:val="00803916"/>
    <w:rsid w:val="00803B36"/>
    <w:rsid w:val="00803BCA"/>
    <w:rsid w:val="0080407E"/>
    <w:rsid w:val="0080411F"/>
    <w:rsid w:val="00804248"/>
    <w:rsid w:val="008047B6"/>
    <w:rsid w:val="00804881"/>
    <w:rsid w:val="008049A0"/>
    <w:rsid w:val="00804A8F"/>
    <w:rsid w:val="00805190"/>
    <w:rsid w:val="00805230"/>
    <w:rsid w:val="008054C5"/>
    <w:rsid w:val="00805606"/>
    <w:rsid w:val="00805F89"/>
    <w:rsid w:val="00806640"/>
    <w:rsid w:val="0080684D"/>
    <w:rsid w:val="0080688E"/>
    <w:rsid w:val="00806B17"/>
    <w:rsid w:val="00806CED"/>
    <w:rsid w:val="00806F17"/>
    <w:rsid w:val="0080707E"/>
    <w:rsid w:val="008070DA"/>
    <w:rsid w:val="00807101"/>
    <w:rsid w:val="008072EA"/>
    <w:rsid w:val="00807615"/>
    <w:rsid w:val="00807A9D"/>
    <w:rsid w:val="0081054D"/>
    <w:rsid w:val="00810651"/>
    <w:rsid w:val="00810D5B"/>
    <w:rsid w:val="008113E0"/>
    <w:rsid w:val="008117D2"/>
    <w:rsid w:val="00811AB4"/>
    <w:rsid w:val="00811B2A"/>
    <w:rsid w:val="00811CE9"/>
    <w:rsid w:val="00811EFE"/>
    <w:rsid w:val="0081209B"/>
    <w:rsid w:val="00812334"/>
    <w:rsid w:val="0081258C"/>
    <w:rsid w:val="00812630"/>
    <w:rsid w:val="008130B4"/>
    <w:rsid w:val="008136AB"/>
    <w:rsid w:val="00813BEB"/>
    <w:rsid w:val="008141F0"/>
    <w:rsid w:val="008142A9"/>
    <w:rsid w:val="0081437F"/>
    <w:rsid w:val="00814D5F"/>
    <w:rsid w:val="00814E45"/>
    <w:rsid w:val="00815488"/>
    <w:rsid w:val="00815827"/>
    <w:rsid w:val="008164D9"/>
    <w:rsid w:val="0081699F"/>
    <w:rsid w:val="00816A95"/>
    <w:rsid w:val="00816DFC"/>
    <w:rsid w:val="00816F47"/>
    <w:rsid w:val="00817139"/>
    <w:rsid w:val="0081730C"/>
    <w:rsid w:val="00817558"/>
    <w:rsid w:val="008178F1"/>
    <w:rsid w:val="0081792B"/>
    <w:rsid w:val="008179D2"/>
    <w:rsid w:val="00817A54"/>
    <w:rsid w:val="00817B74"/>
    <w:rsid w:val="00817EEE"/>
    <w:rsid w:val="00820087"/>
    <w:rsid w:val="0082013D"/>
    <w:rsid w:val="0082016A"/>
    <w:rsid w:val="00820B95"/>
    <w:rsid w:val="00820D6A"/>
    <w:rsid w:val="00821119"/>
    <w:rsid w:val="008212FA"/>
    <w:rsid w:val="00821587"/>
    <w:rsid w:val="0082163E"/>
    <w:rsid w:val="008216B1"/>
    <w:rsid w:val="008217F0"/>
    <w:rsid w:val="00821BC6"/>
    <w:rsid w:val="00821F3C"/>
    <w:rsid w:val="00822029"/>
    <w:rsid w:val="0082218B"/>
    <w:rsid w:val="008221CF"/>
    <w:rsid w:val="00822228"/>
    <w:rsid w:val="00822253"/>
    <w:rsid w:val="008224D3"/>
    <w:rsid w:val="00822550"/>
    <w:rsid w:val="00822589"/>
    <w:rsid w:val="00822918"/>
    <w:rsid w:val="00822C7F"/>
    <w:rsid w:val="0082305A"/>
    <w:rsid w:val="00823910"/>
    <w:rsid w:val="00823C62"/>
    <w:rsid w:val="00823E2D"/>
    <w:rsid w:val="00823E44"/>
    <w:rsid w:val="00824588"/>
    <w:rsid w:val="008246CE"/>
    <w:rsid w:val="00824CCF"/>
    <w:rsid w:val="00824D51"/>
    <w:rsid w:val="00824F55"/>
    <w:rsid w:val="00825782"/>
    <w:rsid w:val="00825BA0"/>
    <w:rsid w:val="00825D84"/>
    <w:rsid w:val="00826250"/>
    <w:rsid w:val="00826299"/>
    <w:rsid w:val="008266C3"/>
    <w:rsid w:val="0082685F"/>
    <w:rsid w:val="00826B8A"/>
    <w:rsid w:val="00826CDC"/>
    <w:rsid w:val="00826F59"/>
    <w:rsid w:val="0082701B"/>
    <w:rsid w:val="00827092"/>
    <w:rsid w:val="008270CA"/>
    <w:rsid w:val="00827177"/>
    <w:rsid w:val="008274C0"/>
    <w:rsid w:val="00827720"/>
    <w:rsid w:val="008278C9"/>
    <w:rsid w:val="00827D9B"/>
    <w:rsid w:val="00827EA3"/>
    <w:rsid w:val="0083012B"/>
    <w:rsid w:val="00830722"/>
    <w:rsid w:val="00830994"/>
    <w:rsid w:val="0083104A"/>
    <w:rsid w:val="008310F0"/>
    <w:rsid w:val="008311AA"/>
    <w:rsid w:val="008311E2"/>
    <w:rsid w:val="0083147C"/>
    <w:rsid w:val="00831869"/>
    <w:rsid w:val="00831928"/>
    <w:rsid w:val="008319F6"/>
    <w:rsid w:val="00831AD0"/>
    <w:rsid w:val="00831AD2"/>
    <w:rsid w:val="0083222C"/>
    <w:rsid w:val="008325C9"/>
    <w:rsid w:val="0083268D"/>
    <w:rsid w:val="008326E5"/>
    <w:rsid w:val="008327C6"/>
    <w:rsid w:val="008329D5"/>
    <w:rsid w:val="00832FB9"/>
    <w:rsid w:val="008337BD"/>
    <w:rsid w:val="008338A9"/>
    <w:rsid w:val="00833E4C"/>
    <w:rsid w:val="00834348"/>
    <w:rsid w:val="00834395"/>
    <w:rsid w:val="008343CE"/>
    <w:rsid w:val="00834560"/>
    <w:rsid w:val="0083460E"/>
    <w:rsid w:val="00834BD3"/>
    <w:rsid w:val="00834D97"/>
    <w:rsid w:val="008352C0"/>
    <w:rsid w:val="008355AC"/>
    <w:rsid w:val="0083586E"/>
    <w:rsid w:val="00835C57"/>
    <w:rsid w:val="00836062"/>
    <w:rsid w:val="00836080"/>
    <w:rsid w:val="008360E3"/>
    <w:rsid w:val="0083633C"/>
    <w:rsid w:val="00836354"/>
    <w:rsid w:val="008363C7"/>
    <w:rsid w:val="00836EFB"/>
    <w:rsid w:val="00837407"/>
    <w:rsid w:val="00837416"/>
    <w:rsid w:val="00837B64"/>
    <w:rsid w:val="00837EEC"/>
    <w:rsid w:val="00840019"/>
    <w:rsid w:val="008401CB"/>
    <w:rsid w:val="0084021E"/>
    <w:rsid w:val="008405F1"/>
    <w:rsid w:val="00840787"/>
    <w:rsid w:val="00840A1E"/>
    <w:rsid w:val="00840B1A"/>
    <w:rsid w:val="00840F94"/>
    <w:rsid w:val="0084127A"/>
    <w:rsid w:val="008413BA"/>
    <w:rsid w:val="0084163F"/>
    <w:rsid w:val="00841799"/>
    <w:rsid w:val="00841A15"/>
    <w:rsid w:val="00842413"/>
    <w:rsid w:val="00842820"/>
    <w:rsid w:val="00842858"/>
    <w:rsid w:val="00842B9A"/>
    <w:rsid w:val="00842BB2"/>
    <w:rsid w:val="00842E08"/>
    <w:rsid w:val="00842E48"/>
    <w:rsid w:val="00843135"/>
    <w:rsid w:val="00843294"/>
    <w:rsid w:val="00843AD5"/>
    <w:rsid w:val="00843CF8"/>
    <w:rsid w:val="00843E2F"/>
    <w:rsid w:val="00843E5F"/>
    <w:rsid w:val="008441AC"/>
    <w:rsid w:val="00844393"/>
    <w:rsid w:val="008443A2"/>
    <w:rsid w:val="008444AE"/>
    <w:rsid w:val="0084454C"/>
    <w:rsid w:val="0084487D"/>
    <w:rsid w:val="00844949"/>
    <w:rsid w:val="008455EE"/>
    <w:rsid w:val="00845610"/>
    <w:rsid w:val="008457AA"/>
    <w:rsid w:val="00845920"/>
    <w:rsid w:val="00845B22"/>
    <w:rsid w:val="00845DF7"/>
    <w:rsid w:val="008461B6"/>
    <w:rsid w:val="0084622C"/>
    <w:rsid w:val="008462CF"/>
    <w:rsid w:val="008465EC"/>
    <w:rsid w:val="00846823"/>
    <w:rsid w:val="00846B45"/>
    <w:rsid w:val="00846B61"/>
    <w:rsid w:val="00846B90"/>
    <w:rsid w:val="00846E20"/>
    <w:rsid w:val="00846E97"/>
    <w:rsid w:val="00847331"/>
    <w:rsid w:val="0084756B"/>
    <w:rsid w:val="008475F4"/>
    <w:rsid w:val="008477EB"/>
    <w:rsid w:val="008479AB"/>
    <w:rsid w:val="00847AC7"/>
    <w:rsid w:val="00847B07"/>
    <w:rsid w:val="00847CD1"/>
    <w:rsid w:val="00847F7C"/>
    <w:rsid w:val="0085027B"/>
    <w:rsid w:val="008508F7"/>
    <w:rsid w:val="00850CB3"/>
    <w:rsid w:val="00850D9C"/>
    <w:rsid w:val="00851049"/>
    <w:rsid w:val="00851101"/>
    <w:rsid w:val="008512CB"/>
    <w:rsid w:val="008515FA"/>
    <w:rsid w:val="008516FD"/>
    <w:rsid w:val="00851718"/>
    <w:rsid w:val="00851CB2"/>
    <w:rsid w:val="00851D12"/>
    <w:rsid w:val="00851DFA"/>
    <w:rsid w:val="00852630"/>
    <w:rsid w:val="0085275D"/>
    <w:rsid w:val="008527A4"/>
    <w:rsid w:val="0085295A"/>
    <w:rsid w:val="00852BA7"/>
    <w:rsid w:val="00852C3F"/>
    <w:rsid w:val="00852D02"/>
    <w:rsid w:val="00852D3C"/>
    <w:rsid w:val="00852D59"/>
    <w:rsid w:val="008532B3"/>
    <w:rsid w:val="00853519"/>
    <w:rsid w:val="00853867"/>
    <w:rsid w:val="0085396D"/>
    <w:rsid w:val="00853B5B"/>
    <w:rsid w:val="00853F2E"/>
    <w:rsid w:val="00853F43"/>
    <w:rsid w:val="00854621"/>
    <w:rsid w:val="00854884"/>
    <w:rsid w:val="00854AEA"/>
    <w:rsid w:val="00855140"/>
    <w:rsid w:val="0085516E"/>
    <w:rsid w:val="0085542D"/>
    <w:rsid w:val="0085562A"/>
    <w:rsid w:val="00855E68"/>
    <w:rsid w:val="008560DC"/>
    <w:rsid w:val="008563FC"/>
    <w:rsid w:val="00856C83"/>
    <w:rsid w:val="00856D12"/>
    <w:rsid w:val="00856DF2"/>
    <w:rsid w:val="00857060"/>
    <w:rsid w:val="00857647"/>
    <w:rsid w:val="008578D8"/>
    <w:rsid w:val="00857B04"/>
    <w:rsid w:val="00860006"/>
    <w:rsid w:val="008603E0"/>
    <w:rsid w:val="008603E2"/>
    <w:rsid w:val="008603E6"/>
    <w:rsid w:val="00860C31"/>
    <w:rsid w:val="00861424"/>
    <w:rsid w:val="00861874"/>
    <w:rsid w:val="00861BF5"/>
    <w:rsid w:val="00861E37"/>
    <w:rsid w:val="00862216"/>
    <w:rsid w:val="00862605"/>
    <w:rsid w:val="0086290A"/>
    <w:rsid w:val="008629D2"/>
    <w:rsid w:val="00862AFE"/>
    <w:rsid w:val="00862D80"/>
    <w:rsid w:val="00862DBC"/>
    <w:rsid w:val="00863023"/>
    <w:rsid w:val="008630FE"/>
    <w:rsid w:val="008632C7"/>
    <w:rsid w:val="0086348A"/>
    <w:rsid w:val="00863513"/>
    <w:rsid w:val="00863666"/>
    <w:rsid w:val="00863852"/>
    <w:rsid w:val="00864362"/>
    <w:rsid w:val="008643CE"/>
    <w:rsid w:val="008646FA"/>
    <w:rsid w:val="00864758"/>
    <w:rsid w:val="00864959"/>
    <w:rsid w:val="00864B19"/>
    <w:rsid w:val="00864CC5"/>
    <w:rsid w:val="00864FA9"/>
    <w:rsid w:val="008651EE"/>
    <w:rsid w:val="0086540D"/>
    <w:rsid w:val="00865451"/>
    <w:rsid w:val="0086553C"/>
    <w:rsid w:val="00865B4D"/>
    <w:rsid w:val="00865E69"/>
    <w:rsid w:val="0086602B"/>
    <w:rsid w:val="008661C1"/>
    <w:rsid w:val="0086641C"/>
    <w:rsid w:val="00866C29"/>
    <w:rsid w:val="00866C33"/>
    <w:rsid w:val="00866C62"/>
    <w:rsid w:val="00866E4E"/>
    <w:rsid w:val="0086729E"/>
    <w:rsid w:val="00867460"/>
    <w:rsid w:val="008674F6"/>
    <w:rsid w:val="00867D93"/>
    <w:rsid w:val="008702A0"/>
    <w:rsid w:val="0087032B"/>
    <w:rsid w:val="0087069B"/>
    <w:rsid w:val="008708FF"/>
    <w:rsid w:val="00870F52"/>
    <w:rsid w:val="008710C8"/>
    <w:rsid w:val="0087112A"/>
    <w:rsid w:val="00871335"/>
    <w:rsid w:val="00871407"/>
    <w:rsid w:val="00871B5F"/>
    <w:rsid w:val="00871E33"/>
    <w:rsid w:val="00872247"/>
    <w:rsid w:val="00872ABC"/>
    <w:rsid w:val="0087352D"/>
    <w:rsid w:val="00873759"/>
    <w:rsid w:val="0087383C"/>
    <w:rsid w:val="008739AB"/>
    <w:rsid w:val="00873A97"/>
    <w:rsid w:val="00873AA0"/>
    <w:rsid w:val="00873D8F"/>
    <w:rsid w:val="00874155"/>
    <w:rsid w:val="0087418A"/>
    <w:rsid w:val="008742DE"/>
    <w:rsid w:val="0087449D"/>
    <w:rsid w:val="00874751"/>
    <w:rsid w:val="00874989"/>
    <w:rsid w:val="00874E1C"/>
    <w:rsid w:val="008752A6"/>
    <w:rsid w:val="008757AC"/>
    <w:rsid w:val="00875A97"/>
    <w:rsid w:val="00875E61"/>
    <w:rsid w:val="008760F3"/>
    <w:rsid w:val="008762B7"/>
    <w:rsid w:val="008764B8"/>
    <w:rsid w:val="0087692A"/>
    <w:rsid w:val="00876BDB"/>
    <w:rsid w:val="00876C37"/>
    <w:rsid w:val="00876CF2"/>
    <w:rsid w:val="00876E40"/>
    <w:rsid w:val="008776DB"/>
    <w:rsid w:val="00877B41"/>
    <w:rsid w:val="00877B60"/>
    <w:rsid w:val="00877BAB"/>
    <w:rsid w:val="00877C23"/>
    <w:rsid w:val="00877CC2"/>
    <w:rsid w:val="00877D13"/>
    <w:rsid w:val="008801A1"/>
    <w:rsid w:val="00880215"/>
    <w:rsid w:val="00880370"/>
    <w:rsid w:val="008805DC"/>
    <w:rsid w:val="00880802"/>
    <w:rsid w:val="00880813"/>
    <w:rsid w:val="00880E20"/>
    <w:rsid w:val="008815F9"/>
    <w:rsid w:val="008816BA"/>
    <w:rsid w:val="008819B7"/>
    <w:rsid w:val="00881FA4"/>
    <w:rsid w:val="00882194"/>
    <w:rsid w:val="008822CB"/>
    <w:rsid w:val="00882340"/>
    <w:rsid w:val="008825D3"/>
    <w:rsid w:val="00882791"/>
    <w:rsid w:val="008827C5"/>
    <w:rsid w:val="00882C25"/>
    <w:rsid w:val="00882DDC"/>
    <w:rsid w:val="0088319E"/>
    <w:rsid w:val="0088374E"/>
    <w:rsid w:val="00883D0E"/>
    <w:rsid w:val="00883F47"/>
    <w:rsid w:val="00883FE2"/>
    <w:rsid w:val="008840E4"/>
    <w:rsid w:val="008843EA"/>
    <w:rsid w:val="00884675"/>
    <w:rsid w:val="008849C4"/>
    <w:rsid w:val="008849F2"/>
    <w:rsid w:val="00884DC6"/>
    <w:rsid w:val="00885294"/>
    <w:rsid w:val="008852A8"/>
    <w:rsid w:val="0088544F"/>
    <w:rsid w:val="00885706"/>
    <w:rsid w:val="00885755"/>
    <w:rsid w:val="008858BD"/>
    <w:rsid w:val="0088597E"/>
    <w:rsid w:val="00886C35"/>
    <w:rsid w:val="00886C78"/>
    <w:rsid w:val="008872E6"/>
    <w:rsid w:val="008879EA"/>
    <w:rsid w:val="00887EFB"/>
    <w:rsid w:val="00890090"/>
    <w:rsid w:val="00890906"/>
    <w:rsid w:val="00890979"/>
    <w:rsid w:val="00890A60"/>
    <w:rsid w:val="00890EB2"/>
    <w:rsid w:val="008910D0"/>
    <w:rsid w:val="008911EA"/>
    <w:rsid w:val="0089131C"/>
    <w:rsid w:val="00891356"/>
    <w:rsid w:val="00891E3E"/>
    <w:rsid w:val="008922CF"/>
    <w:rsid w:val="00892318"/>
    <w:rsid w:val="00892515"/>
    <w:rsid w:val="00892C68"/>
    <w:rsid w:val="00892F71"/>
    <w:rsid w:val="00893252"/>
    <w:rsid w:val="008939B9"/>
    <w:rsid w:val="00893B48"/>
    <w:rsid w:val="00893CA4"/>
    <w:rsid w:val="00893DE1"/>
    <w:rsid w:val="00893E25"/>
    <w:rsid w:val="00894756"/>
    <w:rsid w:val="00894B14"/>
    <w:rsid w:val="00894BF6"/>
    <w:rsid w:val="00894DFA"/>
    <w:rsid w:val="00894EDC"/>
    <w:rsid w:val="0089564F"/>
    <w:rsid w:val="00895923"/>
    <w:rsid w:val="00895EBC"/>
    <w:rsid w:val="00896A08"/>
    <w:rsid w:val="008970C1"/>
    <w:rsid w:val="0089711D"/>
    <w:rsid w:val="00897122"/>
    <w:rsid w:val="008973E5"/>
    <w:rsid w:val="00897D57"/>
    <w:rsid w:val="00897D90"/>
    <w:rsid w:val="00897E6B"/>
    <w:rsid w:val="008A01BF"/>
    <w:rsid w:val="008A032E"/>
    <w:rsid w:val="008A040E"/>
    <w:rsid w:val="008A048A"/>
    <w:rsid w:val="008A060A"/>
    <w:rsid w:val="008A076A"/>
    <w:rsid w:val="008A0B6D"/>
    <w:rsid w:val="008A1173"/>
    <w:rsid w:val="008A151E"/>
    <w:rsid w:val="008A1B10"/>
    <w:rsid w:val="008A1B4C"/>
    <w:rsid w:val="008A1D63"/>
    <w:rsid w:val="008A1EDB"/>
    <w:rsid w:val="008A1EE0"/>
    <w:rsid w:val="008A2080"/>
    <w:rsid w:val="008A228C"/>
    <w:rsid w:val="008A2396"/>
    <w:rsid w:val="008A273B"/>
    <w:rsid w:val="008A278D"/>
    <w:rsid w:val="008A27AC"/>
    <w:rsid w:val="008A2871"/>
    <w:rsid w:val="008A2AF1"/>
    <w:rsid w:val="008A2BCE"/>
    <w:rsid w:val="008A34E5"/>
    <w:rsid w:val="008A36D8"/>
    <w:rsid w:val="008A37FE"/>
    <w:rsid w:val="008A3A23"/>
    <w:rsid w:val="008A3A4F"/>
    <w:rsid w:val="008A3B4E"/>
    <w:rsid w:val="008A3BC3"/>
    <w:rsid w:val="008A3E89"/>
    <w:rsid w:val="008A3F4E"/>
    <w:rsid w:val="008A40A8"/>
    <w:rsid w:val="008A4696"/>
    <w:rsid w:val="008A4B14"/>
    <w:rsid w:val="008A4C62"/>
    <w:rsid w:val="008A4CC5"/>
    <w:rsid w:val="008A5188"/>
    <w:rsid w:val="008A5258"/>
    <w:rsid w:val="008A55AF"/>
    <w:rsid w:val="008A58A7"/>
    <w:rsid w:val="008A5FEB"/>
    <w:rsid w:val="008A6A42"/>
    <w:rsid w:val="008A6A8C"/>
    <w:rsid w:val="008A6D87"/>
    <w:rsid w:val="008A6E80"/>
    <w:rsid w:val="008A7036"/>
    <w:rsid w:val="008A7202"/>
    <w:rsid w:val="008A74CB"/>
    <w:rsid w:val="008A76C4"/>
    <w:rsid w:val="008A77AD"/>
    <w:rsid w:val="008A7D68"/>
    <w:rsid w:val="008A7ED0"/>
    <w:rsid w:val="008B004A"/>
    <w:rsid w:val="008B017A"/>
    <w:rsid w:val="008B0482"/>
    <w:rsid w:val="008B0C4A"/>
    <w:rsid w:val="008B10FF"/>
    <w:rsid w:val="008B1298"/>
    <w:rsid w:val="008B12B7"/>
    <w:rsid w:val="008B1883"/>
    <w:rsid w:val="008B211E"/>
    <w:rsid w:val="008B28F6"/>
    <w:rsid w:val="008B2ED0"/>
    <w:rsid w:val="008B2FEF"/>
    <w:rsid w:val="008B3012"/>
    <w:rsid w:val="008B31E0"/>
    <w:rsid w:val="008B3705"/>
    <w:rsid w:val="008B3D3E"/>
    <w:rsid w:val="008B3DD5"/>
    <w:rsid w:val="008B3E46"/>
    <w:rsid w:val="008B42F5"/>
    <w:rsid w:val="008B45C9"/>
    <w:rsid w:val="008B4936"/>
    <w:rsid w:val="008B49AE"/>
    <w:rsid w:val="008B4D87"/>
    <w:rsid w:val="008B5166"/>
    <w:rsid w:val="008B521A"/>
    <w:rsid w:val="008B5E73"/>
    <w:rsid w:val="008B5F73"/>
    <w:rsid w:val="008B6657"/>
    <w:rsid w:val="008B690F"/>
    <w:rsid w:val="008B6AB2"/>
    <w:rsid w:val="008B70CE"/>
    <w:rsid w:val="008B70E8"/>
    <w:rsid w:val="008B74A1"/>
    <w:rsid w:val="008B7829"/>
    <w:rsid w:val="008B7939"/>
    <w:rsid w:val="008B7B83"/>
    <w:rsid w:val="008C0400"/>
    <w:rsid w:val="008C09EB"/>
    <w:rsid w:val="008C0A25"/>
    <w:rsid w:val="008C0A43"/>
    <w:rsid w:val="008C0DBA"/>
    <w:rsid w:val="008C0EBC"/>
    <w:rsid w:val="008C14EC"/>
    <w:rsid w:val="008C18EA"/>
    <w:rsid w:val="008C1969"/>
    <w:rsid w:val="008C1AC4"/>
    <w:rsid w:val="008C1C54"/>
    <w:rsid w:val="008C1CAC"/>
    <w:rsid w:val="008C1FCC"/>
    <w:rsid w:val="008C1FE5"/>
    <w:rsid w:val="008C20EE"/>
    <w:rsid w:val="008C2573"/>
    <w:rsid w:val="008C2993"/>
    <w:rsid w:val="008C2A5D"/>
    <w:rsid w:val="008C2BF6"/>
    <w:rsid w:val="008C2E3A"/>
    <w:rsid w:val="008C2FC6"/>
    <w:rsid w:val="008C2FDD"/>
    <w:rsid w:val="008C370F"/>
    <w:rsid w:val="008C3901"/>
    <w:rsid w:val="008C3918"/>
    <w:rsid w:val="008C3947"/>
    <w:rsid w:val="008C3C63"/>
    <w:rsid w:val="008C4399"/>
    <w:rsid w:val="008C44C8"/>
    <w:rsid w:val="008C4750"/>
    <w:rsid w:val="008C47AC"/>
    <w:rsid w:val="008C482F"/>
    <w:rsid w:val="008C4996"/>
    <w:rsid w:val="008C52E3"/>
    <w:rsid w:val="008C539E"/>
    <w:rsid w:val="008C53E9"/>
    <w:rsid w:val="008C5553"/>
    <w:rsid w:val="008C5556"/>
    <w:rsid w:val="008C564E"/>
    <w:rsid w:val="008C5DDA"/>
    <w:rsid w:val="008C6046"/>
    <w:rsid w:val="008C6259"/>
    <w:rsid w:val="008C69EF"/>
    <w:rsid w:val="008C70FF"/>
    <w:rsid w:val="008C7E90"/>
    <w:rsid w:val="008C7FF4"/>
    <w:rsid w:val="008D0124"/>
    <w:rsid w:val="008D01B2"/>
    <w:rsid w:val="008D04C0"/>
    <w:rsid w:val="008D06E1"/>
    <w:rsid w:val="008D12A7"/>
    <w:rsid w:val="008D12B4"/>
    <w:rsid w:val="008D143C"/>
    <w:rsid w:val="008D1628"/>
    <w:rsid w:val="008D1908"/>
    <w:rsid w:val="008D1C27"/>
    <w:rsid w:val="008D241B"/>
    <w:rsid w:val="008D26D9"/>
    <w:rsid w:val="008D27F4"/>
    <w:rsid w:val="008D289E"/>
    <w:rsid w:val="008D2A98"/>
    <w:rsid w:val="008D2B12"/>
    <w:rsid w:val="008D30BF"/>
    <w:rsid w:val="008D315F"/>
    <w:rsid w:val="008D3247"/>
    <w:rsid w:val="008D33A7"/>
    <w:rsid w:val="008D34A3"/>
    <w:rsid w:val="008D36AF"/>
    <w:rsid w:val="008D3938"/>
    <w:rsid w:val="008D399E"/>
    <w:rsid w:val="008D3A42"/>
    <w:rsid w:val="008D3EAB"/>
    <w:rsid w:val="008D3EEA"/>
    <w:rsid w:val="008D3EF4"/>
    <w:rsid w:val="008D41F0"/>
    <w:rsid w:val="008D4200"/>
    <w:rsid w:val="008D46B0"/>
    <w:rsid w:val="008D4EF9"/>
    <w:rsid w:val="008D5244"/>
    <w:rsid w:val="008D5560"/>
    <w:rsid w:val="008D5574"/>
    <w:rsid w:val="008D55A8"/>
    <w:rsid w:val="008D599E"/>
    <w:rsid w:val="008D5BBD"/>
    <w:rsid w:val="008D5D33"/>
    <w:rsid w:val="008D5DC7"/>
    <w:rsid w:val="008D66E2"/>
    <w:rsid w:val="008D71E3"/>
    <w:rsid w:val="008D738E"/>
    <w:rsid w:val="008D7991"/>
    <w:rsid w:val="008D7F96"/>
    <w:rsid w:val="008E0082"/>
    <w:rsid w:val="008E03A7"/>
    <w:rsid w:val="008E0633"/>
    <w:rsid w:val="008E07BA"/>
    <w:rsid w:val="008E1076"/>
    <w:rsid w:val="008E171C"/>
    <w:rsid w:val="008E1A31"/>
    <w:rsid w:val="008E1C1F"/>
    <w:rsid w:val="008E1E22"/>
    <w:rsid w:val="008E1FD9"/>
    <w:rsid w:val="008E2191"/>
    <w:rsid w:val="008E2718"/>
    <w:rsid w:val="008E2E41"/>
    <w:rsid w:val="008E3284"/>
    <w:rsid w:val="008E359D"/>
    <w:rsid w:val="008E365F"/>
    <w:rsid w:val="008E36BC"/>
    <w:rsid w:val="008E3721"/>
    <w:rsid w:val="008E3797"/>
    <w:rsid w:val="008E412E"/>
    <w:rsid w:val="008E4193"/>
    <w:rsid w:val="008E4271"/>
    <w:rsid w:val="008E4339"/>
    <w:rsid w:val="008E47D5"/>
    <w:rsid w:val="008E4969"/>
    <w:rsid w:val="008E4C3B"/>
    <w:rsid w:val="008E50EB"/>
    <w:rsid w:val="008E520F"/>
    <w:rsid w:val="008E53AB"/>
    <w:rsid w:val="008E55ED"/>
    <w:rsid w:val="008E58FB"/>
    <w:rsid w:val="008E5CF1"/>
    <w:rsid w:val="008E5D98"/>
    <w:rsid w:val="008E5F5A"/>
    <w:rsid w:val="008E6076"/>
    <w:rsid w:val="008E6164"/>
    <w:rsid w:val="008E637E"/>
    <w:rsid w:val="008E65A4"/>
    <w:rsid w:val="008E664A"/>
    <w:rsid w:val="008E687F"/>
    <w:rsid w:val="008E68B9"/>
    <w:rsid w:val="008E6B44"/>
    <w:rsid w:val="008E6B4F"/>
    <w:rsid w:val="008E6BFE"/>
    <w:rsid w:val="008E6C0A"/>
    <w:rsid w:val="008E6EB6"/>
    <w:rsid w:val="008E70D8"/>
    <w:rsid w:val="008E716E"/>
    <w:rsid w:val="008E77CC"/>
    <w:rsid w:val="008E7A4E"/>
    <w:rsid w:val="008F0140"/>
    <w:rsid w:val="008F03AB"/>
    <w:rsid w:val="008F094B"/>
    <w:rsid w:val="008F0988"/>
    <w:rsid w:val="008F09C4"/>
    <w:rsid w:val="008F0AE3"/>
    <w:rsid w:val="008F1259"/>
    <w:rsid w:val="008F1269"/>
    <w:rsid w:val="008F19AB"/>
    <w:rsid w:val="008F1AC1"/>
    <w:rsid w:val="008F1F3E"/>
    <w:rsid w:val="008F2103"/>
    <w:rsid w:val="008F2213"/>
    <w:rsid w:val="008F231E"/>
    <w:rsid w:val="008F25E2"/>
    <w:rsid w:val="008F2788"/>
    <w:rsid w:val="008F27A4"/>
    <w:rsid w:val="008F28A1"/>
    <w:rsid w:val="008F2A27"/>
    <w:rsid w:val="008F2D20"/>
    <w:rsid w:val="008F2E1A"/>
    <w:rsid w:val="008F3153"/>
    <w:rsid w:val="008F3482"/>
    <w:rsid w:val="008F37FE"/>
    <w:rsid w:val="008F3A88"/>
    <w:rsid w:val="008F3E49"/>
    <w:rsid w:val="008F3FBF"/>
    <w:rsid w:val="008F41B1"/>
    <w:rsid w:val="008F42E7"/>
    <w:rsid w:val="008F447B"/>
    <w:rsid w:val="008F44D3"/>
    <w:rsid w:val="008F4700"/>
    <w:rsid w:val="008F48C6"/>
    <w:rsid w:val="008F4951"/>
    <w:rsid w:val="008F498C"/>
    <w:rsid w:val="008F4C1F"/>
    <w:rsid w:val="008F4F56"/>
    <w:rsid w:val="008F502A"/>
    <w:rsid w:val="008F5157"/>
    <w:rsid w:val="008F53D2"/>
    <w:rsid w:val="008F53E2"/>
    <w:rsid w:val="008F551A"/>
    <w:rsid w:val="008F57E1"/>
    <w:rsid w:val="008F5AC7"/>
    <w:rsid w:val="008F5B03"/>
    <w:rsid w:val="008F5D3A"/>
    <w:rsid w:val="008F5D9F"/>
    <w:rsid w:val="008F5E6B"/>
    <w:rsid w:val="008F5FDD"/>
    <w:rsid w:val="008F6008"/>
    <w:rsid w:val="008F6700"/>
    <w:rsid w:val="008F67BE"/>
    <w:rsid w:val="008F69CB"/>
    <w:rsid w:val="008F716B"/>
    <w:rsid w:val="008F768E"/>
    <w:rsid w:val="0090003E"/>
    <w:rsid w:val="009001B9"/>
    <w:rsid w:val="009002DB"/>
    <w:rsid w:val="009006DA"/>
    <w:rsid w:val="00901425"/>
    <w:rsid w:val="009015DA"/>
    <w:rsid w:val="00901638"/>
    <w:rsid w:val="009018E7"/>
    <w:rsid w:val="00901EF3"/>
    <w:rsid w:val="00901FA8"/>
    <w:rsid w:val="00902533"/>
    <w:rsid w:val="009025F3"/>
    <w:rsid w:val="009027FB"/>
    <w:rsid w:val="00902A0A"/>
    <w:rsid w:val="00902FC6"/>
    <w:rsid w:val="00903201"/>
    <w:rsid w:val="009034F5"/>
    <w:rsid w:val="009035C2"/>
    <w:rsid w:val="00903BA5"/>
    <w:rsid w:val="00903BB8"/>
    <w:rsid w:val="00903BD9"/>
    <w:rsid w:val="00903C9F"/>
    <w:rsid w:val="009043AC"/>
    <w:rsid w:val="009049D6"/>
    <w:rsid w:val="00904BAC"/>
    <w:rsid w:val="00904E29"/>
    <w:rsid w:val="009051FF"/>
    <w:rsid w:val="00905203"/>
    <w:rsid w:val="0090533A"/>
    <w:rsid w:val="00905429"/>
    <w:rsid w:val="0090565E"/>
    <w:rsid w:val="00905B91"/>
    <w:rsid w:val="00905CDC"/>
    <w:rsid w:val="009061E2"/>
    <w:rsid w:val="00906278"/>
    <w:rsid w:val="009062A5"/>
    <w:rsid w:val="0090641C"/>
    <w:rsid w:val="00906541"/>
    <w:rsid w:val="009070BD"/>
    <w:rsid w:val="00907C4F"/>
    <w:rsid w:val="00907C72"/>
    <w:rsid w:val="00907DDA"/>
    <w:rsid w:val="0091014D"/>
    <w:rsid w:val="00910662"/>
    <w:rsid w:val="00910698"/>
    <w:rsid w:val="00910D9B"/>
    <w:rsid w:val="00910DCD"/>
    <w:rsid w:val="00910E68"/>
    <w:rsid w:val="00910FB4"/>
    <w:rsid w:val="00910FD1"/>
    <w:rsid w:val="009114B6"/>
    <w:rsid w:val="00911883"/>
    <w:rsid w:val="0091194C"/>
    <w:rsid w:val="00911C53"/>
    <w:rsid w:val="00911EE6"/>
    <w:rsid w:val="009122C4"/>
    <w:rsid w:val="00912486"/>
    <w:rsid w:val="00912833"/>
    <w:rsid w:val="00912BD2"/>
    <w:rsid w:val="00912E88"/>
    <w:rsid w:val="00912F61"/>
    <w:rsid w:val="009133A9"/>
    <w:rsid w:val="00913965"/>
    <w:rsid w:val="00913A08"/>
    <w:rsid w:val="00913BA6"/>
    <w:rsid w:val="00913D6D"/>
    <w:rsid w:val="00913D73"/>
    <w:rsid w:val="00913DD5"/>
    <w:rsid w:val="00913FF1"/>
    <w:rsid w:val="00914552"/>
    <w:rsid w:val="00914626"/>
    <w:rsid w:val="00914D60"/>
    <w:rsid w:val="00915057"/>
    <w:rsid w:val="009153D0"/>
    <w:rsid w:val="00915468"/>
    <w:rsid w:val="00915D56"/>
    <w:rsid w:val="00916102"/>
    <w:rsid w:val="00916342"/>
    <w:rsid w:val="00916394"/>
    <w:rsid w:val="009164CA"/>
    <w:rsid w:val="00916776"/>
    <w:rsid w:val="009167C2"/>
    <w:rsid w:val="00916EFF"/>
    <w:rsid w:val="009170C6"/>
    <w:rsid w:val="0091720D"/>
    <w:rsid w:val="009172B5"/>
    <w:rsid w:val="0091730A"/>
    <w:rsid w:val="009175E1"/>
    <w:rsid w:val="00917880"/>
    <w:rsid w:val="00917D6C"/>
    <w:rsid w:val="009201D0"/>
    <w:rsid w:val="00920245"/>
    <w:rsid w:val="0092038C"/>
    <w:rsid w:val="00920E2D"/>
    <w:rsid w:val="00920FF4"/>
    <w:rsid w:val="0092104A"/>
    <w:rsid w:val="009219F8"/>
    <w:rsid w:val="0092202E"/>
    <w:rsid w:val="009223AF"/>
    <w:rsid w:val="009233C4"/>
    <w:rsid w:val="009235D3"/>
    <w:rsid w:val="00923784"/>
    <w:rsid w:val="00923F5C"/>
    <w:rsid w:val="0092410E"/>
    <w:rsid w:val="009241EA"/>
    <w:rsid w:val="009243C2"/>
    <w:rsid w:val="00924429"/>
    <w:rsid w:val="00924494"/>
    <w:rsid w:val="00924BEB"/>
    <w:rsid w:val="00924F60"/>
    <w:rsid w:val="00924F78"/>
    <w:rsid w:val="00925057"/>
    <w:rsid w:val="009250EB"/>
    <w:rsid w:val="009252A0"/>
    <w:rsid w:val="009253A9"/>
    <w:rsid w:val="00925C8D"/>
    <w:rsid w:val="00925FD0"/>
    <w:rsid w:val="009261D2"/>
    <w:rsid w:val="00926261"/>
    <w:rsid w:val="00926423"/>
    <w:rsid w:val="009269E0"/>
    <w:rsid w:val="009270ED"/>
    <w:rsid w:val="009271F4"/>
    <w:rsid w:val="009273B3"/>
    <w:rsid w:val="009274B5"/>
    <w:rsid w:val="00927828"/>
    <w:rsid w:val="0092788D"/>
    <w:rsid w:val="00927961"/>
    <w:rsid w:val="00927A7A"/>
    <w:rsid w:val="00927B78"/>
    <w:rsid w:val="0093000F"/>
    <w:rsid w:val="00930182"/>
    <w:rsid w:val="00930226"/>
    <w:rsid w:val="00930CD2"/>
    <w:rsid w:val="00930EF0"/>
    <w:rsid w:val="009322CA"/>
    <w:rsid w:val="009323B9"/>
    <w:rsid w:val="0093252C"/>
    <w:rsid w:val="00932751"/>
    <w:rsid w:val="0093292E"/>
    <w:rsid w:val="00933157"/>
    <w:rsid w:val="00933233"/>
    <w:rsid w:val="00933240"/>
    <w:rsid w:val="00933279"/>
    <w:rsid w:val="00933298"/>
    <w:rsid w:val="0093340F"/>
    <w:rsid w:val="009334A2"/>
    <w:rsid w:val="00933660"/>
    <w:rsid w:val="0093393F"/>
    <w:rsid w:val="00933A4C"/>
    <w:rsid w:val="00933B7E"/>
    <w:rsid w:val="00933D02"/>
    <w:rsid w:val="009342B0"/>
    <w:rsid w:val="009348ED"/>
    <w:rsid w:val="00934A57"/>
    <w:rsid w:val="00934AAC"/>
    <w:rsid w:val="00934D06"/>
    <w:rsid w:val="00934DEF"/>
    <w:rsid w:val="00934F2D"/>
    <w:rsid w:val="00934FB5"/>
    <w:rsid w:val="00934FE9"/>
    <w:rsid w:val="009355B4"/>
    <w:rsid w:val="009357BB"/>
    <w:rsid w:val="00935A19"/>
    <w:rsid w:val="00935A42"/>
    <w:rsid w:val="00935C85"/>
    <w:rsid w:val="00936084"/>
    <w:rsid w:val="009360AF"/>
    <w:rsid w:val="009362B0"/>
    <w:rsid w:val="00936338"/>
    <w:rsid w:val="00936737"/>
    <w:rsid w:val="009368AA"/>
    <w:rsid w:val="00936A54"/>
    <w:rsid w:val="00936D99"/>
    <w:rsid w:val="00936F6F"/>
    <w:rsid w:val="00936FB3"/>
    <w:rsid w:val="00937135"/>
    <w:rsid w:val="009372E3"/>
    <w:rsid w:val="00937878"/>
    <w:rsid w:val="00940040"/>
    <w:rsid w:val="00940186"/>
    <w:rsid w:val="00940593"/>
    <w:rsid w:val="0094090D"/>
    <w:rsid w:val="00940D81"/>
    <w:rsid w:val="00940F70"/>
    <w:rsid w:val="009416D3"/>
    <w:rsid w:val="009418D8"/>
    <w:rsid w:val="00941E54"/>
    <w:rsid w:val="00942091"/>
    <w:rsid w:val="0094238B"/>
    <w:rsid w:val="009424B9"/>
    <w:rsid w:val="009424D9"/>
    <w:rsid w:val="009424FA"/>
    <w:rsid w:val="00942521"/>
    <w:rsid w:val="009429FC"/>
    <w:rsid w:val="00942A18"/>
    <w:rsid w:val="00942A6C"/>
    <w:rsid w:val="00942AA0"/>
    <w:rsid w:val="00942E6C"/>
    <w:rsid w:val="00943923"/>
    <w:rsid w:val="00943987"/>
    <w:rsid w:val="00943A0F"/>
    <w:rsid w:val="00943B91"/>
    <w:rsid w:val="00943F51"/>
    <w:rsid w:val="00944060"/>
    <w:rsid w:val="0094466B"/>
    <w:rsid w:val="0094472F"/>
    <w:rsid w:val="00944CF8"/>
    <w:rsid w:val="00944EC7"/>
    <w:rsid w:val="009451D6"/>
    <w:rsid w:val="009451E7"/>
    <w:rsid w:val="009456F1"/>
    <w:rsid w:val="00946052"/>
    <w:rsid w:val="00946312"/>
    <w:rsid w:val="00946356"/>
    <w:rsid w:val="009465FC"/>
    <w:rsid w:val="00946623"/>
    <w:rsid w:val="00946836"/>
    <w:rsid w:val="00946BFF"/>
    <w:rsid w:val="00946DF8"/>
    <w:rsid w:val="009474C0"/>
    <w:rsid w:val="0094751F"/>
    <w:rsid w:val="00947985"/>
    <w:rsid w:val="00947B74"/>
    <w:rsid w:val="00950022"/>
    <w:rsid w:val="00950176"/>
    <w:rsid w:val="009501DA"/>
    <w:rsid w:val="00950242"/>
    <w:rsid w:val="00950305"/>
    <w:rsid w:val="00950355"/>
    <w:rsid w:val="0095059B"/>
    <w:rsid w:val="009507F9"/>
    <w:rsid w:val="00950A08"/>
    <w:rsid w:val="00951836"/>
    <w:rsid w:val="00951FC3"/>
    <w:rsid w:val="00952905"/>
    <w:rsid w:val="0095318F"/>
    <w:rsid w:val="00953378"/>
    <w:rsid w:val="0095358C"/>
    <w:rsid w:val="00953614"/>
    <w:rsid w:val="00953732"/>
    <w:rsid w:val="00953843"/>
    <w:rsid w:val="009538B8"/>
    <w:rsid w:val="00953A25"/>
    <w:rsid w:val="00953B18"/>
    <w:rsid w:val="00953C05"/>
    <w:rsid w:val="00953C56"/>
    <w:rsid w:val="00953F71"/>
    <w:rsid w:val="0095425E"/>
    <w:rsid w:val="009543BB"/>
    <w:rsid w:val="00954939"/>
    <w:rsid w:val="00954B71"/>
    <w:rsid w:val="00954B72"/>
    <w:rsid w:val="00954DEE"/>
    <w:rsid w:val="009557DE"/>
    <w:rsid w:val="00955824"/>
    <w:rsid w:val="00955AD5"/>
    <w:rsid w:val="00956301"/>
    <w:rsid w:val="00956351"/>
    <w:rsid w:val="00956393"/>
    <w:rsid w:val="00956565"/>
    <w:rsid w:val="0095661C"/>
    <w:rsid w:val="0095663E"/>
    <w:rsid w:val="009567AB"/>
    <w:rsid w:val="009575CC"/>
    <w:rsid w:val="00957BA6"/>
    <w:rsid w:val="00957CAF"/>
    <w:rsid w:val="009602B5"/>
    <w:rsid w:val="009607F4"/>
    <w:rsid w:val="00960833"/>
    <w:rsid w:val="0096093E"/>
    <w:rsid w:val="00960A29"/>
    <w:rsid w:val="00960BFD"/>
    <w:rsid w:val="00960D16"/>
    <w:rsid w:val="00961013"/>
    <w:rsid w:val="009610E2"/>
    <w:rsid w:val="0096114D"/>
    <w:rsid w:val="00961237"/>
    <w:rsid w:val="0096140E"/>
    <w:rsid w:val="009619D6"/>
    <w:rsid w:val="00961B80"/>
    <w:rsid w:val="00961BFA"/>
    <w:rsid w:val="00961C36"/>
    <w:rsid w:val="009623A0"/>
    <w:rsid w:val="00962800"/>
    <w:rsid w:val="00962993"/>
    <w:rsid w:val="00962A33"/>
    <w:rsid w:val="009632DF"/>
    <w:rsid w:val="00963F46"/>
    <w:rsid w:val="009640F0"/>
    <w:rsid w:val="00964211"/>
    <w:rsid w:val="00964744"/>
    <w:rsid w:val="00964901"/>
    <w:rsid w:val="00964A32"/>
    <w:rsid w:val="00964ADE"/>
    <w:rsid w:val="00964B3A"/>
    <w:rsid w:val="00964CCB"/>
    <w:rsid w:val="00964E0F"/>
    <w:rsid w:val="00964EA7"/>
    <w:rsid w:val="00964F12"/>
    <w:rsid w:val="00965201"/>
    <w:rsid w:val="0096552E"/>
    <w:rsid w:val="00965608"/>
    <w:rsid w:val="009657E4"/>
    <w:rsid w:val="00965979"/>
    <w:rsid w:val="0096670A"/>
    <w:rsid w:val="009667AF"/>
    <w:rsid w:val="0096693B"/>
    <w:rsid w:val="00966BF6"/>
    <w:rsid w:val="00966D2D"/>
    <w:rsid w:val="00966D84"/>
    <w:rsid w:val="009671B4"/>
    <w:rsid w:val="009673C2"/>
    <w:rsid w:val="00967460"/>
    <w:rsid w:val="00967D79"/>
    <w:rsid w:val="00967F70"/>
    <w:rsid w:val="00970156"/>
    <w:rsid w:val="00970B85"/>
    <w:rsid w:val="009714B3"/>
    <w:rsid w:val="0097167B"/>
    <w:rsid w:val="00971758"/>
    <w:rsid w:val="00971CAD"/>
    <w:rsid w:val="00971D9C"/>
    <w:rsid w:val="0097222B"/>
    <w:rsid w:val="009725EE"/>
    <w:rsid w:val="00972631"/>
    <w:rsid w:val="00972C15"/>
    <w:rsid w:val="0097315D"/>
    <w:rsid w:val="00973657"/>
    <w:rsid w:val="009736D5"/>
    <w:rsid w:val="00973859"/>
    <w:rsid w:val="00973AA9"/>
    <w:rsid w:val="00973BFB"/>
    <w:rsid w:val="0097429F"/>
    <w:rsid w:val="0097441B"/>
    <w:rsid w:val="009748BA"/>
    <w:rsid w:val="00974B32"/>
    <w:rsid w:val="00974D80"/>
    <w:rsid w:val="00974F73"/>
    <w:rsid w:val="00975283"/>
    <w:rsid w:val="00975659"/>
    <w:rsid w:val="00975840"/>
    <w:rsid w:val="009763E4"/>
    <w:rsid w:val="009766CC"/>
    <w:rsid w:val="009772C2"/>
    <w:rsid w:val="00977519"/>
    <w:rsid w:val="00977BC7"/>
    <w:rsid w:val="00977C68"/>
    <w:rsid w:val="0098002C"/>
    <w:rsid w:val="00980327"/>
    <w:rsid w:val="00980670"/>
    <w:rsid w:val="00980A73"/>
    <w:rsid w:val="00980E31"/>
    <w:rsid w:val="00981188"/>
    <w:rsid w:val="0098118D"/>
    <w:rsid w:val="00981C55"/>
    <w:rsid w:val="00981E47"/>
    <w:rsid w:val="00982428"/>
    <w:rsid w:val="009825B0"/>
    <w:rsid w:val="0098260A"/>
    <w:rsid w:val="00982A62"/>
    <w:rsid w:val="00982E53"/>
    <w:rsid w:val="0098334C"/>
    <w:rsid w:val="00983423"/>
    <w:rsid w:val="00983E97"/>
    <w:rsid w:val="00983F5F"/>
    <w:rsid w:val="0098405F"/>
    <w:rsid w:val="00984104"/>
    <w:rsid w:val="00984448"/>
    <w:rsid w:val="009844A0"/>
    <w:rsid w:val="00984AC2"/>
    <w:rsid w:val="00984DDD"/>
    <w:rsid w:val="009851AD"/>
    <w:rsid w:val="00985240"/>
    <w:rsid w:val="009853F8"/>
    <w:rsid w:val="00985644"/>
    <w:rsid w:val="00985742"/>
    <w:rsid w:val="00985841"/>
    <w:rsid w:val="00985A20"/>
    <w:rsid w:val="00985CE3"/>
    <w:rsid w:val="00985E4A"/>
    <w:rsid w:val="00986019"/>
    <w:rsid w:val="0098642B"/>
    <w:rsid w:val="00986626"/>
    <w:rsid w:val="00986952"/>
    <w:rsid w:val="00986969"/>
    <w:rsid w:val="00986A79"/>
    <w:rsid w:val="0098748B"/>
    <w:rsid w:val="0098773E"/>
    <w:rsid w:val="0098783C"/>
    <w:rsid w:val="00987F4F"/>
    <w:rsid w:val="009906EB"/>
    <w:rsid w:val="0099075E"/>
    <w:rsid w:val="009909FC"/>
    <w:rsid w:val="00990CEF"/>
    <w:rsid w:val="00990F2F"/>
    <w:rsid w:val="009910DB"/>
    <w:rsid w:val="009912BC"/>
    <w:rsid w:val="00991643"/>
    <w:rsid w:val="00991A27"/>
    <w:rsid w:val="00991AD3"/>
    <w:rsid w:val="00991FAB"/>
    <w:rsid w:val="009923AF"/>
    <w:rsid w:val="00992687"/>
    <w:rsid w:val="009929DB"/>
    <w:rsid w:val="00992B90"/>
    <w:rsid w:val="00992BE8"/>
    <w:rsid w:val="00992E79"/>
    <w:rsid w:val="00993028"/>
    <w:rsid w:val="00993048"/>
    <w:rsid w:val="00993087"/>
    <w:rsid w:val="009930C8"/>
    <w:rsid w:val="0099319F"/>
    <w:rsid w:val="00993549"/>
    <w:rsid w:val="00993614"/>
    <w:rsid w:val="00993662"/>
    <w:rsid w:val="009937AA"/>
    <w:rsid w:val="009939CA"/>
    <w:rsid w:val="00993ACE"/>
    <w:rsid w:val="00993BEF"/>
    <w:rsid w:val="0099416F"/>
    <w:rsid w:val="0099420F"/>
    <w:rsid w:val="00994B35"/>
    <w:rsid w:val="00994D7B"/>
    <w:rsid w:val="00994FEF"/>
    <w:rsid w:val="00995245"/>
    <w:rsid w:val="0099539B"/>
    <w:rsid w:val="009953AA"/>
    <w:rsid w:val="00995404"/>
    <w:rsid w:val="00995BBA"/>
    <w:rsid w:val="00995BC6"/>
    <w:rsid w:val="00995C09"/>
    <w:rsid w:val="00995D35"/>
    <w:rsid w:val="00995E1F"/>
    <w:rsid w:val="0099614C"/>
    <w:rsid w:val="0099636D"/>
    <w:rsid w:val="00996416"/>
    <w:rsid w:val="00996616"/>
    <w:rsid w:val="009966C3"/>
    <w:rsid w:val="00996B63"/>
    <w:rsid w:val="00996BCA"/>
    <w:rsid w:val="00996E6F"/>
    <w:rsid w:val="00996E8A"/>
    <w:rsid w:val="009970BF"/>
    <w:rsid w:val="009970C8"/>
    <w:rsid w:val="00997320"/>
    <w:rsid w:val="0099734D"/>
    <w:rsid w:val="009976B9"/>
    <w:rsid w:val="00997802"/>
    <w:rsid w:val="00997A66"/>
    <w:rsid w:val="00997C44"/>
    <w:rsid w:val="00997C99"/>
    <w:rsid w:val="00997DD1"/>
    <w:rsid w:val="009A02AC"/>
    <w:rsid w:val="009A0407"/>
    <w:rsid w:val="009A0AE5"/>
    <w:rsid w:val="009A0DCD"/>
    <w:rsid w:val="009A1062"/>
    <w:rsid w:val="009A1100"/>
    <w:rsid w:val="009A1202"/>
    <w:rsid w:val="009A1AEB"/>
    <w:rsid w:val="009A2053"/>
    <w:rsid w:val="009A21AB"/>
    <w:rsid w:val="009A226B"/>
    <w:rsid w:val="009A26F8"/>
    <w:rsid w:val="009A2815"/>
    <w:rsid w:val="009A2E84"/>
    <w:rsid w:val="009A343E"/>
    <w:rsid w:val="009A387F"/>
    <w:rsid w:val="009A3DAF"/>
    <w:rsid w:val="009A4231"/>
    <w:rsid w:val="009A51EA"/>
    <w:rsid w:val="009A52A4"/>
    <w:rsid w:val="009A5860"/>
    <w:rsid w:val="009A5CDB"/>
    <w:rsid w:val="009A5F92"/>
    <w:rsid w:val="009A61AC"/>
    <w:rsid w:val="009A646B"/>
    <w:rsid w:val="009A64E5"/>
    <w:rsid w:val="009A666D"/>
    <w:rsid w:val="009A6726"/>
    <w:rsid w:val="009A6742"/>
    <w:rsid w:val="009A6B19"/>
    <w:rsid w:val="009A70BE"/>
    <w:rsid w:val="009A7430"/>
    <w:rsid w:val="009A77A7"/>
    <w:rsid w:val="009A7971"/>
    <w:rsid w:val="009B0943"/>
    <w:rsid w:val="009B0E10"/>
    <w:rsid w:val="009B13BD"/>
    <w:rsid w:val="009B159C"/>
    <w:rsid w:val="009B1761"/>
    <w:rsid w:val="009B18BE"/>
    <w:rsid w:val="009B18D4"/>
    <w:rsid w:val="009B1900"/>
    <w:rsid w:val="009B19B2"/>
    <w:rsid w:val="009B1B14"/>
    <w:rsid w:val="009B1FCF"/>
    <w:rsid w:val="009B2041"/>
    <w:rsid w:val="009B2297"/>
    <w:rsid w:val="009B2422"/>
    <w:rsid w:val="009B2B7E"/>
    <w:rsid w:val="009B2ED1"/>
    <w:rsid w:val="009B2EFD"/>
    <w:rsid w:val="009B32A5"/>
    <w:rsid w:val="009B338A"/>
    <w:rsid w:val="009B35A8"/>
    <w:rsid w:val="009B3676"/>
    <w:rsid w:val="009B3B5E"/>
    <w:rsid w:val="009B41C4"/>
    <w:rsid w:val="009B4282"/>
    <w:rsid w:val="009B432A"/>
    <w:rsid w:val="009B434F"/>
    <w:rsid w:val="009B43C5"/>
    <w:rsid w:val="009B4411"/>
    <w:rsid w:val="009B44CF"/>
    <w:rsid w:val="009B4681"/>
    <w:rsid w:val="009B4DF7"/>
    <w:rsid w:val="009B4F13"/>
    <w:rsid w:val="009B5199"/>
    <w:rsid w:val="009B51FA"/>
    <w:rsid w:val="009B542B"/>
    <w:rsid w:val="009B54CC"/>
    <w:rsid w:val="009B5784"/>
    <w:rsid w:val="009B6408"/>
    <w:rsid w:val="009B6526"/>
    <w:rsid w:val="009B6697"/>
    <w:rsid w:val="009B6A17"/>
    <w:rsid w:val="009B6D10"/>
    <w:rsid w:val="009B705F"/>
    <w:rsid w:val="009B7492"/>
    <w:rsid w:val="009B7CD3"/>
    <w:rsid w:val="009B7F1B"/>
    <w:rsid w:val="009C066F"/>
    <w:rsid w:val="009C072A"/>
    <w:rsid w:val="009C0767"/>
    <w:rsid w:val="009C079F"/>
    <w:rsid w:val="009C080F"/>
    <w:rsid w:val="009C0ACA"/>
    <w:rsid w:val="009C0B8B"/>
    <w:rsid w:val="009C0E46"/>
    <w:rsid w:val="009C0F62"/>
    <w:rsid w:val="009C11B5"/>
    <w:rsid w:val="009C1524"/>
    <w:rsid w:val="009C15A7"/>
    <w:rsid w:val="009C1899"/>
    <w:rsid w:val="009C1E83"/>
    <w:rsid w:val="009C1FFE"/>
    <w:rsid w:val="009C225D"/>
    <w:rsid w:val="009C2466"/>
    <w:rsid w:val="009C250D"/>
    <w:rsid w:val="009C26FE"/>
    <w:rsid w:val="009C2C89"/>
    <w:rsid w:val="009C2D24"/>
    <w:rsid w:val="009C38E0"/>
    <w:rsid w:val="009C3B5C"/>
    <w:rsid w:val="009C3C79"/>
    <w:rsid w:val="009C3D2E"/>
    <w:rsid w:val="009C3ECC"/>
    <w:rsid w:val="009C3FFF"/>
    <w:rsid w:val="009C4244"/>
    <w:rsid w:val="009C462A"/>
    <w:rsid w:val="009C4659"/>
    <w:rsid w:val="009C485A"/>
    <w:rsid w:val="009C4C18"/>
    <w:rsid w:val="009C4C3D"/>
    <w:rsid w:val="009C5167"/>
    <w:rsid w:val="009C533D"/>
    <w:rsid w:val="009C5558"/>
    <w:rsid w:val="009C58D0"/>
    <w:rsid w:val="009C65FF"/>
    <w:rsid w:val="009C6EB4"/>
    <w:rsid w:val="009C7098"/>
    <w:rsid w:val="009C78E7"/>
    <w:rsid w:val="009C7919"/>
    <w:rsid w:val="009C79F2"/>
    <w:rsid w:val="009C7A47"/>
    <w:rsid w:val="009D03C0"/>
    <w:rsid w:val="009D05BA"/>
    <w:rsid w:val="009D06D8"/>
    <w:rsid w:val="009D0860"/>
    <w:rsid w:val="009D08D8"/>
    <w:rsid w:val="009D0926"/>
    <w:rsid w:val="009D1082"/>
    <w:rsid w:val="009D12FB"/>
    <w:rsid w:val="009D1551"/>
    <w:rsid w:val="009D1796"/>
    <w:rsid w:val="009D1C18"/>
    <w:rsid w:val="009D1EA7"/>
    <w:rsid w:val="009D1F52"/>
    <w:rsid w:val="009D29AC"/>
    <w:rsid w:val="009D2A52"/>
    <w:rsid w:val="009D2F90"/>
    <w:rsid w:val="009D30EC"/>
    <w:rsid w:val="009D3174"/>
    <w:rsid w:val="009D3343"/>
    <w:rsid w:val="009D3B82"/>
    <w:rsid w:val="009D3D31"/>
    <w:rsid w:val="009D3D9B"/>
    <w:rsid w:val="009D3FC9"/>
    <w:rsid w:val="009D41B1"/>
    <w:rsid w:val="009D46BC"/>
    <w:rsid w:val="009D4C0B"/>
    <w:rsid w:val="009D4CEC"/>
    <w:rsid w:val="009D4F70"/>
    <w:rsid w:val="009D50C2"/>
    <w:rsid w:val="009D56EE"/>
    <w:rsid w:val="009D5796"/>
    <w:rsid w:val="009D5B6D"/>
    <w:rsid w:val="009D5B8C"/>
    <w:rsid w:val="009D5EF7"/>
    <w:rsid w:val="009D649A"/>
    <w:rsid w:val="009D66EE"/>
    <w:rsid w:val="009D6D2D"/>
    <w:rsid w:val="009D6E2C"/>
    <w:rsid w:val="009D718D"/>
    <w:rsid w:val="009D78C6"/>
    <w:rsid w:val="009D7941"/>
    <w:rsid w:val="009D7A86"/>
    <w:rsid w:val="009D7AF8"/>
    <w:rsid w:val="009D7BCD"/>
    <w:rsid w:val="009E01D5"/>
    <w:rsid w:val="009E0520"/>
    <w:rsid w:val="009E063B"/>
    <w:rsid w:val="009E0F99"/>
    <w:rsid w:val="009E148D"/>
    <w:rsid w:val="009E15BF"/>
    <w:rsid w:val="009E162B"/>
    <w:rsid w:val="009E18E1"/>
    <w:rsid w:val="009E1CE5"/>
    <w:rsid w:val="009E1E74"/>
    <w:rsid w:val="009E2052"/>
    <w:rsid w:val="009E20BD"/>
    <w:rsid w:val="009E211E"/>
    <w:rsid w:val="009E2778"/>
    <w:rsid w:val="009E296F"/>
    <w:rsid w:val="009E2BE3"/>
    <w:rsid w:val="009E2F04"/>
    <w:rsid w:val="009E37E0"/>
    <w:rsid w:val="009E3B4A"/>
    <w:rsid w:val="009E3FEE"/>
    <w:rsid w:val="009E3FEF"/>
    <w:rsid w:val="009E4109"/>
    <w:rsid w:val="009E4253"/>
    <w:rsid w:val="009E448A"/>
    <w:rsid w:val="009E4924"/>
    <w:rsid w:val="009E494E"/>
    <w:rsid w:val="009E4A36"/>
    <w:rsid w:val="009E4AA2"/>
    <w:rsid w:val="009E4B5D"/>
    <w:rsid w:val="009E4D64"/>
    <w:rsid w:val="009E4E30"/>
    <w:rsid w:val="009E5379"/>
    <w:rsid w:val="009E5947"/>
    <w:rsid w:val="009E59CF"/>
    <w:rsid w:val="009E5BC8"/>
    <w:rsid w:val="009E6031"/>
    <w:rsid w:val="009E6165"/>
    <w:rsid w:val="009E63B7"/>
    <w:rsid w:val="009E65C0"/>
    <w:rsid w:val="009E66FC"/>
    <w:rsid w:val="009E6700"/>
    <w:rsid w:val="009E6875"/>
    <w:rsid w:val="009E6AD7"/>
    <w:rsid w:val="009E6B96"/>
    <w:rsid w:val="009E6C86"/>
    <w:rsid w:val="009E6CC3"/>
    <w:rsid w:val="009E6DFB"/>
    <w:rsid w:val="009E6E7D"/>
    <w:rsid w:val="009E7045"/>
    <w:rsid w:val="009E70C4"/>
    <w:rsid w:val="009E70D7"/>
    <w:rsid w:val="009E72A1"/>
    <w:rsid w:val="009E7321"/>
    <w:rsid w:val="009E7763"/>
    <w:rsid w:val="009E7831"/>
    <w:rsid w:val="009E7969"/>
    <w:rsid w:val="009E7AF3"/>
    <w:rsid w:val="009E7C8D"/>
    <w:rsid w:val="009F0A1B"/>
    <w:rsid w:val="009F0A5B"/>
    <w:rsid w:val="009F0B62"/>
    <w:rsid w:val="009F1381"/>
    <w:rsid w:val="009F1853"/>
    <w:rsid w:val="009F2135"/>
    <w:rsid w:val="009F26C9"/>
    <w:rsid w:val="009F2871"/>
    <w:rsid w:val="009F2A8C"/>
    <w:rsid w:val="009F2AD6"/>
    <w:rsid w:val="009F2CFA"/>
    <w:rsid w:val="009F2D3C"/>
    <w:rsid w:val="009F3501"/>
    <w:rsid w:val="009F3709"/>
    <w:rsid w:val="009F3828"/>
    <w:rsid w:val="009F383B"/>
    <w:rsid w:val="009F3863"/>
    <w:rsid w:val="009F38FA"/>
    <w:rsid w:val="009F4386"/>
    <w:rsid w:val="009F43E2"/>
    <w:rsid w:val="009F4490"/>
    <w:rsid w:val="009F46D5"/>
    <w:rsid w:val="009F4C8E"/>
    <w:rsid w:val="009F4D99"/>
    <w:rsid w:val="009F4E55"/>
    <w:rsid w:val="009F4FB5"/>
    <w:rsid w:val="009F5502"/>
    <w:rsid w:val="009F5889"/>
    <w:rsid w:val="009F6038"/>
    <w:rsid w:val="009F60C4"/>
    <w:rsid w:val="009F60D6"/>
    <w:rsid w:val="009F617C"/>
    <w:rsid w:val="009F62ED"/>
    <w:rsid w:val="009F66FA"/>
    <w:rsid w:val="009F68E0"/>
    <w:rsid w:val="009F6A78"/>
    <w:rsid w:val="009F6FEB"/>
    <w:rsid w:val="009F725F"/>
    <w:rsid w:val="009F7476"/>
    <w:rsid w:val="009F7650"/>
    <w:rsid w:val="009F79E8"/>
    <w:rsid w:val="009F7A5A"/>
    <w:rsid w:val="009F7B74"/>
    <w:rsid w:val="009F7D96"/>
    <w:rsid w:val="009F7F89"/>
    <w:rsid w:val="00A00078"/>
    <w:rsid w:val="00A008DE"/>
    <w:rsid w:val="00A009BD"/>
    <w:rsid w:val="00A00BB1"/>
    <w:rsid w:val="00A00CBF"/>
    <w:rsid w:val="00A00FD2"/>
    <w:rsid w:val="00A017F4"/>
    <w:rsid w:val="00A01AD9"/>
    <w:rsid w:val="00A01B90"/>
    <w:rsid w:val="00A01C7D"/>
    <w:rsid w:val="00A01D77"/>
    <w:rsid w:val="00A01DCF"/>
    <w:rsid w:val="00A0208C"/>
    <w:rsid w:val="00A023FE"/>
    <w:rsid w:val="00A024BC"/>
    <w:rsid w:val="00A024C9"/>
    <w:rsid w:val="00A02640"/>
    <w:rsid w:val="00A02E12"/>
    <w:rsid w:val="00A02EF8"/>
    <w:rsid w:val="00A03278"/>
    <w:rsid w:val="00A0345F"/>
    <w:rsid w:val="00A03606"/>
    <w:rsid w:val="00A03749"/>
    <w:rsid w:val="00A039B7"/>
    <w:rsid w:val="00A039E8"/>
    <w:rsid w:val="00A03BCF"/>
    <w:rsid w:val="00A03CA4"/>
    <w:rsid w:val="00A03CF4"/>
    <w:rsid w:val="00A03D2C"/>
    <w:rsid w:val="00A043EE"/>
    <w:rsid w:val="00A04467"/>
    <w:rsid w:val="00A045E2"/>
    <w:rsid w:val="00A047E1"/>
    <w:rsid w:val="00A04866"/>
    <w:rsid w:val="00A04A02"/>
    <w:rsid w:val="00A04B82"/>
    <w:rsid w:val="00A053E1"/>
    <w:rsid w:val="00A05E2E"/>
    <w:rsid w:val="00A05E62"/>
    <w:rsid w:val="00A05F0E"/>
    <w:rsid w:val="00A062B7"/>
    <w:rsid w:val="00A06625"/>
    <w:rsid w:val="00A066D4"/>
    <w:rsid w:val="00A067CF"/>
    <w:rsid w:val="00A0690C"/>
    <w:rsid w:val="00A06939"/>
    <w:rsid w:val="00A06B5F"/>
    <w:rsid w:val="00A06B88"/>
    <w:rsid w:val="00A06B8A"/>
    <w:rsid w:val="00A06C0F"/>
    <w:rsid w:val="00A06F5D"/>
    <w:rsid w:val="00A07021"/>
    <w:rsid w:val="00A0723D"/>
    <w:rsid w:val="00A07272"/>
    <w:rsid w:val="00A07701"/>
    <w:rsid w:val="00A07962"/>
    <w:rsid w:val="00A07AEF"/>
    <w:rsid w:val="00A1027D"/>
    <w:rsid w:val="00A10390"/>
    <w:rsid w:val="00A105EE"/>
    <w:rsid w:val="00A10BA5"/>
    <w:rsid w:val="00A1142C"/>
    <w:rsid w:val="00A117AC"/>
    <w:rsid w:val="00A11D8A"/>
    <w:rsid w:val="00A120FA"/>
    <w:rsid w:val="00A122D8"/>
    <w:rsid w:val="00A123B0"/>
    <w:rsid w:val="00A1274F"/>
    <w:rsid w:val="00A129C1"/>
    <w:rsid w:val="00A130CD"/>
    <w:rsid w:val="00A133CE"/>
    <w:rsid w:val="00A13FA2"/>
    <w:rsid w:val="00A14149"/>
    <w:rsid w:val="00A14641"/>
    <w:rsid w:val="00A1483F"/>
    <w:rsid w:val="00A1493B"/>
    <w:rsid w:val="00A14B8C"/>
    <w:rsid w:val="00A14D0C"/>
    <w:rsid w:val="00A14DAD"/>
    <w:rsid w:val="00A1508A"/>
    <w:rsid w:val="00A1589A"/>
    <w:rsid w:val="00A15C1F"/>
    <w:rsid w:val="00A165C0"/>
    <w:rsid w:val="00A1667A"/>
    <w:rsid w:val="00A17198"/>
    <w:rsid w:val="00A174B4"/>
    <w:rsid w:val="00A17829"/>
    <w:rsid w:val="00A1786D"/>
    <w:rsid w:val="00A17DF5"/>
    <w:rsid w:val="00A20154"/>
    <w:rsid w:val="00A202D3"/>
    <w:rsid w:val="00A20364"/>
    <w:rsid w:val="00A20460"/>
    <w:rsid w:val="00A2081B"/>
    <w:rsid w:val="00A20826"/>
    <w:rsid w:val="00A20CB0"/>
    <w:rsid w:val="00A2115E"/>
    <w:rsid w:val="00A21BED"/>
    <w:rsid w:val="00A21F2D"/>
    <w:rsid w:val="00A221A5"/>
    <w:rsid w:val="00A228F8"/>
    <w:rsid w:val="00A22955"/>
    <w:rsid w:val="00A22D93"/>
    <w:rsid w:val="00A22E04"/>
    <w:rsid w:val="00A23117"/>
    <w:rsid w:val="00A23888"/>
    <w:rsid w:val="00A23A78"/>
    <w:rsid w:val="00A23B8C"/>
    <w:rsid w:val="00A23F0A"/>
    <w:rsid w:val="00A23F34"/>
    <w:rsid w:val="00A23F80"/>
    <w:rsid w:val="00A24014"/>
    <w:rsid w:val="00A24171"/>
    <w:rsid w:val="00A245C7"/>
    <w:rsid w:val="00A24701"/>
    <w:rsid w:val="00A2474E"/>
    <w:rsid w:val="00A247D9"/>
    <w:rsid w:val="00A24BF4"/>
    <w:rsid w:val="00A2509D"/>
    <w:rsid w:val="00A2527B"/>
    <w:rsid w:val="00A254A9"/>
    <w:rsid w:val="00A254B2"/>
    <w:rsid w:val="00A25699"/>
    <w:rsid w:val="00A25765"/>
    <w:rsid w:val="00A25895"/>
    <w:rsid w:val="00A25F3F"/>
    <w:rsid w:val="00A26122"/>
    <w:rsid w:val="00A261C2"/>
    <w:rsid w:val="00A263D8"/>
    <w:rsid w:val="00A2728B"/>
    <w:rsid w:val="00A275A8"/>
    <w:rsid w:val="00A27724"/>
    <w:rsid w:val="00A27921"/>
    <w:rsid w:val="00A27DF4"/>
    <w:rsid w:val="00A30025"/>
    <w:rsid w:val="00A304B2"/>
    <w:rsid w:val="00A3068B"/>
    <w:rsid w:val="00A30A0D"/>
    <w:rsid w:val="00A30E00"/>
    <w:rsid w:val="00A31051"/>
    <w:rsid w:val="00A31081"/>
    <w:rsid w:val="00A310A8"/>
    <w:rsid w:val="00A32009"/>
    <w:rsid w:val="00A3213F"/>
    <w:rsid w:val="00A32390"/>
    <w:rsid w:val="00A32725"/>
    <w:rsid w:val="00A332E3"/>
    <w:rsid w:val="00A3374F"/>
    <w:rsid w:val="00A33AE3"/>
    <w:rsid w:val="00A33FD0"/>
    <w:rsid w:val="00A341FF"/>
    <w:rsid w:val="00A348AC"/>
    <w:rsid w:val="00A34C37"/>
    <w:rsid w:val="00A34E4A"/>
    <w:rsid w:val="00A34F37"/>
    <w:rsid w:val="00A3502F"/>
    <w:rsid w:val="00A3511D"/>
    <w:rsid w:val="00A3516B"/>
    <w:rsid w:val="00A35312"/>
    <w:rsid w:val="00A35618"/>
    <w:rsid w:val="00A35647"/>
    <w:rsid w:val="00A35824"/>
    <w:rsid w:val="00A35C67"/>
    <w:rsid w:val="00A35CCF"/>
    <w:rsid w:val="00A35ECD"/>
    <w:rsid w:val="00A36409"/>
    <w:rsid w:val="00A3668C"/>
    <w:rsid w:val="00A36857"/>
    <w:rsid w:val="00A369B7"/>
    <w:rsid w:val="00A36A30"/>
    <w:rsid w:val="00A36A7D"/>
    <w:rsid w:val="00A36C61"/>
    <w:rsid w:val="00A36E4C"/>
    <w:rsid w:val="00A372C3"/>
    <w:rsid w:val="00A3755F"/>
    <w:rsid w:val="00A37713"/>
    <w:rsid w:val="00A37740"/>
    <w:rsid w:val="00A37AEF"/>
    <w:rsid w:val="00A37F1E"/>
    <w:rsid w:val="00A37F6F"/>
    <w:rsid w:val="00A4016C"/>
    <w:rsid w:val="00A4047F"/>
    <w:rsid w:val="00A40573"/>
    <w:rsid w:val="00A40CD3"/>
    <w:rsid w:val="00A40E9A"/>
    <w:rsid w:val="00A40FAB"/>
    <w:rsid w:val="00A410EA"/>
    <w:rsid w:val="00A4159E"/>
    <w:rsid w:val="00A41610"/>
    <w:rsid w:val="00A41628"/>
    <w:rsid w:val="00A416BB"/>
    <w:rsid w:val="00A417B8"/>
    <w:rsid w:val="00A41AFC"/>
    <w:rsid w:val="00A41F3F"/>
    <w:rsid w:val="00A420BA"/>
    <w:rsid w:val="00A42325"/>
    <w:rsid w:val="00A424C7"/>
    <w:rsid w:val="00A4257C"/>
    <w:rsid w:val="00A425E4"/>
    <w:rsid w:val="00A42617"/>
    <w:rsid w:val="00A42720"/>
    <w:rsid w:val="00A42A91"/>
    <w:rsid w:val="00A42E9B"/>
    <w:rsid w:val="00A42EB4"/>
    <w:rsid w:val="00A4301C"/>
    <w:rsid w:val="00A4319D"/>
    <w:rsid w:val="00A436A6"/>
    <w:rsid w:val="00A4370C"/>
    <w:rsid w:val="00A4376C"/>
    <w:rsid w:val="00A437C0"/>
    <w:rsid w:val="00A43C07"/>
    <w:rsid w:val="00A43ED3"/>
    <w:rsid w:val="00A43EF2"/>
    <w:rsid w:val="00A43F85"/>
    <w:rsid w:val="00A441B6"/>
    <w:rsid w:val="00A44515"/>
    <w:rsid w:val="00A44791"/>
    <w:rsid w:val="00A44C4B"/>
    <w:rsid w:val="00A44EDC"/>
    <w:rsid w:val="00A44F1D"/>
    <w:rsid w:val="00A45ADF"/>
    <w:rsid w:val="00A45AF1"/>
    <w:rsid w:val="00A45BEE"/>
    <w:rsid w:val="00A45E93"/>
    <w:rsid w:val="00A45F3D"/>
    <w:rsid w:val="00A4679A"/>
    <w:rsid w:val="00A46A1D"/>
    <w:rsid w:val="00A46A88"/>
    <w:rsid w:val="00A46C08"/>
    <w:rsid w:val="00A46C3F"/>
    <w:rsid w:val="00A46D19"/>
    <w:rsid w:val="00A46E6A"/>
    <w:rsid w:val="00A47162"/>
    <w:rsid w:val="00A471F1"/>
    <w:rsid w:val="00A4740E"/>
    <w:rsid w:val="00A4743B"/>
    <w:rsid w:val="00A47478"/>
    <w:rsid w:val="00A474FB"/>
    <w:rsid w:val="00A47523"/>
    <w:rsid w:val="00A47710"/>
    <w:rsid w:val="00A47C1A"/>
    <w:rsid w:val="00A47C3B"/>
    <w:rsid w:val="00A47E00"/>
    <w:rsid w:val="00A5019C"/>
    <w:rsid w:val="00A502BB"/>
    <w:rsid w:val="00A508C9"/>
    <w:rsid w:val="00A51553"/>
    <w:rsid w:val="00A5189D"/>
    <w:rsid w:val="00A51E81"/>
    <w:rsid w:val="00A5203C"/>
    <w:rsid w:val="00A52837"/>
    <w:rsid w:val="00A529FB"/>
    <w:rsid w:val="00A52E5C"/>
    <w:rsid w:val="00A535D6"/>
    <w:rsid w:val="00A53B12"/>
    <w:rsid w:val="00A53F2B"/>
    <w:rsid w:val="00A53FB8"/>
    <w:rsid w:val="00A54322"/>
    <w:rsid w:val="00A54417"/>
    <w:rsid w:val="00A544B3"/>
    <w:rsid w:val="00A547DD"/>
    <w:rsid w:val="00A54982"/>
    <w:rsid w:val="00A549CA"/>
    <w:rsid w:val="00A54BBB"/>
    <w:rsid w:val="00A55118"/>
    <w:rsid w:val="00A55604"/>
    <w:rsid w:val="00A5587C"/>
    <w:rsid w:val="00A55A8C"/>
    <w:rsid w:val="00A55BE9"/>
    <w:rsid w:val="00A55C0D"/>
    <w:rsid w:val="00A56088"/>
    <w:rsid w:val="00A561A8"/>
    <w:rsid w:val="00A561C6"/>
    <w:rsid w:val="00A565C1"/>
    <w:rsid w:val="00A56712"/>
    <w:rsid w:val="00A56945"/>
    <w:rsid w:val="00A569AE"/>
    <w:rsid w:val="00A56A70"/>
    <w:rsid w:val="00A56BE1"/>
    <w:rsid w:val="00A56BFC"/>
    <w:rsid w:val="00A56E21"/>
    <w:rsid w:val="00A56F14"/>
    <w:rsid w:val="00A57696"/>
    <w:rsid w:val="00A57A2F"/>
    <w:rsid w:val="00A57CE7"/>
    <w:rsid w:val="00A601DA"/>
    <w:rsid w:val="00A6045E"/>
    <w:rsid w:val="00A607AE"/>
    <w:rsid w:val="00A60A36"/>
    <w:rsid w:val="00A60B70"/>
    <w:rsid w:val="00A60DD3"/>
    <w:rsid w:val="00A61112"/>
    <w:rsid w:val="00A6115A"/>
    <w:rsid w:val="00A612F0"/>
    <w:rsid w:val="00A617E6"/>
    <w:rsid w:val="00A61B7D"/>
    <w:rsid w:val="00A61C2F"/>
    <w:rsid w:val="00A61D46"/>
    <w:rsid w:val="00A62065"/>
    <w:rsid w:val="00A6227A"/>
    <w:rsid w:val="00A62392"/>
    <w:rsid w:val="00A6249F"/>
    <w:rsid w:val="00A627DF"/>
    <w:rsid w:val="00A629A9"/>
    <w:rsid w:val="00A62B94"/>
    <w:rsid w:val="00A62C92"/>
    <w:rsid w:val="00A6394A"/>
    <w:rsid w:val="00A63D98"/>
    <w:rsid w:val="00A63F65"/>
    <w:rsid w:val="00A64340"/>
    <w:rsid w:val="00A648EF"/>
    <w:rsid w:val="00A64B17"/>
    <w:rsid w:val="00A64B7E"/>
    <w:rsid w:val="00A64C0B"/>
    <w:rsid w:val="00A64F97"/>
    <w:rsid w:val="00A65573"/>
    <w:rsid w:val="00A65741"/>
    <w:rsid w:val="00A6577B"/>
    <w:rsid w:val="00A65782"/>
    <w:rsid w:val="00A6586B"/>
    <w:rsid w:val="00A65AE2"/>
    <w:rsid w:val="00A65D87"/>
    <w:rsid w:val="00A65DCC"/>
    <w:rsid w:val="00A65F85"/>
    <w:rsid w:val="00A663A9"/>
    <w:rsid w:val="00A66F62"/>
    <w:rsid w:val="00A671E5"/>
    <w:rsid w:val="00A67498"/>
    <w:rsid w:val="00A67C23"/>
    <w:rsid w:val="00A700D9"/>
    <w:rsid w:val="00A707F7"/>
    <w:rsid w:val="00A709B0"/>
    <w:rsid w:val="00A71210"/>
    <w:rsid w:val="00A71AD8"/>
    <w:rsid w:val="00A71B9A"/>
    <w:rsid w:val="00A71E07"/>
    <w:rsid w:val="00A71E7D"/>
    <w:rsid w:val="00A72250"/>
    <w:rsid w:val="00A7248C"/>
    <w:rsid w:val="00A72526"/>
    <w:rsid w:val="00A72900"/>
    <w:rsid w:val="00A72AC7"/>
    <w:rsid w:val="00A72AFE"/>
    <w:rsid w:val="00A72C78"/>
    <w:rsid w:val="00A73147"/>
    <w:rsid w:val="00A73477"/>
    <w:rsid w:val="00A7358A"/>
    <w:rsid w:val="00A736A6"/>
    <w:rsid w:val="00A73ECB"/>
    <w:rsid w:val="00A7428D"/>
    <w:rsid w:val="00A743F6"/>
    <w:rsid w:val="00A74900"/>
    <w:rsid w:val="00A74F33"/>
    <w:rsid w:val="00A74F7C"/>
    <w:rsid w:val="00A74F9F"/>
    <w:rsid w:val="00A74FEC"/>
    <w:rsid w:val="00A751C1"/>
    <w:rsid w:val="00A7531F"/>
    <w:rsid w:val="00A7553D"/>
    <w:rsid w:val="00A755BD"/>
    <w:rsid w:val="00A75614"/>
    <w:rsid w:val="00A75809"/>
    <w:rsid w:val="00A758D9"/>
    <w:rsid w:val="00A75B5E"/>
    <w:rsid w:val="00A7693E"/>
    <w:rsid w:val="00A772BF"/>
    <w:rsid w:val="00A779DB"/>
    <w:rsid w:val="00A77B83"/>
    <w:rsid w:val="00A77DCF"/>
    <w:rsid w:val="00A8006C"/>
    <w:rsid w:val="00A8096F"/>
    <w:rsid w:val="00A80B77"/>
    <w:rsid w:val="00A80BF3"/>
    <w:rsid w:val="00A80BFC"/>
    <w:rsid w:val="00A80D98"/>
    <w:rsid w:val="00A81390"/>
    <w:rsid w:val="00A81689"/>
    <w:rsid w:val="00A81C3C"/>
    <w:rsid w:val="00A81CDA"/>
    <w:rsid w:val="00A8201C"/>
    <w:rsid w:val="00A821C0"/>
    <w:rsid w:val="00A82412"/>
    <w:rsid w:val="00A82ED8"/>
    <w:rsid w:val="00A82F7B"/>
    <w:rsid w:val="00A8319B"/>
    <w:rsid w:val="00A832EA"/>
    <w:rsid w:val="00A83495"/>
    <w:rsid w:val="00A83870"/>
    <w:rsid w:val="00A83A93"/>
    <w:rsid w:val="00A842BB"/>
    <w:rsid w:val="00A84364"/>
    <w:rsid w:val="00A847AB"/>
    <w:rsid w:val="00A84A49"/>
    <w:rsid w:val="00A84BA2"/>
    <w:rsid w:val="00A84BE3"/>
    <w:rsid w:val="00A84E3D"/>
    <w:rsid w:val="00A84F91"/>
    <w:rsid w:val="00A85093"/>
    <w:rsid w:val="00A8519B"/>
    <w:rsid w:val="00A85331"/>
    <w:rsid w:val="00A8570E"/>
    <w:rsid w:val="00A85730"/>
    <w:rsid w:val="00A85975"/>
    <w:rsid w:val="00A859C7"/>
    <w:rsid w:val="00A85E73"/>
    <w:rsid w:val="00A85FC2"/>
    <w:rsid w:val="00A86015"/>
    <w:rsid w:val="00A86323"/>
    <w:rsid w:val="00A86520"/>
    <w:rsid w:val="00A86554"/>
    <w:rsid w:val="00A86658"/>
    <w:rsid w:val="00A86711"/>
    <w:rsid w:val="00A8689F"/>
    <w:rsid w:val="00A86D88"/>
    <w:rsid w:val="00A86F8C"/>
    <w:rsid w:val="00A86FB0"/>
    <w:rsid w:val="00A87306"/>
    <w:rsid w:val="00A87342"/>
    <w:rsid w:val="00A87613"/>
    <w:rsid w:val="00A8780F"/>
    <w:rsid w:val="00A87983"/>
    <w:rsid w:val="00A87A61"/>
    <w:rsid w:val="00A902A3"/>
    <w:rsid w:val="00A904A4"/>
    <w:rsid w:val="00A90D0D"/>
    <w:rsid w:val="00A913FC"/>
    <w:rsid w:val="00A9152B"/>
    <w:rsid w:val="00A917AB"/>
    <w:rsid w:val="00A91874"/>
    <w:rsid w:val="00A9199B"/>
    <w:rsid w:val="00A91C6E"/>
    <w:rsid w:val="00A91C85"/>
    <w:rsid w:val="00A91D1D"/>
    <w:rsid w:val="00A91E4B"/>
    <w:rsid w:val="00A920F7"/>
    <w:rsid w:val="00A9260A"/>
    <w:rsid w:val="00A927D5"/>
    <w:rsid w:val="00A92832"/>
    <w:rsid w:val="00A92E8D"/>
    <w:rsid w:val="00A92F66"/>
    <w:rsid w:val="00A9306A"/>
    <w:rsid w:val="00A931AE"/>
    <w:rsid w:val="00A932A8"/>
    <w:rsid w:val="00A9339D"/>
    <w:rsid w:val="00A937F2"/>
    <w:rsid w:val="00A93A0D"/>
    <w:rsid w:val="00A93ABF"/>
    <w:rsid w:val="00A93E7B"/>
    <w:rsid w:val="00A948FA"/>
    <w:rsid w:val="00A94ABC"/>
    <w:rsid w:val="00A95108"/>
    <w:rsid w:val="00A951EA"/>
    <w:rsid w:val="00A951F5"/>
    <w:rsid w:val="00A95382"/>
    <w:rsid w:val="00A9543C"/>
    <w:rsid w:val="00A958DB"/>
    <w:rsid w:val="00A95C68"/>
    <w:rsid w:val="00A95D23"/>
    <w:rsid w:val="00A9610D"/>
    <w:rsid w:val="00A96132"/>
    <w:rsid w:val="00A965E7"/>
    <w:rsid w:val="00A96765"/>
    <w:rsid w:val="00A969A4"/>
    <w:rsid w:val="00A975A0"/>
    <w:rsid w:val="00A978FE"/>
    <w:rsid w:val="00A97976"/>
    <w:rsid w:val="00A97D55"/>
    <w:rsid w:val="00A97DE2"/>
    <w:rsid w:val="00AA0B47"/>
    <w:rsid w:val="00AA1691"/>
    <w:rsid w:val="00AA1B09"/>
    <w:rsid w:val="00AA1FC7"/>
    <w:rsid w:val="00AA2122"/>
    <w:rsid w:val="00AA2410"/>
    <w:rsid w:val="00AA2724"/>
    <w:rsid w:val="00AA281F"/>
    <w:rsid w:val="00AA2BBA"/>
    <w:rsid w:val="00AA3219"/>
    <w:rsid w:val="00AA3FF8"/>
    <w:rsid w:val="00AA4292"/>
    <w:rsid w:val="00AA4334"/>
    <w:rsid w:val="00AA45B9"/>
    <w:rsid w:val="00AA4A5D"/>
    <w:rsid w:val="00AA4B66"/>
    <w:rsid w:val="00AA4D53"/>
    <w:rsid w:val="00AA4E48"/>
    <w:rsid w:val="00AA5264"/>
    <w:rsid w:val="00AA5469"/>
    <w:rsid w:val="00AA56FB"/>
    <w:rsid w:val="00AA5964"/>
    <w:rsid w:val="00AA59EC"/>
    <w:rsid w:val="00AA5BA1"/>
    <w:rsid w:val="00AA5E02"/>
    <w:rsid w:val="00AA5F8E"/>
    <w:rsid w:val="00AA6848"/>
    <w:rsid w:val="00AA6F3E"/>
    <w:rsid w:val="00AA71A1"/>
    <w:rsid w:val="00AA748F"/>
    <w:rsid w:val="00AA790F"/>
    <w:rsid w:val="00AA7910"/>
    <w:rsid w:val="00AA799F"/>
    <w:rsid w:val="00AA7A02"/>
    <w:rsid w:val="00AA7A5A"/>
    <w:rsid w:val="00AA7B26"/>
    <w:rsid w:val="00AA7B28"/>
    <w:rsid w:val="00AA7E71"/>
    <w:rsid w:val="00AB0023"/>
    <w:rsid w:val="00AB00BB"/>
    <w:rsid w:val="00AB0569"/>
    <w:rsid w:val="00AB0AA2"/>
    <w:rsid w:val="00AB103C"/>
    <w:rsid w:val="00AB103F"/>
    <w:rsid w:val="00AB1115"/>
    <w:rsid w:val="00AB1AF3"/>
    <w:rsid w:val="00AB202E"/>
    <w:rsid w:val="00AB20CE"/>
    <w:rsid w:val="00AB2B84"/>
    <w:rsid w:val="00AB2D74"/>
    <w:rsid w:val="00AB34B5"/>
    <w:rsid w:val="00AB36F0"/>
    <w:rsid w:val="00AB391A"/>
    <w:rsid w:val="00AB456B"/>
    <w:rsid w:val="00AB56CD"/>
    <w:rsid w:val="00AB5B9E"/>
    <w:rsid w:val="00AB5C3B"/>
    <w:rsid w:val="00AB5D05"/>
    <w:rsid w:val="00AB5E2C"/>
    <w:rsid w:val="00AB5F31"/>
    <w:rsid w:val="00AB6191"/>
    <w:rsid w:val="00AB63D3"/>
    <w:rsid w:val="00AB6847"/>
    <w:rsid w:val="00AB693E"/>
    <w:rsid w:val="00AB6F41"/>
    <w:rsid w:val="00AB71C6"/>
    <w:rsid w:val="00AB71E2"/>
    <w:rsid w:val="00AB7699"/>
    <w:rsid w:val="00AB7AB2"/>
    <w:rsid w:val="00AB7BFA"/>
    <w:rsid w:val="00AC00C5"/>
    <w:rsid w:val="00AC052D"/>
    <w:rsid w:val="00AC114D"/>
    <w:rsid w:val="00AC142D"/>
    <w:rsid w:val="00AC151C"/>
    <w:rsid w:val="00AC1675"/>
    <w:rsid w:val="00AC1915"/>
    <w:rsid w:val="00AC1CCB"/>
    <w:rsid w:val="00AC1CCC"/>
    <w:rsid w:val="00AC1F0F"/>
    <w:rsid w:val="00AC280B"/>
    <w:rsid w:val="00AC2835"/>
    <w:rsid w:val="00AC2A35"/>
    <w:rsid w:val="00AC2AE4"/>
    <w:rsid w:val="00AC2C96"/>
    <w:rsid w:val="00AC2D8A"/>
    <w:rsid w:val="00AC317E"/>
    <w:rsid w:val="00AC31F2"/>
    <w:rsid w:val="00AC326B"/>
    <w:rsid w:val="00AC3396"/>
    <w:rsid w:val="00AC366B"/>
    <w:rsid w:val="00AC3670"/>
    <w:rsid w:val="00AC3BB0"/>
    <w:rsid w:val="00AC3C73"/>
    <w:rsid w:val="00AC3DCA"/>
    <w:rsid w:val="00AC3DF9"/>
    <w:rsid w:val="00AC488E"/>
    <w:rsid w:val="00AC4D5B"/>
    <w:rsid w:val="00AC5582"/>
    <w:rsid w:val="00AC5755"/>
    <w:rsid w:val="00AC5BC3"/>
    <w:rsid w:val="00AC5CAC"/>
    <w:rsid w:val="00AC5D47"/>
    <w:rsid w:val="00AC648D"/>
    <w:rsid w:val="00AC64BE"/>
    <w:rsid w:val="00AC6647"/>
    <w:rsid w:val="00AC682B"/>
    <w:rsid w:val="00AC700C"/>
    <w:rsid w:val="00AC7085"/>
    <w:rsid w:val="00AC7242"/>
    <w:rsid w:val="00AC7307"/>
    <w:rsid w:val="00AC797C"/>
    <w:rsid w:val="00AC7C7A"/>
    <w:rsid w:val="00AD015A"/>
    <w:rsid w:val="00AD0176"/>
    <w:rsid w:val="00AD028E"/>
    <w:rsid w:val="00AD02A6"/>
    <w:rsid w:val="00AD08A9"/>
    <w:rsid w:val="00AD0B00"/>
    <w:rsid w:val="00AD0B0C"/>
    <w:rsid w:val="00AD0B6E"/>
    <w:rsid w:val="00AD0D81"/>
    <w:rsid w:val="00AD0E98"/>
    <w:rsid w:val="00AD1506"/>
    <w:rsid w:val="00AD1680"/>
    <w:rsid w:val="00AD16CC"/>
    <w:rsid w:val="00AD193D"/>
    <w:rsid w:val="00AD2162"/>
    <w:rsid w:val="00AD2428"/>
    <w:rsid w:val="00AD2A70"/>
    <w:rsid w:val="00AD2A9E"/>
    <w:rsid w:val="00AD2B46"/>
    <w:rsid w:val="00AD30D2"/>
    <w:rsid w:val="00AD37DF"/>
    <w:rsid w:val="00AD3A73"/>
    <w:rsid w:val="00AD3B28"/>
    <w:rsid w:val="00AD3C9E"/>
    <w:rsid w:val="00AD3CBC"/>
    <w:rsid w:val="00AD3CDE"/>
    <w:rsid w:val="00AD4D27"/>
    <w:rsid w:val="00AD4FF0"/>
    <w:rsid w:val="00AD5082"/>
    <w:rsid w:val="00AD5097"/>
    <w:rsid w:val="00AD50F4"/>
    <w:rsid w:val="00AD5188"/>
    <w:rsid w:val="00AD531A"/>
    <w:rsid w:val="00AD54F2"/>
    <w:rsid w:val="00AD5992"/>
    <w:rsid w:val="00AD5C0C"/>
    <w:rsid w:val="00AD5C90"/>
    <w:rsid w:val="00AD5CE3"/>
    <w:rsid w:val="00AD5ED6"/>
    <w:rsid w:val="00AD5F21"/>
    <w:rsid w:val="00AD60AE"/>
    <w:rsid w:val="00AD6100"/>
    <w:rsid w:val="00AD6348"/>
    <w:rsid w:val="00AD642B"/>
    <w:rsid w:val="00AD662C"/>
    <w:rsid w:val="00AD6816"/>
    <w:rsid w:val="00AD6A72"/>
    <w:rsid w:val="00AD6EE7"/>
    <w:rsid w:val="00AD7031"/>
    <w:rsid w:val="00AD707C"/>
    <w:rsid w:val="00AD733C"/>
    <w:rsid w:val="00AD7360"/>
    <w:rsid w:val="00AD780D"/>
    <w:rsid w:val="00AE0261"/>
    <w:rsid w:val="00AE02C5"/>
    <w:rsid w:val="00AE07CF"/>
    <w:rsid w:val="00AE09BA"/>
    <w:rsid w:val="00AE0F2B"/>
    <w:rsid w:val="00AE12CD"/>
    <w:rsid w:val="00AE1B26"/>
    <w:rsid w:val="00AE1FEB"/>
    <w:rsid w:val="00AE2683"/>
    <w:rsid w:val="00AE2874"/>
    <w:rsid w:val="00AE2C75"/>
    <w:rsid w:val="00AE2E54"/>
    <w:rsid w:val="00AE2ECE"/>
    <w:rsid w:val="00AE30C0"/>
    <w:rsid w:val="00AE35B0"/>
    <w:rsid w:val="00AE3746"/>
    <w:rsid w:val="00AE3876"/>
    <w:rsid w:val="00AE3AC0"/>
    <w:rsid w:val="00AE3B3F"/>
    <w:rsid w:val="00AE3F1F"/>
    <w:rsid w:val="00AE3FEB"/>
    <w:rsid w:val="00AE46D6"/>
    <w:rsid w:val="00AE47E6"/>
    <w:rsid w:val="00AE523A"/>
    <w:rsid w:val="00AE52C2"/>
    <w:rsid w:val="00AE52F0"/>
    <w:rsid w:val="00AE5A18"/>
    <w:rsid w:val="00AE5A62"/>
    <w:rsid w:val="00AE5B57"/>
    <w:rsid w:val="00AE5BD3"/>
    <w:rsid w:val="00AE60A6"/>
    <w:rsid w:val="00AE69B3"/>
    <w:rsid w:val="00AE6E83"/>
    <w:rsid w:val="00AE7077"/>
    <w:rsid w:val="00AE73D0"/>
    <w:rsid w:val="00AE73D5"/>
    <w:rsid w:val="00AE74D8"/>
    <w:rsid w:val="00AE7533"/>
    <w:rsid w:val="00AE7858"/>
    <w:rsid w:val="00AF00D2"/>
    <w:rsid w:val="00AF024D"/>
    <w:rsid w:val="00AF069B"/>
    <w:rsid w:val="00AF0DE7"/>
    <w:rsid w:val="00AF127F"/>
    <w:rsid w:val="00AF133D"/>
    <w:rsid w:val="00AF13A1"/>
    <w:rsid w:val="00AF14A0"/>
    <w:rsid w:val="00AF1DFC"/>
    <w:rsid w:val="00AF1E0B"/>
    <w:rsid w:val="00AF1E77"/>
    <w:rsid w:val="00AF1F64"/>
    <w:rsid w:val="00AF2118"/>
    <w:rsid w:val="00AF2178"/>
    <w:rsid w:val="00AF249B"/>
    <w:rsid w:val="00AF24B1"/>
    <w:rsid w:val="00AF2518"/>
    <w:rsid w:val="00AF274D"/>
    <w:rsid w:val="00AF291C"/>
    <w:rsid w:val="00AF2AFD"/>
    <w:rsid w:val="00AF2E11"/>
    <w:rsid w:val="00AF3324"/>
    <w:rsid w:val="00AF3385"/>
    <w:rsid w:val="00AF342F"/>
    <w:rsid w:val="00AF372B"/>
    <w:rsid w:val="00AF37BD"/>
    <w:rsid w:val="00AF3BAC"/>
    <w:rsid w:val="00AF3D5B"/>
    <w:rsid w:val="00AF3E42"/>
    <w:rsid w:val="00AF3F58"/>
    <w:rsid w:val="00AF40B3"/>
    <w:rsid w:val="00AF4114"/>
    <w:rsid w:val="00AF416F"/>
    <w:rsid w:val="00AF42F9"/>
    <w:rsid w:val="00AF442A"/>
    <w:rsid w:val="00AF47A5"/>
    <w:rsid w:val="00AF4AE5"/>
    <w:rsid w:val="00AF4E80"/>
    <w:rsid w:val="00AF4F6E"/>
    <w:rsid w:val="00AF52CB"/>
    <w:rsid w:val="00AF5564"/>
    <w:rsid w:val="00AF56A7"/>
    <w:rsid w:val="00AF5755"/>
    <w:rsid w:val="00AF5A09"/>
    <w:rsid w:val="00AF5C97"/>
    <w:rsid w:val="00AF5F4F"/>
    <w:rsid w:val="00AF5F94"/>
    <w:rsid w:val="00AF61B2"/>
    <w:rsid w:val="00AF6676"/>
    <w:rsid w:val="00AF66F9"/>
    <w:rsid w:val="00AF6950"/>
    <w:rsid w:val="00AF6C2B"/>
    <w:rsid w:val="00AF6FFA"/>
    <w:rsid w:val="00AF7312"/>
    <w:rsid w:val="00AF755C"/>
    <w:rsid w:val="00AF7698"/>
    <w:rsid w:val="00AF79A3"/>
    <w:rsid w:val="00AF7D0D"/>
    <w:rsid w:val="00AF7E50"/>
    <w:rsid w:val="00B00CCB"/>
    <w:rsid w:val="00B00E31"/>
    <w:rsid w:val="00B00F0B"/>
    <w:rsid w:val="00B012E1"/>
    <w:rsid w:val="00B0169D"/>
    <w:rsid w:val="00B01A8F"/>
    <w:rsid w:val="00B01D50"/>
    <w:rsid w:val="00B0225D"/>
    <w:rsid w:val="00B0275C"/>
    <w:rsid w:val="00B02825"/>
    <w:rsid w:val="00B02D57"/>
    <w:rsid w:val="00B02DB8"/>
    <w:rsid w:val="00B02DFB"/>
    <w:rsid w:val="00B0322D"/>
    <w:rsid w:val="00B033AB"/>
    <w:rsid w:val="00B03492"/>
    <w:rsid w:val="00B0380D"/>
    <w:rsid w:val="00B039CC"/>
    <w:rsid w:val="00B03AD4"/>
    <w:rsid w:val="00B0429C"/>
    <w:rsid w:val="00B04349"/>
    <w:rsid w:val="00B04A22"/>
    <w:rsid w:val="00B04D57"/>
    <w:rsid w:val="00B04F3F"/>
    <w:rsid w:val="00B05161"/>
    <w:rsid w:val="00B05298"/>
    <w:rsid w:val="00B0529F"/>
    <w:rsid w:val="00B052CA"/>
    <w:rsid w:val="00B05A75"/>
    <w:rsid w:val="00B05EB0"/>
    <w:rsid w:val="00B05F75"/>
    <w:rsid w:val="00B0623A"/>
    <w:rsid w:val="00B0641C"/>
    <w:rsid w:val="00B06488"/>
    <w:rsid w:val="00B066FB"/>
    <w:rsid w:val="00B06780"/>
    <w:rsid w:val="00B0678F"/>
    <w:rsid w:val="00B06ADB"/>
    <w:rsid w:val="00B07187"/>
    <w:rsid w:val="00B0730E"/>
    <w:rsid w:val="00B0744B"/>
    <w:rsid w:val="00B077D1"/>
    <w:rsid w:val="00B07C35"/>
    <w:rsid w:val="00B07C37"/>
    <w:rsid w:val="00B07CFB"/>
    <w:rsid w:val="00B07DFE"/>
    <w:rsid w:val="00B07E13"/>
    <w:rsid w:val="00B07F5E"/>
    <w:rsid w:val="00B10235"/>
    <w:rsid w:val="00B10645"/>
    <w:rsid w:val="00B109C0"/>
    <w:rsid w:val="00B10B9A"/>
    <w:rsid w:val="00B10C1B"/>
    <w:rsid w:val="00B10C23"/>
    <w:rsid w:val="00B1100F"/>
    <w:rsid w:val="00B11E4B"/>
    <w:rsid w:val="00B11FF5"/>
    <w:rsid w:val="00B12114"/>
    <w:rsid w:val="00B1213D"/>
    <w:rsid w:val="00B1222F"/>
    <w:rsid w:val="00B12475"/>
    <w:rsid w:val="00B1258F"/>
    <w:rsid w:val="00B12647"/>
    <w:rsid w:val="00B12667"/>
    <w:rsid w:val="00B129C1"/>
    <w:rsid w:val="00B12B20"/>
    <w:rsid w:val="00B12B71"/>
    <w:rsid w:val="00B12BF5"/>
    <w:rsid w:val="00B12F2C"/>
    <w:rsid w:val="00B133D8"/>
    <w:rsid w:val="00B13635"/>
    <w:rsid w:val="00B1388A"/>
    <w:rsid w:val="00B1396F"/>
    <w:rsid w:val="00B13A68"/>
    <w:rsid w:val="00B13D0C"/>
    <w:rsid w:val="00B13DD9"/>
    <w:rsid w:val="00B13E86"/>
    <w:rsid w:val="00B13FB0"/>
    <w:rsid w:val="00B141C7"/>
    <w:rsid w:val="00B14720"/>
    <w:rsid w:val="00B14878"/>
    <w:rsid w:val="00B14A6A"/>
    <w:rsid w:val="00B14B93"/>
    <w:rsid w:val="00B15513"/>
    <w:rsid w:val="00B15BC6"/>
    <w:rsid w:val="00B15CE7"/>
    <w:rsid w:val="00B16243"/>
    <w:rsid w:val="00B162A9"/>
    <w:rsid w:val="00B1636E"/>
    <w:rsid w:val="00B164A3"/>
    <w:rsid w:val="00B169F5"/>
    <w:rsid w:val="00B16A2A"/>
    <w:rsid w:val="00B16BD6"/>
    <w:rsid w:val="00B16D3D"/>
    <w:rsid w:val="00B17105"/>
    <w:rsid w:val="00B17360"/>
    <w:rsid w:val="00B17651"/>
    <w:rsid w:val="00B179D4"/>
    <w:rsid w:val="00B17F2A"/>
    <w:rsid w:val="00B17FFC"/>
    <w:rsid w:val="00B2025B"/>
    <w:rsid w:val="00B204AF"/>
    <w:rsid w:val="00B20858"/>
    <w:rsid w:val="00B20AD0"/>
    <w:rsid w:val="00B20C65"/>
    <w:rsid w:val="00B20EF5"/>
    <w:rsid w:val="00B21105"/>
    <w:rsid w:val="00B215B5"/>
    <w:rsid w:val="00B215EF"/>
    <w:rsid w:val="00B21B23"/>
    <w:rsid w:val="00B21C13"/>
    <w:rsid w:val="00B21C5C"/>
    <w:rsid w:val="00B21D24"/>
    <w:rsid w:val="00B221A9"/>
    <w:rsid w:val="00B22317"/>
    <w:rsid w:val="00B228C2"/>
    <w:rsid w:val="00B22F3D"/>
    <w:rsid w:val="00B230BD"/>
    <w:rsid w:val="00B23180"/>
    <w:rsid w:val="00B232A7"/>
    <w:rsid w:val="00B2366E"/>
    <w:rsid w:val="00B23675"/>
    <w:rsid w:val="00B23888"/>
    <w:rsid w:val="00B23A31"/>
    <w:rsid w:val="00B23A6A"/>
    <w:rsid w:val="00B23EDB"/>
    <w:rsid w:val="00B24054"/>
    <w:rsid w:val="00B24877"/>
    <w:rsid w:val="00B24E80"/>
    <w:rsid w:val="00B24EC6"/>
    <w:rsid w:val="00B24F28"/>
    <w:rsid w:val="00B254DC"/>
    <w:rsid w:val="00B256E2"/>
    <w:rsid w:val="00B25BD7"/>
    <w:rsid w:val="00B25EC5"/>
    <w:rsid w:val="00B26171"/>
    <w:rsid w:val="00B261A2"/>
    <w:rsid w:val="00B2680B"/>
    <w:rsid w:val="00B26895"/>
    <w:rsid w:val="00B269EF"/>
    <w:rsid w:val="00B26D42"/>
    <w:rsid w:val="00B276E8"/>
    <w:rsid w:val="00B277CD"/>
    <w:rsid w:val="00B27850"/>
    <w:rsid w:val="00B27D77"/>
    <w:rsid w:val="00B27D79"/>
    <w:rsid w:val="00B27FD7"/>
    <w:rsid w:val="00B30245"/>
    <w:rsid w:val="00B30291"/>
    <w:rsid w:val="00B305BB"/>
    <w:rsid w:val="00B30A00"/>
    <w:rsid w:val="00B30B50"/>
    <w:rsid w:val="00B30CF1"/>
    <w:rsid w:val="00B30DB6"/>
    <w:rsid w:val="00B314DF"/>
    <w:rsid w:val="00B31827"/>
    <w:rsid w:val="00B3183F"/>
    <w:rsid w:val="00B31F06"/>
    <w:rsid w:val="00B320A8"/>
    <w:rsid w:val="00B32207"/>
    <w:rsid w:val="00B3231E"/>
    <w:rsid w:val="00B3282A"/>
    <w:rsid w:val="00B32AD5"/>
    <w:rsid w:val="00B32B55"/>
    <w:rsid w:val="00B32C53"/>
    <w:rsid w:val="00B32DD2"/>
    <w:rsid w:val="00B32DD6"/>
    <w:rsid w:val="00B33035"/>
    <w:rsid w:val="00B3315B"/>
    <w:rsid w:val="00B33B19"/>
    <w:rsid w:val="00B340A5"/>
    <w:rsid w:val="00B346B5"/>
    <w:rsid w:val="00B34A34"/>
    <w:rsid w:val="00B34A59"/>
    <w:rsid w:val="00B34CE2"/>
    <w:rsid w:val="00B34CF6"/>
    <w:rsid w:val="00B35116"/>
    <w:rsid w:val="00B35327"/>
    <w:rsid w:val="00B36599"/>
    <w:rsid w:val="00B365AF"/>
    <w:rsid w:val="00B369B5"/>
    <w:rsid w:val="00B36E17"/>
    <w:rsid w:val="00B37001"/>
    <w:rsid w:val="00B371DD"/>
    <w:rsid w:val="00B37300"/>
    <w:rsid w:val="00B377B8"/>
    <w:rsid w:val="00B3793B"/>
    <w:rsid w:val="00B37B09"/>
    <w:rsid w:val="00B37B7E"/>
    <w:rsid w:val="00B37BC2"/>
    <w:rsid w:val="00B4020C"/>
    <w:rsid w:val="00B404B5"/>
    <w:rsid w:val="00B40556"/>
    <w:rsid w:val="00B4071B"/>
    <w:rsid w:val="00B40DBD"/>
    <w:rsid w:val="00B41055"/>
    <w:rsid w:val="00B41199"/>
    <w:rsid w:val="00B411E9"/>
    <w:rsid w:val="00B4123B"/>
    <w:rsid w:val="00B41282"/>
    <w:rsid w:val="00B4147D"/>
    <w:rsid w:val="00B414C3"/>
    <w:rsid w:val="00B415D2"/>
    <w:rsid w:val="00B4160D"/>
    <w:rsid w:val="00B41721"/>
    <w:rsid w:val="00B41C6F"/>
    <w:rsid w:val="00B42265"/>
    <w:rsid w:val="00B42545"/>
    <w:rsid w:val="00B427FA"/>
    <w:rsid w:val="00B428E8"/>
    <w:rsid w:val="00B42A8A"/>
    <w:rsid w:val="00B42F36"/>
    <w:rsid w:val="00B43022"/>
    <w:rsid w:val="00B43362"/>
    <w:rsid w:val="00B43794"/>
    <w:rsid w:val="00B437FD"/>
    <w:rsid w:val="00B438AA"/>
    <w:rsid w:val="00B439BB"/>
    <w:rsid w:val="00B43A65"/>
    <w:rsid w:val="00B44287"/>
    <w:rsid w:val="00B4483B"/>
    <w:rsid w:val="00B45112"/>
    <w:rsid w:val="00B4538F"/>
    <w:rsid w:val="00B454C9"/>
    <w:rsid w:val="00B4593B"/>
    <w:rsid w:val="00B45991"/>
    <w:rsid w:val="00B45AD0"/>
    <w:rsid w:val="00B45D21"/>
    <w:rsid w:val="00B46166"/>
    <w:rsid w:val="00B4683B"/>
    <w:rsid w:val="00B469E8"/>
    <w:rsid w:val="00B46C84"/>
    <w:rsid w:val="00B46FB4"/>
    <w:rsid w:val="00B476AB"/>
    <w:rsid w:val="00B47769"/>
    <w:rsid w:val="00B47973"/>
    <w:rsid w:val="00B47C31"/>
    <w:rsid w:val="00B47C36"/>
    <w:rsid w:val="00B501C9"/>
    <w:rsid w:val="00B501D7"/>
    <w:rsid w:val="00B50266"/>
    <w:rsid w:val="00B5091A"/>
    <w:rsid w:val="00B50BB2"/>
    <w:rsid w:val="00B50D27"/>
    <w:rsid w:val="00B50D2C"/>
    <w:rsid w:val="00B51468"/>
    <w:rsid w:val="00B51517"/>
    <w:rsid w:val="00B51EE3"/>
    <w:rsid w:val="00B52050"/>
    <w:rsid w:val="00B5224A"/>
    <w:rsid w:val="00B52267"/>
    <w:rsid w:val="00B524AF"/>
    <w:rsid w:val="00B528EF"/>
    <w:rsid w:val="00B52F34"/>
    <w:rsid w:val="00B533ED"/>
    <w:rsid w:val="00B534D6"/>
    <w:rsid w:val="00B536BA"/>
    <w:rsid w:val="00B53799"/>
    <w:rsid w:val="00B53B75"/>
    <w:rsid w:val="00B53BFE"/>
    <w:rsid w:val="00B53C7B"/>
    <w:rsid w:val="00B53CE9"/>
    <w:rsid w:val="00B53DEC"/>
    <w:rsid w:val="00B53FA1"/>
    <w:rsid w:val="00B54646"/>
    <w:rsid w:val="00B54C85"/>
    <w:rsid w:val="00B54D29"/>
    <w:rsid w:val="00B54F0E"/>
    <w:rsid w:val="00B559FE"/>
    <w:rsid w:val="00B55B0E"/>
    <w:rsid w:val="00B561EC"/>
    <w:rsid w:val="00B565B7"/>
    <w:rsid w:val="00B56628"/>
    <w:rsid w:val="00B5692E"/>
    <w:rsid w:val="00B56A54"/>
    <w:rsid w:val="00B56DFF"/>
    <w:rsid w:val="00B56EFB"/>
    <w:rsid w:val="00B57344"/>
    <w:rsid w:val="00B57743"/>
    <w:rsid w:val="00B57A89"/>
    <w:rsid w:val="00B57E51"/>
    <w:rsid w:val="00B6062F"/>
    <w:rsid w:val="00B60639"/>
    <w:rsid w:val="00B606CD"/>
    <w:rsid w:val="00B6075E"/>
    <w:rsid w:val="00B608DB"/>
    <w:rsid w:val="00B609CE"/>
    <w:rsid w:val="00B60AA9"/>
    <w:rsid w:val="00B60B58"/>
    <w:rsid w:val="00B60F04"/>
    <w:rsid w:val="00B61005"/>
    <w:rsid w:val="00B61098"/>
    <w:rsid w:val="00B614A0"/>
    <w:rsid w:val="00B61CF6"/>
    <w:rsid w:val="00B61D62"/>
    <w:rsid w:val="00B61ECC"/>
    <w:rsid w:val="00B62108"/>
    <w:rsid w:val="00B62321"/>
    <w:rsid w:val="00B6244B"/>
    <w:rsid w:val="00B6247F"/>
    <w:rsid w:val="00B6255B"/>
    <w:rsid w:val="00B628B3"/>
    <w:rsid w:val="00B62983"/>
    <w:rsid w:val="00B62D52"/>
    <w:rsid w:val="00B63015"/>
    <w:rsid w:val="00B6335B"/>
    <w:rsid w:val="00B6338B"/>
    <w:rsid w:val="00B638DC"/>
    <w:rsid w:val="00B63A2E"/>
    <w:rsid w:val="00B63C6F"/>
    <w:rsid w:val="00B63DB5"/>
    <w:rsid w:val="00B64259"/>
    <w:rsid w:val="00B6430F"/>
    <w:rsid w:val="00B64A89"/>
    <w:rsid w:val="00B64F90"/>
    <w:rsid w:val="00B650B6"/>
    <w:rsid w:val="00B65654"/>
    <w:rsid w:val="00B65A90"/>
    <w:rsid w:val="00B6612B"/>
    <w:rsid w:val="00B66208"/>
    <w:rsid w:val="00B667C4"/>
    <w:rsid w:val="00B66F5D"/>
    <w:rsid w:val="00B6718D"/>
    <w:rsid w:val="00B67326"/>
    <w:rsid w:val="00B67698"/>
    <w:rsid w:val="00B676B2"/>
    <w:rsid w:val="00B676F5"/>
    <w:rsid w:val="00B677E7"/>
    <w:rsid w:val="00B678C8"/>
    <w:rsid w:val="00B679FB"/>
    <w:rsid w:val="00B67BC9"/>
    <w:rsid w:val="00B700A1"/>
    <w:rsid w:val="00B70130"/>
    <w:rsid w:val="00B701FB"/>
    <w:rsid w:val="00B7038E"/>
    <w:rsid w:val="00B70500"/>
    <w:rsid w:val="00B70518"/>
    <w:rsid w:val="00B706D7"/>
    <w:rsid w:val="00B706F2"/>
    <w:rsid w:val="00B70B8A"/>
    <w:rsid w:val="00B70C7C"/>
    <w:rsid w:val="00B70CD8"/>
    <w:rsid w:val="00B70D37"/>
    <w:rsid w:val="00B70DF7"/>
    <w:rsid w:val="00B70EE6"/>
    <w:rsid w:val="00B70F3C"/>
    <w:rsid w:val="00B71012"/>
    <w:rsid w:val="00B71291"/>
    <w:rsid w:val="00B71641"/>
    <w:rsid w:val="00B716B4"/>
    <w:rsid w:val="00B71869"/>
    <w:rsid w:val="00B7196C"/>
    <w:rsid w:val="00B71D05"/>
    <w:rsid w:val="00B7243B"/>
    <w:rsid w:val="00B724A4"/>
    <w:rsid w:val="00B7269C"/>
    <w:rsid w:val="00B72731"/>
    <w:rsid w:val="00B72808"/>
    <w:rsid w:val="00B72A16"/>
    <w:rsid w:val="00B731F9"/>
    <w:rsid w:val="00B7328C"/>
    <w:rsid w:val="00B73903"/>
    <w:rsid w:val="00B73A51"/>
    <w:rsid w:val="00B73F95"/>
    <w:rsid w:val="00B74678"/>
    <w:rsid w:val="00B746F9"/>
    <w:rsid w:val="00B74BE5"/>
    <w:rsid w:val="00B74E28"/>
    <w:rsid w:val="00B755AC"/>
    <w:rsid w:val="00B75773"/>
    <w:rsid w:val="00B75F45"/>
    <w:rsid w:val="00B77237"/>
    <w:rsid w:val="00B772E7"/>
    <w:rsid w:val="00B77428"/>
    <w:rsid w:val="00B777C2"/>
    <w:rsid w:val="00B77848"/>
    <w:rsid w:val="00B77A22"/>
    <w:rsid w:val="00B77D15"/>
    <w:rsid w:val="00B77EBA"/>
    <w:rsid w:val="00B80AAA"/>
    <w:rsid w:val="00B80AC1"/>
    <w:rsid w:val="00B80AD8"/>
    <w:rsid w:val="00B80BC2"/>
    <w:rsid w:val="00B80CCB"/>
    <w:rsid w:val="00B811C4"/>
    <w:rsid w:val="00B819AB"/>
    <w:rsid w:val="00B819DA"/>
    <w:rsid w:val="00B82550"/>
    <w:rsid w:val="00B82B15"/>
    <w:rsid w:val="00B82E52"/>
    <w:rsid w:val="00B830C8"/>
    <w:rsid w:val="00B8329D"/>
    <w:rsid w:val="00B836BE"/>
    <w:rsid w:val="00B837D5"/>
    <w:rsid w:val="00B83A8D"/>
    <w:rsid w:val="00B83DE7"/>
    <w:rsid w:val="00B83F43"/>
    <w:rsid w:val="00B841C8"/>
    <w:rsid w:val="00B84270"/>
    <w:rsid w:val="00B843F1"/>
    <w:rsid w:val="00B844D2"/>
    <w:rsid w:val="00B846C8"/>
    <w:rsid w:val="00B846E3"/>
    <w:rsid w:val="00B84C71"/>
    <w:rsid w:val="00B84CEE"/>
    <w:rsid w:val="00B84CFB"/>
    <w:rsid w:val="00B84EF0"/>
    <w:rsid w:val="00B8511F"/>
    <w:rsid w:val="00B85134"/>
    <w:rsid w:val="00B852B9"/>
    <w:rsid w:val="00B85486"/>
    <w:rsid w:val="00B85861"/>
    <w:rsid w:val="00B85876"/>
    <w:rsid w:val="00B85B5C"/>
    <w:rsid w:val="00B85CB6"/>
    <w:rsid w:val="00B85F61"/>
    <w:rsid w:val="00B85FE7"/>
    <w:rsid w:val="00B86041"/>
    <w:rsid w:val="00B8609A"/>
    <w:rsid w:val="00B8629F"/>
    <w:rsid w:val="00B86C65"/>
    <w:rsid w:val="00B86DBD"/>
    <w:rsid w:val="00B871BF"/>
    <w:rsid w:val="00B8735F"/>
    <w:rsid w:val="00B8742E"/>
    <w:rsid w:val="00B8763F"/>
    <w:rsid w:val="00B876AD"/>
    <w:rsid w:val="00B876F1"/>
    <w:rsid w:val="00B87813"/>
    <w:rsid w:val="00B87D08"/>
    <w:rsid w:val="00B90376"/>
    <w:rsid w:val="00B905D1"/>
    <w:rsid w:val="00B90A85"/>
    <w:rsid w:val="00B90B1D"/>
    <w:rsid w:val="00B90DF3"/>
    <w:rsid w:val="00B91FC6"/>
    <w:rsid w:val="00B92175"/>
    <w:rsid w:val="00B922D5"/>
    <w:rsid w:val="00B927DC"/>
    <w:rsid w:val="00B92DEA"/>
    <w:rsid w:val="00B92E4E"/>
    <w:rsid w:val="00B93102"/>
    <w:rsid w:val="00B9347D"/>
    <w:rsid w:val="00B935E1"/>
    <w:rsid w:val="00B9379D"/>
    <w:rsid w:val="00B93801"/>
    <w:rsid w:val="00B93930"/>
    <w:rsid w:val="00B93B33"/>
    <w:rsid w:val="00B93E1B"/>
    <w:rsid w:val="00B93ED6"/>
    <w:rsid w:val="00B941B4"/>
    <w:rsid w:val="00B943DA"/>
    <w:rsid w:val="00B9457A"/>
    <w:rsid w:val="00B947C1"/>
    <w:rsid w:val="00B94A23"/>
    <w:rsid w:val="00B94F24"/>
    <w:rsid w:val="00B95105"/>
    <w:rsid w:val="00B9525A"/>
    <w:rsid w:val="00B954E9"/>
    <w:rsid w:val="00B957CB"/>
    <w:rsid w:val="00B95A9D"/>
    <w:rsid w:val="00B95F02"/>
    <w:rsid w:val="00B96163"/>
    <w:rsid w:val="00B9647D"/>
    <w:rsid w:val="00B9657C"/>
    <w:rsid w:val="00B967ED"/>
    <w:rsid w:val="00B96AC5"/>
    <w:rsid w:val="00B96C8D"/>
    <w:rsid w:val="00B97192"/>
    <w:rsid w:val="00B974E7"/>
    <w:rsid w:val="00B97985"/>
    <w:rsid w:val="00B97A5E"/>
    <w:rsid w:val="00B97E08"/>
    <w:rsid w:val="00B97E20"/>
    <w:rsid w:val="00B97E3F"/>
    <w:rsid w:val="00BA0461"/>
    <w:rsid w:val="00BA072C"/>
    <w:rsid w:val="00BA0850"/>
    <w:rsid w:val="00BA0A3D"/>
    <w:rsid w:val="00BA0E8B"/>
    <w:rsid w:val="00BA0E8E"/>
    <w:rsid w:val="00BA1034"/>
    <w:rsid w:val="00BA1083"/>
    <w:rsid w:val="00BA1088"/>
    <w:rsid w:val="00BA11E1"/>
    <w:rsid w:val="00BA1297"/>
    <w:rsid w:val="00BA135E"/>
    <w:rsid w:val="00BA17A6"/>
    <w:rsid w:val="00BA1EC7"/>
    <w:rsid w:val="00BA1F62"/>
    <w:rsid w:val="00BA2162"/>
    <w:rsid w:val="00BA255B"/>
    <w:rsid w:val="00BA2598"/>
    <w:rsid w:val="00BA2608"/>
    <w:rsid w:val="00BA26D4"/>
    <w:rsid w:val="00BA274A"/>
    <w:rsid w:val="00BA275E"/>
    <w:rsid w:val="00BA2933"/>
    <w:rsid w:val="00BA317E"/>
    <w:rsid w:val="00BA3199"/>
    <w:rsid w:val="00BA31E7"/>
    <w:rsid w:val="00BA3383"/>
    <w:rsid w:val="00BA36AC"/>
    <w:rsid w:val="00BA3988"/>
    <w:rsid w:val="00BA42D5"/>
    <w:rsid w:val="00BA49C9"/>
    <w:rsid w:val="00BA4C17"/>
    <w:rsid w:val="00BA4D5E"/>
    <w:rsid w:val="00BA4DDA"/>
    <w:rsid w:val="00BA4E71"/>
    <w:rsid w:val="00BA4F29"/>
    <w:rsid w:val="00BA52F6"/>
    <w:rsid w:val="00BA5448"/>
    <w:rsid w:val="00BA5AB2"/>
    <w:rsid w:val="00BA5C71"/>
    <w:rsid w:val="00BA6211"/>
    <w:rsid w:val="00BA6222"/>
    <w:rsid w:val="00BA67B1"/>
    <w:rsid w:val="00BA6934"/>
    <w:rsid w:val="00BA6A5F"/>
    <w:rsid w:val="00BA6EAC"/>
    <w:rsid w:val="00BA6FE6"/>
    <w:rsid w:val="00BA7189"/>
    <w:rsid w:val="00BA752C"/>
    <w:rsid w:val="00BA7A68"/>
    <w:rsid w:val="00BA7B87"/>
    <w:rsid w:val="00BA7DB0"/>
    <w:rsid w:val="00BA7FE8"/>
    <w:rsid w:val="00BB00D5"/>
    <w:rsid w:val="00BB024B"/>
    <w:rsid w:val="00BB06B3"/>
    <w:rsid w:val="00BB0CFD"/>
    <w:rsid w:val="00BB1365"/>
    <w:rsid w:val="00BB1497"/>
    <w:rsid w:val="00BB15C7"/>
    <w:rsid w:val="00BB160D"/>
    <w:rsid w:val="00BB1823"/>
    <w:rsid w:val="00BB1916"/>
    <w:rsid w:val="00BB20A7"/>
    <w:rsid w:val="00BB237F"/>
    <w:rsid w:val="00BB2788"/>
    <w:rsid w:val="00BB27B9"/>
    <w:rsid w:val="00BB2B42"/>
    <w:rsid w:val="00BB2D01"/>
    <w:rsid w:val="00BB2E29"/>
    <w:rsid w:val="00BB2F32"/>
    <w:rsid w:val="00BB317D"/>
    <w:rsid w:val="00BB34B0"/>
    <w:rsid w:val="00BB3505"/>
    <w:rsid w:val="00BB3804"/>
    <w:rsid w:val="00BB3851"/>
    <w:rsid w:val="00BB3942"/>
    <w:rsid w:val="00BB3CD5"/>
    <w:rsid w:val="00BB3D75"/>
    <w:rsid w:val="00BB41FF"/>
    <w:rsid w:val="00BB4687"/>
    <w:rsid w:val="00BB4B16"/>
    <w:rsid w:val="00BB4BA7"/>
    <w:rsid w:val="00BB4EE2"/>
    <w:rsid w:val="00BB5351"/>
    <w:rsid w:val="00BB5E4D"/>
    <w:rsid w:val="00BB5E5B"/>
    <w:rsid w:val="00BB6395"/>
    <w:rsid w:val="00BB6730"/>
    <w:rsid w:val="00BB6AA8"/>
    <w:rsid w:val="00BB6CEF"/>
    <w:rsid w:val="00BB7723"/>
    <w:rsid w:val="00BB7A36"/>
    <w:rsid w:val="00BB7A71"/>
    <w:rsid w:val="00BB7DDA"/>
    <w:rsid w:val="00BB7EA4"/>
    <w:rsid w:val="00BC015C"/>
    <w:rsid w:val="00BC0186"/>
    <w:rsid w:val="00BC047D"/>
    <w:rsid w:val="00BC05CE"/>
    <w:rsid w:val="00BC0850"/>
    <w:rsid w:val="00BC0B78"/>
    <w:rsid w:val="00BC14F8"/>
    <w:rsid w:val="00BC177E"/>
    <w:rsid w:val="00BC1949"/>
    <w:rsid w:val="00BC1A62"/>
    <w:rsid w:val="00BC1BE7"/>
    <w:rsid w:val="00BC2096"/>
    <w:rsid w:val="00BC20C2"/>
    <w:rsid w:val="00BC2626"/>
    <w:rsid w:val="00BC26F7"/>
    <w:rsid w:val="00BC270A"/>
    <w:rsid w:val="00BC2799"/>
    <w:rsid w:val="00BC292B"/>
    <w:rsid w:val="00BC3229"/>
    <w:rsid w:val="00BC3249"/>
    <w:rsid w:val="00BC329A"/>
    <w:rsid w:val="00BC32D3"/>
    <w:rsid w:val="00BC35FF"/>
    <w:rsid w:val="00BC39AD"/>
    <w:rsid w:val="00BC3D65"/>
    <w:rsid w:val="00BC3F80"/>
    <w:rsid w:val="00BC409D"/>
    <w:rsid w:val="00BC40A3"/>
    <w:rsid w:val="00BC43B4"/>
    <w:rsid w:val="00BC440D"/>
    <w:rsid w:val="00BC47AF"/>
    <w:rsid w:val="00BC4B2A"/>
    <w:rsid w:val="00BC4E0A"/>
    <w:rsid w:val="00BC5265"/>
    <w:rsid w:val="00BC52DB"/>
    <w:rsid w:val="00BC5406"/>
    <w:rsid w:val="00BC5709"/>
    <w:rsid w:val="00BC5EE6"/>
    <w:rsid w:val="00BC60F8"/>
    <w:rsid w:val="00BC64DC"/>
    <w:rsid w:val="00BC64FE"/>
    <w:rsid w:val="00BC702B"/>
    <w:rsid w:val="00BC7102"/>
    <w:rsid w:val="00BC7277"/>
    <w:rsid w:val="00BC72F2"/>
    <w:rsid w:val="00BC7494"/>
    <w:rsid w:val="00BC776D"/>
    <w:rsid w:val="00BC79BB"/>
    <w:rsid w:val="00BC7DE9"/>
    <w:rsid w:val="00BD02A9"/>
    <w:rsid w:val="00BD0628"/>
    <w:rsid w:val="00BD06BB"/>
    <w:rsid w:val="00BD0A2A"/>
    <w:rsid w:val="00BD13E4"/>
    <w:rsid w:val="00BD14B0"/>
    <w:rsid w:val="00BD1A49"/>
    <w:rsid w:val="00BD1BB6"/>
    <w:rsid w:val="00BD1D3F"/>
    <w:rsid w:val="00BD21D6"/>
    <w:rsid w:val="00BD225F"/>
    <w:rsid w:val="00BD2607"/>
    <w:rsid w:val="00BD2D68"/>
    <w:rsid w:val="00BD2EA8"/>
    <w:rsid w:val="00BD2FE5"/>
    <w:rsid w:val="00BD3022"/>
    <w:rsid w:val="00BD3061"/>
    <w:rsid w:val="00BD3107"/>
    <w:rsid w:val="00BD342E"/>
    <w:rsid w:val="00BD346B"/>
    <w:rsid w:val="00BD3B64"/>
    <w:rsid w:val="00BD3C13"/>
    <w:rsid w:val="00BD3C4C"/>
    <w:rsid w:val="00BD45A3"/>
    <w:rsid w:val="00BD4638"/>
    <w:rsid w:val="00BD473E"/>
    <w:rsid w:val="00BD4CED"/>
    <w:rsid w:val="00BD513A"/>
    <w:rsid w:val="00BD5193"/>
    <w:rsid w:val="00BD5461"/>
    <w:rsid w:val="00BD54AF"/>
    <w:rsid w:val="00BD5552"/>
    <w:rsid w:val="00BD55D8"/>
    <w:rsid w:val="00BD5618"/>
    <w:rsid w:val="00BD57C7"/>
    <w:rsid w:val="00BD59EA"/>
    <w:rsid w:val="00BD5B4F"/>
    <w:rsid w:val="00BD5EC0"/>
    <w:rsid w:val="00BD5EE3"/>
    <w:rsid w:val="00BD619D"/>
    <w:rsid w:val="00BD62D7"/>
    <w:rsid w:val="00BD64CC"/>
    <w:rsid w:val="00BD6526"/>
    <w:rsid w:val="00BD65BD"/>
    <w:rsid w:val="00BD6741"/>
    <w:rsid w:val="00BD677F"/>
    <w:rsid w:val="00BD6824"/>
    <w:rsid w:val="00BD6E40"/>
    <w:rsid w:val="00BD717C"/>
    <w:rsid w:val="00BD7261"/>
    <w:rsid w:val="00BD77D6"/>
    <w:rsid w:val="00BD7883"/>
    <w:rsid w:val="00BD79F1"/>
    <w:rsid w:val="00BE0967"/>
    <w:rsid w:val="00BE0EB3"/>
    <w:rsid w:val="00BE1B4B"/>
    <w:rsid w:val="00BE23FE"/>
    <w:rsid w:val="00BE2425"/>
    <w:rsid w:val="00BE2A3B"/>
    <w:rsid w:val="00BE2B58"/>
    <w:rsid w:val="00BE2C7D"/>
    <w:rsid w:val="00BE2DA9"/>
    <w:rsid w:val="00BE2DD5"/>
    <w:rsid w:val="00BE2E7F"/>
    <w:rsid w:val="00BE3591"/>
    <w:rsid w:val="00BE3862"/>
    <w:rsid w:val="00BE3B5F"/>
    <w:rsid w:val="00BE3BB5"/>
    <w:rsid w:val="00BE3D02"/>
    <w:rsid w:val="00BE3DEE"/>
    <w:rsid w:val="00BE4151"/>
    <w:rsid w:val="00BE431E"/>
    <w:rsid w:val="00BE477D"/>
    <w:rsid w:val="00BE4887"/>
    <w:rsid w:val="00BE48F7"/>
    <w:rsid w:val="00BE4DF3"/>
    <w:rsid w:val="00BE5373"/>
    <w:rsid w:val="00BE53E1"/>
    <w:rsid w:val="00BE56B0"/>
    <w:rsid w:val="00BE574B"/>
    <w:rsid w:val="00BE5791"/>
    <w:rsid w:val="00BE592F"/>
    <w:rsid w:val="00BE5AE3"/>
    <w:rsid w:val="00BE6322"/>
    <w:rsid w:val="00BE6554"/>
    <w:rsid w:val="00BE65A5"/>
    <w:rsid w:val="00BE68C6"/>
    <w:rsid w:val="00BE6C10"/>
    <w:rsid w:val="00BE6E16"/>
    <w:rsid w:val="00BE6F54"/>
    <w:rsid w:val="00BE70B5"/>
    <w:rsid w:val="00BE70BA"/>
    <w:rsid w:val="00BE7236"/>
    <w:rsid w:val="00BE7867"/>
    <w:rsid w:val="00BE7911"/>
    <w:rsid w:val="00BE7BCE"/>
    <w:rsid w:val="00BE7CC0"/>
    <w:rsid w:val="00BE7D17"/>
    <w:rsid w:val="00BF010D"/>
    <w:rsid w:val="00BF022A"/>
    <w:rsid w:val="00BF0438"/>
    <w:rsid w:val="00BF0A66"/>
    <w:rsid w:val="00BF0B8D"/>
    <w:rsid w:val="00BF10EE"/>
    <w:rsid w:val="00BF1768"/>
    <w:rsid w:val="00BF1849"/>
    <w:rsid w:val="00BF18BA"/>
    <w:rsid w:val="00BF221C"/>
    <w:rsid w:val="00BF230B"/>
    <w:rsid w:val="00BF2C1E"/>
    <w:rsid w:val="00BF2E64"/>
    <w:rsid w:val="00BF2F7A"/>
    <w:rsid w:val="00BF32B7"/>
    <w:rsid w:val="00BF344A"/>
    <w:rsid w:val="00BF36BA"/>
    <w:rsid w:val="00BF38C8"/>
    <w:rsid w:val="00BF3F2B"/>
    <w:rsid w:val="00BF40F5"/>
    <w:rsid w:val="00BF42A0"/>
    <w:rsid w:val="00BF4427"/>
    <w:rsid w:val="00BF44C9"/>
    <w:rsid w:val="00BF44F5"/>
    <w:rsid w:val="00BF4865"/>
    <w:rsid w:val="00BF4957"/>
    <w:rsid w:val="00BF4D60"/>
    <w:rsid w:val="00BF519D"/>
    <w:rsid w:val="00BF544A"/>
    <w:rsid w:val="00BF54CE"/>
    <w:rsid w:val="00BF554F"/>
    <w:rsid w:val="00BF560C"/>
    <w:rsid w:val="00BF56D2"/>
    <w:rsid w:val="00BF5793"/>
    <w:rsid w:val="00BF5B88"/>
    <w:rsid w:val="00BF65B6"/>
    <w:rsid w:val="00BF6951"/>
    <w:rsid w:val="00BF6DAC"/>
    <w:rsid w:val="00BF6EB8"/>
    <w:rsid w:val="00BF6F90"/>
    <w:rsid w:val="00BF6FE9"/>
    <w:rsid w:val="00BF7229"/>
    <w:rsid w:val="00BF72D7"/>
    <w:rsid w:val="00BF731F"/>
    <w:rsid w:val="00BF74F0"/>
    <w:rsid w:val="00BF78E3"/>
    <w:rsid w:val="00BF7BC6"/>
    <w:rsid w:val="00C00662"/>
    <w:rsid w:val="00C007DA"/>
    <w:rsid w:val="00C00959"/>
    <w:rsid w:val="00C00A71"/>
    <w:rsid w:val="00C00A73"/>
    <w:rsid w:val="00C00AD6"/>
    <w:rsid w:val="00C00BEB"/>
    <w:rsid w:val="00C00F1F"/>
    <w:rsid w:val="00C010C2"/>
    <w:rsid w:val="00C01213"/>
    <w:rsid w:val="00C019D1"/>
    <w:rsid w:val="00C02138"/>
    <w:rsid w:val="00C0238E"/>
    <w:rsid w:val="00C02F2E"/>
    <w:rsid w:val="00C03136"/>
    <w:rsid w:val="00C03D57"/>
    <w:rsid w:val="00C0440D"/>
    <w:rsid w:val="00C0481B"/>
    <w:rsid w:val="00C05571"/>
    <w:rsid w:val="00C05999"/>
    <w:rsid w:val="00C05A50"/>
    <w:rsid w:val="00C05BCE"/>
    <w:rsid w:val="00C05CB6"/>
    <w:rsid w:val="00C061CC"/>
    <w:rsid w:val="00C06380"/>
    <w:rsid w:val="00C06682"/>
    <w:rsid w:val="00C066D7"/>
    <w:rsid w:val="00C06878"/>
    <w:rsid w:val="00C06E7F"/>
    <w:rsid w:val="00C07285"/>
    <w:rsid w:val="00C07343"/>
    <w:rsid w:val="00C0746F"/>
    <w:rsid w:val="00C07609"/>
    <w:rsid w:val="00C076A2"/>
    <w:rsid w:val="00C07B6B"/>
    <w:rsid w:val="00C07C38"/>
    <w:rsid w:val="00C07E82"/>
    <w:rsid w:val="00C07F1E"/>
    <w:rsid w:val="00C07F71"/>
    <w:rsid w:val="00C07F7F"/>
    <w:rsid w:val="00C1000D"/>
    <w:rsid w:val="00C10020"/>
    <w:rsid w:val="00C10138"/>
    <w:rsid w:val="00C10655"/>
    <w:rsid w:val="00C107E7"/>
    <w:rsid w:val="00C10820"/>
    <w:rsid w:val="00C10A17"/>
    <w:rsid w:val="00C10CE7"/>
    <w:rsid w:val="00C11104"/>
    <w:rsid w:val="00C1115D"/>
    <w:rsid w:val="00C11195"/>
    <w:rsid w:val="00C11375"/>
    <w:rsid w:val="00C11861"/>
    <w:rsid w:val="00C11956"/>
    <w:rsid w:val="00C11FDA"/>
    <w:rsid w:val="00C1240B"/>
    <w:rsid w:val="00C12665"/>
    <w:rsid w:val="00C12824"/>
    <w:rsid w:val="00C1287F"/>
    <w:rsid w:val="00C12C13"/>
    <w:rsid w:val="00C132EC"/>
    <w:rsid w:val="00C1341B"/>
    <w:rsid w:val="00C135A1"/>
    <w:rsid w:val="00C13BA5"/>
    <w:rsid w:val="00C13C1C"/>
    <w:rsid w:val="00C13F7C"/>
    <w:rsid w:val="00C140D3"/>
    <w:rsid w:val="00C142B4"/>
    <w:rsid w:val="00C1481D"/>
    <w:rsid w:val="00C14E84"/>
    <w:rsid w:val="00C1545D"/>
    <w:rsid w:val="00C1567E"/>
    <w:rsid w:val="00C15CCE"/>
    <w:rsid w:val="00C16097"/>
    <w:rsid w:val="00C16145"/>
    <w:rsid w:val="00C161EF"/>
    <w:rsid w:val="00C167D8"/>
    <w:rsid w:val="00C1686A"/>
    <w:rsid w:val="00C168C4"/>
    <w:rsid w:val="00C172CB"/>
    <w:rsid w:val="00C176C2"/>
    <w:rsid w:val="00C176D6"/>
    <w:rsid w:val="00C178C2"/>
    <w:rsid w:val="00C17992"/>
    <w:rsid w:val="00C17A42"/>
    <w:rsid w:val="00C17E82"/>
    <w:rsid w:val="00C17EED"/>
    <w:rsid w:val="00C205A9"/>
    <w:rsid w:val="00C2064B"/>
    <w:rsid w:val="00C2081A"/>
    <w:rsid w:val="00C20CD3"/>
    <w:rsid w:val="00C20DCE"/>
    <w:rsid w:val="00C2102B"/>
    <w:rsid w:val="00C21202"/>
    <w:rsid w:val="00C21263"/>
    <w:rsid w:val="00C2155F"/>
    <w:rsid w:val="00C21987"/>
    <w:rsid w:val="00C223DD"/>
    <w:rsid w:val="00C22992"/>
    <w:rsid w:val="00C22A17"/>
    <w:rsid w:val="00C22A5E"/>
    <w:rsid w:val="00C22BD5"/>
    <w:rsid w:val="00C22CB6"/>
    <w:rsid w:val="00C22CF1"/>
    <w:rsid w:val="00C22E17"/>
    <w:rsid w:val="00C23068"/>
    <w:rsid w:val="00C23182"/>
    <w:rsid w:val="00C23256"/>
    <w:rsid w:val="00C233A9"/>
    <w:rsid w:val="00C233CC"/>
    <w:rsid w:val="00C2366E"/>
    <w:rsid w:val="00C23700"/>
    <w:rsid w:val="00C238D9"/>
    <w:rsid w:val="00C23CA9"/>
    <w:rsid w:val="00C2417B"/>
    <w:rsid w:val="00C24381"/>
    <w:rsid w:val="00C24533"/>
    <w:rsid w:val="00C251AB"/>
    <w:rsid w:val="00C255AD"/>
    <w:rsid w:val="00C25790"/>
    <w:rsid w:val="00C25A72"/>
    <w:rsid w:val="00C26192"/>
    <w:rsid w:val="00C26736"/>
    <w:rsid w:val="00C26A20"/>
    <w:rsid w:val="00C26A2E"/>
    <w:rsid w:val="00C26F95"/>
    <w:rsid w:val="00C2735F"/>
    <w:rsid w:val="00C273C3"/>
    <w:rsid w:val="00C2763F"/>
    <w:rsid w:val="00C27672"/>
    <w:rsid w:val="00C27CB7"/>
    <w:rsid w:val="00C27E13"/>
    <w:rsid w:val="00C27EB7"/>
    <w:rsid w:val="00C27ED9"/>
    <w:rsid w:val="00C27FAC"/>
    <w:rsid w:val="00C302B8"/>
    <w:rsid w:val="00C3046E"/>
    <w:rsid w:val="00C304B2"/>
    <w:rsid w:val="00C30A86"/>
    <w:rsid w:val="00C30B42"/>
    <w:rsid w:val="00C31428"/>
    <w:rsid w:val="00C3164A"/>
    <w:rsid w:val="00C319F3"/>
    <w:rsid w:val="00C31E7D"/>
    <w:rsid w:val="00C32037"/>
    <w:rsid w:val="00C324F5"/>
    <w:rsid w:val="00C3255F"/>
    <w:rsid w:val="00C325B7"/>
    <w:rsid w:val="00C328ED"/>
    <w:rsid w:val="00C3297B"/>
    <w:rsid w:val="00C32C18"/>
    <w:rsid w:val="00C32E4A"/>
    <w:rsid w:val="00C32F65"/>
    <w:rsid w:val="00C32F9A"/>
    <w:rsid w:val="00C3322B"/>
    <w:rsid w:val="00C337E7"/>
    <w:rsid w:val="00C33956"/>
    <w:rsid w:val="00C33A16"/>
    <w:rsid w:val="00C33A8F"/>
    <w:rsid w:val="00C33C74"/>
    <w:rsid w:val="00C33D9F"/>
    <w:rsid w:val="00C33E1C"/>
    <w:rsid w:val="00C3488C"/>
    <w:rsid w:val="00C348F8"/>
    <w:rsid w:val="00C3498A"/>
    <w:rsid w:val="00C34E72"/>
    <w:rsid w:val="00C354B1"/>
    <w:rsid w:val="00C35508"/>
    <w:rsid w:val="00C35A93"/>
    <w:rsid w:val="00C35AB8"/>
    <w:rsid w:val="00C35E2E"/>
    <w:rsid w:val="00C35F8B"/>
    <w:rsid w:val="00C36277"/>
    <w:rsid w:val="00C36295"/>
    <w:rsid w:val="00C36434"/>
    <w:rsid w:val="00C366C6"/>
    <w:rsid w:val="00C3697B"/>
    <w:rsid w:val="00C37012"/>
    <w:rsid w:val="00C37195"/>
    <w:rsid w:val="00C3742B"/>
    <w:rsid w:val="00C37A0C"/>
    <w:rsid w:val="00C37C4F"/>
    <w:rsid w:val="00C400E3"/>
    <w:rsid w:val="00C4011E"/>
    <w:rsid w:val="00C402DD"/>
    <w:rsid w:val="00C40689"/>
    <w:rsid w:val="00C406BB"/>
    <w:rsid w:val="00C40792"/>
    <w:rsid w:val="00C407FA"/>
    <w:rsid w:val="00C4086F"/>
    <w:rsid w:val="00C40891"/>
    <w:rsid w:val="00C40F4A"/>
    <w:rsid w:val="00C41BC5"/>
    <w:rsid w:val="00C431B1"/>
    <w:rsid w:val="00C432C1"/>
    <w:rsid w:val="00C4347D"/>
    <w:rsid w:val="00C436AE"/>
    <w:rsid w:val="00C4386B"/>
    <w:rsid w:val="00C43875"/>
    <w:rsid w:val="00C4387F"/>
    <w:rsid w:val="00C43AA0"/>
    <w:rsid w:val="00C43AC9"/>
    <w:rsid w:val="00C44548"/>
    <w:rsid w:val="00C4484F"/>
    <w:rsid w:val="00C449C7"/>
    <w:rsid w:val="00C44A14"/>
    <w:rsid w:val="00C44A16"/>
    <w:rsid w:val="00C44AFD"/>
    <w:rsid w:val="00C44D1E"/>
    <w:rsid w:val="00C450C7"/>
    <w:rsid w:val="00C45372"/>
    <w:rsid w:val="00C453E7"/>
    <w:rsid w:val="00C453F1"/>
    <w:rsid w:val="00C4562F"/>
    <w:rsid w:val="00C459EA"/>
    <w:rsid w:val="00C45B95"/>
    <w:rsid w:val="00C45C35"/>
    <w:rsid w:val="00C45C6A"/>
    <w:rsid w:val="00C46733"/>
    <w:rsid w:val="00C46C48"/>
    <w:rsid w:val="00C46C6E"/>
    <w:rsid w:val="00C46CCF"/>
    <w:rsid w:val="00C46DBB"/>
    <w:rsid w:val="00C46E45"/>
    <w:rsid w:val="00C46EA3"/>
    <w:rsid w:val="00C470C5"/>
    <w:rsid w:val="00C474BC"/>
    <w:rsid w:val="00C47834"/>
    <w:rsid w:val="00C4784B"/>
    <w:rsid w:val="00C47AD5"/>
    <w:rsid w:val="00C47C49"/>
    <w:rsid w:val="00C47C83"/>
    <w:rsid w:val="00C47CA3"/>
    <w:rsid w:val="00C47E1D"/>
    <w:rsid w:val="00C5004A"/>
    <w:rsid w:val="00C5009D"/>
    <w:rsid w:val="00C50171"/>
    <w:rsid w:val="00C5022A"/>
    <w:rsid w:val="00C502C8"/>
    <w:rsid w:val="00C50308"/>
    <w:rsid w:val="00C503C6"/>
    <w:rsid w:val="00C505E0"/>
    <w:rsid w:val="00C50A10"/>
    <w:rsid w:val="00C50F17"/>
    <w:rsid w:val="00C51303"/>
    <w:rsid w:val="00C5131D"/>
    <w:rsid w:val="00C51721"/>
    <w:rsid w:val="00C51A13"/>
    <w:rsid w:val="00C51BB3"/>
    <w:rsid w:val="00C51C36"/>
    <w:rsid w:val="00C51D2D"/>
    <w:rsid w:val="00C52031"/>
    <w:rsid w:val="00C525CB"/>
    <w:rsid w:val="00C52782"/>
    <w:rsid w:val="00C52BF4"/>
    <w:rsid w:val="00C52E2A"/>
    <w:rsid w:val="00C5312E"/>
    <w:rsid w:val="00C53151"/>
    <w:rsid w:val="00C53190"/>
    <w:rsid w:val="00C5376D"/>
    <w:rsid w:val="00C53979"/>
    <w:rsid w:val="00C53AF2"/>
    <w:rsid w:val="00C53E51"/>
    <w:rsid w:val="00C54099"/>
    <w:rsid w:val="00C543E8"/>
    <w:rsid w:val="00C547EF"/>
    <w:rsid w:val="00C548DA"/>
    <w:rsid w:val="00C549C9"/>
    <w:rsid w:val="00C549D8"/>
    <w:rsid w:val="00C55014"/>
    <w:rsid w:val="00C55529"/>
    <w:rsid w:val="00C5554C"/>
    <w:rsid w:val="00C55A11"/>
    <w:rsid w:val="00C55ABE"/>
    <w:rsid w:val="00C55ADB"/>
    <w:rsid w:val="00C55BA4"/>
    <w:rsid w:val="00C56094"/>
    <w:rsid w:val="00C5615C"/>
    <w:rsid w:val="00C56ABF"/>
    <w:rsid w:val="00C56B0F"/>
    <w:rsid w:val="00C56CCC"/>
    <w:rsid w:val="00C56FD5"/>
    <w:rsid w:val="00C57116"/>
    <w:rsid w:val="00C57618"/>
    <w:rsid w:val="00C57AE2"/>
    <w:rsid w:val="00C57CCB"/>
    <w:rsid w:val="00C57FD8"/>
    <w:rsid w:val="00C602C5"/>
    <w:rsid w:val="00C604B3"/>
    <w:rsid w:val="00C60730"/>
    <w:rsid w:val="00C60756"/>
    <w:rsid w:val="00C6167D"/>
    <w:rsid w:val="00C617F4"/>
    <w:rsid w:val="00C61D80"/>
    <w:rsid w:val="00C61F3C"/>
    <w:rsid w:val="00C627C6"/>
    <w:rsid w:val="00C62905"/>
    <w:rsid w:val="00C62BF3"/>
    <w:rsid w:val="00C6305B"/>
    <w:rsid w:val="00C633C3"/>
    <w:rsid w:val="00C635CA"/>
    <w:rsid w:val="00C63762"/>
    <w:rsid w:val="00C63916"/>
    <w:rsid w:val="00C63C18"/>
    <w:rsid w:val="00C64075"/>
    <w:rsid w:val="00C642D7"/>
    <w:rsid w:val="00C644FD"/>
    <w:rsid w:val="00C64541"/>
    <w:rsid w:val="00C64A88"/>
    <w:rsid w:val="00C64B07"/>
    <w:rsid w:val="00C64B74"/>
    <w:rsid w:val="00C6501C"/>
    <w:rsid w:val="00C65373"/>
    <w:rsid w:val="00C65548"/>
    <w:rsid w:val="00C65870"/>
    <w:rsid w:val="00C65A45"/>
    <w:rsid w:val="00C65B39"/>
    <w:rsid w:val="00C65D71"/>
    <w:rsid w:val="00C65E5D"/>
    <w:rsid w:val="00C66260"/>
    <w:rsid w:val="00C66270"/>
    <w:rsid w:val="00C66813"/>
    <w:rsid w:val="00C669CF"/>
    <w:rsid w:val="00C66A50"/>
    <w:rsid w:val="00C66CEC"/>
    <w:rsid w:val="00C66CF4"/>
    <w:rsid w:val="00C670C8"/>
    <w:rsid w:val="00C67572"/>
    <w:rsid w:val="00C67F37"/>
    <w:rsid w:val="00C70051"/>
    <w:rsid w:val="00C70254"/>
    <w:rsid w:val="00C70E00"/>
    <w:rsid w:val="00C71F3B"/>
    <w:rsid w:val="00C72238"/>
    <w:rsid w:val="00C72614"/>
    <w:rsid w:val="00C73211"/>
    <w:rsid w:val="00C7352F"/>
    <w:rsid w:val="00C738E1"/>
    <w:rsid w:val="00C74212"/>
    <w:rsid w:val="00C74636"/>
    <w:rsid w:val="00C746B3"/>
    <w:rsid w:val="00C74978"/>
    <w:rsid w:val="00C74A13"/>
    <w:rsid w:val="00C74B75"/>
    <w:rsid w:val="00C74C08"/>
    <w:rsid w:val="00C74F26"/>
    <w:rsid w:val="00C74F39"/>
    <w:rsid w:val="00C7511D"/>
    <w:rsid w:val="00C75173"/>
    <w:rsid w:val="00C752AC"/>
    <w:rsid w:val="00C75391"/>
    <w:rsid w:val="00C755C7"/>
    <w:rsid w:val="00C755F3"/>
    <w:rsid w:val="00C75892"/>
    <w:rsid w:val="00C75DF7"/>
    <w:rsid w:val="00C75FD1"/>
    <w:rsid w:val="00C75FF6"/>
    <w:rsid w:val="00C76026"/>
    <w:rsid w:val="00C76343"/>
    <w:rsid w:val="00C765C7"/>
    <w:rsid w:val="00C76AA8"/>
    <w:rsid w:val="00C7707A"/>
    <w:rsid w:val="00C774B3"/>
    <w:rsid w:val="00C776F6"/>
    <w:rsid w:val="00C77ACC"/>
    <w:rsid w:val="00C8003C"/>
    <w:rsid w:val="00C8012E"/>
    <w:rsid w:val="00C8060A"/>
    <w:rsid w:val="00C80731"/>
    <w:rsid w:val="00C80BF4"/>
    <w:rsid w:val="00C80CA3"/>
    <w:rsid w:val="00C8108F"/>
    <w:rsid w:val="00C812FB"/>
    <w:rsid w:val="00C8139E"/>
    <w:rsid w:val="00C81A17"/>
    <w:rsid w:val="00C81E74"/>
    <w:rsid w:val="00C826D8"/>
    <w:rsid w:val="00C82777"/>
    <w:rsid w:val="00C82A62"/>
    <w:rsid w:val="00C82D72"/>
    <w:rsid w:val="00C82DEA"/>
    <w:rsid w:val="00C82FDB"/>
    <w:rsid w:val="00C83210"/>
    <w:rsid w:val="00C833A9"/>
    <w:rsid w:val="00C83887"/>
    <w:rsid w:val="00C83A03"/>
    <w:rsid w:val="00C83D19"/>
    <w:rsid w:val="00C83DC3"/>
    <w:rsid w:val="00C8472A"/>
    <w:rsid w:val="00C84A1E"/>
    <w:rsid w:val="00C84F05"/>
    <w:rsid w:val="00C852A6"/>
    <w:rsid w:val="00C85396"/>
    <w:rsid w:val="00C85578"/>
    <w:rsid w:val="00C859D5"/>
    <w:rsid w:val="00C85B26"/>
    <w:rsid w:val="00C85BBB"/>
    <w:rsid w:val="00C85D07"/>
    <w:rsid w:val="00C861C6"/>
    <w:rsid w:val="00C862F6"/>
    <w:rsid w:val="00C8637C"/>
    <w:rsid w:val="00C8666F"/>
    <w:rsid w:val="00C86BDE"/>
    <w:rsid w:val="00C87801"/>
    <w:rsid w:val="00C87C9D"/>
    <w:rsid w:val="00C87DDA"/>
    <w:rsid w:val="00C87F29"/>
    <w:rsid w:val="00C900CD"/>
    <w:rsid w:val="00C906E8"/>
    <w:rsid w:val="00C9093D"/>
    <w:rsid w:val="00C91E69"/>
    <w:rsid w:val="00C9272A"/>
    <w:rsid w:val="00C9279B"/>
    <w:rsid w:val="00C92909"/>
    <w:rsid w:val="00C92956"/>
    <w:rsid w:val="00C92A18"/>
    <w:rsid w:val="00C92C66"/>
    <w:rsid w:val="00C92D20"/>
    <w:rsid w:val="00C92EB9"/>
    <w:rsid w:val="00C9317B"/>
    <w:rsid w:val="00C9318A"/>
    <w:rsid w:val="00C931D4"/>
    <w:rsid w:val="00C939CC"/>
    <w:rsid w:val="00C93A04"/>
    <w:rsid w:val="00C93F2D"/>
    <w:rsid w:val="00C94015"/>
    <w:rsid w:val="00C94041"/>
    <w:rsid w:val="00C948A2"/>
    <w:rsid w:val="00C949C2"/>
    <w:rsid w:val="00C94A8B"/>
    <w:rsid w:val="00C94B56"/>
    <w:rsid w:val="00C94CF8"/>
    <w:rsid w:val="00C95056"/>
    <w:rsid w:val="00C95235"/>
    <w:rsid w:val="00C953D8"/>
    <w:rsid w:val="00C958A8"/>
    <w:rsid w:val="00C958AC"/>
    <w:rsid w:val="00C9599F"/>
    <w:rsid w:val="00C95CE1"/>
    <w:rsid w:val="00C95F52"/>
    <w:rsid w:val="00C965DA"/>
    <w:rsid w:val="00C96679"/>
    <w:rsid w:val="00C96B16"/>
    <w:rsid w:val="00C96EC9"/>
    <w:rsid w:val="00C96F25"/>
    <w:rsid w:val="00C9750A"/>
    <w:rsid w:val="00C97585"/>
    <w:rsid w:val="00C977A3"/>
    <w:rsid w:val="00C97AA2"/>
    <w:rsid w:val="00C97CB2"/>
    <w:rsid w:val="00C97FE5"/>
    <w:rsid w:val="00CA0603"/>
    <w:rsid w:val="00CA0681"/>
    <w:rsid w:val="00CA0978"/>
    <w:rsid w:val="00CA0B89"/>
    <w:rsid w:val="00CA0BA6"/>
    <w:rsid w:val="00CA0D81"/>
    <w:rsid w:val="00CA0F04"/>
    <w:rsid w:val="00CA1E08"/>
    <w:rsid w:val="00CA21C1"/>
    <w:rsid w:val="00CA2348"/>
    <w:rsid w:val="00CA2A44"/>
    <w:rsid w:val="00CA2C52"/>
    <w:rsid w:val="00CA2D39"/>
    <w:rsid w:val="00CA3A8D"/>
    <w:rsid w:val="00CA3FD9"/>
    <w:rsid w:val="00CA41FB"/>
    <w:rsid w:val="00CA44DB"/>
    <w:rsid w:val="00CA45C8"/>
    <w:rsid w:val="00CA4AD0"/>
    <w:rsid w:val="00CA4FB4"/>
    <w:rsid w:val="00CA538C"/>
    <w:rsid w:val="00CA563F"/>
    <w:rsid w:val="00CA5710"/>
    <w:rsid w:val="00CA5FDA"/>
    <w:rsid w:val="00CA600D"/>
    <w:rsid w:val="00CA6096"/>
    <w:rsid w:val="00CA6571"/>
    <w:rsid w:val="00CA66BC"/>
    <w:rsid w:val="00CA677B"/>
    <w:rsid w:val="00CA67B2"/>
    <w:rsid w:val="00CA67CC"/>
    <w:rsid w:val="00CA6896"/>
    <w:rsid w:val="00CA68B6"/>
    <w:rsid w:val="00CA699F"/>
    <w:rsid w:val="00CA6C42"/>
    <w:rsid w:val="00CA707B"/>
    <w:rsid w:val="00CA7267"/>
    <w:rsid w:val="00CA72D0"/>
    <w:rsid w:val="00CA72EF"/>
    <w:rsid w:val="00CA755B"/>
    <w:rsid w:val="00CA7737"/>
    <w:rsid w:val="00CA77E7"/>
    <w:rsid w:val="00CA7D71"/>
    <w:rsid w:val="00CA7E4D"/>
    <w:rsid w:val="00CB0424"/>
    <w:rsid w:val="00CB0A29"/>
    <w:rsid w:val="00CB0C74"/>
    <w:rsid w:val="00CB0E05"/>
    <w:rsid w:val="00CB10FC"/>
    <w:rsid w:val="00CB12F7"/>
    <w:rsid w:val="00CB1A98"/>
    <w:rsid w:val="00CB1DF9"/>
    <w:rsid w:val="00CB2250"/>
    <w:rsid w:val="00CB26E8"/>
    <w:rsid w:val="00CB2827"/>
    <w:rsid w:val="00CB2A66"/>
    <w:rsid w:val="00CB3215"/>
    <w:rsid w:val="00CB32D0"/>
    <w:rsid w:val="00CB35EC"/>
    <w:rsid w:val="00CB3B2E"/>
    <w:rsid w:val="00CB3D37"/>
    <w:rsid w:val="00CB424B"/>
    <w:rsid w:val="00CB457A"/>
    <w:rsid w:val="00CB4646"/>
    <w:rsid w:val="00CB49A5"/>
    <w:rsid w:val="00CB58B5"/>
    <w:rsid w:val="00CB5A2F"/>
    <w:rsid w:val="00CB5BEA"/>
    <w:rsid w:val="00CB5F7C"/>
    <w:rsid w:val="00CB60CE"/>
    <w:rsid w:val="00CB6278"/>
    <w:rsid w:val="00CB6371"/>
    <w:rsid w:val="00CB6461"/>
    <w:rsid w:val="00CB6694"/>
    <w:rsid w:val="00CB6B3E"/>
    <w:rsid w:val="00CB6C29"/>
    <w:rsid w:val="00CB7551"/>
    <w:rsid w:val="00CB7647"/>
    <w:rsid w:val="00CB773D"/>
    <w:rsid w:val="00CB787D"/>
    <w:rsid w:val="00CB7CF2"/>
    <w:rsid w:val="00CB7D49"/>
    <w:rsid w:val="00CB7EAE"/>
    <w:rsid w:val="00CB7ED5"/>
    <w:rsid w:val="00CC054A"/>
    <w:rsid w:val="00CC07C6"/>
    <w:rsid w:val="00CC12A4"/>
    <w:rsid w:val="00CC1343"/>
    <w:rsid w:val="00CC18C0"/>
    <w:rsid w:val="00CC2108"/>
    <w:rsid w:val="00CC266F"/>
    <w:rsid w:val="00CC28B3"/>
    <w:rsid w:val="00CC290C"/>
    <w:rsid w:val="00CC2B26"/>
    <w:rsid w:val="00CC2D4D"/>
    <w:rsid w:val="00CC2E89"/>
    <w:rsid w:val="00CC2EB4"/>
    <w:rsid w:val="00CC33B0"/>
    <w:rsid w:val="00CC34D2"/>
    <w:rsid w:val="00CC36DE"/>
    <w:rsid w:val="00CC379E"/>
    <w:rsid w:val="00CC3F49"/>
    <w:rsid w:val="00CC406B"/>
    <w:rsid w:val="00CC414E"/>
    <w:rsid w:val="00CC4156"/>
    <w:rsid w:val="00CC4662"/>
    <w:rsid w:val="00CC47EB"/>
    <w:rsid w:val="00CC4987"/>
    <w:rsid w:val="00CC49F6"/>
    <w:rsid w:val="00CC4A6B"/>
    <w:rsid w:val="00CC4ABB"/>
    <w:rsid w:val="00CC4E8A"/>
    <w:rsid w:val="00CC4FF6"/>
    <w:rsid w:val="00CC51CE"/>
    <w:rsid w:val="00CC51FE"/>
    <w:rsid w:val="00CC54D8"/>
    <w:rsid w:val="00CC56EB"/>
    <w:rsid w:val="00CC5723"/>
    <w:rsid w:val="00CC581B"/>
    <w:rsid w:val="00CC58AF"/>
    <w:rsid w:val="00CC596D"/>
    <w:rsid w:val="00CC59B3"/>
    <w:rsid w:val="00CC5E8E"/>
    <w:rsid w:val="00CC648F"/>
    <w:rsid w:val="00CC681D"/>
    <w:rsid w:val="00CC6CD8"/>
    <w:rsid w:val="00CC7077"/>
    <w:rsid w:val="00CC716B"/>
    <w:rsid w:val="00CC7333"/>
    <w:rsid w:val="00CC7428"/>
    <w:rsid w:val="00CC7F91"/>
    <w:rsid w:val="00CD026A"/>
    <w:rsid w:val="00CD056B"/>
    <w:rsid w:val="00CD061F"/>
    <w:rsid w:val="00CD074F"/>
    <w:rsid w:val="00CD0962"/>
    <w:rsid w:val="00CD0EB5"/>
    <w:rsid w:val="00CD0F71"/>
    <w:rsid w:val="00CD112E"/>
    <w:rsid w:val="00CD116F"/>
    <w:rsid w:val="00CD14CB"/>
    <w:rsid w:val="00CD1AEB"/>
    <w:rsid w:val="00CD1CF4"/>
    <w:rsid w:val="00CD1E09"/>
    <w:rsid w:val="00CD2234"/>
    <w:rsid w:val="00CD243E"/>
    <w:rsid w:val="00CD24AA"/>
    <w:rsid w:val="00CD2930"/>
    <w:rsid w:val="00CD2B6B"/>
    <w:rsid w:val="00CD2BDE"/>
    <w:rsid w:val="00CD2C06"/>
    <w:rsid w:val="00CD2F2A"/>
    <w:rsid w:val="00CD3209"/>
    <w:rsid w:val="00CD339C"/>
    <w:rsid w:val="00CD33FE"/>
    <w:rsid w:val="00CD354D"/>
    <w:rsid w:val="00CD366C"/>
    <w:rsid w:val="00CD38DE"/>
    <w:rsid w:val="00CD3918"/>
    <w:rsid w:val="00CD3A98"/>
    <w:rsid w:val="00CD418A"/>
    <w:rsid w:val="00CD4620"/>
    <w:rsid w:val="00CD4664"/>
    <w:rsid w:val="00CD4CCC"/>
    <w:rsid w:val="00CD4DBC"/>
    <w:rsid w:val="00CD4DFB"/>
    <w:rsid w:val="00CD4E2A"/>
    <w:rsid w:val="00CD5281"/>
    <w:rsid w:val="00CD5C78"/>
    <w:rsid w:val="00CD5DC3"/>
    <w:rsid w:val="00CD5DDA"/>
    <w:rsid w:val="00CD6C46"/>
    <w:rsid w:val="00CD7070"/>
    <w:rsid w:val="00CD7078"/>
    <w:rsid w:val="00CD7241"/>
    <w:rsid w:val="00CD7BFC"/>
    <w:rsid w:val="00CD7E9A"/>
    <w:rsid w:val="00CE0155"/>
    <w:rsid w:val="00CE0204"/>
    <w:rsid w:val="00CE03E3"/>
    <w:rsid w:val="00CE0A6F"/>
    <w:rsid w:val="00CE0F82"/>
    <w:rsid w:val="00CE1100"/>
    <w:rsid w:val="00CE126F"/>
    <w:rsid w:val="00CE1780"/>
    <w:rsid w:val="00CE19B9"/>
    <w:rsid w:val="00CE1AA1"/>
    <w:rsid w:val="00CE1BB8"/>
    <w:rsid w:val="00CE1D3A"/>
    <w:rsid w:val="00CE20D0"/>
    <w:rsid w:val="00CE2373"/>
    <w:rsid w:val="00CE23E2"/>
    <w:rsid w:val="00CE2572"/>
    <w:rsid w:val="00CE29DC"/>
    <w:rsid w:val="00CE2A7A"/>
    <w:rsid w:val="00CE2EBD"/>
    <w:rsid w:val="00CE327C"/>
    <w:rsid w:val="00CE36F2"/>
    <w:rsid w:val="00CE3755"/>
    <w:rsid w:val="00CE3A47"/>
    <w:rsid w:val="00CE3C13"/>
    <w:rsid w:val="00CE3CC6"/>
    <w:rsid w:val="00CE3D6D"/>
    <w:rsid w:val="00CE426A"/>
    <w:rsid w:val="00CE4963"/>
    <w:rsid w:val="00CE4A00"/>
    <w:rsid w:val="00CE4A4E"/>
    <w:rsid w:val="00CE4B33"/>
    <w:rsid w:val="00CE511E"/>
    <w:rsid w:val="00CE5503"/>
    <w:rsid w:val="00CE5572"/>
    <w:rsid w:val="00CE5B4E"/>
    <w:rsid w:val="00CE5C08"/>
    <w:rsid w:val="00CE6544"/>
    <w:rsid w:val="00CE67B8"/>
    <w:rsid w:val="00CE6AA8"/>
    <w:rsid w:val="00CE6E81"/>
    <w:rsid w:val="00CE6E84"/>
    <w:rsid w:val="00CE72E1"/>
    <w:rsid w:val="00CF0857"/>
    <w:rsid w:val="00CF0BB9"/>
    <w:rsid w:val="00CF0CCE"/>
    <w:rsid w:val="00CF10DF"/>
    <w:rsid w:val="00CF1287"/>
    <w:rsid w:val="00CF14AC"/>
    <w:rsid w:val="00CF1697"/>
    <w:rsid w:val="00CF1A44"/>
    <w:rsid w:val="00CF1E39"/>
    <w:rsid w:val="00CF20F1"/>
    <w:rsid w:val="00CF25DF"/>
    <w:rsid w:val="00CF26ED"/>
    <w:rsid w:val="00CF2890"/>
    <w:rsid w:val="00CF294D"/>
    <w:rsid w:val="00CF29F3"/>
    <w:rsid w:val="00CF2D54"/>
    <w:rsid w:val="00CF3888"/>
    <w:rsid w:val="00CF38DC"/>
    <w:rsid w:val="00CF3D6B"/>
    <w:rsid w:val="00CF4241"/>
    <w:rsid w:val="00CF429B"/>
    <w:rsid w:val="00CF47BA"/>
    <w:rsid w:val="00CF4AF8"/>
    <w:rsid w:val="00CF4BF1"/>
    <w:rsid w:val="00CF4D32"/>
    <w:rsid w:val="00CF4D53"/>
    <w:rsid w:val="00CF4F1E"/>
    <w:rsid w:val="00CF51E8"/>
    <w:rsid w:val="00CF51EE"/>
    <w:rsid w:val="00CF5618"/>
    <w:rsid w:val="00CF5BA0"/>
    <w:rsid w:val="00CF5C84"/>
    <w:rsid w:val="00CF5F09"/>
    <w:rsid w:val="00CF5FAF"/>
    <w:rsid w:val="00CF5FF4"/>
    <w:rsid w:val="00CF67BA"/>
    <w:rsid w:val="00CF699C"/>
    <w:rsid w:val="00CF69CF"/>
    <w:rsid w:val="00CF72B5"/>
    <w:rsid w:val="00CF7616"/>
    <w:rsid w:val="00CF7CD2"/>
    <w:rsid w:val="00D001E1"/>
    <w:rsid w:val="00D00384"/>
    <w:rsid w:val="00D004A7"/>
    <w:rsid w:val="00D0067B"/>
    <w:rsid w:val="00D00C8A"/>
    <w:rsid w:val="00D01016"/>
    <w:rsid w:val="00D01721"/>
    <w:rsid w:val="00D017AE"/>
    <w:rsid w:val="00D01807"/>
    <w:rsid w:val="00D01D98"/>
    <w:rsid w:val="00D020FF"/>
    <w:rsid w:val="00D021B4"/>
    <w:rsid w:val="00D02262"/>
    <w:rsid w:val="00D025B8"/>
    <w:rsid w:val="00D02837"/>
    <w:rsid w:val="00D02E4C"/>
    <w:rsid w:val="00D02E82"/>
    <w:rsid w:val="00D0340A"/>
    <w:rsid w:val="00D039D3"/>
    <w:rsid w:val="00D03BDE"/>
    <w:rsid w:val="00D03C01"/>
    <w:rsid w:val="00D03C8B"/>
    <w:rsid w:val="00D03EBB"/>
    <w:rsid w:val="00D0463B"/>
    <w:rsid w:val="00D04723"/>
    <w:rsid w:val="00D047E6"/>
    <w:rsid w:val="00D04855"/>
    <w:rsid w:val="00D04A44"/>
    <w:rsid w:val="00D04A57"/>
    <w:rsid w:val="00D04CDB"/>
    <w:rsid w:val="00D04F13"/>
    <w:rsid w:val="00D0501E"/>
    <w:rsid w:val="00D054D0"/>
    <w:rsid w:val="00D055A4"/>
    <w:rsid w:val="00D055C0"/>
    <w:rsid w:val="00D05803"/>
    <w:rsid w:val="00D05EB9"/>
    <w:rsid w:val="00D060DE"/>
    <w:rsid w:val="00D061A9"/>
    <w:rsid w:val="00D0642B"/>
    <w:rsid w:val="00D066AD"/>
    <w:rsid w:val="00D068E5"/>
    <w:rsid w:val="00D069DC"/>
    <w:rsid w:val="00D06A79"/>
    <w:rsid w:val="00D0707B"/>
    <w:rsid w:val="00D07136"/>
    <w:rsid w:val="00D073FB"/>
    <w:rsid w:val="00D07952"/>
    <w:rsid w:val="00D0799F"/>
    <w:rsid w:val="00D07F74"/>
    <w:rsid w:val="00D1033B"/>
    <w:rsid w:val="00D10820"/>
    <w:rsid w:val="00D10CFC"/>
    <w:rsid w:val="00D1107E"/>
    <w:rsid w:val="00D11159"/>
    <w:rsid w:val="00D1138D"/>
    <w:rsid w:val="00D1148F"/>
    <w:rsid w:val="00D11626"/>
    <w:rsid w:val="00D124A4"/>
    <w:rsid w:val="00D12562"/>
    <w:rsid w:val="00D125ED"/>
    <w:rsid w:val="00D12651"/>
    <w:rsid w:val="00D1273E"/>
    <w:rsid w:val="00D12986"/>
    <w:rsid w:val="00D12A4D"/>
    <w:rsid w:val="00D12A57"/>
    <w:rsid w:val="00D12BCB"/>
    <w:rsid w:val="00D12C6B"/>
    <w:rsid w:val="00D12F3D"/>
    <w:rsid w:val="00D132C3"/>
    <w:rsid w:val="00D13374"/>
    <w:rsid w:val="00D13634"/>
    <w:rsid w:val="00D1380B"/>
    <w:rsid w:val="00D13C26"/>
    <w:rsid w:val="00D14AD1"/>
    <w:rsid w:val="00D14B6C"/>
    <w:rsid w:val="00D152E7"/>
    <w:rsid w:val="00D15551"/>
    <w:rsid w:val="00D1569D"/>
    <w:rsid w:val="00D158D8"/>
    <w:rsid w:val="00D15F04"/>
    <w:rsid w:val="00D161C2"/>
    <w:rsid w:val="00D16A5E"/>
    <w:rsid w:val="00D172BF"/>
    <w:rsid w:val="00D17626"/>
    <w:rsid w:val="00D17B28"/>
    <w:rsid w:val="00D17E90"/>
    <w:rsid w:val="00D204F1"/>
    <w:rsid w:val="00D2054F"/>
    <w:rsid w:val="00D20AB3"/>
    <w:rsid w:val="00D20B73"/>
    <w:rsid w:val="00D20CEC"/>
    <w:rsid w:val="00D20E0D"/>
    <w:rsid w:val="00D2113F"/>
    <w:rsid w:val="00D2158C"/>
    <w:rsid w:val="00D2163D"/>
    <w:rsid w:val="00D21735"/>
    <w:rsid w:val="00D21F1F"/>
    <w:rsid w:val="00D22212"/>
    <w:rsid w:val="00D2226E"/>
    <w:rsid w:val="00D223EE"/>
    <w:rsid w:val="00D22567"/>
    <w:rsid w:val="00D22776"/>
    <w:rsid w:val="00D229D8"/>
    <w:rsid w:val="00D22BE6"/>
    <w:rsid w:val="00D22BFC"/>
    <w:rsid w:val="00D22DD2"/>
    <w:rsid w:val="00D22FAB"/>
    <w:rsid w:val="00D233E5"/>
    <w:rsid w:val="00D23513"/>
    <w:rsid w:val="00D23682"/>
    <w:rsid w:val="00D23908"/>
    <w:rsid w:val="00D23A1C"/>
    <w:rsid w:val="00D23B28"/>
    <w:rsid w:val="00D23DEA"/>
    <w:rsid w:val="00D241B0"/>
    <w:rsid w:val="00D2451D"/>
    <w:rsid w:val="00D24C5E"/>
    <w:rsid w:val="00D24CB9"/>
    <w:rsid w:val="00D2501F"/>
    <w:rsid w:val="00D255BD"/>
    <w:rsid w:val="00D25945"/>
    <w:rsid w:val="00D259FF"/>
    <w:rsid w:val="00D25B10"/>
    <w:rsid w:val="00D25DFD"/>
    <w:rsid w:val="00D25E4A"/>
    <w:rsid w:val="00D2618A"/>
    <w:rsid w:val="00D26317"/>
    <w:rsid w:val="00D26331"/>
    <w:rsid w:val="00D2635E"/>
    <w:rsid w:val="00D26554"/>
    <w:rsid w:val="00D26EED"/>
    <w:rsid w:val="00D270AB"/>
    <w:rsid w:val="00D27105"/>
    <w:rsid w:val="00D2713F"/>
    <w:rsid w:val="00D27948"/>
    <w:rsid w:val="00D27BC7"/>
    <w:rsid w:val="00D30108"/>
    <w:rsid w:val="00D301AA"/>
    <w:rsid w:val="00D30D1E"/>
    <w:rsid w:val="00D3103F"/>
    <w:rsid w:val="00D3156D"/>
    <w:rsid w:val="00D31706"/>
    <w:rsid w:val="00D3176E"/>
    <w:rsid w:val="00D3179C"/>
    <w:rsid w:val="00D322FB"/>
    <w:rsid w:val="00D32373"/>
    <w:rsid w:val="00D32642"/>
    <w:rsid w:val="00D32F01"/>
    <w:rsid w:val="00D32F48"/>
    <w:rsid w:val="00D32F78"/>
    <w:rsid w:val="00D33419"/>
    <w:rsid w:val="00D337E4"/>
    <w:rsid w:val="00D33B2C"/>
    <w:rsid w:val="00D33ECA"/>
    <w:rsid w:val="00D340AE"/>
    <w:rsid w:val="00D34169"/>
    <w:rsid w:val="00D342DC"/>
    <w:rsid w:val="00D343C8"/>
    <w:rsid w:val="00D3452B"/>
    <w:rsid w:val="00D346F1"/>
    <w:rsid w:val="00D34A70"/>
    <w:rsid w:val="00D34CB1"/>
    <w:rsid w:val="00D3553B"/>
    <w:rsid w:val="00D3592E"/>
    <w:rsid w:val="00D3599C"/>
    <w:rsid w:val="00D35A94"/>
    <w:rsid w:val="00D36188"/>
    <w:rsid w:val="00D36324"/>
    <w:rsid w:val="00D363EC"/>
    <w:rsid w:val="00D36686"/>
    <w:rsid w:val="00D36984"/>
    <w:rsid w:val="00D36BE6"/>
    <w:rsid w:val="00D36D3B"/>
    <w:rsid w:val="00D36ED0"/>
    <w:rsid w:val="00D37067"/>
    <w:rsid w:val="00D3749B"/>
    <w:rsid w:val="00D37529"/>
    <w:rsid w:val="00D379C5"/>
    <w:rsid w:val="00D37B02"/>
    <w:rsid w:val="00D37B83"/>
    <w:rsid w:val="00D37E29"/>
    <w:rsid w:val="00D40127"/>
    <w:rsid w:val="00D40153"/>
    <w:rsid w:val="00D40614"/>
    <w:rsid w:val="00D40688"/>
    <w:rsid w:val="00D408DA"/>
    <w:rsid w:val="00D40CA5"/>
    <w:rsid w:val="00D40DB1"/>
    <w:rsid w:val="00D415F7"/>
    <w:rsid w:val="00D41886"/>
    <w:rsid w:val="00D41C6C"/>
    <w:rsid w:val="00D41C72"/>
    <w:rsid w:val="00D41E17"/>
    <w:rsid w:val="00D42114"/>
    <w:rsid w:val="00D421D7"/>
    <w:rsid w:val="00D422CC"/>
    <w:rsid w:val="00D42362"/>
    <w:rsid w:val="00D42648"/>
    <w:rsid w:val="00D4268E"/>
    <w:rsid w:val="00D427D2"/>
    <w:rsid w:val="00D42A0A"/>
    <w:rsid w:val="00D42A79"/>
    <w:rsid w:val="00D42EB1"/>
    <w:rsid w:val="00D430B3"/>
    <w:rsid w:val="00D43223"/>
    <w:rsid w:val="00D4322B"/>
    <w:rsid w:val="00D43342"/>
    <w:rsid w:val="00D4347F"/>
    <w:rsid w:val="00D43566"/>
    <w:rsid w:val="00D4361C"/>
    <w:rsid w:val="00D44392"/>
    <w:rsid w:val="00D44C22"/>
    <w:rsid w:val="00D4507B"/>
    <w:rsid w:val="00D451C7"/>
    <w:rsid w:val="00D45291"/>
    <w:rsid w:val="00D45826"/>
    <w:rsid w:val="00D45C54"/>
    <w:rsid w:val="00D45C61"/>
    <w:rsid w:val="00D45CAA"/>
    <w:rsid w:val="00D45D8D"/>
    <w:rsid w:val="00D46794"/>
    <w:rsid w:val="00D46920"/>
    <w:rsid w:val="00D46DDC"/>
    <w:rsid w:val="00D4706E"/>
    <w:rsid w:val="00D47546"/>
    <w:rsid w:val="00D47626"/>
    <w:rsid w:val="00D47797"/>
    <w:rsid w:val="00D478C7"/>
    <w:rsid w:val="00D47BA4"/>
    <w:rsid w:val="00D47DCF"/>
    <w:rsid w:val="00D5020F"/>
    <w:rsid w:val="00D502FF"/>
    <w:rsid w:val="00D50822"/>
    <w:rsid w:val="00D50A15"/>
    <w:rsid w:val="00D50AA1"/>
    <w:rsid w:val="00D50D78"/>
    <w:rsid w:val="00D50FDA"/>
    <w:rsid w:val="00D5148A"/>
    <w:rsid w:val="00D515E2"/>
    <w:rsid w:val="00D51D84"/>
    <w:rsid w:val="00D520E1"/>
    <w:rsid w:val="00D5228D"/>
    <w:rsid w:val="00D5229F"/>
    <w:rsid w:val="00D52961"/>
    <w:rsid w:val="00D535E2"/>
    <w:rsid w:val="00D5362F"/>
    <w:rsid w:val="00D53ABF"/>
    <w:rsid w:val="00D53CD4"/>
    <w:rsid w:val="00D540F9"/>
    <w:rsid w:val="00D54123"/>
    <w:rsid w:val="00D5467F"/>
    <w:rsid w:val="00D548BD"/>
    <w:rsid w:val="00D549AC"/>
    <w:rsid w:val="00D54C99"/>
    <w:rsid w:val="00D554A5"/>
    <w:rsid w:val="00D55591"/>
    <w:rsid w:val="00D55652"/>
    <w:rsid w:val="00D55743"/>
    <w:rsid w:val="00D5591A"/>
    <w:rsid w:val="00D55B70"/>
    <w:rsid w:val="00D56A84"/>
    <w:rsid w:val="00D57026"/>
    <w:rsid w:val="00D571D7"/>
    <w:rsid w:val="00D575D3"/>
    <w:rsid w:val="00D575F2"/>
    <w:rsid w:val="00D57718"/>
    <w:rsid w:val="00D57C09"/>
    <w:rsid w:val="00D60213"/>
    <w:rsid w:val="00D60596"/>
    <w:rsid w:val="00D6080F"/>
    <w:rsid w:val="00D6114E"/>
    <w:rsid w:val="00D6144E"/>
    <w:rsid w:val="00D61504"/>
    <w:rsid w:val="00D618FF"/>
    <w:rsid w:val="00D61B4D"/>
    <w:rsid w:val="00D61E8B"/>
    <w:rsid w:val="00D62173"/>
    <w:rsid w:val="00D62195"/>
    <w:rsid w:val="00D62281"/>
    <w:rsid w:val="00D6230E"/>
    <w:rsid w:val="00D623DC"/>
    <w:rsid w:val="00D62C88"/>
    <w:rsid w:val="00D62E16"/>
    <w:rsid w:val="00D62ED5"/>
    <w:rsid w:val="00D62FD8"/>
    <w:rsid w:val="00D62FEB"/>
    <w:rsid w:val="00D63055"/>
    <w:rsid w:val="00D63300"/>
    <w:rsid w:val="00D63758"/>
    <w:rsid w:val="00D637F9"/>
    <w:rsid w:val="00D63A11"/>
    <w:rsid w:val="00D64281"/>
    <w:rsid w:val="00D643F7"/>
    <w:rsid w:val="00D64519"/>
    <w:rsid w:val="00D6496D"/>
    <w:rsid w:val="00D649FA"/>
    <w:rsid w:val="00D64E6D"/>
    <w:rsid w:val="00D64E79"/>
    <w:rsid w:val="00D650B7"/>
    <w:rsid w:val="00D65145"/>
    <w:rsid w:val="00D6520A"/>
    <w:rsid w:val="00D652C4"/>
    <w:rsid w:val="00D65B3D"/>
    <w:rsid w:val="00D65CAE"/>
    <w:rsid w:val="00D65CB4"/>
    <w:rsid w:val="00D65EEA"/>
    <w:rsid w:val="00D65FEB"/>
    <w:rsid w:val="00D66074"/>
    <w:rsid w:val="00D66164"/>
    <w:rsid w:val="00D66295"/>
    <w:rsid w:val="00D66867"/>
    <w:rsid w:val="00D669A5"/>
    <w:rsid w:val="00D670E4"/>
    <w:rsid w:val="00D671CC"/>
    <w:rsid w:val="00D6765B"/>
    <w:rsid w:val="00D67743"/>
    <w:rsid w:val="00D67936"/>
    <w:rsid w:val="00D67A1B"/>
    <w:rsid w:val="00D70358"/>
    <w:rsid w:val="00D7071F"/>
    <w:rsid w:val="00D708C6"/>
    <w:rsid w:val="00D70DBB"/>
    <w:rsid w:val="00D70FB0"/>
    <w:rsid w:val="00D70FC1"/>
    <w:rsid w:val="00D70FC9"/>
    <w:rsid w:val="00D71356"/>
    <w:rsid w:val="00D71724"/>
    <w:rsid w:val="00D717BF"/>
    <w:rsid w:val="00D71C6A"/>
    <w:rsid w:val="00D71FFB"/>
    <w:rsid w:val="00D721AC"/>
    <w:rsid w:val="00D7316E"/>
    <w:rsid w:val="00D7329C"/>
    <w:rsid w:val="00D732B1"/>
    <w:rsid w:val="00D73411"/>
    <w:rsid w:val="00D737A3"/>
    <w:rsid w:val="00D7381D"/>
    <w:rsid w:val="00D73A5A"/>
    <w:rsid w:val="00D73E86"/>
    <w:rsid w:val="00D73FDE"/>
    <w:rsid w:val="00D74009"/>
    <w:rsid w:val="00D7423F"/>
    <w:rsid w:val="00D7433D"/>
    <w:rsid w:val="00D7466D"/>
    <w:rsid w:val="00D74920"/>
    <w:rsid w:val="00D74A77"/>
    <w:rsid w:val="00D74FA1"/>
    <w:rsid w:val="00D751D5"/>
    <w:rsid w:val="00D75C57"/>
    <w:rsid w:val="00D75F29"/>
    <w:rsid w:val="00D7622C"/>
    <w:rsid w:val="00D76269"/>
    <w:rsid w:val="00D7653A"/>
    <w:rsid w:val="00D77219"/>
    <w:rsid w:val="00D772C0"/>
    <w:rsid w:val="00D772F4"/>
    <w:rsid w:val="00D77ABA"/>
    <w:rsid w:val="00D77C2D"/>
    <w:rsid w:val="00D77E56"/>
    <w:rsid w:val="00D77E7D"/>
    <w:rsid w:val="00D8004D"/>
    <w:rsid w:val="00D8011E"/>
    <w:rsid w:val="00D801BE"/>
    <w:rsid w:val="00D80365"/>
    <w:rsid w:val="00D803BE"/>
    <w:rsid w:val="00D8051D"/>
    <w:rsid w:val="00D8087C"/>
    <w:rsid w:val="00D80D16"/>
    <w:rsid w:val="00D80E43"/>
    <w:rsid w:val="00D80FD3"/>
    <w:rsid w:val="00D81036"/>
    <w:rsid w:val="00D81200"/>
    <w:rsid w:val="00D812FA"/>
    <w:rsid w:val="00D81F68"/>
    <w:rsid w:val="00D81FA1"/>
    <w:rsid w:val="00D81FE4"/>
    <w:rsid w:val="00D821E3"/>
    <w:rsid w:val="00D825D6"/>
    <w:rsid w:val="00D828EE"/>
    <w:rsid w:val="00D82A3A"/>
    <w:rsid w:val="00D82DB0"/>
    <w:rsid w:val="00D82E3F"/>
    <w:rsid w:val="00D82E6B"/>
    <w:rsid w:val="00D82F5F"/>
    <w:rsid w:val="00D83469"/>
    <w:rsid w:val="00D8358A"/>
    <w:rsid w:val="00D8366D"/>
    <w:rsid w:val="00D836F0"/>
    <w:rsid w:val="00D83D01"/>
    <w:rsid w:val="00D8414B"/>
    <w:rsid w:val="00D84578"/>
    <w:rsid w:val="00D84634"/>
    <w:rsid w:val="00D84689"/>
    <w:rsid w:val="00D84E24"/>
    <w:rsid w:val="00D852A9"/>
    <w:rsid w:val="00D85A9E"/>
    <w:rsid w:val="00D85F04"/>
    <w:rsid w:val="00D85F93"/>
    <w:rsid w:val="00D86478"/>
    <w:rsid w:val="00D86877"/>
    <w:rsid w:val="00D86AB2"/>
    <w:rsid w:val="00D86B2B"/>
    <w:rsid w:val="00D871EB"/>
    <w:rsid w:val="00D87277"/>
    <w:rsid w:val="00D87913"/>
    <w:rsid w:val="00D87C15"/>
    <w:rsid w:val="00D87D48"/>
    <w:rsid w:val="00D87DED"/>
    <w:rsid w:val="00D87EBE"/>
    <w:rsid w:val="00D90560"/>
    <w:rsid w:val="00D9056D"/>
    <w:rsid w:val="00D90697"/>
    <w:rsid w:val="00D909C7"/>
    <w:rsid w:val="00D90A46"/>
    <w:rsid w:val="00D90BBB"/>
    <w:rsid w:val="00D90E17"/>
    <w:rsid w:val="00D9118B"/>
    <w:rsid w:val="00D912CE"/>
    <w:rsid w:val="00D91BA0"/>
    <w:rsid w:val="00D91D95"/>
    <w:rsid w:val="00D924E2"/>
    <w:rsid w:val="00D92556"/>
    <w:rsid w:val="00D925FD"/>
    <w:rsid w:val="00D928F0"/>
    <w:rsid w:val="00D92FE2"/>
    <w:rsid w:val="00D9343E"/>
    <w:rsid w:val="00D937A4"/>
    <w:rsid w:val="00D93876"/>
    <w:rsid w:val="00D94141"/>
    <w:rsid w:val="00D94145"/>
    <w:rsid w:val="00D9421D"/>
    <w:rsid w:val="00D943B9"/>
    <w:rsid w:val="00D944FA"/>
    <w:rsid w:val="00D945F8"/>
    <w:rsid w:val="00D946EC"/>
    <w:rsid w:val="00D94BC3"/>
    <w:rsid w:val="00D94F1D"/>
    <w:rsid w:val="00D95390"/>
    <w:rsid w:val="00D95406"/>
    <w:rsid w:val="00D9574B"/>
    <w:rsid w:val="00D95CAD"/>
    <w:rsid w:val="00D95CDA"/>
    <w:rsid w:val="00D9606F"/>
    <w:rsid w:val="00D96811"/>
    <w:rsid w:val="00D96C92"/>
    <w:rsid w:val="00D96FC2"/>
    <w:rsid w:val="00D97796"/>
    <w:rsid w:val="00D979F4"/>
    <w:rsid w:val="00D97AC8"/>
    <w:rsid w:val="00D97AF7"/>
    <w:rsid w:val="00D97C2B"/>
    <w:rsid w:val="00DA0046"/>
    <w:rsid w:val="00DA020E"/>
    <w:rsid w:val="00DA03C9"/>
    <w:rsid w:val="00DA03F0"/>
    <w:rsid w:val="00DA0591"/>
    <w:rsid w:val="00DA0810"/>
    <w:rsid w:val="00DA0F9D"/>
    <w:rsid w:val="00DA1114"/>
    <w:rsid w:val="00DA129D"/>
    <w:rsid w:val="00DA12BA"/>
    <w:rsid w:val="00DA1619"/>
    <w:rsid w:val="00DA19B5"/>
    <w:rsid w:val="00DA1C12"/>
    <w:rsid w:val="00DA2208"/>
    <w:rsid w:val="00DA25DB"/>
    <w:rsid w:val="00DA25E5"/>
    <w:rsid w:val="00DA2829"/>
    <w:rsid w:val="00DA282F"/>
    <w:rsid w:val="00DA28FA"/>
    <w:rsid w:val="00DA28FB"/>
    <w:rsid w:val="00DA2EED"/>
    <w:rsid w:val="00DA3013"/>
    <w:rsid w:val="00DA325C"/>
    <w:rsid w:val="00DA336E"/>
    <w:rsid w:val="00DA3B8C"/>
    <w:rsid w:val="00DA3D4E"/>
    <w:rsid w:val="00DA41F3"/>
    <w:rsid w:val="00DA4884"/>
    <w:rsid w:val="00DA497A"/>
    <w:rsid w:val="00DA4BB6"/>
    <w:rsid w:val="00DA4F61"/>
    <w:rsid w:val="00DA502C"/>
    <w:rsid w:val="00DA601B"/>
    <w:rsid w:val="00DA67B1"/>
    <w:rsid w:val="00DA69DC"/>
    <w:rsid w:val="00DA738B"/>
    <w:rsid w:val="00DA760E"/>
    <w:rsid w:val="00DA7B92"/>
    <w:rsid w:val="00DA7EB3"/>
    <w:rsid w:val="00DA7FEB"/>
    <w:rsid w:val="00DB00A5"/>
    <w:rsid w:val="00DB00A6"/>
    <w:rsid w:val="00DB074E"/>
    <w:rsid w:val="00DB0C92"/>
    <w:rsid w:val="00DB10DF"/>
    <w:rsid w:val="00DB13B3"/>
    <w:rsid w:val="00DB1AC1"/>
    <w:rsid w:val="00DB1C71"/>
    <w:rsid w:val="00DB1D6E"/>
    <w:rsid w:val="00DB1DD9"/>
    <w:rsid w:val="00DB2225"/>
    <w:rsid w:val="00DB253A"/>
    <w:rsid w:val="00DB2833"/>
    <w:rsid w:val="00DB2ED2"/>
    <w:rsid w:val="00DB316D"/>
    <w:rsid w:val="00DB3259"/>
    <w:rsid w:val="00DB372B"/>
    <w:rsid w:val="00DB3778"/>
    <w:rsid w:val="00DB37F7"/>
    <w:rsid w:val="00DB3AEC"/>
    <w:rsid w:val="00DB3B54"/>
    <w:rsid w:val="00DB3B7F"/>
    <w:rsid w:val="00DB3F1A"/>
    <w:rsid w:val="00DB3FDB"/>
    <w:rsid w:val="00DB41E1"/>
    <w:rsid w:val="00DB4658"/>
    <w:rsid w:val="00DB4B46"/>
    <w:rsid w:val="00DB5796"/>
    <w:rsid w:val="00DB5C85"/>
    <w:rsid w:val="00DB5F9A"/>
    <w:rsid w:val="00DB6067"/>
    <w:rsid w:val="00DB6E56"/>
    <w:rsid w:val="00DB794C"/>
    <w:rsid w:val="00DB7D7D"/>
    <w:rsid w:val="00DC013E"/>
    <w:rsid w:val="00DC0A2D"/>
    <w:rsid w:val="00DC0D8A"/>
    <w:rsid w:val="00DC0DA9"/>
    <w:rsid w:val="00DC0E65"/>
    <w:rsid w:val="00DC0F0B"/>
    <w:rsid w:val="00DC1613"/>
    <w:rsid w:val="00DC195D"/>
    <w:rsid w:val="00DC1A1D"/>
    <w:rsid w:val="00DC1F79"/>
    <w:rsid w:val="00DC1FC5"/>
    <w:rsid w:val="00DC2174"/>
    <w:rsid w:val="00DC2296"/>
    <w:rsid w:val="00DC24AA"/>
    <w:rsid w:val="00DC2908"/>
    <w:rsid w:val="00DC2CA6"/>
    <w:rsid w:val="00DC3173"/>
    <w:rsid w:val="00DC32DB"/>
    <w:rsid w:val="00DC35B1"/>
    <w:rsid w:val="00DC3E69"/>
    <w:rsid w:val="00DC3E6C"/>
    <w:rsid w:val="00DC3E88"/>
    <w:rsid w:val="00DC407D"/>
    <w:rsid w:val="00DC413D"/>
    <w:rsid w:val="00DC41F4"/>
    <w:rsid w:val="00DC4995"/>
    <w:rsid w:val="00DC4D7F"/>
    <w:rsid w:val="00DC4E61"/>
    <w:rsid w:val="00DC5303"/>
    <w:rsid w:val="00DC5807"/>
    <w:rsid w:val="00DC5CF4"/>
    <w:rsid w:val="00DC5D54"/>
    <w:rsid w:val="00DC600A"/>
    <w:rsid w:val="00DC6053"/>
    <w:rsid w:val="00DC6219"/>
    <w:rsid w:val="00DC62ED"/>
    <w:rsid w:val="00DC6615"/>
    <w:rsid w:val="00DC66A6"/>
    <w:rsid w:val="00DC676F"/>
    <w:rsid w:val="00DC68B0"/>
    <w:rsid w:val="00DC68C3"/>
    <w:rsid w:val="00DC69BB"/>
    <w:rsid w:val="00DC6A3F"/>
    <w:rsid w:val="00DC6CC4"/>
    <w:rsid w:val="00DC6E3D"/>
    <w:rsid w:val="00DC6E62"/>
    <w:rsid w:val="00DC715F"/>
    <w:rsid w:val="00DC7216"/>
    <w:rsid w:val="00DC734E"/>
    <w:rsid w:val="00DC7492"/>
    <w:rsid w:val="00DC75B0"/>
    <w:rsid w:val="00DC76DB"/>
    <w:rsid w:val="00DC7A5D"/>
    <w:rsid w:val="00DC7F13"/>
    <w:rsid w:val="00DD0304"/>
    <w:rsid w:val="00DD0489"/>
    <w:rsid w:val="00DD05BF"/>
    <w:rsid w:val="00DD0881"/>
    <w:rsid w:val="00DD0886"/>
    <w:rsid w:val="00DD098F"/>
    <w:rsid w:val="00DD0CC7"/>
    <w:rsid w:val="00DD1C7C"/>
    <w:rsid w:val="00DD1F1D"/>
    <w:rsid w:val="00DD2300"/>
    <w:rsid w:val="00DD2444"/>
    <w:rsid w:val="00DD24A1"/>
    <w:rsid w:val="00DD25EC"/>
    <w:rsid w:val="00DD28E2"/>
    <w:rsid w:val="00DD2C16"/>
    <w:rsid w:val="00DD2C32"/>
    <w:rsid w:val="00DD369F"/>
    <w:rsid w:val="00DD3AA2"/>
    <w:rsid w:val="00DD3CA7"/>
    <w:rsid w:val="00DD41BC"/>
    <w:rsid w:val="00DD4713"/>
    <w:rsid w:val="00DD4871"/>
    <w:rsid w:val="00DD4CE7"/>
    <w:rsid w:val="00DD500F"/>
    <w:rsid w:val="00DD576C"/>
    <w:rsid w:val="00DD5B18"/>
    <w:rsid w:val="00DD6165"/>
    <w:rsid w:val="00DD68CA"/>
    <w:rsid w:val="00DD6E0E"/>
    <w:rsid w:val="00DD7241"/>
    <w:rsid w:val="00DD7BDA"/>
    <w:rsid w:val="00DD7C17"/>
    <w:rsid w:val="00DD7C90"/>
    <w:rsid w:val="00DE01C1"/>
    <w:rsid w:val="00DE04A8"/>
    <w:rsid w:val="00DE081D"/>
    <w:rsid w:val="00DE0E6B"/>
    <w:rsid w:val="00DE10B3"/>
    <w:rsid w:val="00DE12FB"/>
    <w:rsid w:val="00DE1706"/>
    <w:rsid w:val="00DE17AD"/>
    <w:rsid w:val="00DE1B83"/>
    <w:rsid w:val="00DE1C4A"/>
    <w:rsid w:val="00DE23BF"/>
    <w:rsid w:val="00DE2782"/>
    <w:rsid w:val="00DE2CF1"/>
    <w:rsid w:val="00DE2DE4"/>
    <w:rsid w:val="00DE31CB"/>
    <w:rsid w:val="00DE33B2"/>
    <w:rsid w:val="00DE3491"/>
    <w:rsid w:val="00DE3610"/>
    <w:rsid w:val="00DE376E"/>
    <w:rsid w:val="00DE3E7D"/>
    <w:rsid w:val="00DE3F7E"/>
    <w:rsid w:val="00DE3FA9"/>
    <w:rsid w:val="00DE4A53"/>
    <w:rsid w:val="00DE4D8B"/>
    <w:rsid w:val="00DE52BE"/>
    <w:rsid w:val="00DE60B7"/>
    <w:rsid w:val="00DE6157"/>
    <w:rsid w:val="00DE64C8"/>
    <w:rsid w:val="00DE67B2"/>
    <w:rsid w:val="00DE6833"/>
    <w:rsid w:val="00DE68DC"/>
    <w:rsid w:val="00DE694A"/>
    <w:rsid w:val="00DE6F51"/>
    <w:rsid w:val="00DE7E4D"/>
    <w:rsid w:val="00DF045B"/>
    <w:rsid w:val="00DF045C"/>
    <w:rsid w:val="00DF06A7"/>
    <w:rsid w:val="00DF112E"/>
    <w:rsid w:val="00DF1274"/>
    <w:rsid w:val="00DF1475"/>
    <w:rsid w:val="00DF17D6"/>
    <w:rsid w:val="00DF2058"/>
    <w:rsid w:val="00DF213F"/>
    <w:rsid w:val="00DF22AB"/>
    <w:rsid w:val="00DF256A"/>
    <w:rsid w:val="00DF2A60"/>
    <w:rsid w:val="00DF2B14"/>
    <w:rsid w:val="00DF309D"/>
    <w:rsid w:val="00DF3474"/>
    <w:rsid w:val="00DF3668"/>
    <w:rsid w:val="00DF3690"/>
    <w:rsid w:val="00DF36E3"/>
    <w:rsid w:val="00DF38DF"/>
    <w:rsid w:val="00DF3A71"/>
    <w:rsid w:val="00DF3BA5"/>
    <w:rsid w:val="00DF3BFC"/>
    <w:rsid w:val="00DF3D95"/>
    <w:rsid w:val="00DF3E4B"/>
    <w:rsid w:val="00DF3EF7"/>
    <w:rsid w:val="00DF402D"/>
    <w:rsid w:val="00DF438D"/>
    <w:rsid w:val="00DF4616"/>
    <w:rsid w:val="00DF4862"/>
    <w:rsid w:val="00DF4BE2"/>
    <w:rsid w:val="00DF4E46"/>
    <w:rsid w:val="00DF4E4D"/>
    <w:rsid w:val="00DF500C"/>
    <w:rsid w:val="00DF53C3"/>
    <w:rsid w:val="00DF5487"/>
    <w:rsid w:val="00DF54EF"/>
    <w:rsid w:val="00DF557B"/>
    <w:rsid w:val="00DF57D4"/>
    <w:rsid w:val="00DF61E7"/>
    <w:rsid w:val="00DF62FF"/>
    <w:rsid w:val="00DF6314"/>
    <w:rsid w:val="00DF681A"/>
    <w:rsid w:val="00DF6CC9"/>
    <w:rsid w:val="00DF6E71"/>
    <w:rsid w:val="00DF71B0"/>
    <w:rsid w:val="00DF72A6"/>
    <w:rsid w:val="00DF72BB"/>
    <w:rsid w:val="00DF75F7"/>
    <w:rsid w:val="00DF786F"/>
    <w:rsid w:val="00DF7C25"/>
    <w:rsid w:val="00E00284"/>
    <w:rsid w:val="00E004A6"/>
    <w:rsid w:val="00E00680"/>
    <w:rsid w:val="00E006D0"/>
    <w:rsid w:val="00E00A92"/>
    <w:rsid w:val="00E00ECE"/>
    <w:rsid w:val="00E01388"/>
    <w:rsid w:val="00E01859"/>
    <w:rsid w:val="00E01902"/>
    <w:rsid w:val="00E01988"/>
    <w:rsid w:val="00E01AD3"/>
    <w:rsid w:val="00E01B59"/>
    <w:rsid w:val="00E01CC6"/>
    <w:rsid w:val="00E01D19"/>
    <w:rsid w:val="00E01E4C"/>
    <w:rsid w:val="00E01F13"/>
    <w:rsid w:val="00E024CE"/>
    <w:rsid w:val="00E02A64"/>
    <w:rsid w:val="00E02BC8"/>
    <w:rsid w:val="00E02FCD"/>
    <w:rsid w:val="00E03761"/>
    <w:rsid w:val="00E0384A"/>
    <w:rsid w:val="00E03A7A"/>
    <w:rsid w:val="00E03C40"/>
    <w:rsid w:val="00E03DC6"/>
    <w:rsid w:val="00E042F1"/>
    <w:rsid w:val="00E04620"/>
    <w:rsid w:val="00E04C76"/>
    <w:rsid w:val="00E04D89"/>
    <w:rsid w:val="00E04F0A"/>
    <w:rsid w:val="00E05037"/>
    <w:rsid w:val="00E05757"/>
    <w:rsid w:val="00E05B26"/>
    <w:rsid w:val="00E05CA1"/>
    <w:rsid w:val="00E0612B"/>
    <w:rsid w:val="00E064E1"/>
    <w:rsid w:val="00E06912"/>
    <w:rsid w:val="00E07196"/>
    <w:rsid w:val="00E07572"/>
    <w:rsid w:val="00E079B8"/>
    <w:rsid w:val="00E079C7"/>
    <w:rsid w:val="00E07A8D"/>
    <w:rsid w:val="00E07AF5"/>
    <w:rsid w:val="00E07E2B"/>
    <w:rsid w:val="00E07F1E"/>
    <w:rsid w:val="00E07F5D"/>
    <w:rsid w:val="00E07F9A"/>
    <w:rsid w:val="00E10543"/>
    <w:rsid w:val="00E10F51"/>
    <w:rsid w:val="00E111AD"/>
    <w:rsid w:val="00E111B1"/>
    <w:rsid w:val="00E11678"/>
    <w:rsid w:val="00E11974"/>
    <w:rsid w:val="00E11A78"/>
    <w:rsid w:val="00E126BE"/>
    <w:rsid w:val="00E1298D"/>
    <w:rsid w:val="00E12E97"/>
    <w:rsid w:val="00E13BD1"/>
    <w:rsid w:val="00E13F07"/>
    <w:rsid w:val="00E1411A"/>
    <w:rsid w:val="00E14475"/>
    <w:rsid w:val="00E1451F"/>
    <w:rsid w:val="00E14B4A"/>
    <w:rsid w:val="00E14B5E"/>
    <w:rsid w:val="00E14BEB"/>
    <w:rsid w:val="00E14F62"/>
    <w:rsid w:val="00E153C9"/>
    <w:rsid w:val="00E1563C"/>
    <w:rsid w:val="00E1569D"/>
    <w:rsid w:val="00E156AD"/>
    <w:rsid w:val="00E157ED"/>
    <w:rsid w:val="00E15911"/>
    <w:rsid w:val="00E15B0E"/>
    <w:rsid w:val="00E16463"/>
    <w:rsid w:val="00E1652C"/>
    <w:rsid w:val="00E16698"/>
    <w:rsid w:val="00E16850"/>
    <w:rsid w:val="00E17566"/>
    <w:rsid w:val="00E1781B"/>
    <w:rsid w:val="00E1788A"/>
    <w:rsid w:val="00E179DF"/>
    <w:rsid w:val="00E17CA5"/>
    <w:rsid w:val="00E17E05"/>
    <w:rsid w:val="00E200D9"/>
    <w:rsid w:val="00E203D5"/>
    <w:rsid w:val="00E205C2"/>
    <w:rsid w:val="00E2068F"/>
    <w:rsid w:val="00E211A5"/>
    <w:rsid w:val="00E214F2"/>
    <w:rsid w:val="00E218CA"/>
    <w:rsid w:val="00E21B47"/>
    <w:rsid w:val="00E21BC3"/>
    <w:rsid w:val="00E21E4D"/>
    <w:rsid w:val="00E22078"/>
    <w:rsid w:val="00E220FC"/>
    <w:rsid w:val="00E2223A"/>
    <w:rsid w:val="00E223C0"/>
    <w:rsid w:val="00E2282B"/>
    <w:rsid w:val="00E229D7"/>
    <w:rsid w:val="00E22BEE"/>
    <w:rsid w:val="00E22E2B"/>
    <w:rsid w:val="00E2311C"/>
    <w:rsid w:val="00E2328F"/>
    <w:rsid w:val="00E2394D"/>
    <w:rsid w:val="00E24073"/>
    <w:rsid w:val="00E240F8"/>
    <w:rsid w:val="00E2411D"/>
    <w:rsid w:val="00E248AE"/>
    <w:rsid w:val="00E24990"/>
    <w:rsid w:val="00E24DFB"/>
    <w:rsid w:val="00E24F98"/>
    <w:rsid w:val="00E25044"/>
    <w:rsid w:val="00E2511E"/>
    <w:rsid w:val="00E2518E"/>
    <w:rsid w:val="00E2533F"/>
    <w:rsid w:val="00E25421"/>
    <w:rsid w:val="00E25469"/>
    <w:rsid w:val="00E25B7D"/>
    <w:rsid w:val="00E25D8C"/>
    <w:rsid w:val="00E25E47"/>
    <w:rsid w:val="00E26045"/>
    <w:rsid w:val="00E26314"/>
    <w:rsid w:val="00E2667F"/>
    <w:rsid w:val="00E267DB"/>
    <w:rsid w:val="00E268CF"/>
    <w:rsid w:val="00E269B6"/>
    <w:rsid w:val="00E2700C"/>
    <w:rsid w:val="00E2729B"/>
    <w:rsid w:val="00E27373"/>
    <w:rsid w:val="00E278C6"/>
    <w:rsid w:val="00E27A02"/>
    <w:rsid w:val="00E27A80"/>
    <w:rsid w:val="00E27E94"/>
    <w:rsid w:val="00E300E8"/>
    <w:rsid w:val="00E3024B"/>
    <w:rsid w:val="00E3036E"/>
    <w:rsid w:val="00E30882"/>
    <w:rsid w:val="00E308FF"/>
    <w:rsid w:val="00E309AB"/>
    <w:rsid w:val="00E30A26"/>
    <w:rsid w:val="00E30C94"/>
    <w:rsid w:val="00E30FDE"/>
    <w:rsid w:val="00E311F4"/>
    <w:rsid w:val="00E31268"/>
    <w:rsid w:val="00E3155E"/>
    <w:rsid w:val="00E31597"/>
    <w:rsid w:val="00E31935"/>
    <w:rsid w:val="00E31E1C"/>
    <w:rsid w:val="00E31F09"/>
    <w:rsid w:val="00E31FB9"/>
    <w:rsid w:val="00E3243C"/>
    <w:rsid w:val="00E32554"/>
    <w:rsid w:val="00E32B7D"/>
    <w:rsid w:val="00E32CA3"/>
    <w:rsid w:val="00E32FEB"/>
    <w:rsid w:val="00E33026"/>
    <w:rsid w:val="00E330E1"/>
    <w:rsid w:val="00E332DC"/>
    <w:rsid w:val="00E33321"/>
    <w:rsid w:val="00E3335E"/>
    <w:rsid w:val="00E33396"/>
    <w:rsid w:val="00E3347D"/>
    <w:rsid w:val="00E33614"/>
    <w:rsid w:val="00E33D53"/>
    <w:rsid w:val="00E34052"/>
    <w:rsid w:val="00E344CB"/>
    <w:rsid w:val="00E346EE"/>
    <w:rsid w:val="00E347AA"/>
    <w:rsid w:val="00E34F91"/>
    <w:rsid w:val="00E35596"/>
    <w:rsid w:val="00E356D5"/>
    <w:rsid w:val="00E3570C"/>
    <w:rsid w:val="00E35761"/>
    <w:rsid w:val="00E35B28"/>
    <w:rsid w:val="00E35C5F"/>
    <w:rsid w:val="00E35D59"/>
    <w:rsid w:val="00E35D8E"/>
    <w:rsid w:val="00E35F80"/>
    <w:rsid w:val="00E36507"/>
    <w:rsid w:val="00E36C43"/>
    <w:rsid w:val="00E36FC7"/>
    <w:rsid w:val="00E37094"/>
    <w:rsid w:val="00E370CD"/>
    <w:rsid w:val="00E373BC"/>
    <w:rsid w:val="00E37CA8"/>
    <w:rsid w:val="00E40062"/>
    <w:rsid w:val="00E4046D"/>
    <w:rsid w:val="00E406D1"/>
    <w:rsid w:val="00E40A6F"/>
    <w:rsid w:val="00E40EE3"/>
    <w:rsid w:val="00E416E9"/>
    <w:rsid w:val="00E4174E"/>
    <w:rsid w:val="00E418DF"/>
    <w:rsid w:val="00E41F27"/>
    <w:rsid w:val="00E421D0"/>
    <w:rsid w:val="00E423FD"/>
    <w:rsid w:val="00E425F9"/>
    <w:rsid w:val="00E4291F"/>
    <w:rsid w:val="00E42B1E"/>
    <w:rsid w:val="00E42E81"/>
    <w:rsid w:val="00E4305A"/>
    <w:rsid w:val="00E43677"/>
    <w:rsid w:val="00E43987"/>
    <w:rsid w:val="00E43A5F"/>
    <w:rsid w:val="00E43E7A"/>
    <w:rsid w:val="00E440C0"/>
    <w:rsid w:val="00E44294"/>
    <w:rsid w:val="00E444C6"/>
    <w:rsid w:val="00E4493A"/>
    <w:rsid w:val="00E44A35"/>
    <w:rsid w:val="00E44E86"/>
    <w:rsid w:val="00E45348"/>
    <w:rsid w:val="00E4549B"/>
    <w:rsid w:val="00E4554C"/>
    <w:rsid w:val="00E457D6"/>
    <w:rsid w:val="00E459D2"/>
    <w:rsid w:val="00E460B7"/>
    <w:rsid w:val="00E4627C"/>
    <w:rsid w:val="00E4632B"/>
    <w:rsid w:val="00E46D61"/>
    <w:rsid w:val="00E47310"/>
    <w:rsid w:val="00E476B8"/>
    <w:rsid w:val="00E47713"/>
    <w:rsid w:val="00E478D6"/>
    <w:rsid w:val="00E47996"/>
    <w:rsid w:val="00E502F6"/>
    <w:rsid w:val="00E505E6"/>
    <w:rsid w:val="00E50658"/>
    <w:rsid w:val="00E507C1"/>
    <w:rsid w:val="00E5095B"/>
    <w:rsid w:val="00E50A62"/>
    <w:rsid w:val="00E50B1C"/>
    <w:rsid w:val="00E50BA8"/>
    <w:rsid w:val="00E50D4F"/>
    <w:rsid w:val="00E517B7"/>
    <w:rsid w:val="00E51CAC"/>
    <w:rsid w:val="00E51D76"/>
    <w:rsid w:val="00E51DF6"/>
    <w:rsid w:val="00E52541"/>
    <w:rsid w:val="00E52A3C"/>
    <w:rsid w:val="00E52E1E"/>
    <w:rsid w:val="00E52F2D"/>
    <w:rsid w:val="00E52FCA"/>
    <w:rsid w:val="00E53040"/>
    <w:rsid w:val="00E53076"/>
    <w:rsid w:val="00E532F8"/>
    <w:rsid w:val="00E538C3"/>
    <w:rsid w:val="00E53C91"/>
    <w:rsid w:val="00E53DAF"/>
    <w:rsid w:val="00E549A2"/>
    <w:rsid w:val="00E54A67"/>
    <w:rsid w:val="00E550A0"/>
    <w:rsid w:val="00E554FE"/>
    <w:rsid w:val="00E555C4"/>
    <w:rsid w:val="00E55675"/>
    <w:rsid w:val="00E556A9"/>
    <w:rsid w:val="00E55A64"/>
    <w:rsid w:val="00E55B3C"/>
    <w:rsid w:val="00E55DD4"/>
    <w:rsid w:val="00E564D4"/>
    <w:rsid w:val="00E565DE"/>
    <w:rsid w:val="00E5669B"/>
    <w:rsid w:val="00E5675B"/>
    <w:rsid w:val="00E56E08"/>
    <w:rsid w:val="00E571A3"/>
    <w:rsid w:val="00E572AB"/>
    <w:rsid w:val="00E5761D"/>
    <w:rsid w:val="00E57659"/>
    <w:rsid w:val="00E5792B"/>
    <w:rsid w:val="00E60555"/>
    <w:rsid w:val="00E606EB"/>
    <w:rsid w:val="00E6099E"/>
    <w:rsid w:val="00E60B5A"/>
    <w:rsid w:val="00E60D07"/>
    <w:rsid w:val="00E611D5"/>
    <w:rsid w:val="00E6121F"/>
    <w:rsid w:val="00E613A5"/>
    <w:rsid w:val="00E6157E"/>
    <w:rsid w:val="00E61796"/>
    <w:rsid w:val="00E61F35"/>
    <w:rsid w:val="00E62178"/>
    <w:rsid w:val="00E621DF"/>
    <w:rsid w:val="00E62271"/>
    <w:rsid w:val="00E625C3"/>
    <w:rsid w:val="00E6293D"/>
    <w:rsid w:val="00E62C4B"/>
    <w:rsid w:val="00E62E83"/>
    <w:rsid w:val="00E63007"/>
    <w:rsid w:val="00E6308D"/>
    <w:rsid w:val="00E630CC"/>
    <w:rsid w:val="00E63439"/>
    <w:rsid w:val="00E634FC"/>
    <w:rsid w:val="00E63724"/>
    <w:rsid w:val="00E6375F"/>
    <w:rsid w:val="00E638E7"/>
    <w:rsid w:val="00E641CD"/>
    <w:rsid w:val="00E64356"/>
    <w:rsid w:val="00E64468"/>
    <w:rsid w:val="00E64E60"/>
    <w:rsid w:val="00E64F1E"/>
    <w:rsid w:val="00E64FDD"/>
    <w:rsid w:val="00E65142"/>
    <w:rsid w:val="00E65452"/>
    <w:rsid w:val="00E6555F"/>
    <w:rsid w:val="00E65C54"/>
    <w:rsid w:val="00E65FC0"/>
    <w:rsid w:val="00E65FFA"/>
    <w:rsid w:val="00E667F3"/>
    <w:rsid w:val="00E6681D"/>
    <w:rsid w:val="00E671E7"/>
    <w:rsid w:val="00E672BE"/>
    <w:rsid w:val="00E67313"/>
    <w:rsid w:val="00E676D8"/>
    <w:rsid w:val="00E676E2"/>
    <w:rsid w:val="00E67FAD"/>
    <w:rsid w:val="00E70333"/>
    <w:rsid w:val="00E706F1"/>
    <w:rsid w:val="00E709BA"/>
    <w:rsid w:val="00E70B8C"/>
    <w:rsid w:val="00E70CB8"/>
    <w:rsid w:val="00E70F2D"/>
    <w:rsid w:val="00E70FFB"/>
    <w:rsid w:val="00E711F5"/>
    <w:rsid w:val="00E71467"/>
    <w:rsid w:val="00E716BF"/>
    <w:rsid w:val="00E71DC8"/>
    <w:rsid w:val="00E71E6B"/>
    <w:rsid w:val="00E72237"/>
    <w:rsid w:val="00E72560"/>
    <w:rsid w:val="00E72880"/>
    <w:rsid w:val="00E7291F"/>
    <w:rsid w:val="00E72A6D"/>
    <w:rsid w:val="00E72AD1"/>
    <w:rsid w:val="00E72B7B"/>
    <w:rsid w:val="00E73284"/>
    <w:rsid w:val="00E7333B"/>
    <w:rsid w:val="00E739D5"/>
    <w:rsid w:val="00E73B89"/>
    <w:rsid w:val="00E73C19"/>
    <w:rsid w:val="00E7408F"/>
    <w:rsid w:val="00E7455B"/>
    <w:rsid w:val="00E7471D"/>
    <w:rsid w:val="00E74C2B"/>
    <w:rsid w:val="00E75291"/>
    <w:rsid w:val="00E758CF"/>
    <w:rsid w:val="00E75934"/>
    <w:rsid w:val="00E75A19"/>
    <w:rsid w:val="00E75AF5"/>
    <w:rsid w:val="00E75E0F"/>
    <w:rsid w:val="00E7635E"/>
    <w:rsid w:val="00E76405"/>
    <w:rsid w:val="00E765AB"/>
    <w:rsid w:val="00E767F8"/>
    <w:rsid w:val="00E769AA"/>
    <w:rsid w:val="00E76D8E"/>
    <w:rsid w:val="00E77042"/>
    <w:rsid w:val="00E771E6"/>
    <w:rsid w:val="00E77437"/>
    <w:rsid w:val="00E77520"/>
    <w:rsid w:val="00E778A6"/>
    <w:rsid w:val="00E77E22"/>
    <w:rsid w:val="00E77E2B"/>
    <w:rsid w:val="00E77E42"/>
    <w:rsid w:val="00E801E2"/>
    <w:rsid w:val="00E802AF"/>
    <w:rsid w:val="00E8040F"/>
    <w:rsid w:val="00E806E1"/>
    <w:rsid w:val="00E80788"/>
    <w:rsid w:val="00E80821"/>
    <w:rsid w:val="00E808CC"/>
    <w:rsid w:val="00E80961"/>
    <w:rsid w:val="00E80A74"/>
    <w:rsid w:val="00E80E00"/>
    <w:rsid w:val="00E80F81"/>
    <w:rsid w:val="00E8120E"/>
    <w:rsid w:val="00E813E7"/>
    <w:rsid w:val="00E81487"/>
    <w:rsid w:val="00E815BC"/>
    <w:rsid w:val="00E8179C"/>
    <w:rsid w:val="00E81E5D"/>
    <w:rsid w:val="00E8230B"/>
    <w:rsid w:val="00E82E85"/>
    <w:rsid w:val="00E8315E"/>
    <w:rsid w:val="00E835D1"/>
    <w:rsid w:val="00E836FC"/>
    <w:rsid w:val="00E83942"/>
    <w:rsid w:val="00E839C3"/>
    <w:rsid w:val="00E83B33"/>
    <w:rsid w:val="00E83ECF"/>
    <w:rsid w:val="00E84174"/>
    <w:rsid w:val="00E84699"/>
    <w:rsid w:val="00E84906"/>
    <w:rsid w:val="00E84A69"/>
    <w:rsid w:val="00E84E3B"/>
    <w:rsid w:val="00E84F02"/>
    <w:rsid w:val="00E84F0E"/>
    <w:rsid w:val="00E84F93"/>
    <w:rsid w:val="00E85087"/>
    <w:rsid w:val="00E854E1"/>
    <w:rsid w:val="00E85EE3"/>
    <w:rsid w:val="00E86079"/>
    <w:rsid w:val="00E8614D"/>
    <w:rsid w:val="00E86421"/>
    <w:rsid w:val="00E864B2"/>
    <w:rsid w:val="00E86534"/>
    <w:rsid w:val="00E8657D"/>
    <w:rsid w:val="00E869BE"/>
    <w:rsid w:val="00E86AAD"/>
    <w:rsid w:val="00E86D38"/>
    <w:rsid w:val="00E86EEF"/>
    <w:rsid w:val="00E8710E"/>
    <w:rsid w:val="00E87187"/>
    <w:rsid w:val="00E874EB"/>
    <w:rsid w:val="00E87574"/>
    <w:rsid w:val="00E8764A"/>
    <w:rsid w:val="00E87BED"/>
    <w:rsid w:val="00E87C74"/>
    <w:rsid w:val="00E90115"/>
    <w:rsid w:val="00E9029C"/>
    <w:rsid w:val="00E903CC"/>
    <w:rsid w:val="00E9045E"/>
    <w:rsid w:val="00E9057A"/>
    <w:rsid w:val="00E90666"/>
    <w:rsid w:val="00E90690"/>
    <w:rsid w:val="00E906C7"/>
    <w:rsid w:val="00E909D4"/>
    <w:rsid w:val="00E90B86"/>
    <w:rsid w:val="00E9120D"/>
    <w:rsid w:val="00E914A0"/>
    <w:rsid w:val="00E914CE"/>
    <w:rsid w:val="00E91990"/>
    <w:rsid w:val="00E91B23"/>
    <w:rsid w:val="00E91B33"/>
    <w:rsid w:val="00E91C22"/>
    <w:rsid w:val="00E91DF8"/>
    <w:rsid w:val="00E92281"/>
    <w:rsid w:val="00E923B6"/>
    <w:rsid w:val="00E925EE"/>
    <w:rsid w:val="00E927B2"/>
    <w:rsid w:val="00E92865"/>
    <w:rsid w:val="00E92A98"/>
    <w:rsid w:val="00E92B67"/>
    <w:rsid w:val="00E92C40"/>
    <w:rsid w:val="00E92C7C"/>
    <w:rsid w:val="00E92CCB"/>
    <w:rsid w:val="00E92D22"/>
    <w:rsid w:val="00E92E6A"/>
    <w:rsid w:val="00E92F3E"/>
    <w:rsid w:val="00E932C1"/>
    <w:rsid w:val="00E93641"/>
    <w:rsid w:val="00E9372F"/>
    <w:rsid w:val="00E93746"/>
    <w:rsid w:val="00E93A57"/>
    <w:rsid w:val="00E93DFC"/>
    <w:rsid w:val="00E94059"/>
    <w:rsid w:val="00E94172"/>
    <w:rsid w:val="00E94218"/>
    <w:rsid w:val="00E948BA"/>
    <w:rsid w:val="00E94A73"/>
    <w:rsid w:val="00E94ED1"/>
    <w:rsid w:val="00E955CB"/>
    <w:rsid w:val="00E9571F"/>
    <w:rsid w:val="00E958AE"/>
    <w:rsid w:val="00E95D59"/>
    <w:rsid w:val="00E95F84"/>
    <w:rsid w:val="00E96742"/>
    <w:rsid w:val="00E969CD"/>
    <w:rsid w:val="00E96FAC"/>
    <w:rsid w:val="00E97150"/>
    <w:rsid w:val="00E9726C"/>
    <w:rsid w:val="00E9737F"/>
    <w:rsid w:val="00E97AAD"/>
    <w:rsid w:val="00E97C70"/>
    <w:rsid w:val="00E97DC6"/>
    <w:rsid w:val="00E97DCC"/>
    <w:rsid w:val="00E97E0D"/>
    <w:rsid w:val="00E97F5D"/>
    <w:rsid w:val="00EA0053"/>
    <w:rsid w:val="00EA0311"/>
    <w:rsid w:val="00EA09BE"/>
    <w:rsid w:val="00EA09CB"/>
    <w:rsid w:val="00EA0BEB"/>
    <w:rsid w:val="00EA0C2E"/>
    <w:rsid w:val="00EA0F03"/>
    <w:rsid w:val="00EA1396"/>
    <w:rsid w:val="00EA1435"/>
    <w:rsid w:val="00EA1A4F"/>
    <w:rsid w:val="00EA1EA5"/>
    <w:rsid w:val="00EA2119"/>
    <w:rsid w:val="00EA25D6"/>
    <w:rsid w:val="00EA2708"/>
    <w:rsid w:val="00EA2858"/>
    <w:rsid w:val="00EA291F"/>
    <w:rsid w:val="00EA2BB2"/>
    <w:rsid w:val="00EA2C2C"/>
    <w:rsid w:val="00EA2D7E"/>
    <w:rsid w:val="00EA2E38"/>
    <w:rsid w:val="00EA2E89"/>
    <w:rsid w:val="00EA31E4"/>
    <w:rsid w:val="00EA33BB"/>
    <w:rsid w:val="00EA37DA"/>
    <w:rsid w:val="00EA3CFD"/>
    <w:rsid w:val="00EA3D47"/>
    <w:rsid w:val="00EA46D7"/>
    <w:rsid w:val="00EA484D"/>
    <w:rsid w:val="00EA4963"/>
    <w:rsid w:val="00EA4CBA"/>
    <w:rsid w:val="00EA4E80"/>
    <w:rsid w:val="00EA4EFF"/>
    <w:rsid w:val="00EA501C"/>
    <w:rsid w:val="00EA51E7"/>
    <w:rsid w:val="00EA5360"/>
    <w:rsid w:val="00EA559E"/>
    <w:rsid w:val="00EA5D7F"/>
    <w:rsid w:val="00EA648E"/>
    <w:rsid w:val="00EA64F5"/>
    <w:rsid w:val="00EA79A6"/>
    <w:rsid w:val="00EA7A60"/>
    <w:rsid w:val="00EA7C65"/>
    <w:rsid w:val="00EA7E74"/>
    <w:rsid w:val="00EA7F6C"/>
    <w:rsid w:val="00EB00A7"/>
    <w:rsid w:val="00EB02E1"/>
    <w:rsid w:val="00EB05C2"/>
    <w:rsid w:val="00EB0648"/>
    <w:rsid w:val="00EB0694"/>
    <w:rsid w:val="00EB071C"/>
    <w:rsid w:val="00EB0B11"/>
    <w:rsid w:val="00EB0D74"/>
    <w:rsid w:val="00EB0E1A"/>
    <w:rsid w:val="00EB1311"/>
    <w:rsid w:val="00EB19A7"/>
    <w:rsid w:val="00EB1F77"/>
    <w:rsid w:val="00EB215A"/>
    <w:rsid w:val="00EB217C"/>
    <w:rsid w:val="00EB2237"/>
    <w:rsid w:val="00EB252A"/>
    <w:rsid w:val="00EB2898"/>
    <w:rsid w:val="00EB2A79"/>
    <w:rsid w:val="00EB2BCC"/>
    <w:rsid w:val="00EB2DC3"/>
    <w:rsid w:val="00EB2F98"/>
    <w:rsid w:val="00EB319D"/>
    <w:rsid w:val="00EB31F8"/>
    <w:rsid w:val="00EB3236"/>
    <w:rsid w:val="00EB3422"/>
    <w:rsid w:val="00EB34FB"/>
    <w:rsid w:val="00EB37BF"/>
    <w:rsid w:val="00EB3840"/>
    <w:rsid w:val="00EB3C91"/>
    <w:rsid w:val="00EB3DAF"/>
    <w:rsid w:val="00EB46DA"/>
    <w:rsid w:val="00EB4748"/>
    <w:rsid w:val="00EB49D4"/>
    <w:rsid w:val="00EB4BAE"/>
    <w:rsid w:val="00EB5294"/>
    <w:rsid w:val="00EB54B4"/>
    <w:rsid w:val="00EB57FC"/>
    <w:rsid w:val="00EB585C"/>
    <w:rsid w:val="00EB59CF"/>
    <w:rsid w:val="00EB5DE3"/>
    <w:rsid w:val="00EB5DFB"/>
    <w:rsid w:val="00EB5FDF"/>
    <w:rsid w:val="00EB620D"/>
    <w:rsid w:val="00EB630B"/>
    <w:rsid w:val="00EB6436"/>
    <w:rsid w:val="00EB6442"/>
    <w:rsid w:val="00EB6802"/>
    <w:rsid w:val="00EB68A0"/>
    <w:rsid w:val="00EB6C91"/>
    <w:rsid w:val="00EB6D67"/>
    <w:rsid w:val="00EB6E56"/>
    <w:rsid w:val="00EB72D2"/>
    <w:rsid w:val="00EB7A08"/>
    <w:rsid w:val="00EB7C6A"/>
    <w:rsid w:val="00EC0432"/>
    <w:rsid w:val="00EC0493"/>
    <w:rsid w:val="00EC0595"/>
    <w:rsid w:val="00EC0D80"/>
    <w:rsid w:val="00EC0F79"/>
    <w:rsid w:val="00EC10CE"/>
    <w:rsid w:val="00EC11CF"/>
    <w:rsid w:val="00EC15D6"/>
    <w:rsid w:val="00EC19C5"/>
    <w:rsid w:val="00EC1A8B"/>
    <w:rsid w:val="00EC1F23"/>
    <w:rsid w:val="00EC2CCE"/>
    <w:rsid w:val="00EC2CFC"/>
    <w:rsid w:val="00EC2D3B"/>
    <w:rsid w:val="00EC30C1"/>
    <w:rsid w:val="00EC33AF"/>
    <w:rsid w:val="00EC3910"/>
    <w:rsid w:val="00EC3B51"/>
    <w:rsid w:val="00EC3C3A"/>
    <w:rsid w:val="00EC3EB3"/>
    <w:rsid w:val="00EC418B"/>
    <w:rsid w:val="00EC462E"/>
    <w:rsid w:val="00EC472F"/>
    <w:rsid w:val="00EC4760"/>
    <w:rsid w:val="00EC4980"/>
    <w:rsid w:val="00EC50C0"/>
    <w:rsid w:val="00EC5840"/>
    <w:rsid w:val="00EC5A8C"/>
    <w:rsid w:val="00EC5FA5"/>
    <w:rsid w:val="00EC61D1"/>
    <w:rsid w:val="00EC6375"/>
    <w:rsid w:val="00EC64F7"/>
    <w:rsid w:val="00EC64F8"/>
    <w:rsid w:val="00EC66DF"/>
    <w:rsid w:val="00EC6C21"/>
    <w:rsid w:val="00EC6CC1"/>
    <w:rsid w:val="00EC6CF4"/>
    <w:rsid w:val="00EC6F64"/>
    <w:rsid w:val="00EC71E5"/>
    <w:rsid w:val="00EC7CB2"/>
    <w:rsid w:val="00ED032E"/>
    <w:rsid w:val="00ED03DD"/>
    <w:rsid w:val="00ED0549"/>
    <w:rsid w:val="00ED05FE"/>
    <w:rsid w:val="00ED0623"/>
    <w:rsid w:val="00ED0729"/>
    <w:rsid w:val="00ED075A"/>
    <w:rsid w:val="00ED083E"/>
    <w:rsid w:val="00ED13D4"/>
    <w:rsid w:val="00ED154F"/>
    <w:rsid w:val="00ED161D"/>
    <w:rsid w:val="00ED17C3"/>
    <w:rsid w:val="00ED1B68"/>
    <w:rsid w:val="00ED1FF7"/>
    <w:rsid w:val="00ED228F"/>
    <w:rsid w:val="00ED24B9"/>
    <w:rsid w:val="00ED2682"/>
    <w:rsid w:val="00ED2A62"/>
    <w:rsid w:val="00ED2A82"/>
    <w:rsid w:val="00ED2B8E"/>
    <w:rsid w:val="00ED2BE5"/>
    <w:rsid w:val="00ED333B"/>
    <w:rsid w:val="00ED36CC"/>
    <w:rsid w:val="00ED3AE2"/>
    <w:rsid w:val="00ED421A"/>
    <w:rsid w:val="00ED45AD"/>
    <w:rsid w:val="00ED49FB"/>
    <w:rsid w:val="00ED4AE0"/>
    <w:rsid w:val="00ED4B03"/>
    <w:rsid w:val="00ED4BFB"/>
    <w:rsid w:val="00ED4E59"/>
    <w:rsid w:val="00ED51BB"/>
    <w:rsid w:val="00ED57FA"/>
    <w:rsid w:val="00ED58C8"/>
    <w:rsid w:val="00ED5AC3"/>
    <w:rsid w:val="00ED5D9A"/>
    <w:rsid w:val="00ED5DC6"/>
    <w:rsid w:val="00ED5F94"/>
    <w:rsid w:val="00ED6327"/>
    <w:rsid w:val="00ED65BF"/>
    <w:rsid w:val="00ED66B1"/>
    <w:rsid w:val="00ED6836"/>
    <w:rsid w:val="00ED6923"/>
    <w:rsid w:val="00ED6946"/>
    <w:rsid w:val="00ED6A78"/>
    <w:rsid w:val="00ED6B92"/>
    <w:rsid w:val="00ED6BBD"/>
    <w:rsid w:val="00ED6CCC"/>
    <w:rsid w:val="00ED7073"/>
    <w:rsid w:val="00ED7164"/>
    <w:rsid w:val="00ED7225"/>
    <w:rsid w:val="00ED72D0"/>
    <w:rsid w:val="00ED73AE"/>
    <w:rsid w:val="00ED73CF"/>
    <w:rsid w:val="00ED749D"/>
    <w:rsid w:val="00ED76C6"/>
    <w:rsid w:val="00ED773D"/>
    <w:rsid w:val="00ED77F6"/>
    <w:rsid w:val="00ED7906"/>
    <w:rsid w:val="00ED7DFC"/>
    <w:rsid w:val="00EE0188"/>
    <w:rsid w:val="00EE039E"/>
    <w:rsid w:val="00EE04DE"/>
    <w:rsid w:val="00EE058A"/>
    <w:rsid w:val="00EE07B8"/>
    <w:rsid w:val="00EE0A05"/>
    <w:rsid w:val="00EE0B83"/>
    <w:rsid w:val="00EE0BC4"/>
    <w:rsid w:val="00EE0BE8"/>
    <w:rsid w:val="00EE0CA3"/>
    <w:rsid w:val="00EE19BB"/>
    <w:rsid w:val="00EE1AC0"/>
    <w:rsid w:val="00EE1F0F"/>
    <w:rsid w:val="00EE2498"/>
    <w:rsid w:val="00EE281A"/>
    <w:rsid w:val="00EE29F5"/>
    <w:rsid w:val="00EE2BCA"/>
    <w:rsid w:val="00EE2DA9"/>
    <w:rsid w:val="00EE316A"/>
    <w:rsid w:val="00EE3651"/>
    <w:rsid w:val="00EE3657"/>
    <w:rsid w:val="00EE3E8C"/>
    <w:rsid w:val="00EE41CD"/>
    <w:rsid w:val="00EE4416"/>
    <w:rsid w:val="00EE469D"/>
    <w:rsid w:val="00EE4AFF"/>
    <w:rsid w:val="00EE4CCC"/>
    <w:rsid w:val="00EE5265"/>
    <w:rsid w:val="00EE56E5"/>
    <w:rsid w:val="00EE5CA8"/>
    <w:rsid w:val="00EE6D54"/>
    <w:rsid w:val="00EE6FF7"/>
    <w:rsid w:val="00EE7199"/>
    <w:rsid w:val="00EE7437"/>
    <w:rsid w:val="00EE7452"/>
    <w:rsid w:val="00EE74F6"/>
    <w:rsid w:val="00EF03F5"/>
    <w:rsid w:val="00EF0FD1"/>
    <w:rsid w:val="00EF128D"/>
    <w:rsid w:val="00EF137A"/>
    <w:rsid w:val="00EF1382"/>
    <w:rsid w:val="00EF13EA"/>
    <w:rsid w:val="00EF149F"/>
    <w:rsid w:val="00EF14D1"/>
    <w:rsid w:val="00EF19AE"/>
    <w:rsid w:val="00EF1A86"/>
    <w:rsid w:val="00EF1B67"/>
    <w:rsid w:val="00EF1C2A"/>
    <w:rsid w:val="00EF1FE3"/>
    <w:rsid w:val="00EF2516"/>
    <w:rsid w:val="00EF26BC"/>
    <w:rsid w:val="00EF28B8"/>
    <w:rsid w:val="00EF2E79"/>
    <w:rsid w:val="00EF2E7D"/>
    <w:rsid w:val="00EF3270"/>
    <w:rsid w:val="00EF3293"/>
    <w:rsid w:val="00EF34E6"/>
    <w:rsid w:val="00EF3563"/>
    <w:rsid w:val="00EF3673"/>
    <w:rsid w:val="00EF3F8B"/>
    <w:rsid w:val="00EF426C"/>
    <w:rsid w:val="00EF4452"/>
    <w:rsid w:val="00EF4545"/>
    <w:rsid w:val="00EF46DB"/>
    <w:rsid w:val="00EF4744"/>
    <w:rsid w:val="00EF477D"/>
    <w:rsid w:val="00EF47D9"/>
    <w:rsid w:val="00EF4D2A"/>
    <w:rsid w:val="00EF4D34"/>
    <w:rsid w:val="00EF50F7"/>
    <w:rsid w:val="00EF5457"/>
    <w:rsid w:val="00EF5775"/>
    <w:rsid w:val="00EF577F"/>
    <w:rsid w:val="00EF5898"/>
    <w:rsid w:val="00EF58BC"/>
    <w:rsid w:val="00EF5D62"/>
    <w:rsid w:val="00EF68B4"/>
    <w:rsid w:val="00EF6F6D"/>
    <w:rsid w:val="00EF712C"/>
    <w:rsid w:val="00EF74F6"/>
    <w:rsid w:val="00EF7AD5"/>
    <w:rsid w:val="00EF7C11"/>
    <w:rsid w:val="00EF7D5C"/>
    <w:rsid w:val="00EF7E8E"/>
    <w:rsid w:val="00EF7EA8"/>
    <w:rsid w:val="00F001D2"/>
    <w:rsid w:val="00F003FB"/>
    <w:rsid w:val="00F005C9"/>
    <w:rsid w:val="00F00610"/>
    <w:rsid w:val="00F00772"/>
    <w:rsid w:val="00F00DC8"/>
    <w:rsid w:val="00F00EF2"/>
    <w:rsid w:val="00F00FC4"/>
    <w:rsid w:val="00F01104"/>
    <w:rsid w:val="00F01320"/>
    <w:rsid w:val="00F0175C"/>
    <w:rsid w:val="00F01952"/>
    <w:rsid w:val="00F01FA7"/>
    <w:rsid w:val="00F02090"/>
    <w:rsid w:val="00F022BE"/>
    <w:rsid w:val="00F0262C"/>
    <w:rsid w:val="00F0277C"/>
    <w:rsid w:val="00F031CC"/>
    <w:rsid w:val="00F033C8"/>
    <w:rsid w:val="00F03412"/>
    <w:rsid w:val="00F03675"/>
    <w:rsid w:val="00F036D6"/>
    <w:rsid w:val="00F0372B"/>
    <w:rsid w:val="00F0379A"/>
    <w:rsid w:val="00F03BC7"/>
    <w:rsid w:val="00F0408B"/>
    <w:rsid w:val="00F0474D"/>
    <w:rsid w:val="00F04BD1"/>
    <w:rsid w:val="00F04FCB"/>
    <w:rsid w:val="00F050EB"/>
    <w:rsid w:val="00F0542B"/>
    <w:rsid w:val="00F05AD1"/>
    <w:rsid w:val="00F05B7B"/>
    <w:rsid w:val="00F05C66"/>
    <w:rsid w:val="00F06120"/>
    <w:rsid w:val="00F0613A"/>
    <w:rsid w:val="00F066E7"/>
    <w:rsid w:val="00F06A30"/>
    <w:rsid w:val="00F06E8F"/>
    <w:rsid w:val="00F074D9"/>
    <w:rsid w:val="00F075F0"/>
    <w:rsid w:val="00F0795F"/>
    <w:rsid w:val="00F103E3"/>
    <w:rsid w:val="00F1052B"/>
    <w:rsid w:val="00F10D7D"/>
    <w:rsid w:val="00F11222"/>
    <w:rsid w:val="00F1199B"/>
    <w:rsid w:val="00F11B88"/>
    <w:rsid w:val="00F11F27"/>
    <w:rsid w:val="00F11FBB"/>
    <w:rsid w:val="00F120DF"/>
    <w:rsid w:val="00F12227"/>
    <w:rsid w:val="00F12235"/>
    <w:rsid w:val="00F1266E"/>
    <w:rsid w:val="00F127E3"/>
    <w:rsid w:val="00F134C7"/>
    <w:rsid w:val="00F13D78"/>
    <w:rsid w:val="00F142D4"/>
    <w:rsid w:val="00F14439"/>
    <w:rsid w:val="00F1455F"/>
    <w:rsid w:val="00F14C02"/>
    <w:rsid w:val="00F15102"/>
    <w:rsid w:val="00F1558C"/>
    <w:rsid w:val="00F1568B"/>
    <w:rsid w:val="00F1578A"/>
    <w:rsid w:val="00F15C2F"/>
    <w:rsid w:val="00F16421"/>
    <w:rsid w:val="00F16A35"/>
    <w:rsid w:val="00F16D00"/>
    <w:rsid w:val="00F16E00"/>
    <w:rsid w:val="00F16F82"/>
    <w:rsid w:val="00F173E6"/>
    <w:rsid w:val="00F1782D"/>
    <w:rsid w:val="00F1794E"/>
    <w:rsid w:val="00F179D7"/>
    <w:rsid w:val="00F17C90"/>
    <w:rsid w:val="00F17DE9"/>
    <w:rsid w:val="00F17E95"/>
    <w:rsid w:val="00F203DD"/>
    <w:rsid w:val="00F20552"/>
    <w:rsid w:val="00F2092C"/>
    <w:rsid w:val="00F209FB"/>
    <w:rsid w:val="00F20B8E"/>
    <w:rsid w:val="00F20CB9"/>
    <w:rsid w:val="00F20E62"/>
    <w:rsid w:val="00F2118C"/>
    <w:rsid w:val="00F2139F"/>
    <w:rsid w:val="00F214E9"/>
    <w:rsid w:val="00F2160F"/>
    <w:rsid w:val="00F226E4"/>
    <w:rsid w:val="00F2315C"/>
    <w:rsid w:val="00F23295"/>
    <w:rsid w:val="00F2344B"/>
    <w:rsid w:val="00F23974"/>
    <w:rsid w:val="00F23BC6"/>
    <w:rsid w:val="00F23CC8"/>
    <w:rsid w:val="00F242E5"/>
    <w:rsid w:val="00F249ED"/>
    <w:rsid w:val="00F24A01"/>
    <w:rsid w:val="00F24CCA"/>
    <w:rsid w:val="00F24DAA"/>
    <w:rsid w:val="00F2521D"/>
    <w:rsid w:val="00F252FC"/>
    <w:rsid w:val="00F25369"/>
    <w:rsid w:val="00F25AB0"/>
    <w:rsid w:val="00F25D03"/>
    <w:rsid w:val="00F25DAE"/>
    <w:rsid w:val="00F2663C"/>
    <w:rsid w:val="00F26BCC"/>
    <w:rsid w:val="00F26DD1"/>
    <w:rsid w:val="00F27113"/>
    <w:rsid w:val="00F273CE"/>
    <w:rsid w:val="00F277A7"/>
    <w:rsid w:val="00F2796F"/>
    <w:rsid w:val="00F27C8D"/>
    <w:rsid w:val="00F27D87"/>
    <w:rsid w:val="00F27E24"/>
    <w:rsid w:val="00F27E8D"/>
    <w:rsid w:val="00F301FE"/>
    <w:rsid w:val="00F3059D"/>
    <w:rsid w:val="00F30FCE"/>
    <w:rsid w:val="00F31329"/>
    <w:rsid w:val="00F31372"/>
    <w:rsid w:val="00F31625"/>
    <w:rsid w:val="00F316EF"/>
    <w:rsid w:val="00F31A5F"/>
    <w:rsid w:val="00F323F8"/>
    <w:rsid w:val="00F3248D"/>
    <w:rsid w:val="00F32965"/>
    <w:rsid w:val="00F32B76"/>
    <w:rsid w:val="00F32BB1"/>
    <w:rsid w:val="00F32F3A"/>
    <w:rsid w:val="00F33664"/>
    <w:rsid w:val="00F3374C"/>
    <w:rsid w:val="00F338F8"/>
    <w:rsid w:val="00F33DB5"/>
    <w:rsid w:val="00F33DDC"/>
    <w:rsid w:val="00F3420A"/>
    <w:rsid w:val="00F3473C"/>
    <w:rsid w:val="00F34D75"/>
    <w:rsid w:val="00F34EC5"/>
    <w:rsid w:val="00F35606"/>
    <w:rsid w:val="00F35692"/>
    <w:rsid w:val="00F3572F"/>
    <w:rsid w:val="00F35763"/>
    <w:rsid w:val="00F35912"/>
    <w:rsid w:val="00F35A50"/>
    <w:rsid w:val="00F35B96"/>
    <w:rsid w:val="00F35DA1"/>
    <w:rsid w:val="00F35E41"/>
    <w:rsid w:val="00F362B0"/>
    <w:rsid w:val="00F3652F"/>
    <w:rsid w:val="00F3672C"/>
    <w:rsid w:val="00F3696C"/>
    <w:rsid w:val="00F370BB"/>
    <w:rsid w:val="00F379FD"/>
    <w:rsid w:val="00F37D1C"/>
    <w:rsid w:val="00F37EC2"/>
    <w:rsid w:val="00F37F0D"/>
    <w:rsid w:val="00F4050A"/>
    <w:rsid w:val="00F40B91"/>
    <w:rsid w:val="00F40BAC"/>
    <w:rsid w:val="00F40C26"/>
    <w:rsid w:val="00F416EE"/>
    <w:rsid w:val="00F420EE"/>
    <w:rsid w:val="00F42388"/>
    <w:rsid w:val="00F42517"/>
    <w:rsid w:val="00F42563"/>
    <w:rsid w:val="00F42624"/>
    <w:rsid w:val="00F42694"/>
    <w:rsid w:val="00F42AD9"/>
    <w:rsid w:val="00F43017"/>
    <w:rsid w:val="00F432BB"/>
    <w:rsid w:val="00F433F8"/>
    <w:rsid w:val="00F43B64"/>
    <w:rsid w:val="00F43DB5"/>
    <w:rsid w:val="00F43E87"/>
    <w:rsid w:val="00F43F2D"/>
    <w:rsid w:val="00F4412A"/>
    <w:rsid w:val="00F44272"/>
    <w:rsid w:val="00F44439"/>
    <w:rsid w:val="00F4518D"/>
    <w:rsid w:val="00F455E5"/>
    <w:rsid w:val="00F45737"/>
    <w:rsid w:val="00F45B00"/>
    <w:rsid w:val="00F45CE7"/>
    <w:rsid w:val="00F46311"/>
    <w:rsid w:val="00F46987"/>
    <w:rsid w:val="00F46B92"/>
    <w:rsid w:val="00F4747A"/>
    <w:rsid w:val="00F474F7"/>
    <w:rsid w:val="00F47755"/>
    <w:rsid w:val="00F477D1"/>
    <w:rsid w:val="00F47916"/>
    <w:rsid w:val="00F47AB3"/>
    <w:rsid w:val="00F47D1C"/>
    <w:rsid w:val="00F47F7B"/>
    <w:rsid w:val="00F501D7"/>
    <w:rsid w:val="00F5085C"/>
    <w:rsid w:val="00F50984"/>
    <w:rsid w:val="00F50B40"/>
    <w:rsid w:val="00F50D5D"/>
    <w:rsid w:val="00F50EFE"/>
    <w:rsid w:val="00F50F8B"/>
    <w:rsid w:val="00F51109"/>
    <w:rsid w:val="00F5118F"/>
    <w:rsid w:val="00F514AE"/>
    <w:rsid w:val="00F516C9"/>
    <w:rsid w:val="00F518D3"/>
    <w:rsid w:val="00F519E6"/>
    <w:rsid w:val="00F51CED"/>
    <w:rsid w:val="00F51D9B"/>
    <w:rsid w:val="00F51EC4"/>
    <w:rsid w:val="00F52240"/>
    <w:rsid w:val="00F524F4"/>
    <w:rsid w:val="00F52810"/>
    <w:rsid w:val="00F5289A"/>
    <w:rsid w:val="00F52A6B"/>
    <w:rsid w:val="00F52A88"/>
    <w:rsid w:val="00F52C59"/>
    <w:rsid w:val="00F52D75"/>
    <w:rsid w:val="00F52EBB"/>
    <w:rsid w:val="00F52F09"/>
    <w:rsid w:val="00F531BE"/>
    <w:rsid w:val="00F532E8"/>
    <w:rsid w:val="00F53502"/>
    <w:rsid w:val="00F53A09"/>
    <w:rsid w:val="00F53F6E"/>
    <w:rsid w:val="00F5400E"/>
    <w:rsid w:val="00F54294"/>
    <w:rsid w:val="00F542CD"/>
    <w:rsid w:val="00F54877"/>
    <w:rsid w:val="00F54DA7"/>
    <w:rsid w:val="00F54F1D"/>
    <w:rsid w:val="00F55060"/>
    <w:rsid w:val="00F551B2"/>
    <w:rsid w:val="00F55723"/>
    <w:rsid w:val="00F561DC"/>
    <w:rsid w:val="00F56420"/>
    <w:rsid w:val="00F56A91"/>
    <w:rsid w:val="00F56C00"/>
    <w:rsid w:val="00F570BD"/>
    <w:rsid w:val="00F5717B"/>
    <w:rsid w:val="00F5734B"/>
    <w:rsid w:val="00F5746F"/>
    <w:rsid w:val="00F5772E"/>
    <w:rsid w:val="00F57B5B"/>
    <w:rsid w:val="00F57C22"/>
    <w:rsid w:val="00F57C3D"/>
    <w:rsid w:val="00F57D2F"/>
    <w:rsid w:val="00F57F9A"/>
    <w:rsid w:val="00F60017"/>
    <w:rsid w:val="00F6020B"/>
    <w:rsid w:val="00F6038F"/>
    <w:rsid w:val="00F60416"/>
    <w:rsid w:val="00F60656"/>
    <w:rsid w:val="00F6079C"/>
    <w:rsid w:val="00F60A19"/>
    <w:rsid w:val="00F60BAB"/>
    <w:rsid w:val="00F61165"/>
    <w:rsid w:val="00F611CB"/>
    <w:rsid w:val="00F61543"/>
    <w:rsid w:val="00F61D82"/>
    <w:rsid w:val="00F6294B"/>
    <w:rsid w:val="00F62988"/>
    <w:rsid w:val="00F62A6F"/>
    <w:rsid w:val="00F62B05"/>
    <w:rsid w:val="00F6305F"/>
    <w:rsid w:val="00F631CF"/>
    <w:rsid w:val="00F633F0"/>
    <w:rsid w:val="00F6341C"/>
    <w:rsid w:val="00F63453"/>
    <w:rsid w:val="00F63593"/>
    <w:rsid w:val="00F6365C"/>
    <w:rsid w:val="00F63881"/>
    <w:rsid w:val="00F63B07"/>
    <w:rsid w:val="00F63EB3"/>
    <w:rsid w:val="00F6409C"/>
    <w:rsid w:val="00F6412D"/>
    <w:rsid w:val="00F647E9"/>
    <w:rsid w:val="00F65568"/>
    <w:rsid w:val="00F65572"/>
    <w:rsid w:val="00F65869"/>
    <w:rsid w:val="00F65D9B"/>
    <w:rsid w:val="00F65E3A"/>
    <w:rsid w:val="00F65F8C"/>
    <w:rsid w:val="00F665D3"/>
    <w:rsid w:val="00F66664"/>
    <w:rsid w:val="00F668F0"/>
    <w:rsid w:val="00F66A7A"/>
    <w:rsid w:val="00F66B9A"/>
    <w:rsid w:val="00F66DCE"/>
    <w:rsid w:val="00F672ED"/>
    <w:rsid w:val="00F673AE"/>
    <w:rsid w:val="00F67691"/>
    <w:rsid w:val="00F67C11"/>
    <w:rsid w:val="00F67CDC"/>
    <w:rsid w:val="00F70312"/>
    <w:rsid w:val="00F70920"/>
    <w:rsid w:val="00F70B8D"/>
    <w:rsid w:val="00F70D51"/>
    <w:rsid w:val="00F71134"/>
    <w:rsid w:val="00F71350"/>
    <w:rsid w:val="00F71640"/>
    <w:rsid w:val="00F71789"/>
    <w:rsid w:val="00F719E9"/>
    <w:rsid w:val="00F71D03"/>
    <w:rsid w:val="00F7242B"/>
    <w:rsid w:val="00F72F72"/>
    <w:rsid w:val="00F732D0"/>
    <w:rsid w:val="00F73306"/>
    <w:rsid w:val="00F73645"/>
    <w:rsid w:val="00F73852"/>
    <w:rsid w:val="00F73C7A"/>
    <w:rsid w:val="00F73D3B"/>
    <w:rsid w:val="00F748DE"/>
    <w:rsid w:val="00F7497F"/>
    <w:rsid w:val="00F74B97"/>
    <w:rsid w:val="00F74D8E"/>
    <w:rsid w:val="00F757F5"/>
    <w:rsid w:val="00F75888"/>
    <w:rsid w:val="00F75CFD"/>
    <w:rsid w:val="00F75DAF"/>
    <w:rsid w:val="00F75FF1"/>
    <w:rsid w:val="00F76214"/>
    <w:rsid w:val="00F76408"/>
    <w:rsid w:val="00F7653C"/>
    <w:rsid w:val="00F7653E"/>
    <w:rsid w:val="00F769F9"/>
    <w:rsid w:val="00F777A3"/>
    <w:rsid w:val="00F77BA2"/>
    <w:rsid w:val="00F77E2E"/>
    <w:rsid w:val="00F8021E"/>
    <w:rsid w:val="00F80C76"/>
    <w:rsid w:val="00F80C7C"/>
    <w:rsid w:val="00F80D26"/>
    <w:rsid w:val="00F811D6"/>
    <w:rsid w:val="00F816CF"/>
    <w:rsid w:val="00F8178A"/>
    <w:rsid w:val="00F81796"/>
    <w:rsid w:val="00F818FB"/>
    <w:rsid w:val="00F81915"/>
    <w:rsid w:val="00F81BD6"/>
    <w:rsid w:val="00F82911"/>
    <w:rsid w:val="00F82E85"/>
    <w:rsid w:val="00F82F77"/>
    <w:rsid w:val="00F83087"/>
    <w:rsid w:val="00F831C3"/>
    <w:rsid w:val="00F831FB"/>
    <w:rsid w:val="00F83216"/>
    <w:rsid w:val="00F83326"/>
    <w:rsid w:val="00F8377F"/>
    <w:rsid w:val="00F83A88"/>
    <w:rsid w:val="00F83AB0"/>
    <w:rsid w:val="00F83B2A"/>
    <w:rsid w:val="00F840AB"/>
    <w:rsid w:val="00F84153"/>
    <w:rsid w:val="00F8467B"/>
    <w:rsid w:val="00F84B93"/>
    <w:rsid w:val="00F84C28"/>
    <w:rsid w:val="00F84F49"/>
    <w:rsid w:val="00F84F63"/>
    <w:rsid w:val="00F85189"/>
    <w:rsid w:val="00F85282"/>
    <w:rsid w:val="00F85F99"/>
    <w:rsid w:val="00F861FB"/>
    <w:rsid w:val="00F862E3"/>
    <w:rsid w:val="00F8632B"/>
    <w:rsid w:val="00F86775"/>
    <w:rsid w:val="00F86841"/>
    <w:rsid w:val="00F86FAD"/>
    <w:rsid w:val="00F8709A"/>
    <w:rsid w:val="00F870C8"/>
    <w:rsid w:val="00F87268"/>
    <w:rsid w:val="00F873A8"/>
    <w:rsid w:val="00F876C3"/>
    <w:rsid w:val="00F87750"/>
    <w:rsid w:val="00F8795E"/>
    <w:rsid w:val="00F87CD5"/>
    <w:rsid w:val="00F900F8"/>
    <w:rsid w:val="00F9010F"/>
    <w:rsid w:val="00F902BF"/>
    <w:rsid w:val="00F902D0"/>
    <w:rsid w:val="00F904F9"/>
    <w:rsid w:val="00F90AF8"/>
    <w:rsid w:val="00F90C1A"/>
    <w:rsid w:val="00F912EB"/>
    <w:rsid w:val="00F9147A"/>
    <w:rsid w:val="00F9167A"/>
    <w:rsid w:val="00F9176B"/>
    <w:rsid w:val="00F91D05"/>
    <w:rsid w:val="00F921B8"/>
    <w:rsid w:val="00F9250B"/>
    <w:rsid w:val="00F92751"/>
    <w:rsid w:val="00F92907"/>
    <w:rsid w:val="00F92DB6"/>
    <w:rsid w:val="00F92F3E"/>
    <w:rsid w:val="00F92F52"/>
    <w:rsid w:val="00F93015"/>
    <w:rsid w:val="00F9313A"/>
    <w:rsid w:val="00F93146"/>
    <w:rsid w:val="00F934FC"/>
    <w:rsid w:val="00F93687"/>
    <w:rsid w:val="00F9377C"/>
    <w:rsid w:val="00F940A9"/>
    <w:rsid w:val="00F9425F"/>
    <w:rsid w:val="00F94342"/>
    <w:rsid w:val="00F94D5E"/>
    <w:rsid w:val="00F94ED5"/>
    <w:rsid w:val="00F9544F"/>
    <w:rsid w:val="00F95A4B"/>
    <w:rsid w:val="00F95C18"/>
    <w:rsid w:val="00F95F70"/>
    <w:rsid w:val="00F96042"/>
    <w:rsid w:val="00F9614A"/>
    <w:rsid w:val="00F961F9"/>
    <w:rsid w:val="00F96437"/>
    <w:rsid w:val="00F96940"/>
    <w:rsid w:val="00F96AA4"/>
    <w:rsid w:val="00F96E59"/>
    <w:rsid w:val="00F970EF"/>
    <w:rsid w:val="00F97CD2"/>
    <w:rsid w:val="00F97D14"/>
    <w:rsid w:val="00F97FA6"/>
    <w:rsid w:val="00FA00AA"/>
    <w:rsid w:val="00FA018C"/>
    <w:rsid w:val="00FA0616"/>
    <w:rsid w:val="00FA128E"/>
    <w:rsid w:val="00FA1377"/>
    <w:rsid w:val="00FA14A4"/>
    <w:rsid w:val="00FA1559"/>
    <w:rsid w:val="00FA1638"/>
    <w:rsid w:val="00FA1C98"/>
    <w:rsid w:val="00FA1D58"/>
    <w:rsid w:val="00FA1E2F"/>
    <w:rsid w:val="00FA29D5"/>
    <w:rsid w:val="00FA29E6"/>
    <w:rsid w:val="00FA34AC"/>
    <w:rsid w:val="00FA37AC"/>
    <w:rsid w:val="00FA383D"/>
    <w:rsid w:val="00FA3990"/>
    <w:rsid w:val="00FA41C0"/>
    <w:rsid w:val="00FA44F9"/>
    <w:rsid w:val="00FA46A6"/>
    <w:rsid w:val="00FA48DF"/>
    <w:rsid w:val="00FA4984"/>
    <w:rsid w:val="00FA4A86"/>
    <w:rsid w:val="00FA4E9E"/>
    <w:rsid w:val="00FA510C"/>
    <w:rsid w:val="00FA5188"/>
    <w:rsid w:val="00FA5946"/>
    <w:rsid w:val="00FA5A3C"/>
    <w:rsid w:val="00FA5A79"/>
    <w:rsid w:val="00FA5AC0"/>
    <w:rsid w:val="00FA5C8D"/>
    <w:rsid w:val="00FA5D0B"/>
    <w:rsid w:val="00FA5D5F"/>
    <w:rsid w:val="00FA61D4"/>
    <w:rsid w:val="00FA62CF"/>
    <w:rsid w:val="00FA6579"/>
    <w:rsid w:val="00FA6AE8"/>
    <w:rsid w:val="00FA70FC"/>
    <w:rsid w:val="00FA7AE9"/>
    <w:rsid w:val="00FA7B6A"/>
    <w:rsid w:val="00FA7E07"/>
    <w:rsid w:val="00FA7EB6"/>
    <w:rsid w:val="00FB0090"/>
    <w:rsid w:val="00FB0207"/>
    <w:rsid w:val="00FB0AED"/>
    <w:rsid w:val="00FB1132"/>
    <w:rsid w:val="00FB141C"/>
    <w:rsid w:val="00FB14E7"/>
    <w:rsid w:val="00FB14EC"/>
    <w:rsid w:val="00FB1502"/>
    <w:rsid w:val="00FB1A98"/>
    <w:rsid w:val="00FB1DFC"/>
    <w:rsid w:val="00FB1E83"/>
    <w:rsid w:val="00FB1F08"/>
    <w:rsid w:val="00FB1F66"/>
    <w:rsid w:val="00FB23C5"/>
    <w:rsid w:val="00FB29D1"/>
    <w:rsid w:val="00FB2B27"/>
    <w:rsid w:val="00FB2EEC"/>
    <w:rsid w:val="00FB30BE"/>
    <w:rsid w:val="00FB32E5"/>
    <w:rsid w:val="00FB34C1"/>
    <w:rsid w:val="00FB356E"/>
    <w:rsid w:val="00FB37D3"/>
    <w:rsid w:val="00FB3A26"/>
    <w:rsid w:val="00FB3D27"/>
    <w:rsid w:val="00FB40E7"/>
    <w:rsid w:val="00FB4314"/>
    <w:rsid w:val="00FB44CD"/>
    <w:rsid w:val="00FB4563"/>
    <w:rsid w:val="00FB45E8"/>
    <w:rsid w:val="00FB48F9"/>
    <w:rsid w:val="00FB4A69"/>
    <w:rsid w:val="00FB4DF6"/>
    <w:rsid w:val="00FB5343"/>
    <w:rsid w:val="00FB552F"/>
    <w:rsid w:val="00FB5558"/>
    <w:rsid w:val="00FB57CE"/>
    <w:rsid w:val="00FB595F"/>
    <w:rsid w:val="00FB5B9A"/>
    <w:rsid w:val="00FB5D94"/>
    <w:rsid w:val="00FB5EA4"/>
    <w:rsid w:val="00FB65A1"/>
    <w:rsid w:val="00FB6A49"/>
    <w:rsid w:val="00FB6C65"/>
    <w:rsid w:val="00FB6D78"/>
    <w:rsid w:val="00FB7298"/>
    <w:rsid w:val="00FB72D2"/>
    <w:rsid w:val="00FB7A7D"/>
    <w:rsid w:val="00FB7A93"/>
    <w:rsid w:val="00FB7F5F"/>
    <w:rsid w:val="00FC01E6"/>
    <w:rsid w:val="00FC065A"/>
    <w:rsid w:val="00FC0687"/>
    <w:rsid w:val="00FC0C12"/>
    <w:rsid w:val="00FC11EA"/>
    <w:rsid w:val="00FC12C3"/>
    <w:rsid w:val="00FC1743"/>
    <w:rsid w:val="00FC181E"/>
    <w:rsid w:val="00FC1B0B"/>
    <w:rsid w:val="00FC22A5"/>
    <w:rsid w:val="00FC2937"/>
    <w:rsid w:val="00FC29B9"/>
    <w:rsid w:val="00FC306A"/>
    <w:rsid w:val="00FC32EC"/>
    <w:rsid w:val="00FC3732"/>
    <w:rsid w:val="00FC373F"/>
    <w:rsid w:val="00FC43A0"/>
    <w:rsid w:val="00FC4C47"/>
    <w:rsid w:val="00FC53EB"/>
    <w:rsid w:val="00FC57B4"/>
    <w:rsid w:val="00FC5928"/>
    <w:rsid w:val="00FC5982"/>
    <w:rsid w:val="00FC5AA6"/>
    <w:rsid w:val="00FC5BD2"/>
    <w:rsid w:val="00FC6079"/>
    <w:rsid w:val="00FC646D"/>
    <w:rsid w:val="00FC67DC"/>
    <w:rsid w:val="00FC690E"/>
    <w:rsid w:val="00FC6BCC"/>
    <w:rsid w:val="00FC6D5E"/>
    <w:rsid w:val="00FC7025"/>
    <w:rsid w:val="00FC70D1"/>
    <w:rsid w:val="00FC71E0"/>
    <w:rsid w:val="00FC758E"/>
    <w:rsid w:val="00FC7AAB"/>
    <w:rsid w:val="00FC7DE0"/>
    <w:rsid w:val="00FD0471"/>
    <w:rsid w:val="00FD04AE"/>
    <w:rsid w:val="00FD05B7"/>
    <w:rsid w:val="00FD0619"/>
    <w:rsid w:val="00FD0B39"/>
    <w:rsid w:val="00FD0F0C"/>
    <w:rsid w:val="00FD1A87"/>
    <w:rsid w:val="00FD1AAC"/>
    <w:rsid w:val="00FD1C67"/>
    <w:rsid w:val="00FD24E1"/>
    <w:rsid w:val="00FD24FD"/>
    <w:rsid w:val="00FD2789"/>
    <w:rsid w:val="00FD29B7"/>
    <w:rsid w:val="00FD2A7A"/>
    <w:rsid w:val="00FD2E05"/>
    <w:rsid w:val="00FD3239"/>
    <w:rsid w:val="00FD340F"/>
    <w:rsid w:val="00FD3863"/>
    <w:rsid w:val="00FD3AA1"/>
    <w:rsid w:val="00FD3BAB"/>
    <w:rsid w:val="00FD3D87"/>
    <w:rsid w:val="00FD407A"/>
    <w:rsid w:val="00FD4333"/>
    <w:rsid w:val="00FD4454"/>
    <w:rsid w:val="00FD4871"/>
    <w:rsid w:val="00FD4DF2"/>
    <w:rsid w:val="00FD4EDF"/>
    <w:rsid w:val="00FD51A4"/>
    <w:rsid w:val="00FD5937"/>
    <w:rsid w:val="00FD5A98"/>
    <w:rsid w:val="00FD5AF8"/>
    <w:rsid w:val="00FD5B0E"/>
    <w:rsid w:val="00FD613F"/>
    <w:rsid w:val="00FD6141"/>
    <w:rsid w:val="00FD6336"/>
    <w:rsid w:val="00FD645D"/>
    <w:rsid w:val="00FD6533"/>
    <w:rsid w:val="00FD6553"/>
    <w:rsid w:val="00FD6AF3"/>
    <w:rsid w:val="00FD7240"/>
    <w:rsid w:val="00FD738C"/>
    <w:rsid w:val="00FD73B0"/>
    <w:rsid w:val="00FD7CB1"/>
    <w:rsid w:val="00FD7CD8"/>
    <w:rsid w:val="00FD7E92"/>
    <w:rsid w:val="00FD7FA2"/>
    <w:rsid w:val="00FE01A5"/>
    <w:rsid w:val="00FE034B"/>
    <w:rsid w:val="00FE0454"/>
    <w:rsid w:val="00FE09E5"/>
    <w:rsid w:val="00FE0C35"/>
    <w:rsid w:val="00FE0E91"/>
    <w:rsid w:val="00FE1D7B"/>
    <w:rsid w:val="00FE255E"/>
    <w:rsid w:val="00FE2812"/>
    <w:rsid w:val="00FE28C1"/>
    <w:rsid w:val="00FE2A25"/>
    <w:rsid w:val="00FE2BDA"/>
    <w:rsid w:val="00FE2CED"/>
    <w:rsid w:val="00FE2EF8"/>
    <w:rsid w:val="00FE346B"/>
    <w:rsid w:val="00FE3647"/>
    <w:rsid w:val="00FE3785"/>
    <w:rsid w:val="00FE38BB"/>
    <w:rsid w:val="00FE3949"/>
    <w:rsid w:val="00FE4595"/>
    <w:rsid w:val="00FE480C"/>
    <w:rsid w:val="00FE4B26"/>
    <w:rsid w:val="00FE4BCF"/>
    <w:rsid w:val="00FE4C1E"/>
    <w:rsid w:val="00FE4EA6"/>
    <w:rsid w:val="00FE542C"/>
    <w:rsid w:val="00FE54A2"/>
    <w:rsid w:val="00FE572A"/>
    <w:rsid w:val="00FE57A6"/>
    <w:rsid w:val="00FE59F4"/>
    <w:rsid w:val="00FE5A57"/>
    <w:rsid w:val="00FE5BF0"/>
    <w:rsid w:val="00FE5E96"/>
    <w:rsid w:val="00FE5EF8"/>
    <w:rsid w:val="00FE61E5"/>
    <w:rsid w:val="00FE6202"/>
    <w:rsid w:val="00FE6437"/>
    <w:rsid w:val="00FE6529"/>
    <w:rsid w:val="00FE6A74"/>
    <w:rsid w:val="00FE702B"/>
    <w:rsid w:val="00FE715D"/>
    <w:rsid w:val="00FE742A"/>
    <w:rsid w:val="00FE7701"/>
    <w:rsid w:val="00FE77DE"/>
    <w:rsid w:val="00FE78BD"/>
    <w:rsid w:val="00FE7B7E"/>
    <w:rsid w:val="00FE7E1B"/>
    <w:rsid w:val="00FE7E43"/>
    <w:rsid w:val="00FF0112"/>
    <w:rsid w:val="00FF0122"/>
    <w:rsid w:val="00FF0550"/>
    <w:rsid w:val="00FF066B"/>
    <w:rsid w:val="00FF0A08"/>
    <w:rsid w:val="00FF0B82"/>
    <w:rsid w:val="00FF0CE2"/>
    <w:rsid w:val="00FF1142"/>
    <w:rsid w:val="00FF1BAE"/>
    <w:rsid w:val="00FF22DC"/>
    <w:rsid w:val="00FF2803"/>
    <w:rsid w:val="00FF2AB4"/>
    <w:rsid w:val="00FF2D8C"/>
    <w:rsid w:val="00FF2DE7"/>
    <w:rsid w:val="00FF2DFB"/>
    <w:rsid w:val="00FF2F7C"/>
    <w:rsid w:val="00FF32F7"/>
    <w:rsid w:val="00FF35D2"/>
    <w:rsid w:val="00FF3826"/>
    <w:rsid w:val="00FF388B"/>
    <w:rsid w:val="00FF3893"/>
    <w:rsid w:val="00FF3A0C"/>
    <w:rsid w:val="00FF3BFB"/>
    <w:rsid w:val="00FF3CBF"/>
    <w:rsid w:val="00FF4651"/>
    <w:rsid w:val="00FF46B7"/>
    <w:rsid w:val="00FF4E69"/>
    <w:rsid w:val="00FF50F0"/>
    <w:rsid w:val="00FF53D5"/>
    <w:rsid w:val="00FF53E5"/>
    <w:rsid w:val="00FF5500"/>
    <w:rsid w:val="00FF551C"/>
    <w:rsid w:val="00FF592A"/>
    <w:rsid w:val="00FF603E"/>
    <w:rsid w:val="00FF61AA"/>
    <w:rsid w:val="00FF6626"/>
    <w:rsid w:val="00FF6A3A"/>
    <w:rsid w:val="00FF6AC9"/>
    <w:rsid w:val="00FF6ADF"/>
    <w:rsid w:val="00FF6B97"/>
    <w:rsid w:val="00FF74C7"/>
    <w:rsid w:val="00FF7AC3"/>
    <w:rsid w:val="00FF7C3C"/>
    <w:rsid w:val="014ABE8C"/>
    <w:rsid w:val="022F768F"/>
    <w:rsid w:val="026CDA60"/>
    <w:rsid w:val="0289C608"/>
    <w:rsid w:val="02D424D0"/>
    <w:rsid w:val="0324964E"/>
    <w:rsid w:val="0369C50B"/>
    <w:rsid w:val="0382C539"/>
    <w:rsid w:val="03D73C20"/>
    <w:rsid w:val="03E67DBE"/>
    <w:rsid w:val="03E90894"/>
    <w:rsid w:val="041D9DB2"/>
    <w:rsid w:val="04242681"/>
    <w:rsid w:val="045BE21E"/>
    <w:rsid w:val="04C22D9F"/>
    <w:rsid w:val="055F66A6"/>
    <w:rsid w:val="06393D72"/>
    <w:rsid w:val="06991FC8"/>
    <w:rsid w:val="06AA31D1"/>
    <w:rsid w:val="0771B793"/>
    <w:rsid w:val="07A20E8E"/>
    <w:rsid w:val="07B26E50"/>
    <w:rsid w:val="07FA6775"/>
    <w:rsid w:val="0861B7D7"/>
    <w:rsid w:val="0887948A"/>
    <w:rsid w:val="08A7EBBB"/>
    <w:rsid w:val="08F55B16"/>
    <w:rsid w:val="0936C69D"/>
    <w:rsid w:val="097FDA5D"/>
    <w:rsid w:val="099B2DFD"/>
    <w:rsid w:val="09AE167B"/>
    <w:rsid w:val="09AE5F64"/>
    <w:rsid w:val="0AA29824"/>
    <w:rsid w:val="0AA69FC6"/>
    <w:rsid w:val="0AA8E92A"/>
    <w:rsid w:val="0ACAE0FA"/>
    <w:rsid w:val="0B08558D"/>
    <w:rsid w:val="0B225F45"/>
    <w:rsid w:val="0B364C82"/>
    <w:rsid w:val="0B3C8155"/>
    <w:rsid w:val="0C95BC20"/>
    <w:rsid w:val="0CECEB3D"/>
    <w:rsid w:val="0D0A6115"/>
    <w:rsid w:val="0DF9E8E1"/>
    <w:rsid w:val="0DFDE188"/>
    <w:rsid w:val="0E5CA57C"/>
    <w:rsid w:val="0E9C169A"/>
    <w:rsid w:val="0EB56AF4"/>
    <w:rsid w:val="0EC32589"/>
    <w:rsid w:val="0EEA9365"/>
    <w:rsid w:val="0EFA21DB"/>
    <w:rsid w:val="0F124DAB"/>
    <w:rsid w:val="0F4F7D04"/>
    <w:rsid w:val="0F4FCA5B"/>
    <w:rsid w:val="0FA00E33"/>
    <w:rsid w:val="102B05D5"/>
    <w:rsid w:val="1057F92C"/>
    <w:rsid w:val="1083FD45"/>
    <w:rsid w:val="10B38C0D"/>
    <w:rsid w:val="1124F4E4"/>
    <w:rsid w:val="11AFB30D"/>
    <w:rsid w:val="11BAC78A"/>
    <w:rsid w:val="11D35774"/>
    <w:rsid w:val="11E9D07A"/>
    <w:rsid w:val="12220155"/>
    <w:rsid w:val="124FFF52"/>
    <w:rsid w:val="1253CCB0"/>
    <w:rsid w:val="12C69E75"/>
    <w:rsid w:val="134536D4"/>
    <w:rsid w:val="1347E5D6"/>
    <w:rsid w:val="1349ECDB"/>
    <w:rsid w:val="135F6E17"/>
    <w:rsid w:val="13C9D799"/>
    <w:rsid w:val="145D9538"/>
    <w:rsid w:val="149C205B"/>
    <w:rsid w:val="14B73148"/>
    <w:rsid w:val="14EA40FC"/>
    <w:rsid w:val="156C4CB5"/>
    <w:rsid w:val="15946179"/>
    <w:rsid w:val="15F667CC"/>
    <w:rsid w:val="16772FEA"/>
    <w:rsid w:val="16ED79D2"/>
    <w:rsid w:val="171CADB4"/>
    <w:rsid w:val="1736C445"/>
    <w:rsid w:val="17414102"/>
    <w:rsid w:val="179AF960"/>
    <w:rsid w:val="179FA0C2"/>
    <w:rsid w:val="17AADF56"/>
    <w:rsid w:val="17ACE608"/>
    <w:rsid w:val="17CBDFDA"/>
    <w:rsid w:val="17ED05D2"/>
    <w:rsid w:val="187D0813"/>
    <w:rsid w:val="1901DB9D"/>
    <w:rsid w:val="19B610AB"/>
    <w:rsid w:val="19B80D7D"/>
    <w:rsid w:val="19FD5332"/>
    <w:rsid w:val="1A49E3C9"/>
    <w:rsid w:val="1A4EEE6F"/>
    <w:rsid w:val="1A556CB0"/>
    <w:rsid w:val="1AAD10BD"/>
    <w:rsid w:val="1ABF3290"/>
    <w:rsid w:val="1AE56C55"/>
    <w:rsid w:val="1B1CE5B2"/>
    <w:rsid w:val="1B220386"/>
    <w:rsid w:val="1B625425"/>
    <w:rsid w:val="1BEA2653"/>
    <w:rsid w:val="1C568C1B"/>
    <w:rsid w:val="1C8A7E0E"/>
    <w:rsid w:val="1CBF9D75"/>
    <w:rsid w:val="1CD8541A"/>
    <w:rsid w:val="1D06DDFB"/>
    <w:rsid w:val="1D1BE203"/>
    <w:rsid w:val="1D1DA7B7"/>
    <w:rsid w:val="1D1E0394"/>
    <w:rsid w:val="1E5DEE8D"/>
    <w:rsid w:val="1EF42B8A"/>
    <w:rsid w:val="1F5C5F84"/>
    <w:rsid w:val="1F9A0E2F"/>
    <w:rsid w:val="1FB7F910"/>
    <w:rsid w:val="1FE3D7BD"/>
    <w:rsid w:val="1FFA31C2"/>
    <w:rsid w:val="215E6836"/>
    <w:rsid w:val="218CD71F"/>
    <w:rsid w:val="21FA5EC8"/>
    <w:rsid w:val="2279F4EE"/>
    <w:rsid w:val="2296119B"/>
    <w:rsid w:val="229C2B40"/>
    <w:rsid w:val="22B185C2"/>
    <w:rsid w:val="22CEA470"/>
    <w:rsid w:val="22F0D675"/>
    <w:rsid w:val="22F136E6"/>
    <w:rsid w:val="230DDAB7"/>
    <w:rsid w:val="233E1FB9"/>
    <w:rsid w:val="23456CCE"/>
    <w:rsid w:val="23750E3F"/>
    <w:rsid w:val="23B986E4"/>
    <w:rsid w:val="23C806C5"/>
    <w:rsid w:val="23F59749"/>
    <w:rsid w:val="244C6719"/>
    <w:rsid w:val="24783768"/>
    <w:rsid w:val="24C5EDDE"/>
    <w:rsid w:val="24E97F56"/>
    <w:rsid w:val="250820C2"/>
    <w:rsid w:val="25798DCD"/>
    <w:rsid w:val="25885EAD"/>
    <w:rsid w:val="258B7F5B"/>
    <w:rsid w:val="25A2C5D2"/>
    <w:rsid w:val="25CE22A8"/>
    <w:rsid w:val="25DD648B"/>
    <w:rsid w:val="2637D932"/>
    <w:rsid w:val="263A8762"/>
    <w:rsid w:val="265EB262"/>
    <w:rsid w:val="26D8007D"/>
    <w:rsid w:val="2733F430"/>
    <w:rsid w:val="27514BED"/>
    <w:rsid w:val="27BCF50B"/>
    <w:rsid w:val="27ECD944"/>
    <w:rsid w:val="27FB35E9"/>
    <w:rsid w:val="29158EC4"/>
    <w:rsid w:val="29993EA1"/>
    <w:rsid w:val="29AB684F"/>
    <w:rsid w:val="29CC6A32"/>
    <w:rsid w:val="2A1F4A66"/>
    <w:rsid w:val="2A1FC538"/>
    <w:rsid w:val="2A5F6FF2"/>
    <w:rsid w:val="2A699E2A"/>
    <w:rsid w:val="2AA9B316"/>
    <w:rsid w:val="2AAF69FA"/>
    <w:rsid w:val="2AD1789F"/>
    <w:rsid w:val="2B2E42A9"/>
    <w:rsid w:val="2B6E7198"/>
    <w:rsid w:val="2B7F7CF0"/>
    <w:rsid w:val="2B81953B"/>
    <w:rsid w:val="2BBDC5FD"/>
    <w:rsid w:val="2BFE0914"/>
    <w:rsid w:val="2C4B1723"/>
    <w:rsid w:val="2C7EF730"/>
    <w:rsid w:val="2CC19BF0"/>
    <w:rsid w:val="2CFD5143"/>
    <w:rsid w:val="2D01A008"/>
    <w:rsid w:val="2D556D2E"/>
    <w:rsid w:val="2D7C8EC2"/>
    <w:rsid w:val="2DC8491B"/>
    <w:rsid w:val="2DCCC7BC"/>
    <w:rsid w:val="2DE9778E"/>
    <w:rsid w:val="2E000BE0"/>
    <w:rsid w:val="2E2839D6"/>
    <w:rsid w:val="2E290C53"/>
    <w:rsid w:val="2E41545A"/>
    <w:rsid w:val="2E8D74C5"/>
    <w:rsid w:val="2E9C193D"/>
    <w:rsid w:val="2EC7519E"/>
    <w:rsid w:val="2EF88C55"/>
    <w:rsid w:val="2F5AA2F8"/>
    <w:rsid w:val="2FBF7171"/>
    <w:rsid w:val="309C92C4"/>
    <w:rsid w:val="30C63AAC"/>
    <w:rsid w:val="3108E324"/>
    <w:rsid w:val="312574AC"/>
    <w:rsid w:val="315A1EDC"/>
    <w:rsid w:val="31B70953"/>
    <w:rsid w:val="31E7C33C"/>
    <w:rsid w:val="33907AF0"/>
    <w:rsid w:val="33B02B7D"/>
    <w:rsid w:val="33E91113"/>
    <w:rsid w:val="34B41082"/>
    <w:rsid w:val="350B5829"/>
    <w:rsid w:val="3517B3E1"/>
    <w:rsid w:val="351E3613"/>
    <w:rsid w:val="352A3D98"/>
    <w:rsid w:val="35439B6F"/>
    <w:rsid w:val="358C6AD9"/>
    <w:rsid w:val="35C6BED0"/>
    <w:rsid w:val="35F41F77"/>
    <w:rsid w:val="36719D41"/>
    <w:rsid w:val="367AD725"/>
    <w:rsid w:val="36AADF77"/>
    <w:rsid w:val="372835A4"/>
    <w:rsid w:val="3798D97D"/>
    <w:rsid w:val="37C94FCB"/>
    <w:rsid w:val="37E5BC00"/>
    <w:rsid w:val="385A53DF"/>
    <w:rsid w:val="3864C6E1"/>
    <w:rsid w:val="38800DAE"/>
    <w:rsid w:val="38849E32"/>
    <w:rsid w:val="38AF4454"/>
    <w:rsid w:val="38D85A8D"/>
    <w:rsid w:val="396ACC1B"/>
    <w:rsid w:val="3B445CA1"/>
    <w:rsid w:val="3B5BE3EA"/>
    <w:rsid w:val="3BD7945C"/>
    <w:rsid w:val="3BE39CD1"/>
    <w:rsid w:val="3C3C746C"/>
    <w:rsid w:val="3C5D138C"/>
    <w:rsid w:val="3C74AC1A"/>
    <w:rsid w:val="3C8A6AAD"/>
    <w:rsid w:val="3C9D6B6F"/>
    <w:rsid w:val="3C9FBCA4"/>
    <w:rsid w:val="3CA67DA0"/>
    <w:rsid w:val="3D38BB61"/>
    <w:rsid w:val="3D4E9FEB"/>
    <w:rsid w:val="3D6FB4D3"/>
    <w:rsid w:val="3D8565AF"/>
    <w:rsid w:val="3DA444A9"/>
    <w:rsid w:val="3DE1EC0D"/>
    <w:rsid w:val="3EB2AD8D"/>
    <w:rsid w:val="3EEBEFE0"/>
    <w:rsid w:val="3EFF36F8"/>
    <w:rsid w:val="3F27965B"/>
    <w:rsid w:val="3F3C7943"/>
    <w:rsid w:val="3F753D27"/>
    <w:rsid w:val="3F771CC9"/>
    <w:rsid w:val="3F9D106F"/>
    <w:rsid w:val="3FD8A942"/>
    <w:rsid w:val="400C5638"/>
    <w:rsid w:val="4098BB9B"/>
    <w:rsid w:val="41317549"/>
    <w:rsid w:val="41FC18FC"/>
    <w:rsid w:val="42685D10"/>
    <w:rsid w:val="427A6D72"/>
    <w:rsid w:val="429C92B6"/>
    <w:rsid w:val="42F82DFB"/>
    <w:rsid w:val="42FE0BCB"/>
    <w:rsid w:val="432451F6"/>
    <w:rsid w:val="439508F9"/>
    <w:rsid w:val="43EA641F"/>
    <w:rsid w:val="43EC7196"/>
    <w:rsid w:val="44334067"/>
    <w:rsid w:val="4476AFAB"/>
    <w:rsid w:val="44BFB9AC"/>
    <w:rsid w:val="44D4414E"/>
    <w:rsid w:val="45614AB6"/>
    <w:rsid w:val="456F0FF4"/>
    <w:rsid w:val="45A6954A"/>
    <w:rsid w:val="45C1B86C"/>
    <w:rsid w:val="45E5FCF6"/>
    <w:rsid w:val="45ED80F8"/>
    <w:rsid w:val="46F230DF"/>
    <w:rsid w:val="4707B842"/>
    <w:rsid w:val="483C209D"/>
    <w:rsid w:val="4861E8F6"/>
    <w:rsid w:val="48A03A3A"/>
    <w:rsid w:val="49035FED"/>
    <w:rsid w:val="494EECFF"/>
    <w:rsid w:val="49536D6C"/>
    <w:rsid w:val="49667735"/>
    <w:rsid w:val="497D8BD3"/>
    <w:rsid w:val="49B16564"/>
    <w:rsid w:val="49D358C5"/>
    <w:rsid w:val="49D82A45"/>
    <w:rsid w:val="49FBAE6F"/>
    <w:rsid w:val="4A2C25E6"/>
    <w:rsid w:val="4A3663EE"/>
    <w:rsid w:val="4A3A5EC2"/>
    <w:rsid w:val="4A607583"/>
    <w:rsid w:val="4AFF9CD9"/>
    <w:rsid w:val="4B03F885"/>
    <w:rsid w:val="4B153F50"/>
    <w:rsid w:val="4B7D2725"/>
    <w:rsid w:val="4C76EC2D"/>
    <w:rsid w:val="4C7A6128"/>
    <w:rsid w:val="4C7E037D"/>
    <w:rsid w:val="4CE7428F"/>
    <w:rsid w:val="4D000EDF"/>
    <w:rsid w:val="4D71C1E8"/>
    <w:rsid w:val="4D8079C4"/>
    <w:rsid w:val="4DBBB431"/>
    <w:rsid w:val="4DD0D2AC"/>
    <w:rsid w:val="4E6B8893"/>
    <w:rsid w:val="4EBB8553"/>
    <w:rsid w:val="4ECC24CB"/>
    <w:rsid w:val="4ECF35DE"/>
    <w:rsid w:val="4F1080A9"/>
    <w:rsid w:val="4F1EC325"/>
    <w:rsid w:val="5034BA71"/>
    <w:rsid w:val="50DE1390"/>
    <w:rsid w:val="50E61C5B"/>
    <w:rsid w:val="513D358F"/>
    <w:rsid w:val="51618FAC"/>
    <w:rsid w:val="5195178B"/>
    <w:rsid w:val="51A10662"/>
    <w:rsid w:val="51B4791D"/>
    <w:rsid w:val="528CBC24"/>
    <w:rsid w:val="535C5D5D"/>
    <w:rsid w:val="5360C685"/>
    <w:rsid w:val="53B3719E"/>
    <w:rsid w:val="53B72337"/>
    <w:rsid w:val="53CD444F"/>
    <w:rsid w:val="53E584D1"/>
    <w:rsid w:val="540E6FA0"/>
    <w:rsid w:val="548AA7D4"/>
    <w:rsid w:val="54CAA3A3"/>
    <w:rsid w:val="55405819"/>
    <w:rsid w:val="5573573A"/>
    <w:rsid w:val="55796E0C"/>
    <w:rsid w:val="5592D278"/>
    <w:rsid w:val="55D0E19A"/>
    <w:rsid w:val="56B95415"/>
    <w:rsid w:val="5700E07D"/>
    <w:rsid w:val="570E2D3C"/>
    <w:rsid w:val="57395F49"/>
    <w:rsid w:val="57A53D82"/>
    <w:rsid w:val="582898CB"/>
    <w:rsid w:val="582F2710"/>
    <w:rsid w:val="583EB6E7"/>
    <w:rsid w:val="58D2700D"/>
    <w:rsid w:val="59166034"/>
    <w:rsid w:val="596FCE81"/>
    <w:rsid w:val="5990B41C"/>
    <w:rsid w:val="59AF2B1A"/>
    <w:rsid w:val="59B868B1"/>
    <w:rsid w:val="5A29C928"/>
    <w:rsid w:val="5A65543B"/>
    <w:rsid w:val="5A9A9CF0"/>
    <w:rsid w:val="5AB8E230"/>
    <w:rsid w:val="5B088F4B"/>
    <w:rsid w:val="5B99D9E2"/>
    <w:rsid w:val="5CC26D84"/>
    <w:rsid w:val="5CCA061B"/>
    <w:rsid w:val="5D0E7EF0"/>
    <w:rsid w:val="5D78419E"/>
    <w:rsid w:val="5DA0B5AB"/>
    <w:rsid w:val="5DC3808B"/>
    <w:rsid w:val="5DD5587C"/>
    <w:rsid w:val="5E8722EA"/>
    <w:rsid w:val="5EC3BB6C"/>
    <w:rsid w:val="5EC94F6F"/>
    <w:rsid w:val="5F529AB1"/>
    <w:rsid w:val="5F75CFD4"/>
    <w:rsid w:val="5FAFC03A"/>
    <w:rsid w:val="5FBDB31D"/>
    <w:rsid w:val="5FD918EB"/>
    <w:rsid w:val="6009BB8D"/>
    <w:rsid w:val="601D568B"/>
    <w:rsid w:val="60BE70DB"/>
    <w:rsid w:val="60BF13FF"/>
    <w:rsid w:val="60C03305"/>
    <w:rsid w:val="612600C7"/>
    <w:rsid w:val="615B80F5"/>
    <w:rsid w:val="61E2AF06"/>
    <w:rsid w:val="624E7FE0"/>
    <w:rsid w:val="62748B5C"/>
    <w:rsid w:val="62A41814"/>
    <w:rsid w:val="62F8D579"/>
    <w:rsid w:val="630CE755"/>
    <w:rsid w:val="63BA4409"/>
    <w:rsid w:val="63D9F35B"/>
    <w:rsid w:val="641DEFC8"/>
    <w:rsid w:val="642E44C2"/>
    <w:rsid w:val="64D4F2FB"/>
    <w:rsid w:val="64F2F7A2"/>
    <w:rsid w:val="65CCD949"/>
    <w:rsid w:val="66183CE3"/>
    <w:rsid w:val="666D086E"/>
    <w:rsid w:val="670539D4"/>
    <w:rsid w:val="670E42ED"/>
    <w:rsid w:val="67261450"/>
    <w:rsid w:val="6738CE0F"/>
    <w:rsid w:val="6739CDCA"/>
    <w:rsid w:val="67B812F2"/>
    <w:rsid w:val="67D619DC"/>
    <w:rsid w:val="67EA372D"/>
    <w:rsid w:val="6822FEF4"/>
    <w:rsid w:val="68B366A3"/>
    <w:rsid w:val="68B88D1B"/>
    <w:rsid w:val="68C61391"/>
    <w:rsid w:val="68E0BA06"/>
    <w:rsid w:val="68E8DEA7"/>
    <w:rsid w:val="68F962B1"/>
    <w:rsid w:val="69251FD8"/>
    <w:rsid w:val="69336A7E"/>
    <w:rsid w:val="69850E55"/>
    <w:rsid w:val="69F1AE83"/>
    <w:rsid w:val="6A36FF3A"/>
    <w:rsid w:val="6AED977B"/>
    <w:rsid w:val="6B0A1360"/>
    <w:rsid w:val="6B2B26EB"/>
    <w:rsid w:val="6B4FEF83"/>
    <w:rsid w:val="6B9EF2F7"/>
    <w:rsid w:val="6BCFCD48"/>
    <w:rsid w:val="6C3BF744"/>
    <w:rsid w:val="6CAC5D44"/>
    <w:rsid w:val="6CB71E84"/>
    <w:rsid w:val="6CBB6284"/>
    <w:rsid w:val="6CC33D8E"/>
    <w:rsid w:val="6CEC7E03"/>
    <w:rsid w:val="6D565FB1"/>
    <w:rsid w:val="6D9E43F3"/>
    <w:rsid w:val="6DB358C2"/>
    <w:rsid w:val="6DE8D0A6"/>
    <w:rsid w:val="6E64AA47"/>
    <w:rsid w:val="6E7287C3"/>
    <w:rsid w:val="70622562"/>
    <w:rsid w:val="7065C496"/>
    <w:rsid w:val="709CEE50"/>
    <w:rsid w:val="70AF8D7D"/>
    <w:rsid w:val="70C0FC19"/>
    <w:rsid w:val="70CDCEF6"/>
    <w:rsid w:val="70E56AD5"/>
    <w:rsid w:val="70E6BF60"/>
    <w:rsid w:val="715D58C8"/>
    <w:rsid w:val="718F2D09"/>
    <w:rsid w:val="7194CEEC"/>
    <w:rsid w:val="71C80EEB"/>
    <w:rsid w:val="71E880A6"/>
    <w:rsid w:val="735D2BFA"/>
    <w:rsid w:val="73805BE5"/>
    <w:rsid w:val="73D9D14C"/>
    <w:rsid w:val="747574E5"/>
    <w:rsid w:val="7476739B"/>
    <w:rsid w:val="748EF774"/>
    <w:rsid w:val="7499BE2B"/>
    <w:rsid w:val="74CC5540"/>
    <w:rsid w:val="7501FB4E"/>
    <w:rsid w:val="75253DDA"/>
    <w:rsid w:val="75383C28"/>
    <w:rsid w:val="75422CC2"/>
    <w:rsid w:val="75B186E5"/>
    <w:rsid w:val="766681B1"/>
    <w:rsid w:val="76D3BC37"/>
    <w:rsid w:val="76E12CA5"/>
    <w:rsid w:val="77242BA0"/>
    <w:rsid w:val="778C0E64"/>
    <w:rsid w:val="78974FAA"/>
    <w:rsid w:val="79649C3A"/>
    <w:rsid w:val="798A670A"/>
    <w:rsid w:val="7A5CDC89"/>
    <w:rsid w:val="7AAE2A43"/>
    <w:rsid w:val="7BF4292A"/>
    <w:rsid w:val="7C2AA3A7"/>
    <w:rsid w:val="7C6B7347"/>
    <w:rsid w:val="7CCC56F7"/>
    <w:rsid w:val="7D0642D7"/>
    <w:rsid w:val="7D63F9A0"/>
    <w:rsid w:val="7D9D57B1"/>
    <w:rsid w:val="7DFD2765"/>
    <w:rsid w:val="7E068F16"/>
    <w:rsid w:val="7EA22445"/>
    <w:rsid w:val="7F6F55F7"/>
    <w:rsid w:val="7F8AE6A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69E2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21C"/>
    <w:pPr>
      <w:spacing w:line="240" w:lineRule="auto"/>
    </w:pPr>
    <w:rPr>
      <w:rFonts w:ascii="Arial" w:eastAsia="Roboto" w:hAnsi="Arial" w:cs="Arial"/>
      <w:sz w:val="24"/>
      <w:lang w:val="en-US"/>
    </w:rPr>
  </w:style>
  <w:style w:type="paragraph" w:styleId="Heading1">
    <w:name w:val="heading 1"/>
    <w:basedOn w:val="Normal"/>
    <w:next w:val="Normal"/>
    <w:link w:val="Heading1Char"/>
    <w:uiPriority w:val="9"/>
    <w:qFormat/>
    <w:rsid w:val="000E0804"/>
    <w:pPr>
      <w:keepNext/>
      <w:keepLines/>
      <w:spacing w:before="240" w:after="240"/>
      <w:outlineLvl w:val="0"/>
    </w:pPr>
    <w:rPr>
      <w:rFonts w:eastAsiaTheme="majorEastAsia"/>
      <w:b/>
      <w:bCs/>
      <w:noProof/>
      <w:color w:val="0C818F" w:themeColor="accent3"/>
      <w:sz w:val="32"/>
      <w:szCs w:val="120"/>
      <w:lang w:val="en-NZ"/>
    </w:rPr>
  </w:style>
  <w:style w:type="paragraph" w:styleId="Heading2">
    <w:name w:val="heading 2"/>
    <w:basedOn w:val="Heading3"/>
    <w:next w:val="Normal"/>
    <w:link w:val="Heading2Char"/>
    <w:uiPriority w:val="9"/>
    <w:qFormat/>
    <w:rsid w:val="009E6C86"/>
    <w:pPr>
      <w:outlineLvl w:val="1"/>
    </w:pPr>
    <w:rPr>
      <w:color w:val="0C818F" w:themeColor="accent3"/>
      <w:sz w:val="28"/>
      <w:szCs w:val="28"/>
    </w:rPr>
  </w:style>
  <w:style w:type="paragraph" w:styleId="Heading3">
    <w:name w:val="heading 3"/>
    <w:basedOn w:val="Heading4"/>
    <w:next w:val="Normal"/>
    <w:link w:val="Heading3Char"/>
    <w:uiPriority w:val="9"/>
    <w:qFormat/>
    <w:rsid w:val="00291ACB"/>
    <w:pPr>
      <w:keepNext/>
      <w:keepLines/>
      <w:outlineLvl w:val="2"/>
    </w:pPr>
  </w:style>
  <w:style w:type="paragraph" w:styleId="Heading4">
    <w:name w:val="heading 4"/>
    <w:basedOn w:val="Title"/>
    <w:next w:val="Normal"/>
    <w:link w:val="Heading4Char"/>
    <w:uiPriority w:val="9"/>
    <w:unhideWhenUsed/>
    <w:qFormat/>
    <w:rsid w:val="000E0804"/>
    <w:pPr>
      <w:spacing w:before="240" w:after="120" w:line="240" w:lineRule="auto"/>
      <w:outlineLvl w:val="3"/>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Heading2">
    <w:name w:val="Numbered Heading 2"/>
    <w:basedOn w:val="Heading2"/>
    <w:qFormat/>
    <w:rsid w:val="00291ACB"/>
    <w:pPr>
      <w:numPr>
        <w:ilvl w:val="1"/>
        <w:numId w:val="6"/>
      </w:numPr>
    </w:pPr>
  </w:style>
  <w:style w:type="paragraph" w:customStyle="1" w:styleId="NumberedHeading3">
    <w:name w:val="Numbered Heading 3"/>
    <w:basedOn w:val="Heading3"/>
    <w:qFormat/>
    <w:rsid w:val="00291ACB"/>
    <w:pPr>
      <w:numPr>
        <w:ilvl w:val="2"/>
        <w:numId w:val="6"/>
      </w:numPr>
    </w:pPr>
  </w:style>
  <w:style w:type="paragraph" w:styleId="Header">
    <w:name w:val="header"/>
    <w:basedOn w:val="Normal"/>
    <w:link w:val="HeaderChar"/>
    <w:uiPriority w:val="99"/>
    <w:unhideWhenUsed/>
    <w:rsid w:val="000E0804"/>
    <w:pPr>
      <w:tabs>
        <w:tab w:val="center" w:pos="4513"/>
        <w:tab w:val="right" w:pos="9026"/>
      </w:tabs>
      <w:spacing w:after="0"/>
    </w:pPr>
  </w:style>
  <w:style w:type="character" w:customStyle="1" w:styleId="HeaderChar">
    <w:name w:val="Header Char"/>
    <w:basedOn w:val="DefaultParagraphFont"/>
    <w:link w:val="Header"/>
    <w:uiPriority w:val="99"/>
    <w:rsid w:val="000E0804"/>
    <w:rPr>
      <w:rFonts w:ascii="Arial" w:eastAsia="Roboto" w:hAnsi="Arial" w:cs="Arial"/>
      <w:lang w:val="en-US"/>
    </w:rPr>
  </w:style>
  <w:style w:type="paragraph" w:styleId="Footer">
    <w:name w:val="footer"/>
    <w:basedOn w:val="Normal"/>
    <w:link w:val="FooterChar"/>
    <w:uiPriority w:val="99"/>
    <w:unhideWhenUsed/>
    <w:rsid w:val="000E0804"/>
    <w:pPr>
      <w:tabs>
        <w:tab w:val="center" w:pos="4513"/>
        <w:tab w:val="right" w:pos="9026"/>
      </w:tabs>
      <w:spacing w:after="0"/>
    </w:pPr>
  </w:style>
  <w:style w:type="character" w:customStyle="1" w:styleId="FooterChar">
    <w:name w:val="Footer Char"/>
    <w:basedOn w:val="DefaultParagraphFont"/>
    <w:link w:val="Footer"/>
    <w:uiPriority w:val="99"/>
    <w:rsid w:val="000E0804"/>
    <w:rPr>
      <w:rFonts w:ascii="Arial" w:eastAsia="Roboto" w:hAnsi="Arial" w:cs="Arial"/>
      <w:lang w:val="en-US"/>
    </w:rPr>
  </w:style>
  <w:style w:type="character" w:customStyle="1" w:styleId="Heading1Char">
    <w:name w:val="Heading 1 Char"/>
    <w:basedOn w:val="DefaultParagraphFont"/>
    <w:link w:val="Heading1"/>
    <w:uiPriority w:val="9"/>
    <w:rsid w:val="000E0804"/>
    <w:rPr>
      <w:rFonts w:ascii="Arial" w:eastAsiaTheme="majorEastAsia" w:hAnsi="Arial" w:cs="Arial"/>
      <w:b/>
      <w:bCs/>
      <w:noProof/>
      <w:color w:val="0C818F" w:themeColor="accent3"/>
      <w:sz w:val="32"/>
      <w:szCs w:val="120"/>
    </w:rPr>
  </w:style>
  <w:style w:type="paragraph" w:styleId="TOCHeading">
    <w:name w:val="TOC Heading"/>
    <w:basedOn w:val="Heading1"/>
    <w:next w:val="Normal"/>
    <w:uiPriority w:val="39"/>
    <w:unhideWhenUsed/>
    <w:rsid w:val="0074721C"/>
  </w:style>
  <w:style w:type="character" w:customStyle="1" w:styleId="Heading2Char">
    <w:name w:val="Heading 2 Char"/>
    <w:basedOn w:val="DefaultParagraphFont"/>
    <w:link w:val="Heading2"/>
    <w:uiPriority w:val="9"/>
    <w:rsid w:val="009E6C86"/>
    <w:rPr>
      <w:rFonts w:ascii="Arial" w:eastAsia="Roboto" w:hAnsi="Arial" w:cs="Arial"/>
      <w:b/>
      <w:bCs/>
      <w:color w:val="0C818F" w:themeColor="accent3"/>
      <w:sz w:val="28"/>
      <w:szCs w:val="28"/>
    </w:rPr>
  </w:style>
  <w:style w:type="character" w:customStyle="1" w:styleId="Heading3Char">
    <w:name w:val="Heading 3 Char"/>
    <w:basedOn w:val="DefaultParagraphFont"/>
    <w:link w:val="Heading3"/>
    <w:uiPriority w:val="9"/>
    <w:rsid w:val="00291ACB"/>
    <w:rPr>
      <w:rFonts w:ascii="Arial" w:eastAsia="Roboto" w:hAnsi="Arial" w:cs="Arial"/>
      <w:b/>
      <w:bCs/>
      <w:sz w:val="24"/>
      <w:szCs w:val="24"/>
    </w:rPr>
  </w:style>
  <w:style w:type="paragraph" w:styleId="TOC1">
    <w:name w:val="toc 1"/>
    <w:basedOn w:val="Normal"/>
    <w:next w:val="Normal"/>
    <w:autoRedefine/>
    <w:uiPriority w:val="39"/>
    <w:unhideWhenUsed/>
    <w:rsid w:val="00801165"/>
    <w:pPr>
      <w:tabs>
        <w:tab w:val="left" w:pos="426"/>
        <w:tab w:val="right" w:leader="dot" w:pos="9016"/>
      </w:tabs>
      <w:spacing w:after="100"/>
    </w:pPr>
    <w:rPr>
      <w:noProof/>
    </w:rPr>
  </w:style>
  <w:style w:type="paragraph" w:styleId="TOC2">
    <w:name w:val="toc 2"/>
    <w:basedOn w:val="Normal"/>
    <w:next w:val="Normal"/>
    <w:autoRedefine/>
    <w:uiPriority w:val="39"/>
    <w:unhideWhenUsed/>
    <w:rsid w:val="00C5131D"/>
    <w:pPr>
      <w:tabs>
        <w:tab w:val="left" w:pos="1134"/>
        <w:tab w:val="right" w:leader="dot" w:pos="9016"/>
      </w:tabs>
      <w:spacing w:after="100"/>
      <w:ind w:left="993" w:hanging="531"/>
    </w:pPr>
  </w:style>
  <w:style w:type="paragraph" w:styleId="TOC3">
    <w:name w:val="toc 3"/>
    <w:basedOn w:val="Normal"/>
    <w:next w:val="Normal"/>
    <w:autoRedefine/>
    <w:uiPriority w:val="39"/>
    <w:semiHidden/>
    <w:rsid w:val="000E0804"/>
    <w:pPr>
      <w:spacing w:after="100"/>
      <w:ind w:left="440"/>
    </w:pPr>
  </w:style>
  <w:style w:type="character" w:styleId="Hyperlink">
    <w:name w:val="Hyperlink"/>
    <w:basedOn w:val="DefaultParagraphFont"/>
    <w:uiPriority w:val="99"/>
    <w:unhideWhenUsed/>
    <w:rsid w:val="000E0804"/>
    <w:rPr>
      <w:color w:val="2B529C" w:themeColor="hyperlink"/>
      <w:u w:val="single"/>
    </w:rPr>
  </w:style>
  <w:style w:type="table" w:styleId="TableGrid">
    <w:name w:val="Table Grid"/>
    <w:basedOn w:val="TableNormal"/>
    <w:uiPriority w:val="39"/>
    <w:rsid w:val="000E0804"/>
    <w:pPr>
      <w:spacing w:before="120" w:after="120"/>
      <w:ind w:left="454" w:hanging="454"/>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20" w:beforeAutospacing="0" w:afterLines="0" w:after="120" w:afterAutospacing="0"/>
      </w:pPr>
      <w:rPr>
        <w:rFonts w:ascii="Arial" w:hAnsi="Arial"/>
        <w:b/>
        <w:color w:val="auto"/>
        <w:sz w:val="20"/>
      </w:rPr>
      <w:tblPr/>
      <w:tcPr>
        <w:shd w:val="clear" w:color="auto" w:fill="F2F2F2" w:themeFill="accent4" w:themeFillShade="F2"/>
      </w:tcPr>
    </w:tblStylePr>
  </w:style>
  <w:style w:type="table" w:styleId="TableGridLight">
    <w:name w:val="Grid Table Light"/>
    <w:basedOn w:val="TableNormal"/>
    <w:uiPriority w:val="40"/>
    <w:rsid w:val="000E0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GridTable6Colorful-Accent2">
    <w:name w:val="Grid Table 6 Colorful Accent 2"/>
    <w:basedOn w:val="TableNormal"/>
    <w:uiPriority w:val="51"/>
    <w:rsid w:val="00C176D6"/>
    <w:pPr>
      <w:spacing w:after="0" w:line="240" w:lineRule="auto"/>
    </w:pPr>
    <w:rPr>
      <w:color w:val="002672" w:themeColor="accent2" w:themeShade="BF"/>
    </w:r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insideV w:val="single" w:sz="4" w:space="0" w:color="2870FF" w:themeColor="accent2" w:themeTint="99"/>
      </w:tblBorders>
    </w:tblPr>
    <w:tblStylePr w:type="firstRow">
      <w:rPr>
        <w:b/>
        <w:bCs/>
      </w:rPr>
      <w:tblPr/>
      <w:tcPr>
        <w:tcBorders>
          <w:bottom w:val="single" w:sz="12" w:space="0" w:color="2870FF" w:themeColor="accent2" w:themeTint="99"/>
        </w:tcBorders>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3-Accent2">
    <w:name w:val="List Table 3 Accent 2"/>
    <w:basedOn w:val="TableNormal"/>
    <w:uiPriority w:val="48"/>
    <w:rsid w:val="00C176D6"/>
    <w:pPr>
      <w:spacing w:after="0" w:line="240" w:lineRule="auto"/>
    </w:pPr>
    <w:tblPr>
      <w:tblStyleRowBandSize w:val="1"/>
      <w:tblStyleColBandSize w:val="1"/>
      <w:tblBorders>
        <w:top w:val="single" w:sz="4" w:space="0" w:color="003399" w:themeColor="accent2"/>
        <w:left w:val="single" w:sz="4" w:space="0" w:color="003399" w:themeColor="accent2"/>
        <w:bottom w:val="single" w:sz="4" w:space="0" w:color="003399" w:themeColor="accent2"/>
        <w:right w:val="single" w:sz="4" w:space="0" w:color="003399" w:themeColor="accent2"/>
      </w:tblBorders>
    </w:tblPr>
    <w:tblStylePr w:type="firstRow">
      <w:rPr>
        <w:b/>
        <w:bCs/>
        <w:color w:val="F6F4EC" w:themeColor="background1"/>
      </w:rPr>
      <w:tblPr/>
      <w:tcPr>
        <w:shd w:val="clear" w:color="auto" w:fill="003399" w:themeFill="accent2"/>
      </w:tcPr>
    </w:tblStylePr>
    <w:tblStylePr w:type="lastRow">
      <w:rPr>
        <w:b/>
        <w:bCs/>
      </w:rPr>
      <w:tblPr/>
      <w:tcPr>
        <w:tcBorders>
          <w:top w:val="double" w:sz="4" w:space="0" w:color="003399" w:themeColor="accent2"/>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03399" w:themeColor="accent2"/>
          <w:right w:val="single" w:sz="4" w:space="0" w:color="003399" w:themeColor="accent2"/>
        </w:tcBorders>
      </w:tcPr>
    </w:tblStylePr>
    <w:tblStylePr w:type="band1Horz">
      <w:tblPr/>
      <w:tcPr>
        <w:tcBorders>
          <w:top w:val="single" w:sz="4" w:space="0" w:color="003399" w:themeColor="accent2"/>
          <w:bottom w:val="single" w:sz="4" w:space="0" w:color="00339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99" w:themeColor="accent2"/>
          <w:left w:val="nil"/>
        </w:tcBorders>
      </w:tcPr>
    </w:tblStylePr>
    <w:tblStylePr w:type="swCell">
      <w:tblPr/>
      <w:tcPr>
        <w:tcBorders>
          <w:top w:val="double" w:sz="4" w:space="0" w:color="003399" w:themeColor="accent2"/>
          <w:right w:val="nil"/>
        </w:tcBorders>
      </w:tcPr>
    </w:tblStylePr>
  </w:style>
  <w:style w:type="table" w:styleId="ListTable4-Accent2">
    <w:name w:val="List Table 4 Accent 2"/>
    <w:basedOn w:val="TableNormal"/>
    <w:uiPriority w:val="49"/>
    <w:rsid w:val="000E0804"/>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5">
    <w:name w:val="List Table 4 Accent 5"/>
    <w:basedOn w:val="TableNormal"/>
    <w:uiPriority w:val="49"/>
    <w:rsid w:val="000E080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ListTable4-Accent3">
    <w:name w:val="List Table 4 Accent 3"/>
    <w:basedOn w:val="TableNormal"/>
    <w:uiPriority w:val="49"/>
    <w:rsid w:val="000E0804"/>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GridTable4-Accent5">
    <w:name w:val="Grid Table 4 Accent 5"/>
    <w:basedOn w:val="TableNormal"/>
    <w:uiPriority w:val="49"/>
    <w:rsid w:val="000E080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paragraph" w:styleId="ListParagraph">
    <w:name w:val="List Paragraph"/>
    <w:aliases w:val="Bullets,Level 3,List Paragraph1,List Paragraph numbered,List Bullet indent,Body,Recommendation,List Paragraph11,TOC style,lp1,Bullet OSM,Proposal Bullet List,Rec para,Bullet Normal,Colorful List - Accent 11,Bullet Heading,列出段落,Bullet list"/>
    <w:basedOn w:val="Normal"/>
    <w:link w:val="ListParagraphChar"/>
    <w:uiPriority w:val="34"/>
    <w:semiHidden/>
    <w:rsid w:val="000E0804"/>
    <w:pPr>
      <w:ind w:left="720"/>
      <w:contextualSpacing/>
    </w:pPr>
  </w:style>
  <w:style w:type="paragraph" w:customStyle="1" w:styleId="Graphs">
    <w:name w:val="Graphs"/>
    <w:basedOn w:val="Normal"/>
    <w:qFormat/>
    <w:rsid w:val="00697283"/>
    <w:pPr>
      <w:spacing w:before="120" w:after="120"/>
    </w:pPr>
    <w:rPr>
      <w:bCs/>
    </w:rPr>
  </w:style>
  <w:style w:type="paragraph" w:customStyle="1" w:styleId="NumberedHeading1">
    <w:name w:val="Numbered Heading 1"/>
    <w:basedOn w:val="Heading1"/>
    <w:next w:val="Normal"/>
    <w:uiPriority w:val="10"/>
    <w:qFormat/>
    <w:rsid w:val="00C8108F"/>
  </w:style>
  <w:style w:type="paragraph" w:styleId="FootnoteText">
    <w:name w:val="footnote text"/>
    <w:basedOn w:val="Normal"/>
    <w:link w:val="FootnoteTextChar"/>
    <w:uiPriority w:val="99"/>
    <w:semiHidden/>
    <w:unhideWhenUsed/>
    <w:rsid w:val="000E0804"/>
    <w:pPr>
      <w:widowControl w:val="0"/>
      <w:autoSpaceDE w:val="0"/>
      <w:autoSpaceDN w:val="0"/>
      <w:spacing w:after="0"/>
    </w:pPr>
    <w:rPr>
      <w:rFonts w:eastAsia="Arial"/>
      <w:sz w:val="20"/>
      <w:szCs w:val="20"/>
    </w:rPr>
  </w:style>
  <w:style w:type="character" w:customStyle="1" w:styleId="FootnoteTextChar">
    <w:name w:val="Footnote Text Char"/>
    <w:basedOn w:val="DefaultParagraphFont"/>
    <w:link w:val="FootnoteText"/>
    <w:uiPriority w:val="99"/>
    <w:semiHidden/>
    <w:rsid w:val="000E0804"/>
    <w:rPr>
      <w:rFonts w:ascii="Arial" w:eastAsia="Arial" w:hAnsi="Arial" w:cs="Arial"/>
      <w:sz w:val="20"/>
      <w:szCs w:val="20"/>
      <w:lang w:val="en-US"/>
    </w:rPr>
  </w:style>
  <w:style w:type="character" w:styleId="FootnoteReference">
    <w:name w:val="footnote reference"/>
    <w:basedOn w:val="DefaultParagraphFont"/>
    <w:uiPriority w:val="99"/>
    <w:unhideWhenUsed/>
    <w:rsid w:val="00347CAF"/>
    <w:rPr>
      <w:sz w:val="24"/>
    </w:rPr>
  </w:style>
  <w:style w:type="table" w:customStyle="1" w:styleId="TeWhatuOra">
    <w:name w:val="Te Whatu Ora"/>
    <w:basedOn w:val="TableNormal"/>
    <w:uiPriority w:val="99"/>
    <w:rsid w:val="00956565"/>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CFC499" w:themeFill="background1" w:themeFillShade="BF"/>
        <w:vAlign w:val="center"/>
      </w:tcPr>
    </w:tblStylePr>
    <w:tblStylePr w:type="lastRow">
      <w:rPr>
        <w:b/>
      </w:rPr>
    </w:tblStylePr>
    <w:tblStylePr w:type="firstCol">
      <w:rPr>
        <w:b/>
      </w:rPr>
      <w:tblPr/>
      <w:tcPr>
        <w:shd w:val="clear" w:color="auto" w:fill="CFC499" w:themeFill="background1" w:themeFillShade="BF"/>
      </w:tcPr>
    </w:tblStylePr>
    <w:tblStylePr w:type="lastCol">
      <w:rPr>
        <w:b/>
      </w:rPr>
    </w:tblStylePr>
  </w:style>
  <w:style w:type="paragraph" w:customStyle="1" w:styleId="TableText">
    <w:name w:val="Table Text"/>
    <w:link w:val="TableTextChar"/>
    <w:uiPriority w:val="2"/>
    <w:rsid w:val="000E0804"/>
    <w:pPr>
      <w:autoSpaceDE w:val="0"/>
      <w:autoSpaceDN w:val="0"/>
      <w:adjustRightInd w:val="0"/>
      <w:spacing w:before="60" w:after="60" w:line="240" w:lineRule="atLeast"/>
    </w:pPr>
    <w:rPr>
      <w:rFonts w:ascii="Arial" w:eastAsia="Times New Roman" w:hAnsi="Arial" w:cs="GillSans"/>
      <w:sz w:val="20"/>
      <w:szCs w:val="18"/>
      <w:lang w:val="en-GB" w:eastAsia="en-AU"/>
    </w:rPr>
  </w:style>
  <w:style w:type="character" w:customStyle="1" w:styleId="Heading4Char">
    <w:name w:val="Heading 4 Char"/>
    <w:basedOn w:val="DefaultParagraphFont"/>
    <w:link w:val="Heading4"/>
    <w:uiPriority w:val="9"/>
    <w:rsid w:val="000E0804"/>
    <w:rPr>
      <w:rFonts w:ascii="Arial" w:eastAsia="Roboto" w:hAnsi="Arial" w:cs="Arial"/>
      <w:b/>
      <w:bCs/>
      <w:sz w:val="24"/>
      <w:szCs w:val="24"/>
    </w:rPr>
  </w:style>
  <w:style w:type="paragraph" w:styleId="ListBullet">
    <w:name w:val="List Bullet"/>
    <w:basedOn w:val="Normal"/>
    <w:uiPriority w:val="8"/>
    <w:rsid w:val="0044160F"/>
    <w:pPr>
      <w:numPr>
        <w:numId w:val="1"/>
      </w:numPr>
      <w:tabs>
        <w:tab w:val="clear" w:pos="360"/>
        <w:tab w:val="left" w:pos="425"/>
      </w:tabs>
      <w:spacing w:before="120" w:after="120" w:line="288" w:lineRule="auto"/>
      <w:ind w:left="425" w:hanging="425"/>
    </w:pPr>
    <w:rPr>
      <w:rFonts w:asciiTheme="minorHAnsi" w:hAnsiTheme="minorHAnsi" w:cstheme="minorBidi"/>
    </w:rPr>
  </w:style>
  <w:style w:type="paragraph" w:styleId="NormalWeb">
    <w:name w:val="Normal (Web)"/>
    <w:basedOn w:val="Normal"/>
    <w:uiPriority w:val="99"/>
    <w:unhideWhenUsed/>
    <w:rsid w:val="00762343"/>
    <w:pPr>
      <w:spacing w:before="100" w:beforeAutospacing="1" w:after="100" w:afterAutospacing="1"/>
    </w:pPr>
    <w:rPr>
      <w:rFonts w:ascii="Times New Roman" w:eastAsia="Times New Roman" w:hAnsi="Times New Roman" w:cs="Times New Roman"/>
      <w:szCs w:val="24"/>
      <w:lang w:eastAsia="en-NZ"/>
    </w:rPr>
  </w:style>
  <w:style w:type="character" w:styleId="CommentReference">
    <w:name w:val="annotation reference"/>
    <w:basedOn w:val="DefaultParagraphFont"/>
    <w:uiPriority w:val="99"/>
    <w:semiHidden/>
    <w:unhideWhenUsed/>
    <w:rsid w:val="000E0804"/>
    <w:rPr>
      <w:sz w:val="16"/>
      <w:szCs w:val="16"/>
    </w:rPr>
  </w:style>
  <w:style w:type="paragraph" w:styleId="CommentText">
    <w:name w:val="annotation text"/>
    <w:basedOn w:val="Normal"/>
    <w:link w:val="CommentTextChar"/>
    <w:uiPriority w:val="99"/>
    <w:unhideWhenUsed/>
    <w:rsid w:val="000E0804"/>
    <w:rPr>
      <w:sz w:val="20"/>
      <w:szCs w:val="20"/>
    </w:rPr>
  </w:style>
  <w:style w:type="character" w:customStyle="1" w:styleId="CommentTextChar">
    <w:name w:val="Comment Text Char"/>
    <w:basedOn w:val="DefaultParagraphFont"/>
    <w:link w:val="CommentText"/>
    <w:uiPriority w:val="99"/>
    <w:rsid w:val="000E0804"/>
    <w:rPr>
      <w:rFonts w:ascii="Arial" w:eastAsia="Roboto"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0E0804"/>
    <w:rPr>
      <w:b/>
      <w:bCs/>
    </w:rPr>
  </w:style>
  <w:style w:type="character" w:customStyle="1" w:styleId="CommentSubjectChar">
    <w:name w:val="Comment Subject Char"/>
    <w:basedOn w:val="CommentTextChar"/>
    <w:link w:val="CommentSubject"/>
    <w:uiPriority w:val="99"/>
    <w:semiHidden/>
    <w:rsid w:val="000E0804"/>
    <w:rPr>
      <w:rFonts w:ascii="Arial" w:eastAsia="Roboto" w:hAnsi="Arial" w:cs="Arial"/>
      <w:b/>
      <w:bCs/>
      <w:sz w:val="20"/>
      <w:szCs w:val="20"/>
      <w:lang w:val="en-US"/>
    </w:rPr>
  </w:style>
  <w:style w:type="paragraph" w:styleId="Revision">
    <w:name w:val="Revision"/>
    <w:hidden/>
    <w:uiPriority w:val="99"/>
    <w:semiHidden/>
    <w:rsid w:val="00B9457A"/>
    <w:pPr>
      <w:spacing w:after="0" w:line="240" w:lineRule="auto"/>
    </w:pPr>
    <w:rPr>
      <w:rFonts w:ascii="Arial" w:hAnsi="Arial" w:cs="Arial"/>
      <w:lang w:val="en-US"/>
    </w:rPr>
  </w:style>
  <w:style w:type="character" w:customStyle="1" w:styleId="ListParagraphChar">
    <w:name w:val="List Paragraph Char"/>
    <w:aliases w:val="Bullets Char,Level 3 Char,List Paragraph1 Char,List Paragraph numbered Char,List Bullet indent Char,Body Char,Recommendation Char,List Paragraph11 Char,TOC style Char,lp1 Char,Bullet OSM Char,Proposal Bullet List Char,Rec para Char"/>
    <w:basedOn w:val="DefaultParagraphFont"/>
    <w:link w:val="ListParagraph"/>
    <w:uiPriority w:val="34"/>
    <w:semiHidden/>
    <w:qFormat/>
    <w:rsid w:val="009E6C86"/>
    <w:rPr>
      <w:rFonts w:ascii="Arial" w:eastAsia="Roboto" w:hAnsi="Arial" w:cs="Arial"/>
      <w:sz w:val="24"/>
      <w:lang w:val="en-US"/>
    </w:rPr>
  </w:style>
  <w:style w:type="character" w:styleId="UnresolvedMention">
    <w:name w:val="Unresolved Mention"/>
    <w:basedOn w:val="DefaultParagraphFont"/>
    <w:uiPriority w:val="99"/>
    <w:semiHidden/>
    <w:unhideWhenUsed/>
    <w:rsid w:val="00D055C0"/>
    <w:rPr>
      <w:color w:val="605E5C"/>
      <w:shd w:val="clear" w:color="auto" w:fill="E1DFDD"/>
    </w:rPr>
  </w:style>
  <w:style w:type="paragraph" w:styleId="EndnoteText">
    <w:name w:val="endnote text"/>
    <w:basedOn w:val="Normal"/>
    <w:link w:val="EndnoteTextChar"/>
    <w:uiPriority w:val="99"/>
    <w:semiHidden/>
    <w:unhideWhenUsed/>
    <w:rsid w:val="000808C0"/>
    <w:pPr>
      <w:spacing w:after="0"/>
    </w:pPr>
    <w:rPr>
      <w:sz w:val="20"/>
      <w:szCs w:val="20"/>
    </w:rPr>
  </w:style>
  <w:style w:type="character" w:customStyle="1" w:styleId="EndnoteTextChar">
    <w:name w:val="Endnote Text Char"/>
    <w:basedOn w:val="DefaultParagraphFont"/>
    <w:link w:val="EndnoteText"/>
    <w:uiPriority w:val="99"/>
    <w:semiHidden/>
    <w:rsid w:val="000808C0"/>
    <w:rPr>
      <w:rFonts w:ascii="Arial" w:hAnsi="Arial" w:cs="Arial"/>
      <w:sz w:val="20"/>
      <w:szCs w:val="20"/>
      <w:lang w:val="en-GB"/>
    </w:rPr>
  </w:style>
  <w:style w:type="character" w:styleId="EndnoteReference">
    <w:name w:val="endnote reference"/>
    <w:basedOn w:val="DefaultParagraphFont"/>
    <w:uiPriority w:val="99"/>
    <w:semiHidden/>
    <w:unhideWhenUsed/>
    <w:rsid w:val="000808C0"/>
    <w:rPr>
      <w:vertAlign w:val="superscript"/>
    </w:rPr>
  </w:style>
  <w:style w:type="character" w:styleId="Mention">
    <w:name w:val="Mention"/>
    <w:basedOn w:val="DefaultParagraphFont"/>
    <w:uiPriority w:val="99"/>
    <w:unhideWhenUsed/>
    <w:rsid w:val="00B528EF"/>
    <w:rPr>
      <w:color w:val="2B579A"/>
      <w:shd w:val="clear" w:color="auto" w:fill="E1DFDD"/>
    </w:rPr>
  </w:style>
  <w:style w:type="character" w:styleId="FollowedHyperlink">
    <w:name w:val="FollowedHyperlink"/>
    <w:basedOn w:val="DefaultParagraphFont"/>
    <w:uiPriority w:val="99"/>
    <w:semiHidden/>
    <w:unhideWhenUsed/>
    <w:rsid w:val="00234E08"/>
    <w:rPr>
      <w:color w:val="954F72" w:themeColor="followedHyperlink"/>
      <w:u w:val="single"/>
    </w:rPr>
  </w:style>
  <w:style w:type="table" w:styleId="GridTable4">
    <w:name w:val="Grid Table 4"/>
    <w:basedOn w:val="TableNormal"/>
    <w:uiPriority w:val="49"/>
    <w:rsid w:val="000E0804"/>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insideV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insideV w:val="nil"/>
        </w:tcBorders>
        <w:shd w:val="clear" w:color="auto" w:fill="15284C" w:themeFill="text1"/>
      </w:tcPr>
    </w:tblStylePr>
    <w:tblStylePr w:type="lastRow">
      <w:rPr>
        <w:b/>
        <w:bCs/>
      </w:rPr>
      <w:tblPr/>
      <w:tcPr>
        <w:tcBorders>
          <w:top w:val="double" w:sz="4" w:space="0" w:color="15284C" w:themeColor="text1"/>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
    <w:name w:val="List Table 3"/>
    <w:basedOn w:val="TableNormal"/>
    <w:uiPriority w:val="48"/>
    <w:rsid w:val="000E0804"/>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3-Accent1">
    <w:name w:val="List Table 3 Accent 1"/>
    <w:basedOn w:val="TableNormal"/>
    <w:uiPriority w:val="48"/>
    <w:rsid w:val="00383A5E"/>
    <w:pPr>
      <w:spacing w:after="0" w:line="240" w:lineRule="auto"/>
    </w:pPr>
    <w:tblPr>
      <w:tblStyleRowBandSize w:val="1"/>
      <w:tblStyleColBandSize w:val="1"/>
      <w:tblBorders>
        <w:top w:val="single" w:sz="4" w:space="0" w:color="4D2379" w:themeColor="accent1"/>
        <w:left w:val="single" w:sz="4" w:space="0" w:color="4D2379" w:themeColor="accent1"/>
        <w:bottom w:val="single" w:sz="4" w:space="0" w:color="4D2379" w:themeColor="accent1"/>
        <w:right w:val="single" w:sz="4" w:space="0" w:color="4D2379" w:themeColor="accent1"/>
      </w:tblBorders>
    </w:tblPr>
    <w:tblStylePr w:type="firstRow">
      <w:rPr>
        <w:b/>
        <w:bCs/>
        <w:color w:val="F6F4EC" w:themeColor="background1"/>
      </w:rPr>
      <w:tblPr/>
      <w:tcPr>
        <w:shd w:val="clear" w:color="auto" w:fill="4D2379" w:themeFill="accent1"/>
      </w:tcPr>
    </w:tblStylePr>
    <w:tblStylePr w:type="lastRow">
      <w:rPr>
        <w:b/>
        <w:bCs/>
      </w:rPr>
      <w:tblPr/>
      <w:tcPr>
        <w:tcBorders>
          <w:top w:val="double" w:sz="4" w:space="0" w:color="4D2379" w:themeColor="accen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4D2379" w:themeColor="accent1"/>
          <w:right w:val="single" w:sz="4" w:space="0" w:color="4D2379" w:themeColor="accent1"/>
        </w:tcBorders>
      </w:tcPr>
    </w:tblStylePr>
    <w:tblStylePr w:type="band1Horz">
      <w:tblPr/>
      <w:tcPr>
        <w:tcBorders>
          <w:top w:val="single" w:sz="4" w:space="0" w:color="4D2379" w:themeColor="accent1"/>
          <w:bottom w:val="single" w:sz="4" w:space="0" w:color="4D237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2379" w:themeColor="accent1"/>
          <w:left w:val="nil"/>
        </w:tcBorders>
      </w:tcPr>
    </w:tblStylePr>
    <w:tblStylePr w:type="swCell">
      <w:tblPr/>
      <w:tcPr>
        <w:tcBorders>
          <w:top w:val="double" w:sz="4" w:space="0" w:color="4D2379" w:themeColor="accent1"/>
          <w:right w:val="nil"/>
        </w:tcBorders>
      </w:tcPr>
    </w:tblStylePr>
  </w:style>
  <w:style w:type="paragraph" w:styleId="ListBullet2">
    <w:name w:val="List Bullet 2"/>
    <w:basedOn w:val="Normal"/>
    <w:uiPriority w:val="99"/>
    <w:semiHidden/>
    <w:unhideWhenUsed/>
    <w:rsid w:val="00253D76"/>
    <w:pPr>
      <w:numPr>
        <w:numId w:val="2"/>
      </w:numPr>
      <w:contextualSpacing/>
    </w:pPr>
  </w:style>
  <w:style w:type="paragraph" w:styleId="ListBullet3">
    <w:name w:val="List Bullet 3"/>
    <w:basedOn w:val="Normal"/>
    <w:uiPriority w:val="99"/>
    <w:semiHidden/>
    <w:unhideWhenUsed/>
    <w:rsid w:val="00253D76"/>
    <w:pPr>
      <w:numPr>
        <w:numId w:val="3"/>
      </w:numPr>
      <w:contextualSpacing/>
    </w:pPr>
  </w:style>
  <w:style w:type="paragraph" w:customStyle="1" w:styleId="Figure">
    <w:name w:val="Figure"/>
    <w:basedOn w:val="Normal"/>
    <w:uiPriority w:val="11"/>
    <w:qFormat/>
    <w:rsid w:val="00D71C6A"/>
    <w:pPr>
      <w:spacing w:before="120" w:after="240" w:line="288" w:lineRule="auto"/>
    </w:pPr>
    <w:rPr>
      <w:rFonts w:asciiTheme="minorHAnsi" w:hAnsiTheme="minorHAnsi" w:cstheme="minorBidi"/>
      <w:b/>
    </w:rPr>
  </w:style>
  <w:style w:type="character" w:styleId="Emphasis">
    <w:name w:val="Emphasis"/>
    <w:basedOn w:val="DefaultParagraphFont"/>
    <w:uiPriority w:val="20"/>
    <w:semiHidden/>
    <w:qFormat/>
    <w:rsid w:val="00A14641"/>
    <w:rPr>
      <w:i/>
      <w:iCs/>
    </w:rPr>
  </w:style>
  <w:style w:type="character" w:styleId="Strong">
    <w:name w:val="Strong"/>
    <w:basedOn w:val="DefaultParagraphFont"/>
    <w:uiPriority w:val="22"/>
    <w:semiHidden/>
    <w:qFormat/>
    <w:rsid w:val="00304EEE"/>
    <w:rPr>
      <w:b/>
      <w:bCs/>
    </w:rPr>
  </w:style>
  <w:style w:type="table" w:styleId="GridTable1Light">
    <w:name w:val="Grid Table 1 Light"/>
    <w:basedOn w:val="TableNormal"/>
    <w:uiPriority w:val="46"/>
    <w:rsid w:val="002F04E2"/>
    <w:pPr>
      <w:spacing w:after="0" w:line="240" w:lineRule="auto"/>
    </w:pPr>
    <w:tblPr>
      <w:tblStyleRowBandSize w:val="1"/>
      <w:tblStyleColBandSize w:val="1"/>
      <w:tblBorders>
        <w:top w:val="single" w:sz="4" w:space="0" w:color="7D9DDB" w:themeColor="text1" w:themeTint="66"/>
        <w:left w:val="single" w:sz="4" w:space="0" w:color="7D9DDB" w:themeColor="text1" w:themeTint="66"/>
        <w:bottom w:val="single" w:sz="4" w:space="0" w:color="7D9DDB" w:themeColor="text1" w:themeTint="66"/>
        <w:right w:val="single" w:sz="4" w:space="0" w:color="7D9DDB" w:themeColor="text1" w:themeTint="66"/>
        <w:insideH w:val="single" w:sz="4" w:space="0" w:color="7D9DDB" w:themeColor="text1" w:themeTint="66"/>
        <w:insideV w:val="single" w:sz="4" w:space="0" w:color="7D9DDB" w:themeColor="text1" w:themeTint="66"/>
      </w:tblBorders>
    </w:tblPr>
    <w:tblStylePr w:type="firstRow">
      <w:rPr>
        <w:b/>
        <w:bCs/>
      </w:rPr>
      <w:tblPr/>
      <w:tcPr>
        <w:tcBorders>
          <w:bottom w:val="single" w:sz="12" w:space="0" w:color="3C6DC9" w:themeColor="text1" w:themeTint="99"/>
        </w:tcBorders>
      </w:tcPr>
    </w:tblStylePr>
    <w:tblStylePr w:type="lastRow">
      <w:rPr>
        <w:b/>
        <w:bCs/>
      </w:rPr>
      <w:tblPr/>
      <w:tcPr>
        <w:tcBorders>
          <w:top w:val="double" w:sz="2" w:space="0" w:color="3C6DC9"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D02262"/>
    <w:pPr>
      <w:spacing w:after="0" w:line="240" w:lineRule="auto"/>
    </w:pPr>
    <w:rPr>
      <w:color w:val="15284C" w:themeColor="text1"/>
    </w:r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insideV w:val="single" w:sz="4" w:space="0" w:color="3C6DC9" w:themeColor="text1" w:themeTint="99"/>
      </w:tblBorders>
    </w:tblPr>
    <w:tblStylePr w:type="firstRow">
      <w:rPr>
        <w:b/>
        <w:bCs/>
      </w:rPr>
      <w:tblPr/>
      <w:tcPr>
        <w:tcBorders>
          <w:bottom w:val="single" w:sz="12" w:space="0" w:color="3C6DC9" w:themeColor="text1" w:themeTint="99"/>
        </w:tcBorders>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GridTable1Light-Accent2">
    <w:name w:val="Grid Table 1 Light Accent 2"/>
    <w:basedOn w:val="TableNormal"/>
    <w:uiPriority w:val="46"/>
    <w:rsid w:val="000E0804"/>
    <w:pPr>
      <w:spacing w:after="0" w:line="240" w:lineRule="auto"/>
    </w:pPr>
    <w:tblPr>
      <w:tblStyleRowBandSize w:val="1"/>
      <w:tblStyleColBandSize w:val="1"/>
      <w:tblBorders>
        <w:top w:val="single" w:sz="4" w:space="0" w:color="709FFF" w:themeColor="accent2" w:themeTint="66"/>
        <w:left w:val="single" w:sz="4" w:space="0" w:color="709FFF" w:themeColor="accent2" w:themeTint="66"/>
        <w:bottom w:val="single" w:sz="4" w:space="0" w:color="709FFF" w:themeColor="accent2" w:themeTint="66"/>
        <w:right w:val="single" w:sz="4" w:space="0" w:color="709FFF" w:themeColor="accent2" w:themeTint="66"/>
        <w:insideH w:val="single" w:sz="4" w:space="0" w:color="709FFF" w:themeColor="accent2" w:themeTint="66"/>
        <w:insideV w:val="single" w:sz="4" w:space="0" w:color="709FFF" w:themeColor="accent2" w:themeTint="66"/>
      </w:tblBorders>
    </w:tblPr>
    <w:tblStylePr w:type="firstRow">
      <w:rPr>
        <w:b/>
        <w:bCs/>
      </w:rPr>
      <w:tblPr/>
      <w:tcPr>
        <w:tcBorders>
          <w:bottom w:val="single" w:sz="12" w:space="0" w:color="2870FF" w:themeColor="accent2" w:themeTint="99"/>
        </w:tcBorders>
      </w:tcPr>
    </w:tblStylePr>
    <w:tblStylePr w:type="lastRow">
      <w:rPr>
        <w:b/>
        <w:bCs/>
      </w:rPr>
      <w:tblPr/>
      <w:tcPr>
        <w:tcBorders>
          <w:top w:val="double" w:sz="2" w:space="0" w:color="2870FF" w:themeColor="accent2" w:themeTint="99"/>
        </w:tcBorders>
      </w:tcPr>
    </w:tblStylePr>
    <w:tblStylePr w:type="firstCol">
      <w:rPr>
        <w:b/>
        <w:bCs/>
      </w:rPr>
    </w:tblStylePr>
    <w:tblStylePr w:type="lastCol">
      <w:rPr>
        <w:b/>
        <w:bCs/>
      </w:rPr>
    </w:tblStylePr>
  </w:style>
  <w:style w:type="table" w:styleId="ListTable2-Accent6">
    <w:name w:val="List Table 2 Accent 6"/>
    <w:basedOn w:val="TableNormal"/>
    <w:uiPriority w:val="47"/>
    <w:rsid w:val="00805606"/>
    <w:pPr>
      <w:spacing w:after="0" w:line="240" w:lineRule="auto"/>
    </w:pPr>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1Light-Accent5">
    <w:name w:val="Grid Table 1 Light Accent 5"/>
    <w:basedOn w:val="TableNormal"/>
    <w:uiPriority w:val="46"/>
    <w:rsid w:val="00FE702B"/>
    <w:pPr>
      <w:spacing w:after="0" w:line="240" w:lineRule="auto"/>
    </w:pPr>
    <w:tblPr>
      <w:tblStyleRowBandSize w:val="1"/>
      <w:tblStyleColBandSize w:val="1"/>
      <w:tblBorders>
        <w:top w:val="single" w:sz="4" w:space="0" w:color="7D9DDB" w:themeColor="accent5" w:themeTint="66"/>
        <w:left w:val="single" w:sz="4" w:space="0" w:color="7D9DDB" w:themeColor="accent5" w:themeTint="66"/>
        <w:bottom w:val="single" w:sz="4" w:space="0" w:color="7D9DDB" w:themeColor="accent5" w:themeTint="66"/>
        <w:right w:val="single" w:sz="4" w:space="0" w:color="7D9DDB" w:themeColor="accent5" w:themeTint="66"/>
        <w:insideH w:val="single" w:sz="4" w:space="0" w:color="7D9DDB" w:themeColor="accent5" w:themeTint="66"/>
        <w:insideV w:val="single" w:sz="4" w:space="0" w:color="7D9DDB" w:themeColor="accent5" w:themeTint="66"/>
      </w:tblBorders>
    </w:tblPr>
    <w:tblStylePr w:type="firstRow">
      <w:rPr>
        <w:b/>
        <w:bCs/>
      </w:rPr>
      <w:tblPr/>
      <w:tcPr>
        <w:tcBorders>
          <w:bottom w:val="single" w:sz="12" w:space="0" w:color="3C6DC9" w:themeColor="accent5" w:themeTint="99"/>
        </w:tcBorders>
      </w:tcPr>
    </w:tblStylePr>
    <w:tblStylePr w:type="lastRow">
      <w:rPr>
        <w:b/>
        <w:bCs/>
      </w:rPr>
      <w:tblPr/>
      <w:tcPr>
        <w:tcBorders>
          <w:top w:val="double" w:sz="2" w:space="0" w:color="3C6DC9" w:themeColor="accent5"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semiHidden/>
    <w:rsid w:val="00271045"/>
    <w:pPr>
      <w:spacing w:after="100" w:line="278" w:lineRule="auto"/>
      <w:ind w:left="720"/>
    </w:pPr>
    <w:rPr>
      <w:rFonts w:asciiTheme="minorHAnsi" w:eastAsiaTheme="minorEastAsia" w:hAnsiTheme="minorHAnsi" w:cstheme="minorBidi"/>
      <w:kern w:val="2"/>
      <w:szCs w:val="24"/>
      <w:lang w:eastAsia="en-NZ"/>
      <w14:ligatures w14:val="standardContextual"/>
    </w:rPr>
  </w:style>
  <w:style w:type="paragraph" w:styleId="TOC5">
    <w:name w:val="toc 5"/>
    <w:basedOn w:val="Normal"/>
    <w:next w:val="Normal"/>
    <w:autoRedefine/>
    <w:uiPriority w:val="39"/>
    <w:semiHidden/>
    <w:rsid w:val="00271045"/>
    <w:pPr>
      <w:spacing w:after="100" w:line="278" w:lineRule="auto"/>
      <w:ind w:left="960"/>
    </w:pPr>
    <w:rPr>
      <w:rFonts w:asciiTheme="minorHAnsi" w:eastAsiaTheme="minorEastAsia" w:hAnsiTheme="minorHAnsi" w:cstheme="minorBidi"/>
      <w:kern w:val="2"/>
      <w:szCs w:val="24"/>
      <w:lang w:eastAsia="en-NZ"/>
      <w14:ligatures w14:val="standardContextual"/>
    </w:rPr>
  </w:style>
  <w:style w:type="paragraph" w:styleId="TOC6">
    <w:name w:val="toc 6"/>
    <w:basedOn w:val="Normal"/>
    <w:next w:val="Normal"/>
    <w:autoRedefine/>
    <w:uiPriority w:val="39"/>
    <w:semiHidden/>
    <w:rsid w:val="00271045"/>
    <w:pPr>
      <w:spacing w:after="100" w:line="278" w:lineRule="auto"/>
      <w:ind w:left="1200"/>
    </w:pPr>
    <w:rPr>
      <w:rFonts w:asciiTheme="minorHAnsi" w:eastAsiaTheme="minorEastAsia" w:hAnsiTheme="minorHAnsi" w:cstheme="minorBidi"/>
      <w:kern w:val="2"/>
      <w:szCs w:val="24"/>
      <w:lang w:eastAsia="en-NZ"/>
      <w14:ligatures w14:val="standardContextual"/>
    </w:rPr>
  </w:style>
  <w:style w:type="paragraph" w:styleId="TOC7">
    <w:name w:val="toc 7"/>
    <w:basedOn w:val="Normal"/>
    <w:next w:val="Normal"/>
    <w:autoRedefine/>
    <w:uiPriority w:val="39"/>
    <w:semiHidden/>
    <w:rsid w:val="00271045"/>
    <w:pPr>
      <w:spacing w:after="100" w:line="278" w:lineRule="auto"/>
      <w:ind w:left="1440"/>
    </w:pPr>
    <w:rPr>
      <w:rFonts w:asciiTheme="minorHAnsi" w:eastAsiaTheme="minorEastAsia" w:hAnsiTheme="minorHAnsi" w:cstheme="minorBidi"/>
      <w:kern w:val="2"/>
      <w:szCs w:val="24"/>
      <w:lang w:eastAsia="en-NZ"/>
      <w14:ligatures w14:val="standardContextual"/>
    </w:rPr>
  </w:style>
  <w:style w:type="paragraph" w:styleId="TOC8">
    <w:name w:val="toc 8"/>
    <w:basedOn w:val="Normal"/>
    <w:next w:val="Normal"/>
    <w:autoRedefine/>
    <w:uiPriority w:val="39"/>
    <w:semiHidden/>
    <w:rsid w:val="00271045"/>
    <w:pPr>
      <w:spacing w:after="100" w:line="278" w:lineRule="auto"/>
      <w:ind w:left="1680"/>
    </w:pPr>
    <w:rPr>
      <w:rFonts w:asciiTheme="minorHAnsi" w:eastAsiaTheme="minorEastAsia" w:hAnsiTheme="minorHAnsi" w:cstheme="minorBidi"/>
      <w:kern w:val="2"/>
      <w:szCs w:val="24"/>
      <w:lang w:eastAsia="en-NZ"/>
      <w14:ligatures w14:val="standardContextual"/>
    </w:rPr>
  </w:style>
  <w:style w:type="paragraph" w:styleId="TOC9">
    <w:name w:val="toc 9"/>
    <w:basedOn w:val="Normal"/>
    <w:next w:val="Normal"/>
    <w:autoRedefine/>
    <w:uiPriority w:val="39"/>
    <w:semiHidden/>
    <w:rsid w:val="00271045"/>
    <w:pPr>
      <w:spacing w:after="100" w:line="278" w:lineRule="auto"/>
      <w:ind w:left="1920"/>
    </w:pPr>
    <w:rPr>
      <w:rFonts w:asciiTheme="minorHAnsi" w:eastAsiaTheme="minorEastAsia" w:hAnsiTheme="minorHAnsi" w:cstheme="minorBidi"/>
      <w:kern w:val="2"/>
      <w:szCs w:val="24"/>
      <w:lang w:eastAsia="en-NZ"/>
      <w14:ligatures w14:val="standardContextual"/>
    </w:rPr>
  </w:style>
  <w:style w:type="paragraph" w:styleId="BodyText">
    <w:name w:val="Body Text"/>
    <w:basedOn w:val="Normal"/>
    <w:link w:val="BodyTextChar"/>
    <w:semiHidden/>
    <w:rsid w:val="000E0804"/>
    <w:pPr>
      <w:spacing w:after="120" w:line="240" w:lineRule="atLeast"/>
      <w:jc w:val="both"/>
    </w:pPr>
    <w:rPr>
      <w:rFonts w:eastAsia="Times New Roman"/>
      <w:kern w:val="22"/>
      <w:lang w:val="en-NZ"/>
    </w:rPr>
  </w:style>
  <w:style w:type="character" w:customStyle="1" w:styleId="BodyTextChar">
    <w:name w:val="Body Text Char"/>
    <w:basedOn w:val="DefaultParagraphFont"/>
    <w:link w:val="BodyText"/>
    <w:semiHidden/>
    <w:rsid w:val="000E0804"/>
    <w:rPr>
      <w:rFonts w:ascii="Arial" w:eastAsia="Times New Roman" w:hAnsi="Arial" w:cs="Arial"/>
      <w:kern w:val="22"/>
    </w:rPr>
  </w:style>
  <w:style w:type="paragraph" w:customStyle="1" w:styleId="Bold">
    <w:name w:val="Bold"/>
    <w:basedOn w:val="Normal"/>
    <w:link w:val="BoldChar"/>
    <w:rsid w:val="009E6C86"/>
    <w:pPr>
      <w:spacing w:before="60" w:after="60" w:line="240" w:lineRule="atLeast"/>
    </w:pPr>
    <w:rPr>
      <w:b/>
      <w:bCs/>
      <w:color w:val="15284C" w:themeColor="text1"/>
      <w:sz w:val="20"/>
      <w:szCs w:val="14"/>
      <w:lang w:val="en-GB" w:eastAsia="en-GB"/>
    </w:rPr>
  </w:style>
  <w:style w:type="character" w:customStyle="1" w:styleId="BoldChar">
    <w:name w:val="Bold Char"/>
    <w:basedOn w:val="DefaultParagraphFont"/>
    <w:link w:val="Bold"/>
    <w:rsid w:val="009E6C86"/>
    <w:rPr>
      <w:rFonts w:ascii="Arial" w:eastAsia="Roboto" w:hAnsi="Arial" w:cs="Arial"/>
      <w:b/>
      <w:bCs/>
      <w:color w:val="15284C" w:themeColor="text1"/>
      <w:sz w:val="20"/>
      <w:szCs w:val="14"/>
      <w:lang w:val="en-GB" w:eastAsia="en-GB"/>
    </w:rPr>
  </w:style>
  <w:style w:type="paragraph" w:customStyle="1" w:styleId="Bulletpoints">
    <w:name w:val="Bullet points"/>
    <w:basedOn w:val="ListParagraph"/>
    <w:link w:val="BulletpointsChar"/>
    <w:qFormat/>
    <w:rsid w:val="000E0804"/>
    <w:pPr>
      <w:numPr>
        <w:numId w:val="5"/>
      </w:numPr>
      <w:spacing w:line="259" w:lineRule="auto"/>
      <w:contextualSpacing w:val="0"/>
    </w:pPr>
    <w:rPr>
      <w:shd w:val="clear" w:color="auto" w:fill="FFFFFF"/>
    </w:rPr>
  </w:style>
  <w:style w:type="character" w:customStyle="1" w:styleId="BulletpointsChar">
    <w:name w:val="Bullet points Char"/>
    <w:basedOn w:val="ListParagraphChar"/>
    <w:link w:val="Bulletpoints"/>
    <w:rsid w:val="000E0804"/>
    <w:rPr>
      <w:rFonts w:ascii="Arial" w:eastAsia="Roboto" w:hAnsi="Arial" w:cs="Arial"/>
      <w:sz w:val="24"/>
      <w:lang w:val="en-US"/>
    </w:rPr>
  </w:style>
  <w:style w:type="paragraph" w:customStyle="1" w:styleId="Bulletpoints2">
    <w:name w:val="Bullet points 2"/>
    <w:basedOn w:val="Bulletpoints"/>
    <w:link w:val="Bulletpoints2Char"/>
    <w:rsid w:val="000E0804"/>
    <w:pPr>
      <w:numPr>
        <w:ilvl w:val="1"/>
      </w:numPr>
    </w:pPr>
  </w:style>
  <w:style w:type="character" w:customStyle="1" w:styleId="Bulletpoints2Char">
    <w:name w:val="Bullet points 2 Char"/>
    <w:basedOn w:val="BulletpointsChar"/>
    <w:link w:val="Bulletpoints2"/>
    <w:rsid w:val="000E0804"/>
    <w:rPr>
      <w:rFonts w:ascii="Arial" w:eastAsia="Roboto" w:hAnsi="Arial" w:cs="Arial"/>
      <w:sz w:val="24"/>
      <w:lang w:val="en-US"/>
    </w:rPr>
  </w:style>
  <w:style w:type="paragraph" w:styleId="Title">
    <w:name w:val="Title"/>
    <w:basedOn w:val="Normal"/>
    <w:next w:val="Normal"/>
    <w:link w:val="TitleChar"/>
    <w:uiPriority w:val="10"/>
    <w:rsid w:val="009E6C86"/>
    <w:pPr>
      <w:spacing w:line="1400" w:lineRule="exact"/>
    </w:pPr>
    <w:rPr>
      <w:b/>
      <w:bCs/>
      <w:color w:val="F6F4EC" w:themeColor="background1"/>
      <w:sz w:val="120"/>
      <w:szCs w:val="120"/>
      <w:lang w:val="en-NZ"/>
    </w:rPr>
  </w:style>
  <w:style w:type="character" w:customStyle="1" w:styleId="TitleChar">
    <w:name w:val="Title Char"/>
    <w:basedOn w:val="DefaultParagraphFont"/>
    <w:link w:val="Title"/>
    <w:uiPriority w:val="10"/>
    <w:rsid w:val="000E0804"/>
    <w:rPr>
      <w:rFonts w:ascii="Arial" w:eastAsia="Roboto" w:hAnsi="Arial" w:cs="Arial"/>
      <w:b/>
      <w:bCs/>
      <w:color w:val="F6F4EC" w:themeColor="background1"/>
      <w:sz w:val="120"/>
      <w:szCs w:val="120"/>
    </w:rPr>
  </w:style>
  <w:style w:type="table" w:styleId="ListTable3-Accent3">
    <w:name w:val="List Table 3 Accent 3"/>
    <w:basedOn w:val="TableNormal"/>
    <w:uiPriority w:val="48"/>
    <w:rsid w:val="000E0804"/>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table" w:styleId="ListTable4">
    <w:name w:val="List Table 4"/>
    <w:basedOn w:val="TableNormal"/>
    <w:uiPriority w:val="49"/>
    <w:rsid w:val="000E0804"/>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4-Accent1">
    <w:name w:val="List Table 4 Accent 1"/>
    <w:basedOn w:val="TableNormal"/>
    <w:uiPriority w:val="49"/>
    <w:rsid w:val="000E0804"/>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5Dark-Accent6">
    <w:name w:val="List Table 5 Dark Accent 6"/>
    <w:basedOn w:val="TableNormal"/>
    <w:uiPriority w:val="50"/>
    <w:rsid w:val="000E0804"/>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PlaceholderText">
    <w:name w:val="Placeholder Text"/>
    <w:basedOn w:val="DefaultParagraphFont"/>
    <w:uiPriority w:val="99"/>
    <w:semiHidden/>
    <w:rsid w:val="000E0804"/>
  </w:style>
  <w:style w:type="table" w:styleId="PlainTable2">
    <w:name w:val="Plain Table 2"/>
    <w:basedOn w:val="TableNormal"/>
    <w:uiPriority w:val="42"/>
    <w:rsid w:val="000E0804"/>
    <w:pPr>
      <w:spacing w:after="0" w:line="240" w:lineRule="auto"/>
    </w:pPr>
    <w:tblPr>
      <w:tblStyleRowBandSize w:val="1"/>
      <w:tblStyleColBandSize w:val="1"/>
      <w:tblBorders>
        <w:top w:val="single" w:sz="4" w:space="0" w:color="5C85D2" w:themeColor="text1" w:themeTint="80"/>
        <w:bottom w:val="single" w:sz="4" w:space="0" w:color="5C85D2" w:themeColor="text1" w:themeTint="80"/>
      </w:tblBorders>
    </w:tblPr>
    <w:tblStylePr w:type="firstRow">
      <w:rPr>
        <w:b/>
        <w:bCs/>
      </w:rPr>
      <w:tblPr/>
      <w:tcPr>
        <w:tcBorders>
          <w:bottom w:val="single" w:sz="4" w:space="0" w:color="5C85D2" w:themeColor="text1" w:themeTint="80"/>
        </w:tcBorders>
      </w:tcPr>
    </w:tblStylePr>
    <w:tblStylePr w:type="lastRow">
      <w:rPr>
        <w:b/>
        <w:bCs/>
      </w:rPr>
      <w:tblPr/>
      <w:tcPr>
        <w:tcBorders>
          <w:top w:val="single" w:sz="4" w:space="0" w:color="5C85D2" w:themeColor="text1" w:themeTint="80"/>
        </w:tcBorders>
      </w:tcPr>
    </w:tblStylePr>
    <w:tblStylePr w:type="firstCol">
      <w:rPr>
        <w:b/>
        <w:bCs/>
      </w:rPr>
    </w:tblStylePr>
    <w:tblStylePr w:type="lastCol">
      <w:rPr>
        <w:b/>
        <w:bCs/>
      </w:rPr>
    </w:tblStylePr>
    <w:tblStylePr w:type="band1Vert">
      <w:tblPr/>
      <w:tcPr>
        <w:tcBorders>
          <w:left w:val="single" w:sz="4" w:space="0" w:color="5C85D2" w:themeColor="text1" w:themeTint="80"/>
          <w:right w:val="single" w:sz="4" w:space="0" w:color="5C85D2" w:themeColor="text1" w:themeTint="80"/>
        </w:tcBorders>
      </w:tcPr>
    </w:tblStylePr>
    <w:tblStylePr w:type="band2Vert">
      <w:tblPr/>
      <w:tcPr>
        <w:tcBorders>
          <w:left w:val="single" w:sz="4" w:space="0" w:color="5C85D2" w:themeColor="text1" w:themeTint="80"/>
          <w:right w:val="single" w:sz="4" w:space="0" w:color="5C85D2" w:themeColor="text1" w:themeTint="80"/>
        </w:tcBorders>
      </w:tcPr>
    </w:tblStylePr>
    <w:tblStylePr w:type="band1Horz">
      <w:tblPr/>
      <w:tcPr>
        <w:tcBorders>
          <w:top w:val="single" w:sz="4" w:space="0" w:color="5C85D2" w:themeColor="text1" w:themeTint="80"/>
          <w:bottom w:val="single" w:sz="4" w:space="0" w:color="5C85D2" w:themeColor="text1" w:themeTint="80"/>
        </w:tcBorders>
      </w:tcPr>
    </w:tblStylePr>
  </w:style>
  <w:style w:type="table" w:styleId="PlainTable4">
    <w:name w:val="Plain Table 4"/>
    <w:basedOn w:val="TableNormal"/>
    <w:uiPriority w:val="44"/>
    <w:rsid w:val="000E080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paragraph" w:styleId="Subtitle">
    <w:name w:val="Subtitle"/>
    <w:basedOn w:val="Normal"/>
    <w:next w:val="Normal"/>
    <w:link w:val="SubtitleChar"/>
    <w:uiPriority w:val="11"/>
    <w:rsid w:val="000E0804"/>
    <w:rPr>
      <w:color w:val="F6F4EC" w:themeColor="background1"/>
      <w:sz w:val="56"/>
      <w:szCs w:val="56"/>
    </w:rPr>
  </w:style>
  <w:style w:type="character" w:customStyle="1" w:styleId="SubtitleChar">
    <w:name w:val="Subtitle Char"/>
    <w:basedOn w:val="DefaultParagraphFont"/>
    <w:link w:val="Subtitle"/>
    <w:uiPriority w:val="11"/>
    <w:rsid w:val="000E0804"/>
    <w:rPr>
      <w:rFonts w:ascii="Arial" w:eastAsia="Roboto" w:hAnsi="Arial" w:cs="Arial"/>
      <w:color w:val="F6F4EC" w:themeColor="background1"/>
      <w:sz w:val="56"/>
      <w:szCs w:val="56"/>
      <w:lang w:val="en-US"/>
    </w:rPr>
  </w:style>
  <w:style w:type="character" w:customStyle="1" w:styleId="TableTextChar">
    <w:name w:val="Table Text Char"/>
    <w:basedOn w:val="DefaultParagraphFont"/>
    <w:link w:val="TableText"/>
    <w:uiPriority w:val="2"/>
    <w:rsid w:val="000E0804"/>
    <w:rPr>
      <w:rFonts w:ascii="Arial" w:eastAsia="Times New Roman" w:hAnsi="Arial" w:cs="GillSans"/>
      <w:sz w:val="20"/>
      <w:szCs w:val="18"/>
      <w:lang w:val="en-GB" w:eastAsia="en-AU"/>
    </w:rPr>
  </w:style>
  <w:style w:type="paragraph" w:customStyle="1" w:styleId="Provider">
    <w:name w:val="Provider"/>
    <w:uiPriority w:val="99"/>
    <w:qFormat/>
    <w:rsid w:val="008136AB"/>
    <w:rPr>
      <w:rFonts w:eastAsiaTheme="minorEastAsia"/>
      <w:b/>
      <w:color w:val="2DCCD3"/>
      <w:sz w:val="56"/>
    </w:rPr>
  </w:style>
  <w:style w:type="character" w:customStyle="1" w:styleId="normaltextrun">
    <w:name w:val="normaltextrun"/>
    <w:basedOn w:val="DefaultParagraphFont"/>
    <w:rsid w:val="0032365A"/>
  </w:style>
  <w:style w:type="character" w:customStyle="1" w:styleId="ui-provider">
    <w:name w:val="ui-provider"/>
    <w:basedOn w:val="DefaultParagraphFont"/>
    <w:rsid w:val="00090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89303">
      <w:bodyDiv w:val="1"/>
      <w:marLeft w:val="0"/>
      <w:marRight w:val="0"/>
      <w:marTop w:val="0"/>
      <w:marBottom w:val="0"/>
      <w:divBdr>
        <w:top w:val="none" w:sz="0" w:space="0" w:color="auto"/>
        <w:left w:val="none" w:sz="0" w:space="0" w:color="auto"/>
        <w:bottom w:val="none" w:sz="0" w:space="0" w:color="auto"/>
        <w:right w:val="none" w:sz="0" w:space="0" w:color="auto"/>
      </w:divBdr>
    </w:div>
    <w:div w:id="74938110">
      <w:bodyDiv w:val="1"/>
      <w:marLeft w:val="0"/>
      <w:marRight w:val="0"/>
      <w:marTop w:val="0"/>
      <w:marBottom w:val="0"/>
      <w:divBdr>
        <w:top w:val="none" w:sz="0" w:space="0" w:color="auto"/>
        <w:left w:val="none" w:sz="0" w:space="0" w:color="auto"/>
        <w:bottom w:val="none" w:sz="0" w:space="0" w:color="auto"/>
        <w:right w:val="none" w:sz="0" w:space="0" w:color="auto"/>
      </w:divBdr>
    </w:div>
    <w:div w:id="161356720">
      <w:bodyDiv w:val="1"/>
      <w:marLeft w:val="0"/>
      <w:marRight w:val="0"/>
      <w:marTop w:val="0"/>
      <w:marBottom w:val="0"/>
      <w:divBdr>
        <w:top w:val="none" w:sz="0" w:space="0" w:color="auto"/>
        <w:left w:val="none" w:sz="0" w:space="0" w:color="auto"/>
        <w:bottom w:val="none" w:sz="0" w:space="0" w:color="auto"/>
        <w:right w:val="none" w:sz="0" w:space="0" w:color="auto"/>
      </w:divBdr>
    </w:div>
    <w:div w:id="196044838">
      <w:bodyDiv w:val="1"/>
      <w:marLeft w:val="0"/>
      <w:marRight w:val="0"/>
      <w:marTop w:val="0"/>
      <w:marBottom w:val="0"/>
      <w:divBdr>
        <w:top w:val="none" w:sz="0" w:space="0" w:color="auto"/>
        <w:left w:val="none" w:sz="0" w:space="0" w:color="auto"/>
        <w:bottom w:val="none" w:sz="0" w:space="0" w:color="auto"/>
        <w:right w:val="none" w:sz="0" w:space="0" w:color="auto"/>
      </w:divBdr>
    </w:div>
    <w:div w:id="244533593">
      <w:bodyDiv w:val="1"/>
      <w:marLeft w:val="0"/>
      <w:marRight w:val="0"/>
      <w:marTop w:val="0"/>
      <w:marBottom w:val="0"/>
      <w:divBdr>
        <w:top w:val="none" w:sz="0" w:space="0" w:color="auto"/>
        <w:left w:val="none" w:sz="0" w:space="0" w:color="auto"/>
        <w:bottom w:val="none" w:sz="0" w:space="0" w:color="auto"/>
        <w:right w:val="none" w:sz="0" w:space="0" w:color="auto"/>
      </w:divBdr>
    </w:div>
    <w:div w:id="267124849">
      <w:bodyDiv w:val="1"/>
      <w:marLeft w:val="0"/>
      <w:marRight w:val="0"/>
      <w:marTop w:val="0"/>
      <w:marBottom w:val="0"/>
      <w:divBdr>
        <w:top w:val="none" w:sz="0" w:space="0" w:color="auto"/>
        <w:left w:val="none" w:sz="0" w:space="0" w:color="auto"/>
        <w:bottom w:val="none" w:sz="0" w:space="0" w:color="auto"/>
        <w:right w:val="none" w:sz="0" w:space="0" w:color="auto"/>
      </w:divBdr>
    </w:div>
    <w:div w:id="273482552">
      <w:bodyDiv w:val="1"/>
      <w:marLeft w:val="0"/>
      <w:marRight w:val="0"/>
      <w:marTop w:val="0"/>
      <w:marBottom w:val="0"/>
      <w:divBdr>
        <w:top w:val="none" w:sz="0" w:space="0" w:color="auto"/>
        <w:left w:val="none" w:sz="0" w:space="0" w:color="auto"/>
        <w:bottom w:val="none" w:sz="0" w:space="0" w:color="auto"/>
        <w:right w:val="none" w:sz="0" w:space="0" w:color="auto"/>
      </w:divBdr>
    </w:div>
    <w:div w:id="388766719">
      <w:bodyDiv w:val="1"/>
      <w:marLeft w:val="0"/>
      <w:marRight w:val="0"/>
      <w:marTop w:val="0"/>
      <w:marBottom w:val="0"/>
      <w:divBdr>
        <w:top w:val="none" w:sz="0" w:space="0" w:color="auto"/>
        <w:left w:val="none" w:sz="0" w:space="0" w:color="auto"/>
        <w:bottom w:val="none" w:sz="0" w:space="0" w:color="auto"/>
        <w:right w:val="none" w:sz="0" w:space="0" w:color="auto"/>
      </w:divBdr>
    </w:div>
    <w:div w:id="412625622">
      <w:bodyDiv w:val="1"/>
      <w:marLeft w:val="0"/>
      <w:marRight w:val="0"/>
      <w:marTop w:val="0"/>
      <w:marBottom w:val="0"/>
      <w:divBdr>
        <w:top w:val="none" w:sz="0" w:space="0" w:color="auto"/>
        <w:left w:val="none" w:sz="0" w:space="0" w:color="auto"/>
        <w:bottom w:val="none" w:sz="0" w:space="0" w:color="auto"/>
        <w:right w:val="none" w:sz="0" w:space="0" w:color="auto"/>
      </w:divBdr>
    </w:div>
    <w:div w:id="532183913">
      <w:bodyDiv w:val="1"/>
      <w:marLeft w:val="0"/>
      <w:marRight w:val="0"/>
      <w:marTop w:val="0"/>
      <w:marBottom w:val="0"/>
      <w:divBdr>
        <w:top w:val="none" w:sz="0" w:space="0" w:color="auto"/>
        <w:left w:val="none" w:sz="0" w:space="0" w:color="auto"/>
        <w:bottom w:val="none" w:sz="0" w:space="0" w:color="auto"/>
        <w:right w:val="none" w:sz="0" w:space="0" w:color="auto"/>
      </w:divBdr>
    </w:div>
    <w:div w:id="621496260">
      <w:bodyDiv w:val="1"/>
      <w:marLeft w:val="0"/>
      <w:marRight w:val="0"/>
      <w:marTop w:val="0"/>
      <w:marBottom w:val="0"/>
      <w:divBdr>
        <w:top w:val="none" w:sz="0" w:space="0" w:color="auto"/>
        <w:left w:val="none" w:sz="0" w:space="0" w:color="auto"/>
        <w:bottom w:val="none" w:sz="0" w:space="0" w:color="auto"/>
        <w:right w:val="none" w:sz="0" w:space="0" w:color="auto"/>
      </w:divBdr>
    </w:div>
    <w:div w:id="681587313">
      <w:bodyDiv w:val="1"/>
      <w:marLeft w:val="0"/>
      <w:marRight w:val="0"/>
      <w:marTop w:val="0"/>
      <w:marBottom w:val="0"/>
      <w:divBdr>
        <w:top w:val="none" w:sz="0" w:space="0" w:color="auto"/>
        <w:left w:val="none" w:sz="0" w:space="0" w:color="auto"/>
        <w:bottom w:val="none" w:sz="0" w:space="0" w:color="auto"/>
        <w:right w:val="none" w:sz="0" w:space="0" w:color="auto"/>
      </w:divBdr>
    </w:div>
    <w:div w:id="688144651">
      <w:bodyDiv w:val="1"/>
      <w:marLeft w:val="0"/>
      <w:marRight w:val="0"/>
      <w:marTop w:val="0"/>
      <w:marBottom w:val="0"/>
      <w:divBdr>
        <w:top w:val="none" w:sz="0" w:space="0" w:color="auto"/>
        <w:left w:val="none" w:sz="0" w:space="0" w:color="auto"/>
        <w:bottom w:val="none" w:sz="0" w:space="0" w:color="auto"/>
        <w:right w:val="none" w:sz="0" w:space="0" w:color="auto"/>
      </w:divBdr>
    </w:div>
    <w:div w:id="734205106">
      <w:bodyDiv w:val="1"/>
      <w:marLeft w:val="0"/>
      <w:marRight w:val="0"/>
      <w:marTop w:val="0"/>
      <w:marBottom w:val="0"/>
      <w:divBdr>
        <w:top w:val="none" w:sz="0" w:space="0" w:color="auto"/>
        <w:left w:val="none" w:sz="0" w:space="0" w:color="auto"/>
        <w:bottom w:val="none" w:sz="0" w:space="0" w:color="auto"/>
        <w:right w:val="none" w:sz="0" w:space="0" w:color="auto"/>
      </w:divBdr>
    </w:div>
    <w:div w:id="752168199">
      <w:bodyDiv w:val="1"/>
      <w:marLeft w:val="0"/>
      <w:marRight w:val="0"/>
      <w:marTop w:val="0"/>
      <w:marBottom w:val="0"/>
      <w:divBdr>
        <w:top w:val="none" w:sz="0" w:space="0" w:color="auto"/>
        <w:left w:val="none" w:sz="0" w:space="0" w:color="auto"/>
        <w:bottom w:val="none" w:sz="0" w:space="0" w:color="auto"/>
        <w:right w:val="none" w:sz="0" w:space="0" w:color="auto"/>
      </w:divBdr>
    </w:div>
    <w:div w:id="803158471">
      <w:bodyDiv w:val="1"/>
      <w:marLeft w:val="0"/>
      <w:marRight w:val="0"/>
      <w:marTop w:val="0"/>
      <w:marBottom w:val="0"/>
      <w:divBdr>
        <w:top w:val="none" w:sz="0" w:space="0" w:color="auto"/>
        <w:left w:val="none" w:sz="0" w:space="0" w:color="auto"/>
        <w:bottom w:val="none" w:sz="0" w:space="0" w:color="auto"/>
        <w:right w:val="none" w:sz="0" w:space="0" w:color="auto"/>
      </w:divBdr>
    </w:div>
    <w:div w:id="819882627">
      <w:bodyDiv w:val="1"/>
      <w:marLeft w:val="0"/>
      <w:marRight w:val="0"/>
      <w:marTop w:val="0"/>
      <w:marBottom w:val="0"/>
      <w:divBdr>
        <w:top w:val="none" w:sz="0" w:space="0" w:color="auto"/>
        <w:left w:val="none" w:sz="0" w:space="0" w:color="auto"/>
        <w:bottom w:val="none" w:sz="0" w:space="0" w:color="auto"/>
        <w:right w:val="none" w:sz="0" w:space="0" w:color="auto"/>
      </w:divBdr>
    </w:div>
    <w:div w:id="888733760">
      <w:bodyDiv w:val="1"/>
      <w:marLeft w:val="0"/>
      <w:marRight w:val="0"/>
      <w:marTop w:val="0"/>
      <w:marBottom w:val="0"/>
      <w:divBdr>
        <w:top w:val="none" w:sz="0" w:space="0" w:color="auto"/>
        <w:left w:val="none" w:sz="0" w:space="0" w:color="auto"/>
        <w:bottom w:val="none" w:sz="0" w:space="0" w:color="auto"/>
        <w:right w:val="none" w:sz="0" w:space="0" w:color="auto"/>
      </w:divBdr>
    </w:div>
    <w:div w:id="1004669462">
      <w:bodyDiv w:val="1"/>
      <w:marLeft w:val="0"/>
      <w:marRight w:val="0"/>
      <w:marTop w:val="0"/>
      <w:marBottom w:val="0"/>
      <w:divBdr>
        <w:top w:val="none" w:sz="0" w:space="0" w:color="auto"/>
        <w:left w:val="none" w:sz="0" w:space="0" w:color="auto"/>
        <w:bottom w:val="none" w:sz="0" w:space="0" w:color="auto"/>
        <w:right w:val="none" w:sz="0" w:space="0" w:color="auto"/>
      </w:divBdr>
    </w:div>
    <w:div w:id="1127238158">
      <w:bodyDiv w:val="1"/>
      <w:marLeft w:val="0"/>
      <w:marRight w:val="0"/>
      <w:marTop w:val="0"/>
      <w:marBottom w:val="0"/>
      <w:divBdr>
        <w:top w:val="none" w:sz="0" w:space="0" w:color="auto"/>
        <w:left w:val="none" w:sz="0" w:space="0" w:color="auto"/>
        <w:bottom w:val="none" w:sz="0" w:space="0" w:color="auto"/>
        <w:right w:val="none" w:sz="0" w:space="0" w:color="auto"/>
      </w:divBdr>
    </w:div>
    <w:div w:id="1192917842">
      <w:bodyDiv w:val="1"/>
      <w:marLeft w:val="0"/>
      <w:marRight w:val="0"/>
      <w:marTop w:val="0"/>
      <w:marBottom w:val="0"/>
      <w:divBdr>
        <w:top w:val="none" w:sz="0" w:space="0" w:color="auto"/>
        <w:left w:val="none" w:sz="0" w:space="0" w:color="auto"/>
        <w:bottom w:val="none" w:sz="0" w:space="0" w:color="auto"/>
        <w:right w:val="none" w:sz="0" w:space="0" w:color="auto"/>
      </w:divBdr>
    </w:div>
    <w:div w:id="1312059226">
      <w:bodyDiv w:val="1"/>
      <w:marLeft w:val="0"/>
      <w:marRight w:val="0"/>
      <w:marTop w:val="0"/>
      <w:marBottom w:val="0"/>
      <w:divBdr>
        <w:top w:val="none" w:sz="0" w:space="0" w:color="auto"/>
        <w:left w:val="none" w:sz="0" w:space="0" w:color="auto"/>
        <w:bottom w:val="none" w:sz="0" w:space="0" w:color="auto"/>
        <w:right w:val="none" w:sz="0" w:space="0" w:color="auto"/>
      </w:divBdr>
    </w:div>
    <w:div w:id="1407460396">
      <w:bodyDiv w:val="1"/>
      <w:marLeft w:val="0"/>
      <w:marRight w:val="0"/>
      <w:marTop w:val="0"/>
      <w:marBottom w:val="0"/>
      <w:divBdr>
        <w:top w:val="none" w:sz="0" w:space="0" w:color="auto"/>
        <w:left w:val="none" w:sz="0" w:space="0" w:color="auto"/>
        <w:bottom w:val="none" w:sz="0" w:space="0" w:color="auto"/>
        <w:right w:val="none" w:sz="0" w:space="0" w:color="auto"/>
      </w:divBdr>
    </w:div>
    <w:div w:id="1416391329">
      <w:bodyDiv w:val="1"/>
      <w:marLeft w:val="0"/>
      <w:marRight w:val="0"/>
      <w:marTop w:val="0"/>
      <w:marBottom w:val="0"/>
      <w:divBdr>
        <w:top w:val="none" w:sz="0" w:space="0" w:color="auto"/>
        <w:left w:val="none" w:sz="0" w:space="0" w:color="auto"/>
        <w:bottom w:val="none" w:sz="0" w:space="0" w:color="auto"/>
        <w:right w:val="none" w:sz="0" w:space="0" w:color="auto"/>
      </w:divBdr>
    </w:div>
    <w:div w:id="1506631897">
      <w:bodyDiv w:val="1"/>
      <w:marLeft w:val="0"/>
      <w:marRight w:val="0"/>
      <w:marTop w:val="0"/>
      <w:marBottom w:val="0"/>
      <w:divBdr>
        <w:top w:val="none" w:sz="0" w:space="0" w:color="auto"/>
        <w:left w:val="none" w:sz="0" w:space="0" w:color="auto"/>
        <w:bottom w:val="none" w:sz="0" w:space="0" w:color="auto"/>
        <w:right w:val="none" w:sz="0" w:space="0" w:color="auto"/>
      </w:divBdr>
    </w:div>
    <w:div w:id="1515344716">
      <w:bodyDiv w:val="1"/>
      <w:marLeft w:val="0"/>
      <w:marRight w:val="0"/>
      <w:marTop w:val="0"/>
      <w:marBottom w:val="0"/>
      <w:divBdr>
        <w:top w:val="none" w:sz="0" w:space="0" w:color="auto"/>
        <w:left w:val="none" w:sz="0" w:space="0" w:color="auto"/>
        <w:bottom w:val="none" w:sz="0" w:space="0" w:color="auto"/>
        <w:right w:val="none" w:sz="0" w:space="0" w:color="auto"/>
      </w:divBdr>
    </w:div>
    <w:div w:id="1554731338">
      <w:bodyDiv w:val="1"/>
      <w:marLeft w:val="0"/>
      <w:marRight w:val="0"/>
      <w:marTop w:val="0"/>
      <w:marBottom w:val="0"/>
      <w:divBdr>
        <w:top w:val="none" w:sz="0" w:space="0" w:color="auto"/>
        <w:left w:val="none" w:sz="0" w:space="0" w:color="auto"/>
        <w:bottom w:val="none" w:sz="0" w:space="0" w:color="auto"/>
        <w:right w:val="none" w:sz="0" w:space="0" w:color="auto"/>
      </w:divBdr>
      <w:divsChild>
        <w:div w:id="52167469">
          <w:marLeft w:val="0"/>
          <w:marRight w:val="0"/>
          <w:marTop w:val="0"/>
          <w:marBottom w:val="0"/>
          <w:divBdr>
            <w:top w:val="none" w:sz="0" w:space="0" w:color="auto"/>
            <w:left w:val="none" w:sz="0" w:space="0" w:color="auto"/>
            <w:bottom w:val="none" w:sz="0" w:space="0" w:color="auto"/>
            <w:right w:val="none" w:sz="0" w:space="0" w:color="auto"/>
          </w:divBdr>
          <w:divsChild>
            <w:div w:id="1714958930">
              <w:marLeft w:val="0"/>
              <w:marRight w:val="0"/>
              <w:marTop w:val="0"/>
              <w:marBottom w:val="0"/>
              <w:divBdr>
                <w:top w:val="none" w:sz="0" w:space="0" w:color="auto"/>
                <w:left w:val="none" w:sz="0" w:space="0" w:color="auto"/>
                <w:bottom w:val="none" w:sz="0" w:space="0" w:color="auto"/>
                <w:right w:val="none" w:sz="0" w:space="0" w:color="auto"/>
              </w:divBdr>
            </w:div>
          </w:divsChild>
        </w:div>
        <w:div w:id="93551683">
          <w:marLeft w:val="0"/>
          <w:marRight w:val="0"/>
          <w:marTop w:val="0"/>
          <w:marBottom w:val="0"/>
          <w:divBdr>
            <w:top w:val="none" w:sz="0" w:space="0" w:color="auto"/>
            <w:left w:val="none" w:sz="0" w:space="0" w:color="auto"/>
            <w:bottom w:val="none" w:sz="0" w:space="0" w:color="auto"/>
            <w:right w:val="none" w:sz="0" w:space="0" w:color="auto"/>
          </w:divBdr>
          <w:divsChild>
            <w:div w:id="34239359">
              <w:marLeft w:val="0"/>
              <w:marRight w:val="0"/>
              <w:marTop w:val="0"/>
              <w:marBottom w:val="0"/>
              <w:divBdr>
                <w:top w:val="none" w:sz="0" w:space="0" w:color="auto"/>
                <w:left w:val="none" w:sz="0" w:space="0" w:color="auto"/>
                <w:bottom w:val="none" w:sz="0" w:space="0" w:color="auto"/>
                <w:right w:val="none" w:sz="0" w:space="0" w:color="auto"/>
              </w:divBdr>
            </w:div>
          </w:divsChild>
        </w:div>
        <w:div w:id="104081241">
          <w:marLeft w:val="0"/>
          <w:marRight w:val="0"/>
          <w:marTop w:val="0"/>
          <w:marBottom w:val="0"/>
          <w:divBdr>
            <w:top w:val="none" w:sz="0" w:space="0" w:color="auto"/>
            <w:left w:val="none" w:sz="0" w:space="0" w:color="auto"/>
            <w:bottom w:val="none" w:sz="0" w:space="0" w:color="auto"/>
            <w:right w:val="none" w:sz="0" w:space="0" w:color="auto"/>
          </w:divBdr>
          <w:divsChild>
            <w:div w:id="2113432804">
              <w:marLeft w:val="0"/>
              <w:marRight w:val="0"/>
              <w:marTop w:val="0"/>
              <w:marBottom w:val="0"/>
              <w:divBdr>
                <w:top w:val="none" w:sz="0" w:space="0" w:color="auto"/>
                <w:left w:val="none" w:sz="0" w:space="0" w:color="auto"/>
                <w:bottom w:val="none" w:sz="0" w:space="0" w:color="auto"/>
                <w:right w:val="none" w:sz="0" w:space="0" w:color="auto"/>
              </w:divBdr>
            </w:div>
          </w:divsChild>
        </w:div>
        <w:div w:id="206794310">
          <w:marLeft w:val="0"/>
          <w:marRight w:val="0"/>
          <w:marTop w:val="0"/>
          <w:marBottom w:val="0"/>
          <w:divBdr>
            <w:top w:val="none" w:sz="0" w:space="0" w:color="auto"/>
            <w:left w:val="none" w:sz="0" w:space="0" w:color="auto"/>
            <w:bottom w:val="none" w:sz="0" w:space="0" w:color="auto"/>
            <w:right w:val="none" w:sz="0" w:space="0" w:color="auto"/>
          </w:divBdr>
          <w:divsChild>
            <w:div w:id="1753506883">
              <w:marLeft w:val="0"/>
              <w:marRight w:val="0"/>
              <w:marTop w:val="0"/>
              <w:marBottom w:val="0"/>
              <w:divBdr>
                <w:top w:val="none" w:sz="0" w:space="0" w:color="auto"/>
                <w:left w:val="none" w:sz="0" w:space="0" w:color="auto"/>
                <w:bottom w:val="none" w:sz="0" w:space="0" w:color="auto"/>
                <w:right w:val="none" w:sz="0" w:space="0" w:color="auto"/>
              </w:divBdr>
            </w:div>
          </w:divsChild>
        </w:div>
        <w:div w:id="290093130">
          <w:marLeft w:val="0"/>
          <w:marRight w:val="0"/>
          <w:marTop w:val="0"/>
          <w:marBottom w:val="0"/>
          <w:divBdr>
            <w:top w:val="none" w:sz="0" w:space="0" w:color="auto"/>
            <w:left w:val="none" w:sz="0" w:space="0" w:color="auto"/>
            <w:bottom w:val="none" w:sz="0" w:space="0" w:color="auto"/>
            <w:right w:val="none" w:sz="0" w:space="0" w:color="auto"/>
          </w:divBdr>
          <w:divsChild>
            <w:div w:id="1814060839">
              <w:marLeft w:val="0"/>
              <w:marRight w:val="0"/>
              <w:marTop w:val="0"/>
              <w:marBottom w:val="0"/>
              <w:divBdr>
                <w:top w:val="none" w:sz="0" w:space="0" w:color="auto"/>
                <w:left w:val="none" w:sz="0" w:space="0" w:color="auto"/>
                <w:bottom w:val="none" w:sz="0" w:space="0" w:color="auto"/>
                <w:right w:val="none" w:sz="0" w:space="0" w:color="auto"/>
              </w:divBdr>
            </w:div>
          </w:divsChild>
        </w:div>
        <w:div w:id="338428987">
          <w:marLeft w:val="0"/>
          <w:marRight w:val="0"/>
          <w:marTop w:val="0"/>
          <w:marBottom w:val="0"/>
          <w:divBdr>
            <w:top w:val="none" w:sz="0" w:space="0" w:color="auto"/>
            <w:left w:val="none" w:sz="0" w:space="0" w:color="auto"/>
            <w:bottom w:val="none" w:sz="0" w:space="0" w:color="auto"/>
            <w:right w:val="none" w:sz="0" w:space="0" w:color="auto"/>
          </w:divBdr>
          <w:divsChild>
            <w:div w:id="605308817">
              <w:marLeft w:val="0"/>
              <w:marRight w:val="0"/>
              <w:marTop w:val="0"/>
              <w:marBottom w:val="0"/>
              <w:divBdr>
                <w:top w:val="none" w:sz="0" w:space="0" w:color="auto"/>
                <w:left w:val="none" w:sz="0" w:space="0" w:color="auto"/>
                <w:bottom w:val="none" w:sz="0" w:space="0" w:color="auto"/>
                <w:right w:val="none" w:sz="0" w:space="0" w:color="auto"/>
              </w:divBdr>
            </w:div>
          </w:divsChild>
        </w:div>
        <w:div w:id="406653733">
          <w:marLeft w:val="0"/>
          <w:marRight w:val="0"/>
          <w:marTop w:val="0"/>
          <w:marBottom w:val="0"/>
          <w:divBdr>
            <w:top w:val="none" w:sz="0" w:space="0" w:color="auto"/>
            <w:left w:val="none" w:sz="0" w:space="0" w:color="auto"/>
            <w:bottom w:val="none" w:sz="0" w:space="0" w:color="auto"/>
            <w:right w:val="none" w:sz="0" w:space="0" w:color="auto"/>
          </w:divBdr>
          <w:divsChild>
            <w:div w:id="572936628">
              <w:marLeft w:val="0"/>
              <w:marRight w:val="0"/>
              <w:marTop w:val="0"/>
              <w:marBottom w:val="0"/>
              <w:divBdr>
                <w:top w:val="none" w:sz="0" w:space="0" w:color="auto"/>
                <w:left w:val="none" w:sz="0" w:space="0" w:color="auto"/>
                <w:bottom w:val="none" w:sz="0" w:space="0" w:color="auto"/>
                <w:right w:val="none" w:sz="0" w:space="0" w:color="auto"/>
              </w:divBdr>
            </w:div>
          </w:divsChild>
        </w:div>
        <w:div w:id="418873198">
          <w:marLeft w:val="0"/>
          <w:marRight w:val="0"/>
          <w:marTop w:val="0"/>
          <w:marBottom w:val="0"/>
          <w:divBdr>
            <w:top w:val="none" w:sz="0" w:space="0" w:color="auto"/>
            <w:left w:val="none" w:sz="0" w:space="0" w:color="auto"/>
            <w:bottom w:val="none" w:sz="0" w:space="0" w:color="auto"/>
            <w:right w:val="none" w:sz="0" w:space="0" w:color="auto"/>
          </w:divBdr>
          <w:divsChild>
            <w:div w:id="2078744872">
              <w:marLeft w:val="0"/>
              <w:marRight w:val="0"/>
              <w:marTop w:val="0"/>
              <w:marBottom w:val="0"/>
              <w:divBdr>
                <w:top w:val="none" w:sz="0" w:space="0" w:color="auto"/>
                <w:left w:val="none" w:sz="0" w:space="0" w:color="auto"/>
                <w:bottom w:val="none" w:sz="0" w:space="0" w:color="auto"/>
                <w:right w:val="none" w:sz="0" w:space="0" w:color="auto"/>
              </w:divBdr>
            </w:div>
          </w:divsChild>
        </w:div>
        <w:div w:id="427166229">
          <w:marLeft w:val="0"/>
          <w:marRight w:val="0"/>
          <w:marTop w:val="0"/>
          <w:marBottom w:val="0"/>
          <w:divBdr>
            <w:top w:val="none" w:sz="0" w:space="0" w:color="auto"/>
            <w:left w:val="none" w:sz="0" w:space="0" w:color="auto"/>
            <w:bottom w:val="none" w:sz="0" w:space="0" w:color="auto"/>
            <w:right w:val="none" w:sz="0" w:space="0" w:color="auto"/>
          </w:divBdr>
          <w:divsChild>
            <w:div w:id="1136533877">
              <w:marLeft w:val="0"/>
              <w:marRight w:val="0"/>
              <w:marTop w:val="0"/>
              <w:marBottom w:val="0"/>
              <w:divBdr>
                <w:top w:val="none" w:sz="0" w:space="0" w:color="auto"/>
                <w:left w:val="none" w:sz="0" w:space="0" w:color="auto"/>
                <w:bottom w:val="none" w:sz="0" w:space="0" w:color="auto"/>
                <w:right w:val="none" w:sz="0" w:space="0" w:color="auto"/>
              </w:divBdr>
            </w:div>
          </w:divsChild>
        </w:div>
        <w:div w:id="453526931">
          <w:marLeft w:val="0"/>
          <w:marRight w:val="0"/>
          <w:marTop w:val="0"/>
          <w:marBottom w:val="0"/>
          <w:divBdr>
            <w:top w:val="none" w:sz="0" w:space="0" w:color="auto"/>
            <w:left w:val="none" w:sz="0" w:space="0" w:color="auto"/>
            <w:bottom w:val="none" w:sz="0" w:space="0" w:color="auto"/>
            <w:right w:val="none" w:sz="0" w:space="0" w:color="auto"/>
          </w:divBdr>
          <w:divsChild>
            <w:div w:id="2091077435">
              <w:marLeft w:val="0"/>
              <w:marRight w:val="0"/>
              <w:marTop w:val="0"/>
              <w:marBottom w:val="0"/>
              <w:divBdr>
                <w:top w:val="none" w:sz="0" w:space="0" w:color="auto"/>
                <w:left w:val="none" w:sz="0" w:space="0" w:color="auto"/>
                <w:bottom w:val="none" w:sz="0" w:space="0" w:color="auto"/>
                <w:right w:val="none" w:sz="0" w:space="0" w:color="auto"/>
              </w:divBdr>
            </w:div>
          </w:divsChild>
        </w:div>
        <w:div w:id="623001834">
          <w:marLeft w:val="0"/>
          <w:marRight w:val="0"/>
          <w:marTop w:val="0"/>
          <w:marBottom w:val="0"/>
          <w:divBdr>
            <w:top w:val="none" w:sz="0" w:space="0" w:color="auto"/>
            <w:left w:val="none" w:sz="0" w:space="0" w:color="auto"/>
            <w:bottom w:val="none" w:sz="0" w:space="0" w:color="auto"/>
            <w:right w:val="none" w:sz="0" w:space="0" w:color="auto"/>
          </w:divBdr>
          <w:divsChild>
            <w:div w:id="327441435">
              <w:marLeft w:val="0"/>
              <w:marRight w:val="0"/>
              <w:marTop w:val="0"/>
              <w:marBottom w:val="0"/>
              <w:divBdr>
                <w:top w:val="none" w:sz="0" w:space="0" w:color="auto"/>
                <w:left w:val="none" w:sz="0" w:space="0" w:color="auto"/>
                <w:bottom w:val="none" w:sz="0" w:space="0" w:color="auto"/>
                <w:right w:val="none" w:sz="0" w:space="0" w:color="auto"/>
              </w:divBdr>
            </w:div>
          </w:divsChild>
        </w:div>
        <w:div w:id="640041415">
          <w:marLeft w:val="0"/>
          <w:marRight w:val="0"/>
          <w:marTop w:val="0"/>
          <w:marBottom w:val="0"/>
          <w:divBdr>
            <w:top w:val="none" w:sz="0" w:space="0" w:color="auto"/>
            <w:left w:val="none" w:sz="0" w:space="0" w:color="auto"/>
            <w:bottom w:val="none" w:sz="0" w:space="0" w:color="auto"/>
            <w:right w:val="none" w:sz="0" w:space="0" w:color="auto"/>
          </w:divBdr>
          <w:divsChild>
            <w:div w:id="225918394">
              <w:marLeft w:val="0"/>
              <w:marRight w:val="0"/>
              <w:marTop w:val="0"/>
              <w:marBottom w:val="0"/>
              <w:divBdr>
                <w:top w:val="none" w:sz="0" w:space="0" w:color="auto"/>
                <w:left w:val="none" w:sz="0" w:space="0" w:color="auto"/>
                <w:bottom w:val="none" w:sz="0" w:space="0" w:color="auto"/>
                <w:right w:val="none" w:sz="0" w:space="0" w:color="auto"/>
              </w:divBdr>
            </w:div>
          </w:divsChild>
        </w:div>
        <w:div w:id="680470106">
          <w:marLeft w:val="0"/>
          <w:marRight w:val="0"/>
          <w:marTop w:val="0"/>
          <w:marBottom w:val="0"/>
          <w:divBdr>
            <w:top w:val="none" w:sz="0" w:space="0" w:color="auto"/>
            <w:left w:val="none" w:sz="0" w:space="0" w:color="auto"/>
            <w:bottom w:val="none" w:sz="0" w:space="0" w:color="auto"/>
            <w:right w:val="none" w:sz="0" w:space="0" w:color="auto"/>
          </w:divBdr>
          <w:divsChild>
            <w:div w:id="147062972">
              <w:marLeft w:val="0"/>
              <w:marRight w:val="0"/>
              <w:marTop w:val="0"/>
              <w:marBottom w:val="0"/>
              <w:divBdr>
                <w:top w:val="none" w:sz="0" w:space="0" w:color="auto"/>
                <w:left w:val="none" w:sz="0" w:space="0" w:color="auto"/>
                <w:bottom w:val="none" w:sz="0" w:space="0" w:color="auto"/>
                <w:right w:val="none" w:sz="0" w:space="0" w:color="auto"/>
              </w:divBdr>
            </w:div>
          </w:divsChild>
        </w:div>
        <w:div w:id="972322688">
          <w:marLeft w:val="0"/>
          <w:marRight w:val="0"/>
          <w:marTop w:val="0"/>
          <w:marBottom w:val="0"/>
          <w:divBdr>
            <w:top w:val="none" w:sz="0" w:space="0" w:color="auto"/>
            <w:left w:val="none" w:sz="0" w:space="0" w:color="auto"/>
            <w:bottom w:val="none" w:sz="0" w:space="0" w:color="auto"/>
            <w:right w:val="none" w:sz="0" w:space="0" w:color="auto"/>
          </w:divBdr>
          <w:divsChild>
            <w:div w:id="1774519985">
              <w:marLeft w:val="0"/>
              <w:marRight w:val="0"/>
              <w:marTop w:val="0"/>
              <w:marBottom w:val="0"/>
              <w:divBdr>
                <w:top w:val="none" w:sz="0" w:space="0" w:color="auto"/>
                <w:left w:val="none" w:sz="0" w:space="0" w:color="auto"/>
                <w:bottom w:val="none" w:sz="0" w:space="0" w:color="auto"/>
                <w:right w:val="none" w:sz="0" w:space="0" w:color="auto"/>
              </w:divBdr>
            </w:div>
          </w:divsChild>
        </w:div>
        <w:div w:id="997613114">
          <w:marLeft w:val="0"/>
          <w:marRight w:val="0"/>
          <w:marTop w:val="0"/>
          <w:marBottom w:val="0"/>
          <w:divBdr>
            <w:top w:val="none" w:sz="0" w:space="0" w:color="auto"/>
            <w:left w:val="none" w:sz="0" w:space="0" w:color="auto"/>
            <w:bottom w:val="none" w:sz="0" w:space="0" w:color="auto"/>
            <w:right w:val="none" w:sz="0" w:space="0" w:color="auto"/>
          </w:divBdr>
          <w:divsChild>
            <w:div w:id="1812212971">
              <w:marLeft w:val="0"/>
              <w:marRight w:val="0"/>
              <w:marTop w:val="0"/>
              <w:marBottom w:val="0"/>
              <w:divBdr>
                <w:top w:val="none" w:sz="0" w:space="0" w:color="auto"/>
                <w:left w:val="none" w:sz="0" w:space="0" w:color="auto"/>
                <w:bottom w:val="none" w:sz="0" w:space="0" w:color="auto"/>
                <w:right w:val="none" w:sz="0" w:space="0" w:color="auto"/>
              </w:divBdr>
            </w:div>
          </w:divsChild>
        </w:div>
        <w:div w:id="1044913561">
          <w:marLeft w:val="0"/>
          <w:marRight w:val="0"/>
          <w:marTop w:val="0"/>
          <w:marBottom w:val="0"/>
          <w:divBdr>
            <w:top w:val="none" w:sz="0" w:space="0" w:color="auto"/>
            <w:left w:val="none" w:sz="0" w:space="0" w:color="auto"/>
            <w:bottom w:val="none" w:sz="0" w:space="0" w:color="auto"/>
            <w:right w:val="none" w:sz="0" w:space="0" w:color="auto"/>
          </w:divBdr>
          <w:divsChild>
            <w:div w:id="133643487">
              <w:marLeft w:val="0"/>
              <w:marRight w:val="0"/>
              <w:marTop w:val="0"/>
              <w:marBottom w:val="0"/>
              <w:divBdr>
                <w:top w:val="none" w:sz="0" w:space="0" w:color="auto"/>
                <w:left w:val="none" w:sz="0" w:space="0" w:color="auto"/>
                <w:bottom w:val="none" w:sz="0" w:space="0" w:color="auto"/>
                <w:right w:val="none" w:sz="0" w:space="0" w:color="auto"/>
              </w:divBdr>
            </w:div>
          </w:divsChild>
        </w:div>
        <w:div w:id="1086342500">
          <w:marLeft w:val="0"/>
          <w:marRight w:val="0"/>
          <w:marTop w:val="0"/>
          <w:marBottom w:val="0"/>
          <w:divBdr>
            <w:top w:val="none" w:sz="0" w:space="0" w:color="auto"/>
            <w:left w:val="none" w:sz="0" w:space="0" w:color="auto"/>
            <w:bottom w:val="none" w:sz="0" w:space="0" w:color="auto"/>
            <w:right w:val="none" w:sz="0" w:space="0" w:color="auto"/>
          </w:divBdr>
          <w:divsChild>
            <w:div w:id="416950333">
              <w:marLeft w:val="0"/>
              <w:marRight w:val="0"/>
              <w:marTop w:val="0"/>
              <w:marBottom w:val="0"/>
              <w:divBdr>
                <w:top w:val="none" w:sz="0" w:space="0" w:color="auto"/>
                <w:left w:val="none" w:sz="0" w:space="0" w:color="auto"/>
                <w:bottom w:val="none" w:sz="0" w:space="0" w:color="auto"/>
                <w:right w:val="none" w:sz="0" w:space="0" w:color="auto"/>
              </w:divBdr>
            </w:div>
          </w:divsChild>
        </w:div>
        <w:div w:id="1124421679">
          <w:marLeft w:val="0"/>
          <w:marRight w:val="0"/>
          <w:marTop w:val="0"/>
          <w:marBottom w:val="0"/>
          <w:divBdr>
            <w:top w:val="none" w:sz="0" w:space="0" w:color="auto"/>
            <w:left w:val="none" w:sz="0" w:space="0" w:color="auto"/>
            <w:bottom w:val="none" w:sz="0" w:space="0" w:color="auto"/>
            <w:right w:val="none" w:sz="0" w:space="0" w:color="auto"/>
          </w:divBdr>
          <w:divsChild>
            <w:div w:id="1294873572">
              <w:marLeft w:val="0"/>
              <w:marRight w:val="0"/>
              <w:marTop w:val="0"/>
              <w:marBottom w:val="0"/>
              <w:divBdr>
                <w:top w:val="none" w:sz="0" w:space="0" w:color="auto"/>
                <w:left w:val="none" w:sz="0" w:space="0" w:color="auto"/>
                <w:bottom w:val="none" w:sz="0" w:space="0" w:color="auto"/>
                <w:right w:val="none" w:sz="0" w:space="0" w:color="auto"/>
              </w:divBdr>
            </w:div>
          </w:divsChild>
        </w:div>
        <w:div w:id="1191533707">
          <w:marLeft w:val="0"/>
          <w:marRight w:val="0"/>
          <w:marTop w:val="0"/>
          <w:marBottom w:val="0"/>
          <w:divBdr>
            <w:top w:val="none" w:sz="0" w:space="0" w:color="auto"/>
            <w:left w:val="none" w:sz="0" w:space="0" w:color="auto"/>
            <w:bottom w:val="none" w:sz="0" w:space="0" w:color="auto"/>
            <w:right w:val="none" w:sz="0" w:space="0" w:color="auto"/>
          </w:divBdr>
          <w:divsChild>
            <w:div w:id="1142889029">
              <w:marLeft w:val="0"/>
              <w:marRight w:val="0"/>
              <w:marTop w:val="0"/>
              <w:marBottom w:val="0"/>
              <w:divBdr>
                <w:top w:val="none" w:sz="0" w:space="0" w:color="auto"/>
                <w:left w:val="none" w:sz="0" w:space="0" w:color="auto"/>
                <w:bottom w:val="none" w:sz="0" w:space="0" w:color="auto"/>
                <w:right w:val="none" w:sz="0" w:space="0" w:color="auto"/>
              </w:divBdr>
            </w:div>
          </w:divsChild>
        </w:div>
        <w:div w:id="1235700650">
          <w:marLeft w:val="0"/>
          <w:marRight w:val="0"/>
          <w:marTop w:val="0"/>
          <w:marBottom w:val="0"/>
          <w:divBdr>
            <w:top w:val="none" w:sz="0" w:space="0" w:color="auto"/>
            <w:left w:val="none" w:sz="0" w:space="0" w:color="auto"/>
            <w:bottom w:val="none" w:sz="0" w:space="0" w:color="auto"/>
            <w:right w:val="none" w:sz="0" w:space="0" w:color="auto"/>
          </w:divBdr>
          <w:divsChild>
            <w:div w:id="2021154171">
              <w:marLeft w:val="0"/>
              <w:marRight w:val="0"/>
              <w:marTop w:val="0"/>
              <w:marBottom w:val="0"/>
              <w:divBdr>
                <w:top w:val="none" w:sz="0" w:space="0" w:color="auto"/>
                <w:left w:val="none" w:sz="0" w:space="0" w:color="auto"/>
                <w:bottom w:val="none" w:sz="0" w:space="0" w:color="auto"/>
                <w:right w:val="none" w:sz="0" w:space="0" w:color="auto"/>
              </w:divBdr>
            </w:div>
          </w:divsChild>
        </w:div>
        <w:div w:id="1410419016">
          <w:marLeft w:val="0"/>
          <w:marRight w:val="0"/>
          <w:marTop w:val="0"/>
          <w:marBottom w:val="0"/>
          <w:divBdr>
            <w:top w:val="none" w:sz="0" w:space="0" w:color="auto"/>
            <w:left w:val="none" w:sz="0" w:space="0" w:color="auto"/>
            <w:bottom w:val="none" w:sz="0" w:space="0" w:color="auto"/>
            <w:right w:val="none" w:sz="0" w:space="0" w:color="auto"/>
          </w:divBdr>
          <w:divsChild>
            <w:div w:id="850802914">
              <w:marLeft w:val="0"/>
              <w:marRight w:val="0"/>
              <w:marTop w:val="0"/>
              <w:marBottom w:val="0"/>
              <w:divBdr>
                <w:top w:val="none" w:sz="0" w:space="0" w:color="auto"/>
                <w:left w:val="none" w:sz="0" w:space="0" w:color="auto"/>
                <w:bottom w:val="none" w:sz="0" w:space="0" w:color="auto"/>
                <w:right w:val="none" w:sz="0" w:space="0" w:color="auto"/>
              </w:divBdr>
            </w:div>
          </w:divsChild>
        </w:div>
        <w:div w:id="1484006905">
          <w:marLeft w:val="0"/>
          <w:marRight w:val="0"/>
          <w:marTop w:val="0"/>
          <w:marBottom w:val="0"/>
          <w:divBdr>
            <w:top w:val="none" w:sz="0" w:space="0" w:color="auto"/>
            <w:left w:val="none" w:sz="0" w:space="0" w:color="auto"/>
            <w:bottom w:val="none" w:sz="0" w:space="0" w:color="auto"/>
            <w:right w:val="none" w:sz="0" w:space="0" w:color="auto"/>
          </w:divBdr>
          <w:divsChild>
            <w:div w:id="1569725461">
              <w:marLeft w:val="0"/>
              <w:marRight w:val="0"/>
              <w:marTop w:val="0"/>
              <w:marBottom w:val="0"/>
              <w:divBdr>
                <w:top w:val="none" w:sz="0" w:space="0" w:color="auto"/>
                <w:left w:val="none" w:sz="0" w:space="0" w:color="auto"/>
                <w:bottom w:val="none" w:sz="0" w:space="0" w:color="auto"/>
                <w:right w:val="none" w:sz="0" w:space="0" w:color="auto"/>
              </w:divBdr>
            </w:div>
          </w:divsChild>
        </w:div>
        <w:div w:id="1582832491">
          <w:marLeft w:val="0"/>
          <w:marRight w:val="0"/>
          <w:marTop w:val="0"/>
          <w:marBottom w:val="0"/>
          <w:divBdr>
            <w:top w:val="none" w:sz="0" w:space="0" w:color="auto"/>
            <w:left w:val="none" w:sz="0" w:space="0" w:color="auto"/>
            <w:bottom w:val="none" w:sz="0" w:space="0" w:color="auto"/>
            <w:right w:val="none" w:sz="0" w:space="0" w:color="auto"/>
          </w:divBdr>
          <w:divsChild>
            <w:div w:id="183322628">
              <w:marLeft w:val="0"/>
              <w:marRight w:val="0"/>
              <w:marTop w:val="0"/>
              <w:marBottom w:val="0"/>
              <w:divBdr>
                <w:top w:val="none" w:sz="0" w:space="0" w:color="auto"/>
                <w:left w:val="none" w:sz="0" w:space="0" w:color="auto"/>
                <w:bottom w:val="none" w:sz="0" w:space="0" w:color="auto"/>
                <w:right w:val="none" w:sz="0" w:space="0" w:color="auto"/>
              </w:divBdr>
            </w:div>
          </w:divsChild>
        </w:div>
        <w:div w:id="1676617451">
          <w:marLeft w:val="0"/>
          <w:marRight w:val="0"/>
          <w:marTop w:val="0"/>
          <w:marBottom w:val="0"/>
          <w:divBdr>
            <w:top w:val="none" w:sz="0" w:space="0" w:color="auto"/>
            <w:left w:val="none" w:sz="0" w:space="0" w:color="auto"/>
            <w:bottom w:val="none" w:sz="0" w:space="0" w:color="auto"/>
            <w:right w:val="none" w:sz="0" w:space="0" w:color="auto"/>
          </w:divBdr>
          <w:divsChild>
            <w:div w:id="1228226897">
              <w:marLeft w:val="0"/>
              <w:marRight w:val="0"/>
              <w:marTop w:val="0"/>
              <w:marBottom w:val="0"/>
              <w:divBdr>
                <w:top w:val="none" w:sz="0" w:space="0" w:color="auto"/>
                <w:left w:val="none" w:sz="0" w:space="0" w:color="auto"/>
                <w:bottom w:val="none" w:sz="0" w:space="0" w:color="auto"/>
                <w:right w:val="none" w:sz="0" w:space="0" w:color="auto"/>
              </w:divBdr>
            </w:div>
          </w:divsChild>
        </w:div>
        <w:div w:id="1692494392">
          <w:marLeft w:val="0"/>
          <w:marRight w:val="0"/>
          <w:marTop w:val="0"/>
          <w:marBottom w:val="0"/>
          <w:divBdr>
            <w:top w:val="none" w:sz="0" w:space="0" w:color="auto"/>
            <w:left w:val="none" w:sz="0" w:space="0" w:color="auto"/>
            <w:bottom w:val="none" w:sz="0" w:space="0" w:color="auto"/>
            <w:right w:val="none" w:sz="0" w:space="0" w:color="auto"/>
          </w:divBdr>
          <w:divsChild>
            <w:div w:id="638341652">
              <w:marLeft w:val="0"/>
              <w:marRight w:val="0"/>
              <w:marTop w:val="0"/>
              <w:marBottom w:val="0"/>
              <w:divBdr>
                <w:top w:val="none" w:sz="0" w:space="0" w:color="auto"/>
                <w:left w:val="none" w:sz="0" w:space="0" w:color="auto"/>
                <w:bottom w:val="none" w:sz="0" w:space="0" w:color="auto"/>
                <w:right w:val="none" w:sz="0" w:space="0" w:color="auto"/>
              </w:divBdr>
            </w:div>
          </w:divsChild>
        </w:div>
        <w:div w:id="1709526549">
          <w:marLeft w:val="0"/>
          <w:marRight w:val="0"/>
          <w:marTop w:val="0"/>
          <w:marBottom w:val="0"/>
          <w:divBdr>
            <w:top w:val="none" w:sz="0" w:space="0" w:color="auto"/>
            <w:left w:val="none" w:sz="0" w:space="0" w:color="auto"/>
            <w:bottom w:val="none" w:sz="0" w:space="0" w:color="auto"/>
            <w:right w:val="none" w:sz="0" w:space="0" w:color="auto"/>
          </w:divBdr>
          <w:divsChild>
            <w:div w:id="1656839834">
              <w:marLeft w:val="0"/>
              <w:marRight w:val="0"/>
              <w:marTop w:val="0"/>
              <w:marBottom w:val="0"/>
              <w:divBdr>
                <w:top w:val="none" w:sz="0" w:space="0" w:color="auto"/>
                <w:left w:val="none" w:sz="0" w:space="0" w:color="auto"/>
                <w:bottom w:val="none" w:sz="0" w:space="0" w:color="auto"/>
                <w:right w:val="none" w:sz="0" w:space="0" w:color="auto"/>
              </w:divBdr>
            </w:div>
          </w:divsChild>
        </w:div>
        <w:div w:id="1729693119">
          <w:marLeft w:val="0"/>
          <w:marRight w:val="0"/>
          <w:marTop w:val="0"/>
          <w:marBottom w:val="0"/>
          <w:divBdr>
            <w:top w:val="none" w:sz="0" w:space="0" w:color="auto"/>
            <w:left w:val="none" w:sz="0" w:space="0" w:color="auto"/>
            <w:bottom w:val="none" w:sz="0" w:space="0" w:color="auto"/>
            <w:right w:val="none" w:sz="0" w:space="0" w:color="auto"/>
          </w:divBdr>
          <w:divsChild>
            <w:div w:id="1615939198">
              <w:marLeft w:val="0"/>
              <w:marRight w:val="0"/>
              <w:marTop w:val="0"/>
              <w:marBottom w:val="0"/>
              <w:divBdr>
                <w:top w:val="none" w:sz="0" w:space="0" w:color="auto"/>
                <w:left w:val="none" w:sz="0" w:space="0" w:color="auto"/>
                <w:bottom w:val="none" w:sz="0" w:space="0" w:color="auto"/>
                <w:right w:val="none" w:sz="0" w:space="0" w:color="auto"/>
              </w:divBdr>
            </w:div>
          </w:divsChild>
        </w:div>
        <w:div w:id="1832059631">
          <w:marLeft w:val="0"/>
          <w:marRight w:val="0"/>
          <w:marTop w:val="0"/>
          <w:marBottom w:val="0"/>
          <w:divBdr>
            <w:top w:val="none" w:sz="0" w:space="0" w:color="auto"/>
            <w:left w:val="none" w:sz="0" w:space="0" w:color="auto"/>
            <w:bottom w:val="none" w:sz="0" w:space="0" w:color="auto"/>
            <w:right w:val="none" w:sz="0" w:space="0" w:color="auto"/>
          </w:divBdr>
          <w:divsChild>
            <w:div w:id="1449202162">
              <w:marLeft w:val="0"/>
              <w:marRight w:val="0"/>
              <w:marTop w:val="0"/>
              <w:marBottom w:val="0"/>
              <w:divBdr>
                <w:top w:val="none" w:sz="0" w:space="0" w:color="auto"/>
                <w:left w:val="none" w:sz="0" w:space="0" w:color="auto"/>
                <w:bottom w:val="none" w:sz="0" w:space="0" w:color="auto"/>
                <w:right w:val="none" w:sz="0" w:space="0" w:color="auto"/>
              </w:divBdr>
            </w:div>
          </w:divsChild>
        </w:div>
        <w:div w:id="1910773254">
          <w:marLeft w:val="0"/>
          <w:marRight w:val="0"/>
          <w:marTop w:val="0"/>
          <w:marBottom w:val="0"/>
          <w:divBdr>
            <w:top w:val="none" w:sz="0" w:space="0" w:color="auto"/>
            <w:left w:val="none" w:sz="0" w:space="0" w:color="auto"/>
            <w:bottom w:val="none" w:sz="0" w:space="0" w:color="auto"/>
            <w:right w:val="none" w:sz="0" w:space="0" w:color="auto"/>
          </w:divBdr>
          <w:divsChild>
            <w:div w:id="399445569">
              <w:marLeft w:val="0"/>
              <w:marRight w:val="0"/>
              <w:marTop w:val="0"/>
              <w:marBottom w:val="0"/>
              <w:divBdr>
                <w:top w:val="none" w:sz="0" w:space="0" w:color="auto"/>
                <w:left w:val="none" w:sz="0" w:space="0" w:color="auto"/>
                <w:bottom w:val="none" w:sz="0" w:space="0" w:color="auto"/>
                <w:right w:val="none" w:sz="0" w:space="0" w:color="auto"/>
              </w:divBdr>
            </w:div>
          </w:divsChild>
        </w:div>
        <w:div w:id="1950505126">
          <w:marLeft w:val="0"/>
          <w:marRight w:val="0"/>
          <w:marTop w:val="0"/>
          <w:marBottom w:val="0"/>
          <w:divBdr>
            <w:top w:val="none" w:sz="0" w:space="0" w:color="auto"/>
            <w:left w:val="none" w:sz="0" w:space="0" w:color="auto"/>
            <w:bottom w:val="none" w:sz="0" w:space="0" w:color="auto"/>
            <w:right w:val="none" w:sz="0" w:space="0" w:color="auto"/>
          </w:divBdr>
          <w:divsChild>
            <w:div w:id="1685354788">
              <w:marLeft w:val="0"/>
              <w:marRight w:val="0"/>
              <w:marTop w:val="0"/>
              <w:marBottom w:val="0"/>
              <w:divBdr>
                <w:top w:val="none" w:sz="0" w:space="0" w:color="auto"/>
                <w:left w:val="none" w:sz="0" w:space="0" w:color="auto"/>
                <w:bottom w:val="none" w:sz="0" w:space="0" w:color="auto"/>
                <w:right w:val="none" w:sz="0" w:space="0" w:color="auto"/>
              </w:divBdr>
            </w:div>
          </w:divsChild>
        </w:div>
        <w:div w:id="1960455673">
          <w:marLeft w:val="0"/>
          <w:marRight w:val="0"/>
          <w:marTop w:val="0"/>
          <w:marBottom w:val="0"/>
          <w:divBdr>
            <w:top w:val="none" w:sz="0" w:space="0" w:color="auto"/>
            <w:left w:val="none" w:sz="0" w:space="0" w:color="auto"/>
            <w:bottom w:val="none" w:sz="0" w:space="0" w:color="auto"/>
            <w:right w:val="none" w:sz="0" w:space="0" w:color="auto"/>
          </w:divBdr>
          <w:divsChild>
            <w:div w:id="1997297389">
              <w:marLeft w:val="0"/>
              <w:marRight w:val="0"/>
              <w:marTop w:val="0"/>
              <w:marBottom w:val="0"/>
              <w:divBdr>
                <w:top w:val="none" w:sz="0" w:space="0" w:color="auto"/>
                <w:left w:val="none" w:sz="0" w:space="0" w:color="auto"/>
                <w:bottom w:val="none" w:sz="0" w:space="0" w:color="auto"/>
                <w:right w:val="none" w:sz="0" w:space="0" w:color="auto"/>
              </w:divBdr>
            </w:div>
          </w:divsChild>
        </w:div>
        <w:div w:id="1970697086">
          <w:marLeft w:val="0"/>
          <w:marRight w:val="0"/>
          <w:marTop w:val="0"/>
          <w:marBottom w:val="0"/>
          <w:divBdr>
            <w:top w:val="none" w:sz="0" w:space="0" w:color="auto"/>
            <w:left w:val="none" w:sz="0" w:space="0" w:color="auto"/>
            <w:bottom w:val="none" w:sz="0" w:space="0" w:color="auto"/>
            <w:right w:val="none" w:sz="0" w:space="0" w:color="auto"/>
          </w:divBdr>
          <w:divsChild>
            <w:div w:id="2002468725">
              <w:marLeft w:val="0"/>
              <w:marRight w:val="0"/>
              <w:marTop w:val="0"/>
              <w:marBottom w:val="0"/>
              <w:divBdr>
                <w:top w:val="none" w:sz="0" w:space="0" w:color="auto"/>
                <w:left w:val="none" w:sz="0" w:space="0" w:color="auto"/>
                <w:bottom w:val="none" w:sz="0" w:space="0" w:color="auto"/>
                <w:right w:val="none" w:sz="0" w:space="0" w:color="auto"/>
              </w:divBdr>
            </w:div>
          </w:divsChild>
        </w:div>
        <w:div w:id="1979871713">
          <w:marLeft w:val="0"/>
          <w:marRight w:val="0"/>
          <w:marTop w:val="0"/>
          <w:marBottom w:val="0"/>
          <w:divBdr>
            <w:top w:val="none" w:sz="0" w:space="0" w:color="auto"/>
            <w:left w:val="none" w:sz="0" w:space="0" w:color="auto"/>
            <w:bottom w:val="none" w:sz="0" w:space="0" w:color="auto"/>
            <w:right w:val="none" w:sz="0" w:space="0" w:color="auto"/>
          </w:divBdr>
          <w:divsChild>
            <w:div w:id="15698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4163">
      <w:bodyDiv w:val="1"/>
      <w:marLeft w:val="0"/>
      <w:marRight w:val="0"/>
      <w:marTop w:val="0"/>
      <w:marBottom w:val="0"/>
      <w:divBdr>
        <w:top w:val="none" w:sz="0" w:space="0" w:color="auto"/>
        <w:left w:val="none" w:sz="0" w:space="0" w:color="auto"/>
        <w:bottom w:val="none" w:sz="0" w:space="0" w:color="auto"/>
        <w:right w:val="none" w:sz="0" w:space="0" w:color="auto"/>
      </w:divBdr>
    </w:div>
    <w:div w:id="1599481020">
      <w:bodyDiv w:val="1"/>
      <w:marLeft w:val="0"/>
      <w:marRight w:val="0"/>
      <w:marTop w:val="0"/>
      <w:marBottom w:val="0"/>
      <w:divBdr>
        <w:top w:val="none" w:sz="0" w:space="0" w:color="auto"/>
        <w:left w:val="none" w:sz="0" w:space="0" w:color="auto"/>
        <w:bottom w:val="none" w:sz="0" w:space="0" w:color="auto"/>
        <w:right w:val="none" w:sz="0" w:space="0" w:color="auto"/>
      </w:divBdr>
    </w:div>
    <w:div w:id="1682967396">
      <w:bodyDiv w:val="1"/>
      <w:marLeft w:val="0"/>
      <w:marRight w:val="0"/>
      <w:marTop w:val="0"/>
      <w:marBottom w:val="0"/>
      <w:divBdr>
        <w:top w:val="none" w:sz="0" w:space="0" w:color="auto"/>
        <w:left w:val="none" w:sz="0" w:space="0" w:color="auto"/>
        <w:bottom w:val="none" w:sz="0" w:space="0" w:color="auto"/>
        <w:right w:val="none" w:sz="0" w:space="0" w:color="auto"/>
      </w:divBdr>
    </w:div>
    <w:div w:id="1690330798">
      <w:bodyDiv w:val="1"/>
      <w:marLeft w:val="0"/>
      <w:marRight w:val="0"/>
      <w:marTop w:val="0"/>
      <w:marBottom w:val="0"/>
      <w:divBdr>
        <w:top w:val="none" w:sz="0" w:space="0" w:color="auto"/>
        <w:left w:val="none" w:sz="0" w:space="0" w:color="auto"/>
        <w:bottom w:val="none" w:sz="0" w:space="0" w:color="auto"/>
        <w:right w:val="none" w:sz="0" w:space="0" w:color="auto"/>
      </w:divBdr>
    </w:div>
    <w:div w:id="1693341048">
      <w:bodyDiv w:val="1"/>
      <w:marLeft w:val="0"/>
      <w:marRight w:val="0"/>
      <w:marTop w:val="0"/>
      <w:marBottom w:val="0"/>
      <w:divBdr>
        <w:top w:val="none" w:sz="0" w:space="0" w:color="auto"/>
        <w:left w:val="none" w:sz="0" w:space="0" w:color="auto"/>
        <w:bottom w:val="none" w:sz="0" w:space="0" w:color="auto"/>
        <w:right w:val="none" w:sz="0" w:space="0" w:color="auto"/>
      </w:divBdr>
    </w:div>
    <w:div w:id="1696610523">
      <w:bodyDiv w:val="1"/>
      <w:marLeft w:val="0"/>
      <w:marRight w:val="0"/>
      <w:marTop w:val="0"/>
      <w:marBottom w:val="0"/>
      <w:divBdr>
        <w:top w:val="none" w:sz="0" w:space="0" w:color="auto"/>
        <w:left w:val="none" w:sz="0" w:space="0" w:color="auto"/>
        <w:bottom w:val="none" w:sz="0" w:space="0" w:color="auto"/>
        <w:right w:val="none" w:sz="0" w:space="0" w:color="auto"/>
      </w:divBdr>
    </w:div>
    <w:div w:id="1740787567">
      <w:bodyDiv w:val="1"/>
      <w:marLeft w:val="0"/>
      <w:marRight w:val="0"/>
      <w:marTop w:val="0"/>
      <w:marBottom w:val="0"/>
      <w:divBdr>
        <w:top w:val="none" w:sz="0" w:space="0" w:color="auto"/>
        <w:left w:val="none" w:sz="0" w:space="0" w:color="auto"/>
        <w:bottom w:val="none" w:sz="0" w:space="0" w:color="auto"/>
        <w:right w:val="none" w:sz="0" w:space="0" w:color="auto"/>
      </w:divBdr>
    </w:div>
    <w:div w:id="1746298337">
      <w:bodyDiv w:val="1"/>
      <w:marLeft w:val="0"/>
      <w:marRight w:val="0"/>
      <w:marTop w:val="0"/>
      <w:marBottom w:val="0"/>
      <w:divBdr>
        <w:top w:val="none" w:sz="0" w:space="0" w:color="auto"/>
        <w:left w:val="none" w:sz="0" w:space="0" w:color="auto"/>
        <w:bottom w:val="none" w:sz="0" w:space="0" w:color="auto"/>
        <w:right w:val="none" w:sz="0" w:space="0" w:color="auto"/>
      </w:divBdr>
    </w:div>
    <w:div w:id="1763140429">
      <w:bodyDiv w:val="1"/>
      <w:marLeft w:val="0"/>
      <w:marRight w:val="0"/>
      <w:marTop w:val="0"/>
      <w:marBottom w:val="0"/>
      <w:divBdr>
        <w:top w:val="none" w:sz="0" w:space="0" w:color="auto"/>
        <w:left w:val="none" w:sz="0" w:space="0" w:color="auto"/>
        <w:bottom w:val="none" w:sz="0" w:space="0" w:color="auto"/>
        <w:right w:val="none" w:sz="0" w:space="0" w:color="auto"/>
      </w:divBdr>
    </w:div>
    <w:div w:id="1800411490">
      <w:bodyDiv w:val="1"/>
      <w:marLeft w:val="0"/>
      <w:marRight w:val="0"/>
      <w:marTop w:val="0"/>
      <w:marBottom w:val="0"/>
      <w:divBdr>
        <w:top w:val="none" w:sz="0" w:space="0" w:color="auto"/>
        <w:left w:val="none" w:sz="0" w:space="0" w:color="auto"/>
        <w:bottom w:val="none" w:sz="0" w:space="0" w:color="auto"/>
        <w:right w:val="none" w:sz="0" w:space="0" w:color="auto"/>
      </w:divBdr>
    </w:div>
    <w:div w:id="1812209718">
      <w:bodyDiv w:val="1"/>
      <w:marLeft w:val="0"/>
      <w:marRight w:val="0"/>
      <w:marTop w:val="0"/>
      <w:marBottom w:val="0"/>
      <w:divBdr>
        <w:top w:val="none" w:sz="0" w:space="0" w:color="auto"/>
        <w:left w:val="none" w:sz="0" w:space="0" w:color="auto"/>
        <w:bottom w:val="none" w:sz="0" w:space="0" w:color="auto"/>
        <w:right w:val="none" w:sz="0" w:space="0" w:color="auto"/>
      </w:divBdr>
      <w:divsChild>
        <w:div w:id="136149387">
          <w:marLeft w:val="0"/>
          <w:marRight w:val="0"/>
          <w:marTop w:val="0"/>
          <w:marBottom w:val="0"/>
          <w:divBdr>
            <w:top w:val="none" w:sz="0" w:space="0" w:color="auto"/>
            <w:left w:val="none" w:sz="0" w:space="0" w:color="auto"/>
            <w:bottom w:val="none" w:sz="0" w:space="0" w:color="auto"/>
            <w:right w:val="none" w:sz="0" w:space="0" w:color="auto"/>
          </w:divBdr>
        </w:div>
        <w:div w:id="679504795">
          <w:marLeft w:val="-75"/>
          <w:marRight w:val="0"/>
          <w:marTop w:val="30"/>
          <w:marBottom w:val="30"/>
          <w:divBdr>
            <w:top w:val="none" w:sz="0" w:space="0" w:color="auto"/>
            <w:left w:val="none" w:sz="0" w:space="0" w:color="auto"/>
            <w:bottom w:val="none" w:sz="0" w:space="0" w:color="auto"/>
            <w:right w:val="none" w:sz="0" w:space="0" w:color="auto"/>
          </w:divBdr>
          <w:divsChild>
            <w:div w:id="8721570">
              <w:marLeft w:val="0"/>
              <w:marRight w:val="0"/>
              <w:marTop w:val="0"/>
              <w:marBottom w:val="0"/>
              <w:divBdr>
                <w:top w:val="none" w:sz="0" w:space="0" w:color="auto"/>
                <w:left w:val="none" w:sz="0" w:space="0" w:color="auto"/>
                <w:bottom w:val="none" w:sz="0" w:space="0" w:color="auto"/>
                <w:right w:val="none" w:sz="0" w:space="0" w:color="auto"/>
              </w:divBdr>
              <w:divsChild>
                <w:div w:id="1106577594">
                  <w:marLeft w:val="0"/>
                  <w:marRight w:val="0"/>
                  <w:marTop w:val="0"/>
                  <w:marBottom w:val="0"/>
                  <w:divBdr>
                    <w:top w:val="none" w:sz="0" w:space="0" w:color="auto"/>
                    <w:left w:val="none" w:sz="0" w:space="0" w:color="auto"/>
                    <w:bottom w:val="none" w:sz="0" w:space="0" w:color="auto"/>
                    <w:right w:val="none" w:sz="0" w:space="0" w:color="auto"/>
                  </w:divBdr>
                </w:div>
                <w:div w:id="1252004371">
                  <w:marLeft w:val="0"/>
                  <w:marRight w:val="0"/>
                  <w:marTop w:val="0"/>
                  <w:marBottom w:val="0"/>
                  <w:divBdr>
                    <w:top w:val="none" w:sz="0" w:space="0" w:color="auto"/>
                    <w:left w:val="none" w:sz="0" w:space="0" w:color="auto"/>
                    <w:bottom w:val="none" w:sz="0" w:space="0" w:color="auto"/>
                    <w:right w:val="none" w:sz="0" w:space="0" w:color="auto"/>
                  </w:divBdr>
                </w:div>
              </w:divsChild>
            </w:div>
            <w:div w:id="19862755">
              <w:marLeft w:val="0"/>
              <w:marRight w:val="0"/>
              <w:marTop w:val="0"/>
              <w:marBottom w:val="0"/>
              <w:divBdr>
                <w:top w:val="none" w:sz="0" w:space="0" w:color="auto"/>
                <w:left w:val="none" w:sz="0" w:space="0" w:color="auto"/>
                <w:bottom w:val="none" w:sz="0" w:space="0" w:color="auto"/>
                <w:right w:val="none" w:sz="0" w:space="0" w:color="auto"/>
              </w:divBdr>
              <w:divsChild>
                <w:div w:id="1123423794">
                  <w:marLeft w:val="0"/>
                  <w:marRight w:val="0"/>
                  <w:marTop w:val="0"/>
                  <w:marBottom w:val="0"/>
                  <w:divBdr>
                    <w:top w:val="none" w:sz="0" w:space="0" w:color="auto"/>
                    <w:left w:val="none" w:sz="0" w:space="0" w:color="auto"/>
                    <w:bottom w:val="none" w:sz="0" w:space="0" w:color="auto"/>
                    <w:right w:val="none" w:sz="0" w:space="0" w:color="auto"/>
                  </w:divBdr>
                </w:div>
              </w:divsChild>
            </w:div>
            <w:div w:id="156851172">
              <w:marLeft w:val="0"/>
              <w:marRight w:val="0"/>
              <w:marTop w:val="0"/>
              <w:marBottom w:val="0"/>
              <w:divBdr>
                <w:top w:val="none" w:sz="0" w:space="0" w:color="auto"/>
                <w:left w:val="none" w:sz="0" w:space="0" w:color="auto"/>
                <w:bottom w:val="none" w:sz="0" w:space="0" w:color="auto"/>
                <w:right w:val="none" w:sz="0" w:space="0" w:color="auto"/>
              </w:divBdr>
              <w:divsChild>
                <w:div w:id="2045984372">
                  <w:marLeft w:val="0"/>
                  <w:marRight w:val="0"/>
                  <w:marTop w:val="0"/>
                  <w:marBottom w:val="0"/>
                  <w:divBdr>
                    <w:top w:val="none" w:sz="0" w:space="0" w:color="auto"/>
                    <w:left w:val="none" w:sz="0" w:space="0" w:color="auto"/>
                    <w:bottom w:val="none" w:sz="0" w:space="0" w:color="auto"/>
                    <w:right w:val="none" w:sz="0" w:space="0" w:color="auto"/>
                  </w:divBdr>
                </w:div>
              </w:divsChild>
            </w:div>
            <w:div w:id="166680981">
              <w:marLeft w:val="0"/>
              <w:marRight w:val="0"/>
              <w:marTop w:val="0"/>
              <w:marBottom w:val="0"/>
              <w:divBdr>
                <w:top w:val="none" w:sz="0" w:space="0" w:color="auto"/>
                <w:left w:val="none" w:sz="0" w:space="0" w:color="auto"/>
                <w:bottom w:val="none" w:sz="0" w:space="0" w:color="auto"/>
                <w:right w:val="none" w:sz="0" w:space="0" w:color="auto"/>
              </w:divBdr>
              <w:divsChild>
                <w:div w:id="1548908135">
                  <w:marLeft w:val="0"/>
                  <w:marRight w:val="0"/>
                  <w:marTop w:val="0"/>
                  <w:marBottom w:val="0"/>
                  <w:divBdr>
                    <w:top w:val="none" w:sz="0" w:space="0" w:color="auto"/>
                    <w:left w:val="none" w:sz="0" w:space="0" w:color="auto"/>
                    <w:bottom w:val="none" w:sz="0" w:space="0" w:color="auto"/>
                    <w:right w:val="none" w:sz="0" w:space="0" w:color="auto"/>
                  </w:divBdr>
                </w:div>
              </w:divsChild>
            </w:div>
            <w:div w:id="257371073">
              <w:marLeft w:val="0"/>
              <w:marRight w:val="0"/>
              <w:marTop w:val="0"/>
              <w:marBottom w:val="0"/>
              <w:divBdr>
                <w:top w:val="none" w:sz="0" w:space="0" w:color="auto"/>
                <w:left w:val="none" w:sz="0" w:space="0" w:color="auto"/>
                <w:bottom w:val="none" w:sz="0" w:space="0" w:color="auto"/>
                <w:right w:val="none" w:sz="0" w:space="0" w:color="auto"/>
              </w:divBdr>
              <w:divsChild>
                <w:div w:id="1396120138">
                  <w:marLeft w:val="0"/>
                  <w:marRight w:val="0"/>
                  <w:marTop w:val="0"/>
                  <w:marBottom w:val="0"/>
                  <w:divBdr>
                    <w:top w:val="none" w:sz="0" w:space="0" w:color="auto"/>
                    <w:left w:val="none" w:sz="0" w:space="0" w:color="auto"/>
                    <w:bottom w:val="none" w:sz="0" w:space="0" w:color="auto"/>
                    <w:right w:val="none" w:sz="0" w:space="0" w:color="auto"/>
                  </w:divBdr>
                </w:div>
              </w:divsChild>
            </w:div>
            <w:div w:id="310523697">
              <w:marLeft w:val="0"/>
              <w:marRight w:val="0"/>
              <w:marTop w:val="0"/>
              <w:marBottom w:val="0"/>
              <w:divBdr>
                <w:top w:val="none" w:sz="0" w:space="0" w:color="auto"/>
                <w:left w:val="none" w:sz="0" w:space="0" w:color="auto"/>
                <w:bottom w:val="none" w:sz="0" w:space="0" w:color="auto"/>
                <w:right w:val="none" w:sz="0" w:space="0" w:color="auto"/>
              </w:divBdr>
              <w:divsChild>
                <w:div w:id="1589193641">
                  <w:marLeft w:val="0"/>
                  <w:marRight w:val="0"/>
                  <w:marTop w:val="0"/>
                  <w:marBottom w:val="0"/>
                  <w:divBdr>
                    <w:top w:val="none" w:sz="0" w:space="0" w:color="auto"/>
                    <w:left w:val="none" w:sz="0" w:space="0" w:color="auto"/>
                    <w:bottom w:val="none" w:sz="0" w:space="0" w:color="auto"/>
                    <w:right w:val="none" w:sz="0" w:space="0" w:color="auto"/>
                  </w:divBdr>
                </w:div>
              </w:divsChild>
            </w:div>
            <w:div w:id="458232683">
              <w:marLeft w:val="0"/>
              <w:marRight w:val="0"/>
              <w:marTop w:val="0"/>
              <w:marBottom w:val="0"/>
              <w:divBdr>
                <w:top w:val="none" w:sz="0" w:space="0" w:color="auto"/>
                <w:left w:val="none" w:sz="0" w:space="0" w:color="auto"/>
                <w:bottom w:val="none" w:sz="0" w:space="0" w:color="auto"/>
                <w:right w:val="none" w:sz="0" w:space="0" w:color="auto"/>
              </w:divBdr>
              <w:divsChild>
                <w:div w:id="258023817">
                  <w:marLeft w:val="0"/>
                  <w:marRight w:val="0"/>
                  <w:marTop w:val="0"/>
                  <w:marBottom w:val="0"/>
                  <w:divBdr>
                    <w:top w:val="none" w:sz="0" w:space="0" w:color="auto"/>
                    <w:left w:val="none" w:sz="0" w:space="0" w:color="auto"/>
                    <w:bottom w:val="none" w:sz="0" w:space="0" w:color="auto"/>
                    <w:right w:val="none" w:sz="0" w:space="0" w:color="auto"/>
                  </w:divBdr>
                </w:div>
              </w:divsChild>
            </w:div>
            <w:div w:id="483006773">
              <w:marLeft w:val="0"/>
              <w:marRight w:val="0"/>
              <w:marTop w:val="0"/>
              <w:marBottom w:val="0"/>
              <w:divBdr>
                <w:top w:val="none" w:sz="0" w:space="0" w:color="auto"/>
                <w:left w:val="none" w:sz="0" w:space="0" w:color="auto"/>
                <w:bottom w:val="none" w:sz="0" w:space="0" w:color="auto"/>
                <w:right w:val="none" w:sz="0" w:space="0" w:color="auto"/>
              </w:divBdr>
              <w:divsChild>
                <w:div w:id="1864782307">
                  <w:marLeft w:val="0"/>
                  <w:marRight w:val="0"/>
                  <w:marTop w:val="0"/>
                  <w:marBottom w:val="0"/>
                  <w:divBdr>
                    <w:top w:val="none" w:sz="0" w:space="0" w:color="auto"/>
                    <w:left w:val="none" w:sz="0" w:space="0" w:color="auto"/>
                    <w:bottom w:val="none" w:sz="0" w:space="0" w:color="auto"/>
                    <w:right w:val="none" w:sz="0" w:space="0" w:color="auto"/>
                  </w:divBdr>
                </w:div>
              </w:divsChild>
            </w:div>
            <w:div w:id="548221786">
              <w:marLeft w:val="0"/>
              <w:marRight w:val="0"/>
              <w:marTop w:val="0"/>
              <w:marBottom w:val="0"/>
              <w:divBdr>
                <w:top w:val="none" w:sz="0" w:space="0" w:color="auto"/>
                <w:left w:val="none" w:sz="0" w:space="0" w:color="auto"/>
                <w:bottom w:val="none" w:sz="0" w:space="0" w:color="auto"/>
                <w:right w:val="none" w:sz="0" w:space="0" w:color="auto"/>
              </w:divBdr>
              <w:divsChild>
                <w:div w:id="874273475">
                  <w:marLeft w:val="0"/>
                  <w:marRight w:val="0"/>
                  <w:marTop w:val="0"/>
                  <w:marBottom w:val="0"/>
                  <w:divBdr>
                    <w:top w:val="none" w:sz="0" w:space="0" w:color="auto"/>
                    <w:left w:val="none" w:sz="0" w:space="0" w:color="auto"/>
                    <w:bottom w:val="none" w:sz="0" w:space="0" w:color="auto"/>
                    <w:right w:val="none" w:sz="0" w:space="0" w:color="auto"/>
                  </w:divBdr>
                </w:div>
              </w:divsChild>
            </w:div>
            <w:div w:id="648100370">
              <w:marLeft w:val="0"/>
              <w:marRight w:val="0"/>
              <w:marTop w:val="0"/>
              <w:marBottom w:val="0"/>
              <w:divBdr>
                <w:top w:val="none" w:sz="0" w:space="0" w:color="auto"/>
                <w:left w:val="none" w:sz="0" w:space="0" w:color="auto"/>
                <w:bottom w:val="none" w:sz="0" w:space="0" w:color="auto"/>
                <w:right w:val="none" w:sz="0" w:space="0" w:color="auto"/>
              </w:divBdr>
              <w:divsChild>
                <w:div w:id="1471245437">
                  <w:marLeft w:val="0"/>
                  <w:marRight w:val="0"/>
                  <w:marTop w:val="0"/>
                  <w:marBottom w:val="0"/>
                  <w:divBdr>
                    <w:top w:val="none" w:sz="0" w:space="0" w:color="auto"/>
                    <w:left w:val="none" w:sz="0" w:space="0" w:color="auto"/>
                    <w:bottom w:val="none" w:sz="0" w:space="0" w:color="auto"/>
                    <w:right w:val="none" w:sz="0" w:space="0" w:color="auto"/>
                  </w:divBdr>
                </w:div>
              </w:divsChild>
            </w:div>
            <w:div w:id="654265595">
              <w:marLeft w:val="0"/>
              <w:marRight w:val="0"/>
              <w:marTop w:val="0"/>
              <w:marBottom w:val="0"/>
              <w:divBdr>
                <w:top w:val="none" w:sz="0" w:space="0" w:color="auto"/>
                <w:left w:val="none" w:sz="0" w:space="0" w:color="auto"/>
                <w:bottom w:val="none" w:sz="0" w:space="0" w:color="auto"/>
                <w:right w:val="none" w:sz="0" w:space="0" w:color="auto"/>
              </w:divBdr>
              <w:divsChild>
                <w:div w:id="1644771273">
                  <w:marLeft w:val="0"/>
                  <w:marRight w:val="0"/>
                  <w:marTop w:val="0"/>
                  <w:marBottom w:val="0"/>
                  <w:divBdr>
                    <w:top w:val="none" w:sz="0" w:space="0" w:color="auto"/>
                    <w:left w:val="none" w:sz="0" w:space="0" w:color="auto"/>
                    <w:bottom w:val="none" w:sz="0" w:space="0" w:color="auto"/>
                    <w:right w:val="none" w:sz="0" w:space="0" w:color="auto"/>
                  </w:divBdr>
                </w:div>
              </w:divsChild>
            </w:div>
            <w:div w:id="682130083">
              <w:marLeft w:val="0"/>
              <w:marRight w:val="0"/>
              <w:marTop w:val="0"/>
              <w:marBottom w:val="0"/>
              <w:divBdr>
                <w:top w:val="none" w:sz="0" w:space="0" w:color="auto"/>
                <w:left w:val="none" w:sz="0" w:space="0" w:color="auto"/>
                <w:bottom w:val="none" w:sz="0" w:space="0" w:color="auto"/>
                <w:right w:val="none" w:sz="0" w:space="0" w:color="auto"/>
              </w:divBdr>
              <w:divsChild>
                <w:div w:id="643044311">
                  <w:marLeft w:val="0"/>
                  <w:marRight w:val="0"/>
                  <w:marTop w:val="0"/>
                  <w:marBottom w:val="0"/>
                  <w:divBdr>
                    <w:top w:val="none" w:sz="0" w:space="0" w:color="auto"/>
                    <w:left w:val="none" w:sz="0" w:space="0" w:color="auto"/>
                    <w:bottom w:val="none" w:sz="0" w:space="0" w:color="auto"/>
                    <w:right w:val="none" w:sz="0" w:space="0" w:color="auto"/>
                  </w:divBdr>
                </w:div>
              </w:divsChild>
            </w:div>
            <w:div w:id="761872660">
              <w:marLeft w:val="0"/>
              <w:marRight w:val="0"/>
              <w:marTop w:val="0"/>
              <w:marBottom w:val="0"/>
              <w:divBdr>
                <w:top w:val="none" w:sz="0" w:space="0" w:color="auto"/>
                <w:left w:val="none" w:sz="0" w:space="0" w:color="auto"/>
                <w:bottom w:val="none" w:sz="0" w:space="0" w:color="auto"/>
                <w:right w:val="none" w:sz="0" w:space="0" w:color="auto"/>
              </w:divBdr>
              <w:divsChild>
                <w:div w:id="2098208945">
                  <w:marLeft w:val="0"/>
                  <w:marRight w:val="0"/>
                  <w:marTop w:val="0"/>
                  <w:marBottom w:val="0"/>
                  <w:divBdr>
                    <w:top w:val="none" w:sz="0" w:space="0" w:color="auto"/>
                    <w:left w:val="none" w:sz="0" w:space="0" w:color="auto"/>
                    <w:bottom w:val="none" w:sz="0" w:space="0" w:color="auto"/>
                    <w:right w:val="none" w:sz="0" w:space="0" w:color="auto"/>
                  </w:divBdr>
                </w:div>
              </w:divsChild>
            </w:div>
            <w:div w:id="989946752">
              <w:marLeft w:val="0"/>
              <w:marRight w:val="0"/>
              <w:marTop w:val="0"/>
              <w:marBottom w:val="0"/>
              <w:divBdr>
                <w:top w:val="none" w:sz="0" w:space="0" w:color="auto"/>
                <w:left w:val="none" w:sz="0" w:space="0" w:color="auto"/>
                <w:bottom w:val="none" w:sz="0" w:space="0" w:color="auto"/>
                <w:right w:val="none" w:sz="0" w:space="0" w:color="auto"/>
              </w:divBdr>
              <w:divsChild>
                <w:div w:id="1420443671">
                  <w:marLeft w:val="0"/>
                  <w:marRight w:val="0"/>
                  <w:marTop w:val="0"/>
                  <w:marBottom w:val="0"/>
                  <w:divBdr>
                    <w:top w:val="none" w:sz="0" w:space="0" w:color="auto"/>
                    <w:left w:val="none" w:sz="0" w:space="0" w:color="auto"/>
                    <w:bottom w:val="none" w:sz="0" w:space="0" w:color="auto"/>
                    <w:right w:val="none" w:sz="0" w:space="0" w:color="auto"/>
                  </w:divBdr>
                </w:div>
              </w:divsChild>
            </w:div>
            <w:div w:id="1003045094">
              <w:marLeft w:val="0"/>
              <w:marRight w:val="0"/>
              <w:marTop w:val="0"/>
              <w:marBottom w:val="0"/>
              <w:divBdr>
                <w:top w:val="none" w:sz="0" w:space="0" w:color="auto"/>
                <w:left w:val="none" w:sz="0" w:space="0" w:color="auto"/>
                <w:bottom w:val="none" w:sz="0" w:space="0" w:color="auto"/>
                <w:right w:val="none" w:sz="0" w:space="0" w:color="auto"/>
              </w:divBdr>
              <w:divsChild>
                <w:div w:id="609355107">
                  <w:marLeft w:val="0"/>
                  <w:marRight w:val="0"/>
                  <w:marTop w:val="0"/>
                  <w:marBottom w:val="0"/>
                  <w:divBdr>
                    <w:top w:val="none" w:sz="0" w:space="0" w:color="auto"/>
                    <w:left w:val="none" w:sz="0" w:space="0" w:color="auto"/>
                    <w:bottom w:val="none" w:sz="0" w:space="0" w:color="auto"/>
                    <w:right w:val="none" w:sz="0" w:space="0" w:color="auto"/>
                  </w:divBdr>
                </w:div>
              </w:divsChild>
            </w:div>
            <w:div w:id="1099373848">
              <w:marLeft w:val="0"/>
              <w:marRight w:val="0"/>
              <w:marTop w:val="0"/>
              <w:marBottom w:val="0"/>
              <w:divBdr>
                <w:top w:val="none" w:sz="0" w:space="0" w:color="auto"/>
                <w:left w:val="none" w:sz="0" w:space="0" w:color="auto"/>
                <w:bottom w:val="none" w:sz="0" w:space="0" w:color="auto"/>
                <w:right w:val="none" w:sz="0" w:space="0" w:color="auto"/>
              </w:divBdr>
              <w:divsChild>
                <w:div w:id="351734520">
                  <w:marLeft w:val="0"/>
                  <w:marRight w:val="0"/>
                  <w:marTop w:val="0"/>
                  <w:marBottom w:val="0"/>
                  <w:divBdr>
                    <w:top w:val="none" w:sz="0" w:space="0" w:color="auto"/>
                    <w:left w:val="none" w:sz="0" w:space="0" w:color="auto"/>
                    <w:bottom w:val="none" w:sz="0" w:space="0" w:color="auto"/>
                    <w:right w:val="none" w:sz="0" w:space="0" w:color="auto"/>
                  </w:divBdr>
                </w:div>
                <w:div w:id="1247107910">
                  <w:marLeft w:val="0"/>
                  <w:marRight w:val="0"/>
                  <w:marTop w:val="0"/>
                  <w:marBottom w:val="0"/>
                  <w:divBdr>
                    <w:top w:val="none" w:sz="0" w:space="0" w:color="auto"/>
                    <w:left w:val="none" w:sz="0" w:space="0" w:color="auto"/>
                    <w:bottom w:val="none" w:sz="0" w:space="0" w:color="auto"/>
                    <w:right w:val="none" w:sz="0" w:space="0" w:color="auto"/>
                  </w:divBdr>
                </w:div>
              </w:divsChild>
            </w:div>
            <w:div w:id="1299531595">
              <w:marLeft w:val="0"/>
              <w:marRight w:val="0"/>
              <w:marTop w:val="0"/>
              <w:marBottom w:val="0"/>
              <w:divBdr>
                <w:top w:val="none" w:sz="0" w:space="0" w:color="auto"/>
                <w:left w:val="none" w:sz="0" w:space="0" w:color="auto"/>
                <w:bottom w:val="none" w:sz="0" w:space="0" w:color="auto"/>
                <w:right w:val="none" w:sz="0" w:space="0" w:color="auto"/>
              </w:divBdr>
              <w:divsChild>
                <w:div w:id="1130637430">
                  <w:marLeft w:val="0"/>
                  <w:marRight w:val="0"/>
                  <w:marTop w:val="0"/>
                  <w:marBottom w:val="0"/>
                  <w:divBdr>
                    <w:top w:val="none" w:sz="0" w:space="0" w:color="auto"/>
                    <w:left w:val="none" w:sz="0" w:space="0" w:color="auto"/>
                    <w:bottom w:val="none" w:sz="0" w:space="0" w:color="auto"/>
                    <w:right w:val="none" w:sz="0" w:space="0" w:color="auto"/>
                  </w:divBdr>
                </w:div>
              </w:divsChild>
            </w:div>
            <w:div w:id="1360542285">
              <w:marLeft w:val="0"/>
              <w:marRight w:val="0"/>
              <w:marTop w:val="0"/>
              <w:marBottom w:val="0"/>
              <w:divBdr>
                <w:top w:val="none" w:sz="0" w:space="0" w:color="auto"/>
                <w:left w:val="none" w:sz="0" w:space="0" w:color="auto"/>
                <w:bottom w:val="none" w:sz="0" w:space="0" w:color="auto"/>
                <w:right w:val="none" w:sz="0" w:space="0" w:color="auto"/>
              </w:divBdr>
              <w:divsChild>
                <w:div w:id="1713924943">
                  <w:marLeft w:val="0"/>
                  <w:marRight w:val="0"/>
                  <w:marTop w:val="0"/>
                  <w:marBottom w:val="0"/>
                  <w:divBdr>
                    <w:top w:val="none" w:sz="0" w:space="0" w:color="auto"/>
                    <w:left w:val="none" w:sz="0" w:space="0" w:color="auto"/>
                    <w:bottom w:val="none" w:sz="0" w:space="0" w:color="auto"/>
                    <w:right w:val="none" w:sz="0" w:space="0" w:color="auto"/>
                  </w:divBdr>
                </w:div>
              </w:divsChild>
            </w:div>
            <w:div w:id="1423182557">
              <w:marLeft w:val="0"/>
              <w:marRight w:val="0"/>
              <w:marTop w:val="0"/>
              <w:marBottom w:val="0"/>
              <w:divBdr>
                <w:top w:val="none" w:sz="0" w:space="0" w:color="auto"/>
                <w:left w:val="none" w:sz="0" w:space="0" w:color="auto"/>
                <w:bottom w:val="none" w:sz="0" w:space="0" w:color="auto"/>
                <w:right w:val="none" w:sz="0" w:space="0" w:color="auto"/>
              </w:divBdr>
              <w:divsChild>
                <w:div w:id="1220627107">
                  <w:marLeft w:val="0"/>
                  <w:marRight w:val="0"/>
                  <w:marTop w:val="0"/>
                  <w:marBottom w:val="0"/>
                  <w:divBdr>
                    <w:top w:val="none" w:sz="0" w:space="0" w:color="auto"/>
                    <w:left w:val="none" w:sz="0" w:space="0" w:color="auto"/>
                    <w:bottom w:val="none" w:sz="0" w:space="0" w:color="auto"/>
                    <w:right w:val="none" w:sz="0" w:space="0" w:color="auto"/>
                  </w:divBdr>
                </w:div>
                <w:div w:id="1680305806">
                  <w:marLeft w:val="0"/>
                  <w:marRight w:val="0"/>
                  <w:marTop w:val="0"/>
                  <w:marBottom w:val="0"/>
                  <w:divBdr>
                    <w:top w:val="none" w:sz="0" w:space="0" w:color="auto"/>
                    <w:left w:val="none" w:sz="0" w:space="0" w:color="auto"/>
                    <w:bottom w:val="none" w:sz="0" w:space="0" w:color="auto"/>
                    <w:right w:val="none" w:sz="0" w:space="0" w:color="auto"/>
                  </w:divBdr>
                </w:div>
              </w:divsChild>
            </w:div>
            <w:div w:id="1452892648">
              <w:marLeft w:val="0"/>
              <w:marRight w:val="0"/>
              <w:marTop w:val="0"/>
              <w:marBottom w:val="0"/>
              <w:divBdr>
                <w:top w:val="none" w:sz="0" w:space="0" w:color="auto"/>
                <w:left w:val="none" w:sz="0" w:space="0" w:color="auto"/>
                <w:bottom w:val="none" w:sz="0" w:space="0" w:color="auto"/>
                <w:right w:val="none" w:sz="0" w:space="0" w:color="auto"/>
              </w:divBdr>
              <w:divsChild>
                <w:div w:id="1795365525">
                  <w:marLeft w:val="0"/>
                  <w:marRight w:val="0"/>
                  <w:marTop w:val="0"/>
                  <w:marBottom w:val="0"/>
                  <w:divBdr>
                    <w:top w:val="none" w:sz="0" w:space="0" w:color="auto"/>
                    <w:left w:val="none" w:sz="0" w:space="0" w:color="auto"/>
                    <w:bottom w:val="none" w:sz="0" w:space="0" w:color="auto"/>
                    <w:right w:val="none" w:sz="0" w:space="0" w:color="auto"/>
                  </w:divBdr>
                </w:div>
              </w:divsChild>
            </w:div>
            <w:div w:id="1602760963">
              <w:marLeft w:val="0"/>
              <w:marRight w:val="0"/>
              <w:marTop w:val="0"/>
              <w:marBottom w:val="0"/>
              <w:divBdr>
                <w:top w:val="none" w:sz="0" w:space="0" w:color="auto"/>
                <w:left w:val="none" w:sz="0" w:space="0" w:color="auto"/>
                <w:bottom w:val="none" w:sz="0" w:space="0" w:color="auto"/>
                <w:right w:val="none" w:sz="0" w:space="0" w:color="auto"/>
              </w:divBdr>
              <w:divsChild>
                <w:div w:id="644507698">
                  <w:marLeft w:val="0"/>
                  <w:marRight w:val="0"/>
                  <w:marTop w:val="0"/>
                  <w:marBottom w:val="0"/>
                  <w:divBdr>
                    <w:top w:val="none" w:sz="0" w:space="0" w:color="auto"/>
                    <w:left w:val="none" w:sz="0" w:space="0" w:color="auto"/>
                    <w:bottom w:val="none" w:sz="0" w:space="0" w:color="auto"/>
                    <w:right w:val="none" w:sz="0" w:space="0" w:color="auto"/>
                  </w:divBdr>
                </w:div>
              </w:divsChild>
            </w:div>
            <w:div w:id="1607082270">
              <w:marLeft w:val="0"/>
              <w:marRight w:val="0"/>
              <w:marTop w:val="0"/>
              <w:marBottom w:val="0"/>
              <w:divBdr>
                <w:top w:val="none" w:sz="0" w:space="0" w:color="auto"/>
                <w:left w:val="none" w:sz="0" w:space="0" w:color="auto"/>
                <w:bottom w:val="none" w:sz="0" w:space="0" w:color="auto"/>
                <w:right w:val="none" w:sz="0" w:space="0" w:color="auto"/>
              </w:divBdr>
              <w:divsChild>
                <w:div w:id="359942715">
                  <w:marLeft w:val="0"/>
                  <w:marRight w:val="0"/>
                  <w:marTop w:val="0"/>
                  <w:marBottom w:val="0"/>
                  <w:divBdr>
                    <w:top w:val="none" w:sz="0" w:space="0" w:color="auto"/>
                    <w:left w:val="none" w:sz="0" w:space="0" w:color="auto"/>
                    <w:bottom w:val="none" w:sz="0" w:space="0" w:color="auto"/>
                    <w:right w:val="none" w:sz="0" w:space="0" w:color="auto"/>
                  </w:divBdr>
                </w:div>
              </w:divsChild>
            </w:div>
            <w:div w:id="1739940227">
              <w:marLeft w:val="0"/>
              <w:marRight w:val="0"/>
              <w:marTop w:val="0"/>
              <w:marBottom w:val="0"/>
              <w:divBdr>
                <w:top w:val="none" w:sz="0" w:space="0" w:color="auto"/>
                <w:left w:val="none" w:sz="0" w:space="0" w:color="auto"/>
                <w:bottom w:val="none" w:sz="0" w:space="0" w:color="auto"/>
                <w:right w:val="none" w:sz="0" w:space="0" w:color="auto"/>
              </w:divBdr>
              <w:divsChild>
                <w:div w:id="476342916">
                  <w:marLeft w:val="0"/>
                  <w:marRight w:val="0"/>
                  <w:marTop w:val="0"/>
                  <w:marBottom w:val="0"/>
                  <w:divBdr>
                    <w:top w:val="none" w:sz="0" w:space="0" w:color="auto"/>
                    <w:left w:val="none" w:sz="0" w:space="0" w:color="auto"/>
                    <w:bottom w:val="none" w:sz="0" w:space="0" w:color="auto"/>
                    <w:right w:val="none" w:sz="0" w:space="0" w:color="auto"/>
                  </w:divBdr>
                </w:div>
              </w:divsChild>
            </w:div>
            <w:div w:id="1817452364">
              <w:marLeft w:val="0"/>
              <w:marRight w:val="0"/>
              <w:marTop w:val="0"/>
              <w:marBottom w:val="0"/>
              <w:divBdr>
                <w:top w:val="none" w:sz="0" w:space="0" w:color="auto"/>
                <w:left w:val="none" w:sz="0" w:space="0" w:color="auto"/>
                <w:bottom w:val="none" w:sz="0" w:space="0" w:color="auto"/>
                <w:right w:val="none" w:sz="0" w:space="0" w:color="auto"/>
              </w:divBdr>
              <w:divsChild>
                <w:div w:id="1307781302">
                  <w:marLeft w:val="0"/>
                  <w:marRight w:val="0"/>
                  <w:marTop w:val="0"/>
                  <w:marBottom w:val="0"/>
                  <w:divBdr>
                    <w:top w:val="none" w:sz="0" w:space="0" w:color="auto"/>
                    <w:left w:val="none" w:sz="0" w:space="0" w:color="auto"/>
                    <w:bottom w:val="none" w:sz="0" w:space="0" w:color="auto"/>
                    <w:right w:val="none" w:sz="0" w:space="0" w:color="auto"/>
                  </w:divBdr>
                </w:div>
              </w:divsChild>
            </w:div>
            <w:div w:id="1831170672">
              <w:marLeft w:val="0"/>
              <w:marRight w:val="0"/>
              <w:marTop w:val="0"/>
              <w:marBottom w:val="0"/>
              <w:divBdr>
                <w:top w:val="none" w:sz="0" w:space="0" w:color="auto"/>
                <w:left w:val="none" w:sz="0" w:space="0" w:color="auto"/>
                <w:bottom w:val="none" w:sz="0" w:space="0" w:color="auto"/>
                <w:right w:val="none" w:sz="0" w:space="0" w:color="auto"/>
              </w:divBdr>
              <w:divsChild>
                <w:div w:id="2086610526">
                  <w:marLeft w:val="0"/>
                  <w:marRight w:val="0"/>
                  <w:marTop w:val="0"/>
                  <w:marBottom w:val="0"/>
                  <w:divBdr>
                    <w:top w:val="none" w:sz="0" w:space="0" w:color="auto"/>
                    <w:left w:val="none" w:sz="0" w:space="0" w:color="auto"/>
                    <w:bottom w:val="none" w:sz="0" w:space="0" w:color="auto"/>
                    <w:right w:val="none" w:sz="0" w:space="0" w:color="auto"/>
                  </w:divBdr>
                </w:div>
              </w:divsChild>
            </w:div>
            <w:div w:id="1914781245">
              <w:marLeft w:val="0"/>
              <w:marRight w:val="0"/>
              <w:marTop w:val="0"/>
              <w:marBottom w:val="0"/>
              <w:divBdr>
                <w:top w:val="none" w:sz="0" w:space="0" w:color="auto"/>
                <w:left w:val="none" w:sz="0" w:space="0" w:color="auto"/>
                <w:bottom w:val="none" w:sz="0" w:space="0" w:color="auto"/>
                <w:right w:val="none" w:sz="0" w:space="0" w:color="auto"/>
              </w:divBdr>
              <w:divsChild>
                <w:div w:id="544223231">
                  <w:marLeft w:val="0"/>
                  <w:marRight w:val="0"/>
                  <w:marTop w:val="0"/>
                  <w:marBottom w:val="0"/>
                  <w:divBdr>
                    <w:top w:val="none" w:sz="0" w:space="0" w:color="auto"/>
                    <w:left w:val="none" w:sz="0" w:space="0" w:color="auto"/>
                    <w:bottom w:val="none" w:sz="0" w:space="0" w:color="auto"/>
                    <w:right w:val="none" w:sz="0" w:space="0" w:color="auto"/>
                  </w:divBdr>
                </w:div>
              </w:divsChild>
            </w:div>
            <w:div w:id="1916236417">
              <w:marLeft w:val="0"/>
              <w:marRight w:val="0"/>
              <w:marTop w:val="0"/>
              <w:marBottom w:val="0"/>
              <w:divBdr>
                <w:top w:val="none" w:sz="0" w:space="0" w:color="auto"/>
                <w:left w:val="none" w:sz="0" w:space="0" w:color="auto"/>
                <w:bottom w:val="none" w:sz="0" w:space="0" w:color="auto"/>
                <w:right w:val="none" w:sz="0" w:space="0" w:color="auto"/>
              </w:divBdr>
              <w:divsChild>
                <w:div w:id="585575510">
                  <w:marLeft w:val="0"/>
                  <w:marRight w:val="0"/>
                  <w:marTop w:val="0"/>
                  <w:marBottom w:val="0"/>
                  <w:divBdr>
                    <w:top w:val="none" w:sz="0" w:space="0" w:color="auto"/>
                    <w:left w:val="none" w:sz="0" w:space="0" w:color="auto"/>
                    <w:bottom w:val="none" w:sz="0" w:space="0" w:color="auto"/>
                    <w:right w:val="none" w:sz="0" w:space="0" w:color="auto"/>
                  </w:divBdr>
                </w:div>
              </w:divsChild>
            </w:div>
            <w:div w:id="1955866561">
              <w:marLeft w:val="0"/>
              <w:marRight w:val="0"/>
              <w:marTop w:val="0"/>
              <w:marBottom w:val="0"/>
              <w:divBdr>
                <w:top w:val="none" w:sz="0" w:space="0" w:color="auto"/>
                <w:left w:val="none" w:sz="0" w:space="0" w:color="auto"/>
                <w:bottom w:val="none" w:sz="0" w:space="0" w:color="auto"/>
                <w:right w:val="none" w:sz="0" w:space="0" w:color="auto"/>
              </w:divBdr>
              <w:divsChild>
                <w:div w:id="1006447378">
                  <w:marLeft w:val="0"/>
                  <w:marRight w:val="0"/>
                  <w:marTop w:val="0"/>
                  <w:marBottom w:val="0"/>
                  <w:divBdr>
                    <w:top w:val="none" w:sz="0" w:space="0" w:color="auto"/>
                    <w:left w:val="none" w:sz="0" w:space="0" w:color="auto"/>
                    <w:bottom w:val="none" w:sz="0" w:space="0" w:color="auto"/>
                    <w:right w:val="none" w:sz="0" w:space="0" w:color="auto"/>
                  </w:divBdr>
                </w:div>
              </w:divsChild>
            </w:div>
            <w:div w:id="2051107664">
              <w:marLeft w:val="0"/>
              <w:marRight w:val="0"/>
              <w:marTop w:val="0"/>
              <w:marBottom w:val="0"/>
              <w:divBdr>
                <w:top w:val="none" w:sz="0" w:space="0" w:color="auto"/>
                <w:left w:val="none" w:sz="0" w:space="0" w:color="auto"/>
                <w:bottom w:val="none" w:sz="0" w:space="0" w:color="auto"/>
                <w:right w:val="none" w:sz="0" w:space="0" w:color="auto"/>
              </w:divBdr>
              <w:divsChild>
                <w:div w:id="161312705">
                  <w:marLeft w:val="0"/>
                  <w:marRight w:val="0"/>
                  <w:marTop w:val="0"/>
                  <w:marBottom w:val="0"/>
                  <w:divBdr>
                    <w:top w:val="none" w:sz="0" w:space="0" w:color="auto"/>
                    <w:left w:val="none" w:sz="0" w:space="0" w:color="auto"/>
                    <w:bottom w:val="none" w:sz="0" w:space="0" w:color="auto"/>
                    <w:right w:val="none" w:sz="0" w:space="0" w:color="auto"/>
                  </w:divBdr>
                </w:div>
              </w:divsChild>
            </w:div>
            <w:div w:id="2137530429">
              <w:marLeft w:val="0"/>
              <w:marRight w:val="0"/>
              <w:marTop w:val="0"/>
              <w:marBottom w:val="0"/>
              <w:divBdr>
                <w:top w:val="none" w:sz="0" w:space="0" w:color="auto"/>
                <w:left w:val="none" w:sz="0" w:space="0" w:color="auto"/>
                <w:bottom w:val="none" w:sz="0" w:space="0" w:color="auto"/>
                <w:right w:val="none" w:sz="0" w:space="0" w:color="auto"/>
              </w:divBdr>
              <w:divsChild>
                <w:div w:id="143716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6123">
          <w:marLeft w:val="-75"/>
          <w:marRight w:val="0"/>
          <w:marTop w:val="30"/>
          <w:marBottom w:val="30"/>
          <w:divBdr>
            <w:top w:val="none" w:sz="0" w:space="0" w:color="auto"/>
            <w:left w:val="none" w:sz="0" w:space="0" w:color="auto"/>
            <w:bottom w:val="none" w:sz="0" w:space="0" w:color="auto"/>
            <w:right w:val="none" w:sz="0" w:space="0" w:color="auto"/>
          </w:divBdr>
          <w:divsChild>
            <w:div w:id="22677361">
              <w:marLeft w:val="0"/>
              <w:marRight w:val="0"/>
              <w:marTop w:val="0"/>
              <w:marBottom w:val="0"/>
              <w:divBdr>
                <w:top w:val="none" w:sz="0" w:space="0" w:color="auto"/>
                <w:left w:val="none" w:sz="0" w:space="0" w:color="auto"/>
                <w:bottom w:val="none" w:sz="0" w:space="0" w:color="auto"/>
                <w:right w:val="none" w:sz="0" w:space="0" w:color="auto"/>
              </w:divBdr>
              <w:divsChild>
                <w:div w:id="616832229">
                  <w:marLeft w:val="0"/>
                  <w:marRight w:val="0"/>
                  <w:marTop w:val="0"/>
                  <w:marBottom w:val="0"/>
                  <w:divBdr>
                    <w:top w:val="none" w:sz="0" w:space="0" w:color="auto"/>
                    <w:left w:val="none" w:sz="0" w:space="0" w:color="auto"/>
                    <w:bottom w:val="none" w:sz="0" w:space="0" w:color="auto"/>
                    <w:right w:val="none" w:sz="0" w:space="0" w:color="auto"/>
                  </w:divBdr>
                </w:div>
              </w:divsChild>
            </w:div>
            <w:div w:id="23747765">
              <w:marLeft w:val="0"/>
              <w:marRight w:val="0"/>
              <w:marTop w:val="0"/>
              <w:marBottom w:val="0"/>
              <w:divBdr>
                <w:top w:val="none" w:sz="0" w:space="0" w:color="auto"/>
                <w:left w:val="none" w:sz="0" w:space="0" w:color="auto"/>
                <w:bottom w:val="none" w:sz="0" w:space="0" w:color="auto"/>
                <w:right w:val="none" w:sz="0" w:space="0" w:color="auto"/>
              </w:divBdr>
              <w:divsChild>
                <w:div w:id="1512328551">
                  <w:marLeft w:val="0"/>
                  <w:marRight w:val="0"/>
                  <w:marTop w:val="0"/>
                  <w:marBottom w:val="0"/>
                  <w:divBdr>
                    <w:top w:val="none" w:sz="0" w:space="0" w:color="auto"/>
                    <w:left w:val="none" w:sz="0" w:space="0" w:color="auto"/>
                    <w:bottom w:val="none" w:sz="0" w:space="0" w:color="auto"/>
                    <w:right w:val="none" w:sz="0" w:space="0" w:color="auto"/>
                  </w:divBdr>
                </w:div>
              </w:divsChild>
            </w:div>
            <w:div w:id="36317647">
              <w:marLeft w:val="0"/>
              <w:marRight w:val="0"/>
              <w:marTop w:val="0"/>
              <w:marBottom w:val="0"/>
              <w:divBdr>
                <w:top w:val="none" w:sz="0" w:space="0" w:color="auto"/>
                <w:left w:val="none" w:sz="0" w:space="0" w:color="auto"/>
                <w:bottom w:val="none" w:sz="0" w:space="0" w:color="auto"/>
                <w:right w:val="none" w:sz="0" w:space="0" w:color="auto"/>
              </w:divBdr>
              <w:divsChild>
                <w:div w:id="2119136955">
                  <w:marLeft w:val="0"/>
                  <w:marRight w:val="0"/>
                  <w:marTop w:val="0"/>
                  <w:marBottom w:val="0"/>
                  <w:divBdr>
                    <w:top w:val="none" w:sz="0" w:space="0" w:color="auto"/>
                    <w:left w:val="none" w:sz="0" w:space="0" w:color="auto"/>
                    <w:bottom w:val="none" w:sz="0" w:space="0" w:color="auto"/>
                    <w:right w:val="none" w:sz="0" w:space="0" w:color="auto"/>
                  </w:divBdr>
                </w:div>
              </w:divsChild>
            </w:div>
            <w:div w:id="38214089">
              <w:marLeft w:val="0"/>
              <w:marRight w:val="0"/>
              <w:marTop w:val="0"/>
              <w:marBottom w:val="0"/>
              <w:divBdr>
                <w:top w:val="none" w:sz="0" w:space="0" w:color="auto"/>
                <w:left w:val="none" w:sz="0" w:space="0" w:color="auto"/>
                <w:bottom w:val="none" w:sz="0" w:space="0" w:color="auto"/>
                <w:right w:val="none" w:sz="0" w:space="0" w:color="auto"/>
              </w:divBdr>
              <w:divsChild>
                <w:div w:id="1209495540">
                  <w:marLeft w:val="0"/>
                  <w:marRight w:val="0"/>
                  <w:marTop w:val="0"/>
                  <w:marBottom w:val="0"/>
                  <w:divBdr>
                    <w:top w:val="none" w:sz="0" w:space="0" w:color="auto"/>
                    <w:left w:val="none" w:sz="0" w:space="0" w:color="auto"/>
                    <w:bottom w:val="none" w:sz="0" w:space="0" w:color="auto"/>
                    <w:right w:val="none" w:sz="0" w:space="0" w:color="auto"/>
                  </w:divBdr>
                </w:div>
              </w:divsChild>
            </w:div>
            <w:div w:id="41752069">
              <w:marLeft w:val="0"/>
              <w:marRight w:val="0"/>
              <w:marTop w:val="0"/>
              <w:marBottom w:val="0"/>
              <w:divBdr>
                <w:top w:val="none" w:sz="0" w:space="0" w:color="auto"/>
                <w:left w:val="none" w:sz="0" w:space="0" w:color="auto"/>
                <w:bottom w:val="none" w:sz="0" w:space="0" w:color="auto"/>
                <w:right w:val="none" w:sz="0" w:space="0" w:color="auto"/>
              </w:divBdr>
              <w:divsChild>
                <w:div w:id="274757567">
                  <w:marLeft w:val="0"/>
                  <w:marRight w:val="0"/>
                  <w:marTop w:val="0"/>
                  <w:marBottom w:val="0"/>
                  <w:divBdr>
                    <w:top w:val="none" w:sz="0" w:space="0" w:color="auto"/>
                    <w:left w:val="none" w:sz="0" w:space="0" w:color="auto"/>
                    <w:bottom w:val="none" w:sz="0" w:space="0" w:color="auto"/>
                    <w:right w:val="none" w:sz="0" w:space="0" w:color="auto"/>
                  </w:divBdr>
                </w:div>
              </w:divsChild>
            </w:div>
            <w:div w:id="46296924">
              <w:marLeft w:val="0"/>
              <w:marRight w:val="0"/>
              <w:marTop w:val="0"/>
              <w:marBottom w:val="0"/>
              <w:divBdr>
                <w:top w:val="none" w:sz="0" w:space="0" w:color="auto"/>
                <w:left w:val="none" w:sz="0" w:space="0" w:color="auto"/>
                <w:bottom w:val="none" w:sz="0" w:space="0" w:color="auto"/>
                <w:right w:val="none" w:sz="0" w:space="0" w:color="auto"/>
              </w:divBdr>
              <w:divsChild>
                <w:div w:id="2015762360">
                  <w:marLeft w:val="0"/>
                  <w:marRight w:val="0"/>
                  <w:marTop w:val="0"/>
                  <w:marBottom w:val="0"/>
                  <w:divBdr>
                    <w:top w:val="none" w:sz="0" w:space="0" w:color="auto"/>
                    <w:left w:val="none" w:sz="0" w:space="0" w:color="auto"/>
                    <w:bottom w:val="none" w:sz="0" w:space="0" w:color="auto"/>
                    <w:right w:val="none" w:sz="0" w:space="0" w:color="auto"/>
                  </w:divBdr>
                </w:div>
              </w:divsChild>
            </w:div>
            <w:div w:id="73089694">
              <w:marLeft w:val="0"/>
              <w:marRight w:val="0"/>
              <w:marTop w:val="0"/>
              <w:marBottom w:val="0"/>
              <w:divBdr>
                <w:top w:val="none" w:sz="0" w:space="0" w:color="auto"/>
                <w:left w:val="none" w:sz="0" w:space="0" w:color="auto"/>
                <w:bottom w:val="none" w:sz="0" w:space="0" w:color="auto"/>
                <w:right w:val="none" w:sz="0" w:space="0" w:color="auto"/>
              </w:divBdr>
              <w:divsChild>
                <w:div w:id="1089035120">
                  <w:marLeft w:val="0"/>
                  <w:marRight w:val="0"/>
                  <w:marTop w:val="0"/>
                  <w:marBottom w:val="0"/>
                  <w:divBdr>
                    <w:top w:val="none" w:sz="0" w:space="0" w:color="auto"/>
                    <w:left w:val="none" w:sz="0" w:space="0" w:color="auto"/>
                    <w:bottom w:val="none" w:sz="0" w:space="0" w:color="auto"/>
                    <w:right w:val="none" w:sz="0" w:space="0" w:color="auto"/>
                  </w:divBdr>
                </w:div>
              </w:divsChild>
            </w:div>
            <w:div w:id="74517772">
              <w:marLeft w:val="0"/>
              <w:marRight w:val="0"/>
              <w:marTop w:val="0"/>
              <w:marBottom w:val="0"/>
              <w:divBdr>
                <w:top w:val="none" w:sz="0" w:space="0" w:color="auto"/>
                <w:left w:val="none" w:sz="0" w:space="0" w:color="auto"/>
                <w:bottom w:val="none" w:sz="0" w:space="0" w:color="auto"/>
                <w:right w:val="none" w:sz="0" w:space="0" w:color="auto"/>
              </w:divBdr>
              <w:divsChild>
                <w:div w:id="1515876483">
                  <w:marLeft w:val="0"/>
                  <w:marRight w:val="0"/>
                  <w:marTop w:val="0"/>
                  <w:marBottom w:val="0"/>
                  <w:divBdr>
                    <w:top w:val="none" w:sz="0" w:space="0" w:color="auto"/>
                    <w:left w:val="none" w:sz="0" w:space="0" w:color="auto"/>
                    <w:bottom w:val="none" w:sz="0" w:space="0" w:color="auto"/>
                    <w:right w:val="none" w:sz="0" w:space="0" w:color="auto"/>
                  </w:divBdr>
                </w:div>
              </w:divsChild>
            </w:div>
            <w:div w:id="103697886">
              <w:marLeft w:val="0"/>
              <w:marRight w:val="0"/>
              <w:marTop w:val="0"/>
              <w:marBottom w:val="0"/>
              <w:divBdr>
                <w:top w:val="none" w:sz="0" w:space="0" w:color="auto"/>
                <w:left w:val="none" w:sz="0" w:space="0" w:color="auto"/>
                <w:bottom w:val="none" w:sz="0" w:space="0" w:color="auto"/>
                <w:right w:val="none" w:sz="0" w:space="0" w:color="auto"/>
              </w:divBdr>
              <w:divsChild>
                <w:div w:id="1704284556">
                  <w:marLeft w:val="0"/>
                  <w:marRight w:val="0"/>
                  <w:marTop w:val="0"/>
                  <w:marBottom w:val="0"/>
                  <w:divBdr>
                    <w:top w:val="none" w:sz="0" w:space="0" w:color="auto"/>
                    <w:left w:val="none" w:sz="0" w:space="0" w:color="auto"/>
                    <w:bottom w:val="none" w:sz="0" w:space="0" w:color="auto"/>
                    <w:right w:val="none" w:sz="0" w:space="0" w:color="auto"/>
                  </w:divBdr>
                </w:div>
              </w:divsChild>
            </w:div>
            <w:div w:id="105731396">
              <w:marLeft w:val="0"/>
              <w:marRight w:val="0"/>
              <w:marTop w:val="0"/>
              <w:marBottom w:val="0"/>
              <w:divBdr>
                <w:top w:val="none" w:sz="0" w:space="0" w:color="auto"/>
                <w:left w:val="none" w:sz="0" w:space="0" w:color="auto"/>
                <w:bottom w:val="none" w:sz="0" w:space="0" w:color="auto"/>
                <w:right w:val="none" w:sz="0" w:space="0" w:color="auto"/>
              </w:divBdr>
              <w:divsChild>
                <w:div w:id="1697391305">
                  <w:marLeft w:val="0"/>
                  <w:marRight w:val="0"/>
                  <w:marTop w:val="0"/>
                  <w:marBottom w:val="0"/>
                  <w:divBdr>
                    <w:top w:val="none" w:sz="0" w:space="0" w:color="auto"/>
                    <w:left w:val="none" w:sz="0" w:space="0" w:color="auto"/>
                    <w:bottom w:val="none" w:sz="0" w:space="0" w:color="auto"/>
                    <w:right w:val="none" w:sz="0" w:space="0" w:color="auto"/>
                  </w:divBdr>
                </w:div>
              </w:divsChild>
            </w:div>
            <w:div w:id="123933437">
              <w:marLeft w:val="0"/>
              <w:marRight w:val="0"/>
              <w:marTop w:val="0"/>
              <w:marBottom w:val="0"/>
              <w:divBdr>
                <w:top w:val="none" w:sz="0" w:space="0" w:color="auto"/>
                <w:left w:val="none" w:sz="0" w:space="0" w:color="auto"/>
                <w:bottom w:val="none" w:sz="0" w:space="0" w:color="auto"/>
                <w:right w:val="none" w:sz="0" w:space="0" w:color="auto"/>
              </w:divBdr>
              <w:divsChild>
                <w:div w:id="1824157600">
                  <w:marLeft w:val="0"/>
                  <w:marRight w:val="0"/>
                  <w:marTop w:val="0"/>
                  <w:marBottom w:val="0"/>
                  <w:divBdr>
                    <w:top w:val="none" w:sz="0" w:space="0" w:color="auto"/>
                    <w:left w:val="none" w:sz="0" w:space="0" w:color="auto"/>
                    <w:bottom w:val="none" w:sz="0" w:space="0" w:color="auto"/>
                    <w:right w:val="none" w:sz="0" w:space="0" w:color="auto"/>
                  </w:divBdr>
                </w:div>
              </w:divsChild>
            </w:div>
            <w:div w:id="138235849">
              <w:marLeft w:val="0"/>
              <w:marRight w:val="0"/>
              <w:marTop w:val="0"/>
              <w:marBottom w:val="0"/>
              <w:divBdr>
                <w:top w:val="none" w:sz="0" w:space="0" w:color="auto"/>
                <w:left w:val="none" w:sz="0" w:space="0" w:color="auto"/>
                <w:bottom w:val="none" w:sz="0" w:space="0" w:color="auto"/>
                <w:right w:val="none" w:sz="0" w:space="0" w:color="auto"/>
              </w:divBdr>
              <w:divsChild>
                <w:div w:id="1757437308">
                  <w:marLeft w:val="0"/>
                  <w:marRight w:val="0"/>
                  <w:marTop w:val="0"/>
                  <w:marBottom w:val="0"/>
                  <w:divBdr>
                    <w:top w:val="none" w:sz="0" w:space="0" w:color="auto"/>
                    <w:left w:val="none" w:sz="0" w:space="0" w:color="auto"/>
                    <w:bottom w:val="none" w:sz="0" w:space="0" w:color="auto"/>
                    <w:right w:val="none" w:sz="0" w:space="0" w:color="auto"/>
                  </w:divBdr>
                </w:div>
              </w:divsChild>
            </w:div>
            <w:div w:id="166985903">
              <w:marLeft w:val="0"/>
              <w:marRight w:val="0"/>
              <w:marTop w:val="0"/>
              <w:marBottom w:val="0"/>
              <w:divBdr>
                <w:top w:val="none" w:sz="0" w:space="0" w:color="auto"/>
                <w:left w:val="none" w:sz="0" w:space="0" w:color="auto"/>
                <w:bottom w:val="none" w:sz="0" w:space="0" w:color="auto"/>
                <w:right w:val="none" w:sz="0" w:space="0" w:color="auto"/>
              </w:divBdr>
              <w:divsChild>
                <w:div w:id="1721855658">
                  <w:marLeft w:val="0"/>
                  <w:marRight w:val="0"/>
                  <w:marTop w:val="0"/>
                  <w:marBottom w:val="0"/>
                  <w:divBdr>
                    <w:top w:val="none" w:sz="0" w:space="0" w:color="auto"/>
                    <w:left w:val="none" w:sz="0" w:space="0" w:color="auto"/>
                    <w:bottom w:val="none" w:sz="0" w:space="0" w:color="auto"/>
                    <w:right w:val="none" w:sz="0" w:space="0" w:color="auto"/>
                  </w:divBdr>
                </w:div>
              </w:divsChild>
            </w:div>
            <w:div w:id="222911138">
              <w:marLeft w:val="0"/>
              <w:marRight w:val="0"/>
              <w:marTop w:val="0"/>
              <w:marBottom w:val="0"/>
              <w:divBdr>
                <w:top w:val="none" w:sz="0" w:space="0" w:color="auto"/>
                <w:left w:val="none" w:sz="0" w:space="0" w:color="auto"/>
                <w:bottom w:val="none" w:sz="0" w:space="0" w:color="auto"/>
                <w:right w:val="none" w:sz="0" w:space="0" w:color="auto"/>
              </w:divBdr>
              <w:divsChild>
                <w:div w:id="1798065811">
                  <w:marLeft w:val="0"/>
                  <w:marRight w:val="0"/>
                  <w:marTop w:val="0"/>
                  <w:marBottom w:val="0"/>
                  <w:divBdr>
                    <w:top w:val="none" w:sz="0" w:space="0" w:color="auto"/>
                    <w:left w:val="none" w:sz="0" w:space="0" w:color="auto"/>
                    <w:bottom w:val="none" w:sz="0" w:space="0" w:color="auto"/>
                    <w:right w:val="none" w:sz="0" w:space="0" w:color="auto"/>
                  </w:divBdr>
                </w:div>
              </w:divsChild>
            </w:div>
            <w:div w:id="230048011">
              <w:marLeft w:val="0"/>
              <w:marRight w:val="0"/>
              <w:marTop w:val="0"/>
              <w:marBottom w:val="0"/>
              <w:divBdr>
                <w:top w:val="none" w:sz="0" w:space="0" w:color="auto"/>
                <w:left w:val="none" w:sz="0" w:space="0" w:color="auto"/>
                <w:bottom w:val="none" w:sz="0" w:space="0" w:color="auto"/>
                <w:right w:val="none" w:sz="0" w:space="0" w:color="auto"/>
              </w:divBdr>
              <w:divsChild>
                <w:div w:id="946734274">
                  <w:marLeft w:val="0"/>
                  <w:marRight w:val="0"/>
                  <w:marTop w:val="0"/>
                  <w:marBottom w:val="0"/>
                  <w:divBdr>
                    <w:top w:val="none" w:sz="0" w:space="0" w:color="auto"/>
                    <w:left w:val="none" w:sz="0" w:space="0" w:color="auto"/>
                    <w:bottom w:val="none" w:sz="0" w:space="0" w:color="auto"/>
                    <w:right w:val="none" w:sz="0" w:space="0" w:color="auto"/>
                  </w:divBdr>
                </w:div>
              </w:divsChild>
            </w:div>
            <w:div w:id="259141242">
              <w:marLeft w:val="0"/>
              <w:marRight w:val="0"/>
              <w:marTop w:val="0"/>
              <w:marBottom w:val="0"/>
              <w:divBdr>
                <w:top w:val="none" w:sz="0" w:space="0" w:color="auto"/>
                <w:left w:val="none" w:sz="0" w:space="0" w:color="auto"/>
                <w:bottom w:val="none" w:sz="0" w:space="0" w:color="auto"/>
                <w:right w:val="none" w:sz="0" w:space="0" w:color="auto"/>
              </w:divBdr>
              <w:divsChild>
                <w:div w:id="2058164693">
                  <w:marLeft w:val="0"/>
                  <w:marRight w:val="0"/>
                  <w:marTop w:val="0"/>
                  <w:marBottom w:val="0"/>
                  <w:divBdr>
                    <w:top w:val="none" w:sz="0" w:space="0" w:color="auto"/>
                    <w:left w:val="none" w:sz="0" w:space="0" w:color="auto"/>
                    <w:bottom w:val="none" w:sz="0" w:space="0" w:color="auto"/>
                    <w:right w:val="none" w:sz="0" w:space="0" w:color="auto"/>
                  </w:divBdr>
                </w:div>
              </w:divsChild>
            </w:div>
            <w:div w:id="272248714">
              <w:marLeft w:val="0"/>
              <w:marRight w:val="0"/>
              <w:marTop w:val="0"/>
              <w:marBottom w:val="0"/>
              <w:divBdr>
                <w:top w:val="none" w:sz="0" w:space="0" w:color="auto"/>
                <w:left w:val="none" w:sz="0" w:space="0" w:color="auto"/>
                <w:bottom w:val="none" w:sz="0" w:space="0" w:color="auto"/>
                <w:right w:val="none" w:sz="0" w:space="0" w:color="auto"/>
              </w:divBdr>
              <w:divsChild>
                <w:div w:id="951664985">
                  <w:marLeft w:val="0"/>
                  <w:marRight w:val="0"/>
                  <w:marTop w:val="0"/>
                  <w:marBottom w:val="0"/>
                  <w:divBdr>
                    <w:top w:val="none" w:sz="0" w:space="0" w:color="auto"/>
                    <w:left w:val="none" w:sz="0" w:space="0" w:color="auto"/>
                    <w:bottom w:val="none" w:sz="0" w:space="0" w:color="auto"/>
                    <w:right w:val="none" w:sz="0" w:space="0" w:color="auto"/>
                  </w:divBdr>
                </w:div>
              </w:divsChild>
            </w:div>
            <w:div w:id="296225729">
              <w:marLeft w:val="0"/>
              <w:marRight w:val="0"/>
              <w:marTop w:val="0"/>
              <w:marBottom w:val="0"/>
              <w:divBdr>
                <w:top w:val="none" w:sz="0" w:space="0" w:color="auto"/>
                <w:left w:val="none" w:sz="0" w:space="0" w:color="auto"/>
                <w:bottom w:val="none" w:sz="0" w:space="0" w:color="auto"/>
                <w:right w:val="none" w:sz="0" w:space="0" w:color="auto"/>
              </w:divBdr>
              <w:divsChild>
                <w:div w:id="1017779325">
                  <w:marLeft w:val="0"/>
                  <w:marRight w:val="0"/>
                  <w:marTop w:val="0"/>
                  <w:marBottom w:val="0"/>
                  <w:divBdr>
                    <w:top w:val="none" w:sz="0" w:space="0" w:color="auto"/>
                    <w:left w:val="none" w:sz="0" w:space="0" w:color="auto"/>
                    <w:bottom w:val="none" w:sz="0" w:space="0" w:color="auto"/>
                    <w:right w:val="none" w:sz="0" w:space="0" w:color="auto"/>
                  </w:divBdr>
                </w:div>
              </w:divsChild>
            </w:div>
            <w:div w:id="319581533">
              <w:marLeft w:val="0"/>
              <w:marRight w:val="0"/>
              <w:marTop w:val="0"/>
              <w:marBottom w:val="0"/>
              <w:divBdr>
                <w:top w:val="none" w:sz="0" w:space="0" w:color="auto"/>
                <w:left w:val="none" w:sz="0" w:space="0" w:color="auto"/>
                <w:bottom w:val="none" w:sz="0" w:space="0" w:color="auto"/>
                <w:right w:val="none" w:sz="0" w:space="0" w:color="auto"/>
              </w:divBdr>
              <w:divsChild>
                <w:div w:id="1017930189">
                  <w:marLeft w:val="0"/>
                  <w:marRight w:val="0"/>
                  <w:marTop w:val="0"/>
                  <w:marBottom w:val="0"/>
                  <w:divBdr>
                    <w:top w:val="none" w:sz="0" w:space="0" w:color="auto"/>
                    <w:left w:val="none" w:sz="0" w:space="0" w:color="auto"/>
                    <w:bottom w:val="none" w:sz="0" w:space="0" w:color="auto"/>
                    <w:right w:val="none" w:sz="0" w:space="0" w:color="auto"/>
                  </w:divBdr>
                </w:div>
              </w:divsChild>
            </w:div>
            <w:div w:id="330068996">
              <w:marLeft w:val="0"/>
              <w:marRight w:val="0"/>
              <w:marTop w:val="0"/>
              <w:marBottom w:val="0"/>
              <w:divBdr>
                <w:top w:val="none" w:sz="0" w:space="0" w:color="auto"/>
                <w:left w:val="none" w:sz="0" w:space="0" w:color="auto"/>
                <w:bottom w:val="none" w:sz="0" w:space="0" w:color="auto"/>
                <w:right w:val="none" w:sz="0" w:space="0" w:color="auto"/>
              </w:divBdr>
              <w:divsChild>
                <w:div w:id="1131090415">
                  <w:marLeft w:val="0"/>
                  <w:marRight w:val="0"/>
                  <w:marTop w:val="0"/>
                  <w:marBottom w:val="0"/>
                  <w:divBdr>
                    <w:top w:val="none" w:sz="0" w:space="0" w:color="auto"/>
                    <w:left w:val="none" w:sz="0" w:space="0" w:color="auto"/>
                    <w:bottom w:val="none" w:sz="0" w:space="0" w:color="auto"/>
                    <w:right w:val="none" w:sz="0" w:space="0" w:color="auto"/>
                  </w:divBdr>
                </w:div>
              </w:divsChild>
            </w:div>
            <w:div w:id="334773951">
              <w:marLeft w:val="0"/>
              <w:marRight w:val="0"/>
              <w:marTop w:val="0"/>
              <w:marBottom w:val="0"/>
              <w:divBdr>
                <w:top w:val="none" w:sz="0" w:space="0" w:color="auto"/>
                <w:left w:val="none" w:sz="0" w:space="0" w:color="auto"/>
                <w:bottom w:val="none" w:sz="0" w:space="0" w:color="auto"/>
                <w:right w:val="none" w:sz="0" w:space="0" w:color="auto"/>
              </w:divBdr>
              <w:divsChild>
                <w:div w:id="476268299">
                  <w:marLeft w:val="0"/>
                  <w:marRight w:val="0"/>
                  <w:marTop w:val="0"/>
                  <w:marBottom w:val="0"/>
                  <w:divBdr>
                    <w:top w:val="none" w:sz="0" w:space="0" w:color="auto"/>
                    <w:left w:val="none" w:sz="0" w:space="0" w:color="auto"/>
                    <w:bottom w:val="none" w:sz="0" w:space="0" w:color="auto"/>
                    <w:right w:val="none" w:sz="0" w:space="0" w:color="auto"/>
                  </w:divBdr>
                </w:div>
              </w:divsChild>
            </w:div>
            <w:div w:id="353043219">
              <w:marLeft w:val="0"/>
              <w:marRight w:val="0"/>
              <w:marTop w:val="0"/>
              <w:marBottom w:val="0"/>
              <w:divBdr>
                <w:top w:val="none" w:sz="0" w:space="0" w:color="auto"/>
                <w:left w:val="none" w:sz="0" w:space="0" w:color="auto"/>
                <w:bottom w:val="none" w:sz="0" w:space="0" w:color="auto"/>
                <w:right w:val="none" w:sz="0" w:space="0" w:color="auto"/>
              </w:divBdr>
              <w:divsChild>
                <w:div w:id="1625693043">
                  <w:marLeft w:val="0"/>
                  <w:marRight w:val="0"/>
                  <w:marTop w:val="0"/>
                  <w:marBottom w:val="0"/>
                  <w:divBdr>
                    <w:top w:val="none" w:sz="0" w:space="0" w:color="auto"/>
                    <w:left w:val="none" w:sz="0" w:space="0" w:color="auto"/>
                    <w:bottom w:val="none" w:sz="0" w:space="0" w:color="auto"/>
                    <w:right w:val="none" w:sz="0" w:space="0" w:color="auto"/>
                  </w:divBdr>
                </w:div>
              </w:divsChild>
            </w:div>
            <w:div w:id="354578880">
              <w:marLeft w:val="0"/>
              <w:marRight w:val="0"/>
              <w:marTop w:val="0"/>
              <w:marBottom w:val="0"/>
              <w:divBdr>
                <w:top w:val="none" w:sz="0" w:space="0" w:color="auto"/>
                <w:left w:val="none" w:sz="0" w:space="0" w:color="auto"/>
                <w:bottom w:val="none" w:sz="0" w:space="0" w:color="auto"/>
                <w:right w:val="none" w:sz="0" w:space="0" w:color="auto"/>
              </w:divBdr>
              <w:divsChild>
                <w:div w:id="29768282">
                  <w:marLeft w:val="0"/>
                  <w:marRight w:val="0"/>
                  <w:marTop w:val="0"/>
                  <w:marBottom w:val="0"/>
                  <w:divBdr>
                    <w:top w:val="none" w:sz="0" w:space="0" w:color="auto"/>
                    <w:left w:val="none" w:sz="0" w:space="0" w:color="auto"/>
                    <w:bottom w:val="none" w:sz="0" w:space="0" w:color="auto"/>
                    <w:right w:val="none" w:sz="0" w:space="0" w:color="auto"/>
                  </w:divBdr>
                </w:div>
              </w:divsChild>
            </w:div>
            <w:div w:id="355930752">
              <w:marLeft w:val="0"/>
              <w:marRight w:val="0"/>
              <w:marTop w:val="0"/>
              <w:marBottom w:val="0"/>
              <w:divBdr>
                <w:top w:val="none" w:sz="0" w:space="0" w:color="auto"/>
                <w:left w:val="none" w:sz="0" w:space="0" w:color="auto"/>
                <w:bottom w:val="none" w:sz="0" w:space="0" w:color="auto"/>
                <w:right w:val="none" w:sz="0" w:space="0" w:color="auto"/>
              </w:divBdr>
              <w:divsChild>
                <w:div w:id="468015614">
                  <w:marLeft w:val="0"/>
                  <w:marRight w:val="0"/>
                  <w:marTop w:val="0"/>
                  <w:marBottom w:val="0"/>
                  <w:divBdr>
                    <w:top w:val="none" w:sz="0" w:space="0" w:color="auto"/>
                    <w:left w:val="none" w:sz="0" w:space="0" w:color="auto"/>
                    <w:bottom w:val="none" w:sz="0" w:space="0" w:color="auto"/>
                    <w:right w:val="none" w:sz="0" w:space="0" w:color="auto"/>
                  </w:divBdr>
                </w:div>
              </w:divsChild>
            </w:div>
            <w:div w:id="391851106">
              <w:marLeft w:val="0"/>
              <w:marRight w:val="0"/>
              <w:marTop w:val="0"/>
              <w:marBottom w:val="0"/>
              <w:divBdr>
                <w:top w:val="none" w:sz="0" w:space="0" w:color="auto"/>
                <w:left w:val="none" w:sz="0" w:space="0" w:color="auto"/>
                <w:bottom w:val="none" w:sz="0" w:space="0" w:color="auto"/>
                <w:right w:val="none" w:sz="0" w:space="0" w:color="auto"/>
              </w:divBdr>
              <w:divsChild>
                <w:div w:id="1057241012">
                  <w:marLeft w:val="0"/>
                  <w:marRight w:val="0"/>
                  <w:marTop w:val="0"/>
                  <w:marBottom w:val="0"/>
                  <w:divBdr>
                    <w:top w:val="none" w:sz="0" w:space="0" w:color="auto"/>
                    <w:left w:val="none" w:sz="0" w:space="0" w:color="auto"/>
                    <w:bottom w:val="none" w:sz="0" w:space="0" w:color="auto"/>
                    <w:right w:val="none" w:sz="0" w:space="0" w:color="auto"/>
                  </w:divBdr>
                </w:div>
              </w:divsChild>
            </w:div>
            <w:div w:id="422801391">
              <w:marLeft w:val="0"/>
              <w:marRight w:val="0"/>
              <w:marTop w:val="0"/>
              <w:marBottom w:val="0"/>
              <w:divBdr>
                <w:top w:val="none" w:sz="0" w:space="0" w:color="auto"/>
                <w:left w:val="none" w:sz="0" w:space="0" w:color="auto"/>
                <w:bottom w:val="none" w:sz="0" w:space="0" w:color="auto"/>
                <w:right w:val="none" w:sz="0" w:space="0" w:color="auto"/>
              </w:divBdr>
              <w:divsChild>
                <w:div w:id="224533109">
                  <w:marLeft w:val="0"/>
                  <w:marRight w:val="0"/>
                  <w:marTop w:val="0"/>
                  <w:marBottom w:val="0"/>
                  <w:divBdr>
                    <w:top w:val="none" w:sz="0" w:space="0" w:color="auto"/>
                    <w:left w:val="none" w:sz="0" w:space="0" w:color="auto"/>
                    <w:bottom w:val="none" w:sz="0" w:space="0" w:color="auto"/>
                    <w:right w:val="none" w:sz="0" w:space="0" w:color="auto"/>
                  </w:divBdr>
                </w:div>
              </w:divsChild>
            </w:div>
            <w:div w:id="446705159">
              <w:marLeft w:val="0"/>
              <w:marRight w:val="0"/>
              <w:marTop w:val="0"/>
              <w:marBottom w:val="0"/>
              <w:divBdr>
                <w:top w:val="none" w:sz="0" w:space="0" w:color="auto"/>
                <w:left w:val="none" w:sz="0" w:space="0" w:color="auto"/>
                <w:bottom w:val="none" w:sz="0" w:space="0" w:color="auto"/>
                <w:right w:val="none" w:sz="0" w:space="0" w:color="auto"/>
              </w:divBdr>
              <w:divsChild>
                <w:div w:id="964963685">
                  <w:marLeft w:val="0"/>
                  <w:marRight w:val="0"/>
                  <w:marTop w:val="0"/>
                  <w:marBottom w:val="0"/>
                  <w:divBdr>
                    <w:top w:val="none" w:sz="0" w:space="0" w:color="auto"/>
                    <w:left w:val="none" w:sz="0" w:space="0" w:color="auto"/>
                    <w:bottom w:val="none" w:sz="0" w:space="0" w:color="auto"/>
                    <w:right w:val="none" w:sz="0" w:space="0" w:color="auto"/>
                  </w:divBdr>
                </w:div>
              </w:divsChild>
            </w:div>
            <w:div w:id="449473885">
              <w:marLeft w:val="0"/>
              <w:marRight w:val="0"/>
              <w:marTop w:val="0"/>
              <w:marBottom w:val="0"/>
              <w:divBdr>
                <w:top w:val="none" w:sz="0" w:space="0" w:color="auto"/>
                <w:left w:val="none" w:sz="0" w:space="0" w:color="auto"/>
                <w:bottom w:val="none" w:sz="0" w:space="0" w:color="auto"/>
                <w:right w:val="none" w:sz="0" w:space="0" w:color="auto"/>
              </w:divBdr>
              <w:divsChild>
                <w:div w:id="1094009074">
                  <w:marLeft w:val="0"/>
                  <w:marRight w:val="0"/>
                  <w:marTop w:val="0"/>
                  <w:marBottom w:val="0"/>
                  <w:divBdr>
                    <w:top w:val="none" w:sz="0" w:space="0" w:color="auto"/>
                    <w:left w:val="none" w:sz="0" w:space="0" w:color="auto"/>
                    <w:bottom w:val="none" w:sz="0" w:space="0" w:color="auto"/>
                    <w:right w:val="none" w:sz="0" w:space="0" w:color="auto"/>
                  </w:divBdr>
                </w:div>
              </w:divsChild>
            </w:div>
            <w:div w:id="453863530">
              <w:marLeft w:val="0"/>
              <w:marRight w:val="0"/>
              <w:marTop w:val="0"/>
              <w:marBottom w:val="0"/>
              <w:divBdr>
                <w:top w:val="none" w:sz="0" w:space="0" w:color="auto"/>
                <w:left w:val="none" w:sz="0" w:space="0" w:color="auto"/>
                <w:bottom w:val="none" w:sz="0" w:space="0" w:color="auto"/>
                <w:right w:val="none" w:sz="0" w:space="0" w:color="auto"/>
              </w:divBdr>
              <w:divsChild>
                <w:div w:id="1483277696">
                  <w:marLeft w:val="0"/>
                  <w:marRight w:val="0"/>
                  <w:marTop w:val="0"/>
                  <w:marBottom w:val="0"/>
                  <w:divBdr>
                    <w:top w:val="none" w:sz="0" w:space="0" w:color="auto"/>
                    <w:left w:val="none" w:sz="0" w:space="0" w:color="auto"/>
                    <w:bottom w:val="none" w:sz="0" w:space="0" w:color="auto"/>
                    <w:right w:val="none" w:sz="0" w:space="0" w:color="auto"/>
                  </w:divBdr>
                </w:div>
              </w:divsChild>
            </w:div>
            <w:div w:id="454300768">
              <w:marLeft w:val="0"/>
              <w:marRight w:val="0"/>
              <w:marTop w:val="0"/>
              <w:marBottom w:val="0"/>
              <w:divBdr>
                <w:top w:val="none" w:sz="0" w:space="0" w:color="auto"/>
                <w:left w:val="none" w:sz="0" w:space="0" w:color="auto"/>
                <w:bottom w:val="none" w:sz="0" w:space="0" w:color="auto"/>
                <w:right w:val="none" w:sz="0" w:space="0" w:color="auto"/>
              </w:divBdr>
              <w:divsChild>
                <w:div w:id="1639190063">
                  <w:marLeft w:val="0"/>
                  <w:marRight w:val="0"/>
                  <w:marTop w:val="0"/>
                  <w:marBottom w:val="0"/>
                  <w:divBdr>
                    <w:top w:val="none" w:sz="0" w:space="0" w:color="auto"/>
                    <w:left w:val="none" w:sz="0" w:space="0" w:color="auto"/>
                    <w:bottom w:val="none" w:sz="0" w:space="0" w:color="auto"/>
                    <w:right w:val="none" w:sz="0" w:space="0" w:color="auto"/>
                  </w:divBdr>
                </w:div>
              </w:divsChild>
            </w:div>
            <w:div w:id="473373030">
              <w:marLeft w:val="0"/>
              <w:marRight w:val="0"/>
              <w:marTop w:val="0"/>
              <w:marBottom w:val="0"/>
              <w:divBdr>
                <w:top w:val="none" w:sz="0" w:space="0" w:color="auto"/>
                <w:left w:val="none" w:sz="0" w:space="0" w:color="auto"/>
                <w:bottom w:val="none" w:sz="0" w:space="0" w:color="auto"/>
                <w:right w:val="none" w:sz="0" w:space="0" w:color="auto"/>
              </w:divBdr>
              <w:divsChild>
                <w:div w:id="620647761">
                  <w:marLeft w:val="0"/>
                  <w:marRight w:val="0"/>
                  <w:marTop w:val="0"/>
                  <w:marBottom w:val="0"/>
                  <w:divBdr>
                    <w:top w:val="none" w:sz="0" w:space="0" w:color="auto"/>
                    <w:left w:val="none" w:sz="0" w:space="0" w:color="auto"/>
                    <w:bottom w:val="none" w:sz="0" w:space="0" w:color="auto"/>
                    <w:right w:val="none" w:sz="0" w:space="0" w:color="auto"/>
                  </w:divBdr>
                </w:div>
              </w:divsChild>
            </w:div>
            <w:div w:id="480930426">
              <w:marLeft w:val="0"/>
              <w:marRight w:val="0"/>
              <w:marTop w:val="0"/>
              <w:marBottom w:val="0"/>
              <w:divBdr>
                <w:top w:val="none" w:sz="0" w:space="0" w:color="auto"/>
                <w:left w:val="none" w:sz="0" w:space="0" w:color="auto"/>
                <w:bottom w:val="none" w:sz="0" w:space="0" w:color="auto"/>
                <w:right w:val="none" w:sz="0" w:space="0" w:color="auto"/>
              </w:divBdr>
              <w:divsChild>
                <w:div w:id="1066420643">
                  <w:marLeft w:val="0"/>
                  <w:marRight w:val="0"/>
                  <w:marTop w:val="0"/>
                  <w:marBottom w:val="0"/>
                  <w:divBdr>
                    <w:top w:val="none" w:sz="0" w:space="0" w:color="auto"/>
                    <w:left w:val="none" w:sz="0" w:space="0" w:color="auto"/>
                    <w:bottom w:val="none" w:sz="0" w:space="0" w:color="auto"/>
                    <w:right w:val="none" w:sz="0" w:space="0" w:color="auto"/>
                  </w:divBdr>
                </w:div>
              </w:divsChild>
            </w:div>
            <w:div w:id="492962170">
              <w:marLeft w:val="0"/>
              <w:marRight w:val="0"/>
              <w:marTop w:val="0"/>
              <w:marBottom w:val="0"/>
              <w:divBdr>
                <w:top w:val="none" w:sz="0" w:space="0" w:color="auto"/>
                <w:left w:val="none" w:sz="0" w:space="0" w:color="auto"/>
                <w:bottom w:val="none" w:sz="0" w:space="0" w:color="auto"/>
                <w:right w:val="none" w:sz="0" w:space="0" w:color="auto"/>
              </w:divBdr>
              <w:divsChild>
                <w:div w:id="1925065461">
                  <w:marLeft w:val="0"/>
                  <w:marRight w:val="0"/>
                  <w:marTop w:val="0"/>
                  <w:marBottom w:val="0"/>
                  <w:divBdr>
                    <w:top w:val="none" w:sz="0" w:space="0" w:color="auto"/>
                    <w:left w:val="none" w:sz="0" w:space="0" w:color="auto"/>
                    <w:bottom w:val="none" w:sz="0" w:space="0" w:color="auto"/>
                    <w:right w:val="none" w:sz="0" w:space="0" w:color="auto"/>
                  </w:divBdr>
                </w:div>
              </w:divsChild>
            </w:div>
            <w:div w:id="530847946">
              <w:marLeft w:val="0"/>
              <w:marRight w:val="0"/>
              <w:marTop w:val="0"/>
              <w:marBottom w:val="0"/>
              <w:divBdr>
                <w:top w:val="none" w:sz="0" w:space="0" w:color="auto"/>
                <w:left w:val="none" w:sz="0" w:space="0" w:color="auto"/>
                <w:bottom w:val="none" w:sz="0" w:space="0" w:color="auto"/>
                <w:right w:val="none" w:sz="0" w:space="0" w:color="auto"/>
              </w:divBdr>
              <w:divsChild>
                <w:div w:id="1232732431">
                  <w:marLeft w:val="0"/>
                  <w:marRight w:val="0"/>
                  <w:marTop w:val="0"/>
                  <w:marBottom w:val="0"/>
                  <w:divBdr>
                    <w:top w:val="none" w:sz="0" w:space="0" w:color="auto"/>
                    <w:left w:val="none" w:sz="0" w:space="0" w:color="auto"/>
                    <w:bottom w:val="none" w:sz="0" w:space="0" w:color="auto"/>
                    <w:right w:val="none" w:sz="0" w:space="0" w:color="auto"/>
                  </w:divBdr>
                </w:div>
              </w:divsChild>
            </w:div>
            <w:div w:id="535310108">
              <w:marLeft w:val="0"/>
              <w:marRight w:val="0"/>
              <w:marTop w:val="0"/>
              <w:marBottom w:val="0"/>
              <w:divBdr>
                <w:top w:val="none" w:sz="0" w:space="0" w:color="auto"/>
                <w:left w:val="none" w:sz="0" w:space="0" w:color="auto"/>
                <w:bottom w:val="none" w:sz="0" w:space="0" w:color="auto"/>
                <w:right w:val="none" w:sz="0" w:space="0" w:color="auto"/>
              </w:divBdr>
              <w:divsChild>
                <w:div w:id="70930048">
                  <w:marLeft w:val="0"/>
                  <w:marRight w:val="0"/>
                  <w:marTop w:val="0"/>
                  <w:marBottom w:val="0"/>
                  <w:divBdr>
                    <w:top w:val="none" w:sz="0" w:space="0" w:color="auto"/>
                    <w:left w:val="none" w:sz="0" w:space="0" w:color="auto"/>
                    <w:bottom w:val="none" w:sz="0" w:space="0" w:color="auto"/>
                    <w:right w:val="none" w:sz="0" w:space="0" w:color="auto"/>
                  </w:divBdr>
                </w:div>
              </w:divsChild>
            </w:div>
            <w:div w:id="542329226">
              <w:marLeft w:val="0"/>
              <w:marRight w:val="0"/>
              <w:marTop w:val="0"/>
              <w:marBottom w:val="0"/>
              <w:divBdr>
                <w:top w:val="none" w:sz="0" w:space="0" w:color="auto"/>
                <w:left w:val="none" w:sz="0" w:space="0" w:color="auto"/>
                <w:bottom w:val="none" w:sz="0" w:space="0" w:color="auto"/>
                <w:right w:val="none" w:sz="0" w:space="0" w:color="auto"/>
              </w:divBdr>
              <w:divsChild>
                <w:div w:id="908345289">
                  <w:marLeft w:val="0"/>
                  <w:marRight w:val="0"/>
                  <w:marTop w:val="0"/>
                  <w:marBottom w:val="0"/>
                  <w:divBdr>
                    <w:top w:val="none" w:sz="0" w:space="0" w:color="auto"/>
                    <w:left w:val="none" w:sz="0" w:space="0" w:color="auto"/>
                    <w:bottom w:val="none" w:sz="0" w:space="0" w:color="auto"/>
                    <w:right w:val="none" w:sz="0" w:space="0" w:color="auto"/>
                  </w:divBdr>
                </w:div>
              </w:divsChild>
            </w:div>
            <w:div w:id="562450200">
              <w:marLeft w:val="0"/>
              <w:marRight w:val="0"/>
              <w:marTop w:val="0"/>
              <w:marBottom w:val="0"/>
              <w:divBdr>
                <w:top w:val="none" w:sz="0" w:space="0" w:color="auto"/>
                <w:left w:val="none" w:sz="0" w:space="0" w:color="auto"/>
                <w:bottom w:val="none" w:sz="0" w:space="0" w:color="auto"/>
                <w:right w:val="none" w:sz="0" w:space="0" w:color="auto"/>
              </w:divBdr>
              <w:divsChild>
                <w:div w:id="562757763">
                  <w:marLeft w:val="0"/>
                  <w:marRight w:val="0"/>
                  <w:marTop w:val="0"/>
                  <w:marBottom w:val="0"/>
                  <w:divBdr>
                    <w:top w:val="none" w:sz="0" w:space="0" w:color="auto"/>
                    <w:left w:val="none" w:sz="0" w:space="0" w:color="auto"/>
                    <w:bottom w:val="none" w:sz="0" w:space="0" w:color="auto"/>
                    <w:right w:val="none" w:sz="0" w:space="0" w:color="auto"/>
                  </w:divBdr>
                </w:div>
              </w:divsChild>
            </w:div>
            <w:div w:id="630982623">
              <w:marLeft w:val="0"/>
              <w:marRight w:val="0"/>
              <w:marTop w:val="0"/>
              <w:marBottom w:val="0"/>
              <w:divBdr>
                <w:top w:val="none" w:sz="0" w:space="0" w:color="auto"/>
                <w:left w:val="none" w:sz="0" w:space="0" w:color="auto"/>
                <w:bottom w:val="none" w:sz="0" w:space="0" w:color="auto"/>
                <w:right w:val="none" w:sz="0" w:space="0" w:color="auto"/>
              </w:divBdr>
              <w:divsChild>
                <w:div w:id="932006461">
                  <w:marLeft w:val="0"/>
                  <w:marRight w:val="0"/>
                  <w:marTop w:val="0"/>
                  <w:marBottom w:val="0"/>
                  <w:divBdr>
                    <w:top w:val="none" w:sz="0" w:space="0" w:color="auto"/>
                    <w:left w:val="none" w:sz="0" w:space="0" w:color="auto"/>
                    <w:bottom w:val="none" w:sz="0" w:space="0" w:color="auto"/>
                    <w:right w:val="none" w:sz="0" w:space="0" w:color="auto"/>
                  </w:divBdr>
                </w:div>
              </w:divsChild>
            </w:div>
            <w:div w:id="630987850">
              <w:marLeft w:val="0"/>
              <w:marRight w:val="0"/>
              <w:marTop w:val="0"/>
              <w:marBottom w:val="0"/>
              <w:divBdr>
                <w:top w:val="none" w:sz="0" w:space="0" w:color="auto"/>
                <w:left w:val="none" w:sz="0" w:space="0" w:color="auto"/>
                <w:bottom w:val="none" w:sz="0" w:space="0" w:color="auto"/>
                <w:right w:val="none" w:sz="0" w:space="0" w:color="auto"/>
              </w:divBdr>
              <w:divsChild>
                <w:div w:id="1444883920">
                  <w:marLeft w:val="0"/>
                  <w:marRight w:val="0"/>
                  <w:marTop w:val="0"/>
                  <w:marBottom w:val="0"/>
                  <w:divBdr>
                    <w:top w:val="none" w:sz="0" w:space="0" w:color="auto"/>
                    <w:left w:val="none" w:sz="0" w:space="0" w:color="auto"/>
                    <w:bottom w:val="none" w:sz="0" w:space="0" w:color="auto"/>
                    <w:right w:val="none" w:sz="0" w:space="0" w:color="auto"/>
                  </w:divBdr>
                </w:div>
              </w:divsChild>
            </w:div>
            <w:div w:id="647982435">
              <w:marLeft w:val="0"/>
              <w:marRight w:val="0"/>
              <w:marTop w:val="0"/>
              <w:marBottom w:val="0"/>
              <w:divBdr>
                <w:top w:val="none" w:sz="0" w:space="0" w:color="auto"/>
                <w:left w:val="none" w:sz="0" w:space="0" w:color="auto"/>
                <w:bottom w:val="none" w:sz="0" w:space="0" w:color="auto"/>
                <w:right w:val="none" w:sz="0" w:space="0" w:color="auto"/>
              </w:divBdr>
              <w:divsChild>
                <w:div w:id="1678926736">
                  <w:marLeft w:val="0"/>
                  <w:marRight w:val="0"/>
                  <w:marTop w:val="0"/>
                  <w:marBottom w:val="0"/>
                  <w:divBdr>
                    <w:top w:val="none" w:sz="0" w:space="0" w:color="auto"/>
                    <w:left w:val="none" w:sz="0" w:space="0" w:color="auto"/>
                    <w:bottom w:val="none" w:sz="0" w:space="0" w:color="auto"/>
                    <w:right w:val="none" w:sz="0" w:space="0" w:color="auto"/>
                  </w:divBdr>
                </w:div>
              </w:divsChild>
            </w:div>
            <w:div w:id="667831527">
              <w:marLeft w:val="0"/>
              <w:marRight w:val="0"/>
              <w:marTop w:val="0"/>
              <w:marBottom w:val="0"/>
              <w:divBdr>
                <w:top w:val="none" w:sz="0" w:space="0" w:color="auto"/>
                <w:left w:val="none" w:sz="0" w:space="0" w:color="auto"/>
                <w:bottom w:val="none" w:sz="0" w:space="0" w:color="auto"/>
                <w:right w:val="none" w:sz="0" w:space="0" w:color="auto"/>
              </w:divBdr>
              <w:divsChild>
                <w:div w:id="847863826">
                  <w:marLeft w:val="0"/>
                  <w:marRight w:val="0"/>
                  <w:marTop w:val="0"/>
                  <w:marBottom w:val="0"/>
                  <w:divBdr>
                    <w:top w:val="none" w:sz="0" w:space="0" w:color="auto"/>
                    <w:left w:val="none" w:sz="0" w:space="0" w:color="auto"/>
                    <w:bottom w:val="none" w:sz="0" w:space="0" w:color="auto"/>
                    <w:right w:val="none" w:sz="0" w:space="0" w:color="auto"/>
                  </w:divBdr>
                </w:div>
              </w:divsChild>
            </w:div>
            <w:div w:id="686058913">
              <w:marLeft w:val="0"/>
              <w:marRight w:val="0"/>
              <w:marTop w:val="0"/>
              <w:marBottom w:val="0"/>
              <w:divBdr>
                <w:top w:val="none" w:sz="0" w:space="0" w:color="auto"/>
                <w:left w:val="none" w:sz="0" w:space="0" w:color="auto"/>
                <w:bottom w:val="none" w:sz="0" w:space="0" w:color="auto"/>
                <w:right w:val="none" w:sz="0" w:space="0" w:color="auto"/>
              </w:divBdr>
              <w:divsChild>
                <w:div w:id="380784153">
                  <w:marLeft w:val="0"/>
                  <w:marRight w:val="0"/>
                  <w:marTop w:val="0"/>
                  <w:marBottom w:val="0"/>
                  <w:divBdr>
                    <w:top w:val="none" w:sz="0" w:space="0" w:color="auto"/>
                    <w:left w:val="none" w:sz="0" w:space="0" w:color="auto"/>
                    <w:bottom w:val="none" w:sz="0" w:space="0" w:color="auto"/>
                    <w:right w:val="none" w:sz="0" w:space="0" w:color="auto"/>
                  </w:divBdr>
                </w:div>
              </w:divsChild>
            </w:div>
            <w:div w:id="717625419">
              <w:marLeft w:val="0"/>
              <w:marRight w:val="0"/>
              <w:marTop w:val="0"/>
              <w:marBottom w:val="0"/>
              <w:divBdr>
                <w:top w:val="none" w:sz="0" w:space="0" w:color="auto"/>
                <w:left w:val="none" w:sz="0" w:space="0" w:color="auto"/>
                <w:bottom w:val="none" w:sz="0" w:space="0" w:color="auto"/>
                <w:right w:val="none" w:sz="0" w:space="0" w:color="auto"/>
              </w:divBdr>
              <w:divsChild>
                <w:div w:id="1712536531">
                  <w:marLeft w:val="0"/>
                  <w:marRight w:val="0"/>
                  <w:marTop w:val="0"/>
                  <w:marBottom w:val="0"/>
                  <w:divBdr>
                    <w:top w:val="none" w:sz="0" w:space="0" w:color="auto"/>
                    <w:left w:val="none" w:sz="0" w:space="0" w:color="auto"/>
                    <w:bottom w:val="none" w:sz="0" w:space="0" w:color="auto"/>
                    <w:right w:val="none" w:sz="0" w:space="0" w:color="auto"/>
                  </w:divBdr>
                </w:div>
              </w:divsChild>
            </w:div>
            <w:div w:id="728917559">
              <w:marLeft w:val="0"/>
              <w:marRight w:val="0"/>
              <w:marTop w:val="0"/>
              <w:marBottom w:val="0"/>
              <w:divBdr>
                <w:top w:val="none" w:sz="0" w:space="0" w:color="auto"/>
                <w:left w:val="none" w:sz="0" w:space="0" w:color="auto"/>
                <w:bottom w:val="none" w:sz="0" w:space="0" w:color="auto"/>
                <w:right w:val="none" w:sz="0" w:space="0" w:color="auto"/>
              </w:divBdr>
              <w:divsChild>
                <w:div w:id="205223315">
                  <w:marLeft w:val="0"/>
                  <w:marRight w:val="0"/>
                  <w:marTop w:val="0"/>
                  <w:marBottom w:val="0"/>
                  <w:divBdr>
                    <w:top w:val="none" w:sz="0" w:space="0" w:color="auto"/>
                    <w:left w:val="none" w:sz="0" w:space="0" w:color="auto"/>
                    <w:bottom w:val="none" w:sz="0" w:space="0" w:color="auto"/>
                    <w:right w:val="none" w:sz="0" w:space="0" w:color="auto"/>
                  </w:divBdr>
                </w:div>
              </w:divsChild>
            </w:div>
            <w:div w:id="732236768">
              <w:marLeft w:val="0"/>
              <w:marRight w:val="0"/>
              <w:marTop w:val="0"/>
              <w:marBottom w:val="0"/>
              <w:divBdr>
                <w:top w:val="none" w:sz="0" w:space="0" w:color="auto"/>
                <w:left w:val="none" w:sz="0" w:space="0" w:color="auto"/>
                <w:bottom w:val="none" w:sz="0" w:space="0" w:color="auto"/>
                <w:right w:val="none" w:sz="0" w:space="0" w:color="auto"/>
              </w:divBdr>
              <w:divsChild>
                <w:div w:id="1733576543">
                  <w:marLeft w:val="0"/>
                  <w:marRight w:val="0"/>
                  <w:marTop w:val="0"/>
                  <w:marBottom w:val="0"/>
                  <w:divBdr>
                    <w:top w:val="none" w:sz="0" w:space="0" w:color="auto"/>
                    <w:left w:val="none" w:sz="0" w:space="0" w:color="auto"/>
                    <w:bottom w:val="none" w:sz="0" w:space="0" w:color="auto"/>
                    <w:right w:val="none" w:sz="0" w:space="0" w:color="auto"/>
                  </w:divBdr>
                </w:div>
              </w:divsChild>
            </w:div>
            <w:div w:id="766771368">
              <w:marLeft w:val="0"/>
              <w:marRight w:val="0"/>
              <w:marTop w:val="0"/>
              <w:marBottom w:val="0"/>
              <w:divBdr>
                <w:top w:val="none" w:sz="0" w:space="0" w:color="auto"/>
                <w:left w:val="none" w:sz="0" w:space="0" w:color="auto"/>
                <w:bottom w:val="none" w:sz="0" w:space="0" w:color="auto"/>
                <w:right w:val="none" w:sz="0" w:space="0" w:color="auto"/>
              </w:divBdr>
              <w:divsChild>
                <w:div w:id="1555777152">
                  <w:marLeft w:val="0"/>
                  <w:marRight w:val="0"/>
                  <w:marTop w:val="0"/>
                  <w:marBottom w:val="0"/>
                  <w:divBdr>
                    <w:top w:val="none" w:sz="0" w:space="0" w:color="auto"/>
                    <w:left w:val="none" w:sz="0" w:space="0" w:color="auto"/>
                    <w:bottom w:val="none" w:sz="0" w:space="0" w:color="auto"/>
                    <w:right w:val="none" w:sz="0" w:space="0" w:color="auto"/>
                  </w:divBdr>
                </w:div>
              </w:divsChild>
            </w:div>
            <w:div w:id="796721895">
              <w:marLeft w:val="0"/>
              <w:marRight w:val="0"/>
              <w:marTop w:val="0"/>
              <w:marBottom w:val="0"/>
              <w:divBdr>
                <w:top w:val="none" w:sz="0" w:space="0" w:color="auto"/>
                <w:left w:val="none" w:sz="0" w:space="0" w:color="auto"/>
                <w:bottom w:val="none" w:sz="0" w:space="0" w:color="auto"/>
                <w:right w:val="none" w:sz="0" w:space="0" w:color="auto"/>
              </w:divBdr>
              <w:divsChild>
                <w:div w:id="1533955539">
                  <w:marLeft w:val="0"/>
                  <w:marRight w:val="0"/>
                  <w:marTop w:val="0"/>
                  <w:marBottom w:val="0"/>
                  <w:divBdr>
                    <w:top w:val="none" w:sz="0" w:space="0" w:color="auto"/>
                    <w:left w:val="none" w:sz="0" w:space="0" w:color="auto"/>
                    <w:bottom w:val="none" w:sz="0" w:space="0" w:color="auto"/>
                    <w:right w:val="none" w:sz="0" w:space="0" w:color="auto"/>
                  </w:divBdr>
                </w:div>
              </w:divsChild>
            </w:div>
            <w:div w:id="798959779">
              <w:marLeft w:val="0"/>
              <w:marRight w:val="0"/>
              <w:marTop w:val="0"/>
              <w:marBottom w:val="0"/>
              <w:divBdr>
                <w:top w:val="none" w:sz="0" w:space="0" w:color="auto"/>
                <w:left w:val="none" w:sz="0" w:space="0" w:color="auto"/>
                <w:bottom w:val="none" w:sz="0" w:space="0" w:color="auto"/>
                <w:right w:val="none" w:sz="0" w:space="0" w:color="auto"/>
              </w:divBdr>
              <w:divsChild>
                <w:div w:id="1253398465">
                  <w:marLeft w:val="0"/>
                  <w:marRight w:val="0"/>
                  <w:marTop w:val="0"/>
                  <w:marBottom w:val="0"/>
                  <w:divBdr>
                    <w:top w:val="none" w:sz="0" w:space="0" w:color="auto"/>
                    <w:left w:val="none" w:sz="0" w:space="0" w:color="auto"/>
                    <w:bottom w:val="none" w:sz="0" w:space="0" w:color="auto"/>
                    <w:right w:val="none" w:sz="0" w:space="0" w:color="auto"/>
                  </w:divBdr>
                </w:div>
              </w:divsChild>
            </w:div>
            <w:div w:id="824972205">
              <w:marLeft w:val="0"/>
              <w:marRight w:val="0"/>
              <w:marTop w:val="0"/>
              <w:marBottom w:val="0"/>
              <w:divBdr>
                <w:top w:val="none" w:sz="0" w:space="0" w:color="auto"/>
                <w:left w:val="none" w:sz="0" w:space="0" w:color="auto"/>
                <w:bottom w:val="none" w:sz="0" w:space="0" w:color="auto"/>
                <w:right w:val="none" w:sz="0" w:space="0" w:color="auto"/>
              </w:divBdr>
              <w:divsChild>
                <w:div w:id="382484592">
                  <w:marLeft w:val="0"/>
                  <w:marRight w:val="0"/>
                  <w:marTop w:val="0"/>
                  <w:marBottom w:val="0"/>
                  <w:divBdr>
                    <w:top w:val="none" w:sz="0" w:space="0" w:color="auto"/>
                    <w:left w:val="none" w:sz="0" w:space="0" w:color="auto"/>
                    <w:bottom w:val="none" w:sz="0" w:space="0" w:color="auto"/>
                    <w:right w:val="none" w:sz="0" w:space="0" w:color="auto"/>
                  </w:divBdr>
                </w:div>
              </w:divsChild>
            </w:div>
            <w:div w:id="835925991">
              <w:marLeft w:val="0"/>
              <w:marRight w:val="0"/>
              <w:marTop w:val="0"/>
              <w:marBottom w:val="0"/>
              <w:divBdr>
                <w:top w:val="none" w:sz="0" w:space="0" w:color="auto"/>
                <w:left w:val="none" w:sz="0" w:space="0" w:color="auto"/>
                <w:bottom w:val="none" w:sz="0" w:space="0" w:color="auto"/>
                <w:right w:val="none" w:sz="0" w:space="0" w:color="auto"/>
              </w:divBdr>
              <w:divsChild>
                <w:div w:id="596140540">
                  <w:marLeft w:val="0"/>
                  <w:marRight w:val="0"/>
                  <w:marTop w:val="0"/>
                  <w:marBottom w:val="0"/>
                  <w:divBdr>
                    <w:top w:val="none" w:sz="0" w:space="0" w:color="auto"/>
                    <w:left w:val="none" w:sz="0" w:space="0" w:color="auto"/>
                    <w:bottom w:val="none" w:sz="0" w:space="0" w:color="auto"/>
                    <w:right w:val="none" w:sz="0" w:space="0" w:color="auto"/>
                  </w:divBdr>
                </w:div>
              </w:divsChild>
            </w:div>
            <w:div w:id="857617377">
              <w:marLeft w:val="0"/>
              <w:marRight w:val="0"/>
              <w:marTop w:val="0"/>
              <w:marBottom w:val="0"/>
              <w:divBdr>
                <w:top w:val="none" w:sz="0" w:space="0" w:color="auto"/>
                <w:left w:val="none" w:sz="0" w:space="0" w:color="auto"/>
                <w:bottom w:val="none" w:sz="0" w:space="0" w:color="auto"/>
                <w:right w:val="none" w:sz="0" w:space="0" w:color="auto"/>
              </w:divBdr>
              <w:divsChild>
                <w:div w:id="946697002">
                  <w:marLeft w:val="0"/>
                  <w:marRight w:val="0"/>
                  <w:marTop w:val="0"/>
                  <w:marBottom w:val="0"/>
                  <w:divBdr>
                    <w:top w:val="none" w:sz="0" w:space="0" w:color="auto"/>
                    <w:left w:val="none" w:sz="0" w:space="0" w:color="auto"/>
                    <w:bottom w:val="none" w:sz="0" w:space="0" w:color="auto"/>
                    <w:right w:val="none" w:sz="0" w:space="0" w:color="auto"/>
                  </w:divBdr>
                </w:div>
              </w:divsChild>
            </w:div>
            <w:div w:id="881595562">
              <w:marLeft w:val="0"/>
              <w:marRight w:val="0"/>
              <w:marTop w:val="0"/>
              <w:marBottom w:val="0"/>
              <w:divBdr>
                <w:top w:val="none" w:sz="0" w:space="0" w:color="auto"/>
                <w:left w:val="none" w:sz="0" w:space="0" w:color="auto"/>
                <w:bottom w:val="none" w:sz="0" w:space="0" w:color="auto"/>
                <w:right w:val="none" w:sz="0" w:space="0" w:color="auto"/>
              </w:divBdr>
              <w:divsChild>
                <w:div w:id="271742675">
                  <w:marLeft w:val="0"/>
                  <w:marRight w:val="0"/>
                  <w:marTop w:val="0"/>
                  <w:marBottom w:val="0"/>
                  <w:divBdr>
                    <w:top w:val="none" w:sz="0" w:space="0" w:color="auto"/>
                    <w:left w:val="none" w:sz="0" w:space="0" w:color="auto"/>
                    <w:bottom w:val="none" w:sz="0" w:space="0" w:color="auto"/>
                    <w:right w:val="none" w:sz="0" w:space="0" w:color="auto"/>
                  </w:divBdr>
                </w:div>
              </w:divsChild>
            </w:div>
            <w:div w:id="916985606">
              <w:marLeft w:val="0"/>
              <w:marRight w:val="0"/>
              <w:marTop w:val="0"/>
              <w:marBottom w:val="0"/>
              <w:divBdr>
                <w:top w:val="none" w:sz="0" w:space="0" w:color="auto"/>
                <w:left w:val="none" w:sz="0" w:space="0" w:color="auto"/>
                <w:bottom w:val="none" w:sz="0" w:space="0" w:color="auto"/>
                <w:right w:val="none" w:sz="0" w:space="0" w:color="auto"/>
              </w:divBdr>
              <w:divsChild>
                <w:div w:id="1604876885">
                  <w:marLeft w:val="0"/>
                  <w:marRight w:val="0"/>
                  <w:marTop w:val="0"/>
                  <w:marBottom w:val="0"/>
                  <w:divBdr>
                    <w:top w:val="none" w:sz="0" w:space="0" w:color="auto"/>
                    <w:left w:val="none" w:sz="0" w:space="0" w:color="auto"/>
                    <w:bottom w:val="none" w:sz="0" w:space="0" w:color="auto"/>
                    <w:right w:val="none" w:sz="0" w:space="0" w:color="auto"/>
                  </w:divBdr>
                </w:div>
              </w:divsChild>
            </w:div>
            <w:div w:id="931206985">
              <w:marLeft w:val="0"/>
              <w:marRight w:val="0"/>
              <w:marTop w:val="0"/>
              <w:marBottom w:val="0"/>
              <w:divBdr>
                <w:top w:val="none" w:sz="0" w:space="0" w:color="auto"/>
                <w:left w:val="none" w:sz="0" w:space="0" w:color="auto"/>
                <w:bottom w:val="none" w:sz="0" w:space="0" w:color="auto"/>
                <w:right w:val="none" w:sz="0" w:space="0" w:color="auto"/>
              </w:divBdr>
              <w:divsChild>
                <w:div w:id="944071351">
                  <w:marLeft w:val="0"/>
                  <w:marRight w:val="0"/>
                  <w:marTop w:val="0"/>
                  <w:marBottom w:val="0"/>
                  <w:divBdr>
                    <w:top w:val="none" w:sz="0" w:space="0" w:color="auto"/>
                    <w:left w:val="none" w:sz="0" w:space="0" w:color="auto"/>
                    <w:bottom w:val="none" w:sz="0" w:space="0" w:color="auto"/>
                    <w:right w:val="none" w:sz="0" w:space="0" w:color="auto"/>
                  </w:divBdr>
                </w:div>
              </w:divsChild>
            </w:div>
            <w:div w:id="935098452">
              <w:marLeft w:val="0"/>
              <w:marRight w:val="0"/>
              <w:marTop w:val="0"/>
              <w:marBottom w:val="0"/>
              <w:divBdr>
                <w:top w:val="none" w:sz="0" w:space="0" w:color="auto"/>
                <w:left w:val="none" w:sz="0" w:space="0" w:color="auto"/>
                <w:bottom w:val="none" w:sz="0" w:space="0" w:color="auto"/>
                <w:right w:val="none" w:sz="0" w:space="0" w:color="auto"/>
              </w:divBdr>
              <w:divsChild>
                <w:div w:id="1441299409">
                  <w:marLeft w:val="0"/>
                  <w:marRight w:val="0"/>
                  <w:marTop w:val="0"/>
                  <w:marBottom w:val="0"/>
                  <w:divBdr>
                    <w:top w:val="none" w:sz="0" w:space="0" w:color="auto"/>
                    <w:left w:val="none" w:sz="0" w:space="0" w:color="auto"/>
                    <w:bottom w:val="none" w:sz="0" w:space="0" w:color="auto"/>
                    <w:right w:val="none" w:sz="0" w:space="0" w:color="auto"/>
                  </w:divBdr>
                </w:div>
              </w:divsChild>
            </w:div>
            <w:div w:id="937060242">
              <w:marLeft w:val="0"/>
              <w:marRight w:val="0"/>
              <w:marTop w:val="0"/>
              <w:marBottom w:val="0"/>
              <w:divBdr>
                <w:top w:val="none" w:sz="0" w:space="0" w:color="auto"/>
                <w:left w:val="none" w:sz="0" w:space="0" w:color="auto"/>
                <w:bottom w:val="none" w:sz="0" w:space="0" w:color="auto"/>
                <w:right w:val="none" w:sz="0" w:space="0" w:color="auto"/>
              </w:divBdr>
              <w:divsChild>
                <w:div w:id="173613403">
                  <w:marLeft w:val="0"/>
                  <w:marRight w:val="0"/>
                  <w:marTop w:val="0"/>
                  <w:marBottom w:val="0"/>
                  <w:divBdr>
                    <w:top w:val="none" w:sz="0" w:space="0" w:color="auto"/>
                    <w:left w:val="none" w:sz="0" w:space="0" w:color="auto"/>
                    <w:bottom w:val="none" w:sz="0" w:space="0" w:color="auto"/>
                    <w:right w:val="none" w:sz="0" w:space="0" w:color="auto"/>
                  </w:divBdr>
                </w:div>
              </w:divsChild>
            </w:div>
            <w:div w:id="941256337">
              <w:marLeft w:val="0"/>
              <w:marRight w:val="0"/>
              <w:marTop w:val="0"/>
              <w:marBottom w:val="0"/>
              <w:divBdr>
                <w:top w:val="none" w:sz="0" w:space="0" w:color="auto"/>
                <w:left w:val="none" w:sz="0" w:space="0" w:color="auto"/>
                <w:bottom w:val="none" w:sz="0" w:space="0" w:color="auto"/>
                <w:right w:val="none" w:sz="0" w:space="0" w:color="auto"/>
              </w:divBdr>
              <w:divsChild>
                <w:div w:id="755858512">
                  <w:marLeft w:val="0"/>
                  <w:marRight w:val="0"/>
                  <w:marTop w:val="0"/>
                  <w:marBottom w:val="0"/>
                  <w:divBdr>
                    <w:top w:val="none" w:sz="0" w:space="0" w:color="auto"/>
                    <w:left w:val="none" w:sz="0" w:space="0" w:color="auto"/>
                    <w:bottom w:val="none" w:sz="0" w:space="0" w:color="auto"/>
                    <w:right w:val="none" w:sz="0" w:space="0" w:color="auto"/>
                  </w:divBdr>
                </w:div>
              </w:divsChild>
            </w:div>
            <w:div w:id="941841558">
              <w:marLeft w:val="0"/>
              <w:marRight w:val="0"/>
              <w:marTop w:val="0"/>
              <w:marBottom w:val="0"/>
              <w:divBdr>
                <w:top w:val="none" w:sz="0" w:space="0" w:color="auto"/>
                <w:left w:val="none" w:sz="0" w:space="0" w:color="auto"/>
                <w:bottom w:val="none" w:sz="0" w:space="0" w:color="auto"/>
                <w:right w:val="none" w:sz="0" w:space="0" w:color="auto"/>
              </w:divBdr>
              <w:divsChild>
                <w:div w:id="1269700501">
                  <w:marLeft w:val="0"/>
                  <w:marRight w:val="0"/>
                  <w:marTop w:val="0"/>
                  <w:marBottom w:val="0"/>
                  <w:divBdr>
                    <w:top w:val="none" w:sz="0" w:space="0" w:color="auto"/>
                    <w:left w:val="none" w:sz="0" w:space="0" w:color="auto"/>
                    <w:bottom w:val="none" w:sz="0" w:space="0" w:color="auto"/>
                    <w:right w:val="none" w:sz="0" w:space="0" w:color="auto"/>
                  </w:divBdr>
                </w:div>
              </w:divsChild>
            </w:div>
            <w:div w:id="969287051">
              <w:marLeft w:val="0"/>
              <w:marRight w:val="0"/>
              <w:marTop w:val="0"/>
              <w:marBottom w:val="0"/>
              <w:divBdr>
                <w:top w:val="none" w:sz="0" w:space="0" w:color="auto"/>
                <w:left w:val="none" w:sz="0" w:space="0" w:color="auto"/>
                <w:bottom w:val="none" w:sz="0" w:space="0" w:color="auto"/>
                <w:right w:val="none" w:sz="0" w:space="0" w:color="auto"/>
              </w:divBdr>
              <w:divsChild>
                <w:div w:id="621158695">
                  <w:marLeft w:val="0"/>
                  <w:marRight w:val="0"/>
                  <w:marTop w:val="0"/>
                  <w:marBottom w:val="0"/>
                  <w:divBdr>
                    <w:top w:val="none" w:sz="0" w:space="0" w:color="auto"/>
                    <w:left w:val="none" w:sz="0" w:space="0" w:color="auto"/>
                    <w:bottom w:val="none" w:sz="0" w:space="0" w:color="auto"/>
                    <w:right w:val="none" w:sz="0" w:space="0" w:color="auto"/>
                  </w:divBdr>
                </w:div>
                <w:div w:id="1676611176">
                  <w:marLeft w:val="0"/>
                  <w:marRight w:val="0"/>
                  <w:marTop w:val="0"/>
                  <w:marBottom w:val="0"/>
                  <w:divBdr>
                    <w:top w:val="none" w:sz="0" w:space="0" w:color="auto"/>
                    <w:left w:val="none" w:sz="0" w:space="0" w:color="auto"/>
                    <w:bottom w:val="none" w:sz="0" w:space="0" w:color="auto"/>
                    <w:right w:val="none" w:sz="0" w:space="0" w:color="auto"/>
                  </w:divBdr>
                </w:div>
              </w:divsChild>
            </w:div>
            <w:div w:id="969825880">
              <w:marLeft w:val="0"/>
              <w:marRight w:val="0"/>
              <w:marTop w:val="0"/>
              <w:marBottom w:val="0"/>
              <w:divBdr>
                <w:top w:val="none" w:sz="0" w:space="0" w:color="auto"/>
                <w:left w:val="none" w:sz="0" w:space="0" w:color="auto"/>
                <w:bottom w:val="none" w:sz="0" w:space="0" w:color="auto"/>
                <w:right w:val="none" w:sz="0" w:space="0" w:color="auto"/>
              </w:divBdr>
              <w:divsChild>
                <w:div w:id="786773554">
                  <w:marLeft w:val="0"/>
                  <w:marRight w:val="0"/>
                  <w:marTop w:val="0"/>
                  <w:marBottom w:val="0"/>
                  <w:divBdr>
                    <w:top w:val="none" w:sz="0" w:space="0" w:color="auto"/>
                    <w:left w:val="none" w:sz="0" w:space="0" w:color="auto"/>
                    <w:bottom w:val="none" w:sz="0" w:space="0" w:color="auto"/>
                    <w:right w:val="none" w:sz="0" w:space="0" w:color="auto"/>
                  </w:divBdr>
                </w:div>
              </w:divsChild>
            </w:div>
            <w:div w:id="985625397">
              <w:marLeft w:val="0"/>
              <w:marRight w:val="0"/>
              <w:marTop w:val="0"/>
              <w:marBottom w:val="0"/>
              <w:divBdr>
                <w:top w:val="none" w:sz="0" w:space="0" w:color="auto"/>
                <w:left w:val="none" w:sz="0" w:space="0" w:color="auto"/>
                <w:bottom w:val="none" w:sz="0" w:space="0" w:color="auto"/>
                <w:right w:val="none" w:sz="0" w:space="0" w:color="auto"/>
              </w:divBdr>
              <w:divsChild>
                <w:div w:id="1076786529">
                  <w:marLeft w:val="0"/>
                  <w:marRight w:val="0"/>
                  <w:marTop w:val="0"/>
                  <w:marBottom w:val="0"/>
                  <w:divBdr>
                    <w:top w:val="none" w:sz="0" w:space="0" w:color="auto"/>
                    <w:left w:val="none" w:sz="0" w:space="0" w:color="auto"/>
                    <w:bottom w:val="none" w:sz="0" w:space="0" w:color="auto"/>
                    <w:right w:val="none" w:sz="0" w:space="0" w:color="auto"/>
                  </w:divBdr>
                </w:div>
              </w:divsChild>
            </w:div>
            <w:div w:id="1000428657">
              <w:marLeft w:val="0"/>
              <w:marRight w:val="0"/>
              <w:marTop w:val="0"/>
              <w:marBottom w:val="0"/>
              <w:divBdr>
                <w:top w:val="none" w:sz="0" w:space="0" w:color="auto"/>
                <w:left w:val="none" w:sz="0" w:space="0" w:color="auto"/>
                <w:bottom w:val="none" w:sz="0" w:space="0" w:color="auto"/>
                <w:right w:val="none" w:sz="0" w:space="0" w:color="auto"/>
              </w:divBdr>
              <w:divsChild>
                <w:div w:id="1085762979">
                  <w:marLeft w:val="0"/>
                  <w:marRight w:val="0"/>
                  <w:marTop w:val="0"/>
                  <w:marBottom w:val="0"/>
                  <w:divBdr>
                    <w:top w:val="none" w:sz="0" w:space="0" w:color="auto"/>
                    <w:left w:val="none" w:sz="0" w:space="0" w:color="auto"/>
                    <w:bottom w:val="none" w:sz="0" w:space="0" w:color="auto"/>
                    <w:right w:val="none" w:sz="0" w:space="0" w:color="auto"/>
                  </w:divBdr>
                </w:div>
              </w:divsChild>
            </w:div>
            <w:div w:id="1014724008">
              <w:marLeft w:val="0"/>
              <w:marRight w:val="0"/>
              <w:marTop w:val="0"/>
              <w:marBottom w:val="0"/>
              <w:divBdr>
                <w:top w:val="none" w:sz="0" w:space="0" w:color="auto"/>
                <w:left w:val="none" w:sz="0" w:space="0" w:color="auto"/>
                <w:bottom w:val="none" w:sz="0" w:space="0" w:color="auto"/>
                <w:right w:val="none" w:sz="0" w:space="0" w:color="auto"/>
              </w:divBdr>
              <w:divsChild>
                <w:div w:id="1952007201">
                  <w:marLeft w:val="0"/>
                  <w:marRight w:val="0"/>
                  <w:marTop w:val="0"/>
                  <w:marBottom w:val="0"/>
                  <w:divBdr>
                    <w:top w:val="none" w:sz="0" w:space="0" w:color="auto"/>
                    <w:left w:val="none" w:sz="0" w:space="0" w:color="auto"/>
                    <w:bottom w:val="none" w:sz="0" w:space="0" w:color="auto"/>
                    <w:right w:val="none" w:sz="0" w:space="0" w:color="auto"/>
                  </w:divBdr>
                </w:div>
              </w:divsChild>
            </w:div>
            <w:div w:id="1014840925">
              <w:marLeft w:val="0"/>
              <w:marRight w:val="0"/>
              <w:marTop w:val="0"/>
              <w:marBottom w:val="0"/>
              <w:divBdr>
                <w:top w:val="none" w:sz="0" w:space="0" w:color="auto"/>
                <w:left w:val="none" w:sz="0" w:space="0" w:color="auto"/>
                <w:bottom w:val="none" w:sz="0" w:space="0" w:color="auto"/>
                <w:right w:val="none" w:sz="0" w:space="0" w:color="auto"/>
              </w:divBdr>
              <w:divsChild>
                <w:div w:id="1071074304">
                  <w:marLeft w:val="0"/>
                  <w:marRight w:val="0"/>
                  <w:marTop w:val="0"/>
                  <w:marBottom w:val="0"/>
                  <w:divBdr>
                    <w:top w:val="none" w:sz="0" w:space="0" w:color="auto"/>
                    <w:left w:val="none" w:sz="0" w:space="0" w:color="auto"/>
                    <w:bottom w:val="none" w:sz="0" w:space="0" w:color="auto"/>
                    <w:right w:val="none" w:sz="0" w:space="0" w:color="auto"/>
                  </w:divBdr>
                </w:div>
              </w:divsChild>
            </w:div>
            <w:div w:id="1049573711">
              <w:marLeft w:val="0"/>
              <w:marRight w:val="0"/>
              <w:marTop w:val="0"/>
              <w:marBottom w:val="0"/>
              <w:divBdr>
                <w:top w:val="none" w:sz="0" w:space="0" w:color="auto"/>
                <w:left w:val="none" w:sz="0" w:space="0" w:color="auto"/>
                <w:bottom w:val="none" w:sz="0" w:space="0" w:color="auto"/>
                <w:right w:val="none" w:sz="0" w:space="0" w:color="auto"/>
              </w:divBdr>
              <w:divsChild>
                <w:div w:id="1210797587">
                  <w:marLeft w:val="0"/>
                  <w:marRight w:val="0"/>
                  <w:marTop w:val="0"/>
                  <w:marBottom w:val="0"/>
                  <w:divBdr>
                    <w:top w:val="none" w:sz="0" w:space="0" w:color="auto"/>
                    <w:left w:val="none" w:sz="0" w:space="0" w:color="auto"/>
                    <w:bottom w:val="none" w:sz="0" w:space="0" w:color="auto"/>
                    <w:right w:val="none" w:sz="0" w:space="0" w:color="auto"/>
                  </w:divBdr>
                </w:div>
              </w:divsChild>
            </w:div>
            <w:div w:id="1053233363">
              <w:marLeft w:val="0"/>
              <w:marRight w:val="0"/>
              <w:marTop w:val="0"/>
              <w:marBottom w:val="0"/>
              <w:divBdr>
                <w:top w:val="none" w:sz="0" w:space="0" w:color="auto"/>
                <w:left w:val="none" w:sz="0" w:space="0" w:color="auto"/>
                <w:bottom w:val="none" w:sz="0" w:space="0" w:color="auto"/>
                <w:right w:val="none" w:sz="0" w:space="0" w:color="auto"/>
              </w:divBdr>
              <w:divsChild>
                <w:div w:id="1238128938">
                  <w:marLeft w:val="0"/>
                  <w:marRight w:val="0"/>
                  <w:marTop w:val="0"/>
                  <w:marBottom w:val="0"/>
                  <w:divBdr>
                    <w:top w:val="none" w:sz="0" w:space="0" w:color="auto"/>
                    <w:left w:val="none" w:sz="0" w:space="0" w:color="auto"/>
                    <w:bottom w:val="none" w:sz="0" w:space="0" w:color="auto"/>
                    <w:right w:val="none" w:sz="0" w:space="0" w:color="auto"/>
                  </w:divBdr>
                </w:div>
              </w:divsChild>
            </w:div>
            <w:div w:id="1061321706">
              <w:marLeft w:val="0"/>
              <w:marRight w:val="0"/>
              <w:marTop w:val="0"/>
              <w:marBottom w:val="0"/>
              <w:divBdr>
                <w:top w:val="none" w:sz="0" w:space="0" w:color="auto"/>
                <w:left w:val="none" w:sz="0" w:space="0" w:color="auto"/>
                <w:bottom w:val="none" w:sz="0" w:space="0" w:color="auto"/>
                <w:right w:val="none" w:sz="0" w:space="0" w:color="auto"/>
              </w:divBdr>
              <w:divsChild>
                <w:div w:id="98062557">
                  <w:marLeft w:val="0"/>
                  <w:marRight w:val="0"/>
                  <w:marTop w:val="0"/>
                  <w:marBottom w:val="0"/>
                  <w:divBdr>
                    <w:top w:val="none" w:sz="0" w:space="0" w:color="auto"/>
                    <w:left w:val="none" w:sz="0" w:space="0" w:color="auto"/>
                    <w:bottom w:val="none" w:sz="0" w:space="0" w:color="auto"/>
                    <w:right w:val="none" w:sz="0" w:space="0" w:color="auto"/>
                  </w:divBdr>
                </w:div>
              </w:divsChild>
            </w:div>
            <w:div w:id="1068115078">
              <w:marLeft w:val="0"/>
              <w:marRight w:val="0"/>
              <w:marTop w:val="0"/>
              <w:marBottom w:val="0"/>
              <w:divBdr>
                <w:top w:val="none" w:sz="0" w:space="0" w:color="auto"/>
                <w:left w:val="none" w:sz="0" w:space="0" w:color="auto"/>
                <w:bottom w:val="none" w:sz="0" w:space="0" w:color="auto"/>
                <w:right w:val="none" w:sz="0" w:space="0" w:color="auto"/>
              </w:divBdr>
              <w:divsChild>
                <w:div w:id="55394016">
                  <w:marLeft w:val="0"/>
                  <w:marRight w:val="0"/>
                  <w:marTop w:val="0"/>
                  <w:marBottom w:val="0"/>
                  <w:divBdr>
                    <w:top w:val="none" w:sz="0" w:space="0" w:color="auto"/>
                    <w:left w:val="none" w:sz="0" w:space="0" w:color="auto"/>
                    <w:bottom w:val="none" w:sz="0" w:space="0" w:color="auto"/>
                    <w:right w:val="none" w:sz="0" w:space="0" w:color="auto"/>
                  </w:divBdr>
                </w:div>
              </w:divsChild>
            </w:div>
            <w:div w:id="1075013780">
              <w:marLeft w:val="0"/>
              <w:marRight w:val="0"/>
              <w:marTop w:val="0"/>
              <w:marBottom w:val="0"/>
              <w:divBdr>
                <w:top w:val="none" w:sz="0" w:space="0" w:color="auto"/>
                <w:left w:val="none" w:sz="0" w:space="0" w:color="auto"/>
                <w:bottom w:val="none" w:sz="0" w:space="0" w:color="auto"/>
                <w:right w:val="none" w:sz="0" w:space="0" w:color="auto"/>
              </w:divBdr>
              <w:divsChild>
                <w:div w:id="1066488589">
                  <w:marLeft w:val="0"/>
                  <w:marRight w:val="0"/>
                  <w:marTop w:val="0"/>
                  <w:marBottom w:val="0"/>
                  <w:divBdr>
                    <w:top w:val="none" w:sz="0" w:space="0" w:color="auto"/>
                    <w:left w:val="none" w:sz="0" w:space="0" w:color="auto"/>
                    <w:bottom w:val="none" w:sz="0" w:space="0" w:color="auto"/>
                    <w:right w:val="none" w:sz="0" w:space="0" w:color="auto"/>
                  </w:divBdr>
                </w:div>
              </w:divsChild>
            </w:div>
            <w:div w:id="1081214871">
              <w:marLeft w:val="0"/>
              <w:marRight w:val="0"/>
              <w:marTop w:val="0"/>
              <w:marBottom w:val="0"/>
              <w:divBdr>
                <w:top w:val="none" w:sz="0" w:space="0" w:color="auto"/>
                <w:left w:val="none" w:sz="0" w:space="0" w:color="auto"/>
                <w:bottom w:val="none" w:sz="0" w:space="0" w:color="auto"/>
                <w:right w:val="none" w:sz="0" w:space="0" w:color="auto"/>
              </w:divBdr>
              <w:divsChild>
                <w:div w:id="1812751132">
                  <w:marLeft w:val="0"/>
                  <w:marRight w:val="0"/>
                  <w:marTop w:val="0"/>
                  <w:marBottom w:val="0"/>
                  <w:divBdr>
                    <w:top w:val="none" w:sz="0" w:space="0" w:color="auto"/>
                    <w:left w:val="none" w:sz="0" w:space="0" w:color="auto"/>
                    <w:bottom w:val="none" w:sz="0" w:space="0" w:color="auto"/>
                    <w:right w:val="none" w:sz="0" w:space="0" w:color="auto"/>
                  </w:divBdr>
                </w:div>
              </w:divsChild>
            </w:div>
            <w:div w:id="1082293203">
              <w:marLeft w:val="0"/>
              <w:marRight w:val="0"/>
              <w:marTop w:val="0"/>
              <w:marBottom w:val="0"/>
              <w:divBdr>
                <w:top w:val="none" w:sz="0" w:space="0" w:color="auto"/>
                <w:left w:val="none" w:sz="0" w:space="0" w:color="auto"/>
                <w:bottom w:val="none" w:sz="0" w:space="0" w:color="auto"/>
                <w:right w:val="none" w:sz="0" w:space="0" w:color="auto"/>
              </w:divBdr>
              <w:divsChild>
                <w:div w:id="1916088852">
                  <w:marLeft w:val="0"/>
                  <w:marRight w:val="0"/>
                  <w:marTop w:val="0"/>
                  <w:marBottom w:val="0"/>
                  <w:divBdr>
                    <w:top w:val="none" w:sz="0" w:space="0" w:color="auto"/>
                    <w:left w:val="none" w:sz="0" w:space="0" w:color="auto"/>
                    <w:bottom w:val="none" w:sz="0" w:space="0" w:color="auto"/>
                    <w:right w:val="none" w:sz="0" w:space="0" w:color="auto"/>
                  </w:divBdr>
                </w:div>
              </w:divsChild>
            </w:div>
            <w:div w:id="1097603675">
              <w:marLeft w:val="0"/>
              <w:marRight w:val="0"/>
              <w:marTop w:val="0"/>
              <w:marBottom w:val="0"/>
              <w:divBdr>
                <w:top w:val="none" w:sz="0" w:space="0" w:color="auto"/>
                <w:left w:val="none" w:sz="0" w:space="0" w:color="auto"/>
                <w:bottom w:val="none" w:sz="0" w:space="0" w:color="auto"/>
                <w:right w:val="none" w:sz="0" w:space="0" w:color="auto"/>
              </w:divBdr>
              <w:divsChild>
                <w:div w:id="83036923">
                  <w:marLeft w:val="0"/>
                  <w:marRight w:val="0"/>
                  <w:marTop w:val="0"/>
                  <w:marBottom w:val="0"/>
                  <w:divBdr>
                    <w:top w:val="none" w:sz="0" w:space="0" w:color="auto"/>
                    <w:left w:val="none" w:sz="0" w:space="0" w:color="auto"/>
                    <w:bottom w:val="none" w:sz="0" w:space="0" w:color="auto"/>
                    <w:right w:val="none" w:sz="0" w:space="0" w:color="auto"/>
                  </w:divBdr>
                </w:div>
              </w:divsChild>
            </w:div>
            <w:div w:id="1106273515">
              <w:marLeft w:val="0"/>
              <w:marRight w:val="0"/>
              <w:marTop w:val="0"/>
              <w:marBottom w:val="0"/>
              <w:divBdr>
                <w:top w:val="none" w:sz="0" w:space="0" w:color="auto"/>
                <w:left w:val="none" w:sz="0" w:space="0" w:color="auto"/>
                <w:bottom w:val="none" w:sz="0" w:space="0" w:color="auto"/>
                <w:right w:val="none" w:sz="0" w:space="0" w:color="auto"/>
              </w:divBdr>
              <w:divsChild>
                <w:div w:id="2129934849">
                  <w:marLeft w:val="0"/>
                  <w:marRight w:val="0"/>
                  <w:marTop w:val="0"/>
                  <w:marBottom w:val="0"/>
                  <w:divBdr>
                    <w:top w:val="none" w:sz="0" w:space="0" w:color="auto"/>
                    <w:left w:val="none" w:sz="0" w:space="0" w:color="auto"/>
                    <w:bottom w:val="none" w:sz="0" w:space="0" w:color="auto"/>
                    <w:right w:val="none" w:sz="0" w:space="0" w:color="auto"/>
                  </w:divBdr>
                </w:div>
              </w:divsChild>
            </w:div>
            <w:div w:id="1123766025">
              <w:marLeft w:val="0"/>
              <w:marRight w:val="0"/>
              <w:marTop w:val="0"/>
              <w:marBottom w:val="0"/>
              <w:divBdr>
                <w:top w:val="none" w:sz="0" w:space="0" w:color="auto"/>
                <w:left w:val="none" w:sz="0" w:space="0" w:color="auto"/>
                <w:bottom w:val="none" w:sz="0" w:space="0" w:color="auto"/>
                <w:right w:val="none" w:sz="0" w:space="0" w:color="auto"/>
              </w:divBdr>
              <w:divsChild>
                <w:div w:id="821388030">
                  <w:marLeft w:val="0"/>
                  <w:marRight w:val="0"/>
                  <w:marTop w:val="0"/>
                  <w:marBottom w:val="0"/>
                  <w:divBdr>
                    <w:top w:val="none" w:sz="0" w:space="0" w:color="auto"/>
                    <w:left w:val="none" w:sz="0" w:space="0" w:color="auto"/>
                    <w:bottom w:val="none" w:sz="0" w:space="0" w:color="auto"/>
                    <w:right w:val="none" w:sz="0" w:space="0" w:color="auto"/>
                  </w:divBdr>
                </w:div>
              </w:divsChild>
            </w:div>
            <w:div w:id="1127970273">
              <w:marLeft w:val="0"/>
              <w:marRight w:val="0"/>
              <w:marTop w:val="0"/>
              <w:marBottom w:val="0"/>
              <w:divBdr>
                <w:top w:val="none" w:sz="0" w:space="0" w:color="auto"/>
                <w:left w:val="none" w:sz="0" w:space="0" w:color="auto"/>
                <w:bottom w:val="none" w:sz="0" w:space="0" w:color="auto"/>
                <w:right w:val="none" w:sz="0" w:space="0" w:color="auto"/>
              </w:divBdr>
              <w:divsChild>
                <w:div w:id="1623607810">
                  <w:marLeft w:val="0"/>
                  <w:marRight w:val="0"/>
                  <w:marTop w:val="0"/>
                  <w:marBottom w:val="0"/>
                  <w:divBdr>
                    <w:top w:val="none" w:sz="0" w:space="0" w:color="auto"/>
                    <w:left w:val="none" w:sz="0" w:space="0" w:color="auto"/>
                    <w:bottom w:val="none" w:sz="0" w:space="0" w:color="auto"/>
                    <w:right w:val="none" w:sz="0" w:space="0" w:color="auto"/>
                  </w:divBdr>
                </w:div>
              </w:divsChild>
            </w:div>
            <w:div w:id="1143424321">
              <w:marLeft w:val="0"/>
              <w:marRight w:val="0"/>
              <w:marTop w:val="0"/>
              <w:marBottom w:val="0"/>
              <w:divBdr>
                <w:top w:val="none" w:sz="0" w:space="0" w:color="auto"/>
                <w:left w:val="none" w:sz="0" w:space="0" w:color="auto"/>
                <w:bottom w:val="none" w:sz="0" w:space="0" w:color="auto"/>
                <w:right w:val="none" w:sz="0" w:space="0" w:color="auto"/>
              </w:divBdr>
              <w:divsChild>
                <w:div w:id="516426528">
                  <w:marLeft w:val="0"/>
                  <w:marRight w:val="0"/>
                  <w:marTop w:val="0"/>
                  <w:marBottom w:val="0"/>
                  <w:divBdr>
                    <w:top w:val="none" w:sz="0" w:space="0" w:color="auto"/>
                    <w:left w:val="none" w:sz="0" w:space="0" w:color="auto"/>
                    <w:bottom w:val="none" w:sz="0" w:space="0" w:color="auto"/>
                    <w:right w:val="none" w:sz="0" w:space="0" w:color="auto"/>
                  </w:divBdr>
                </w:div>
              </w:divsChild>
            </w:div>
            <w:div w:id="1155560965">
              <w:marLeft w:val="0"/>
              <w:marRight w:val="0"/>
              <w:marTop w:val="0"/>
              <w:marBottom w:val="0"/>
              <w:divBdr>
                <w:top w:val="none" w:sz="0" w:space="0" w:color="auto"/>
                <w:left w:val="none" w:sz="0" w:space="0" w:color="auto"/>
                <w:bottom w:val="none" w:sz="0" w:space="0" w:color="auto"/>
                <w:right w:val="none" w:sz="0" w:space="0" w:color="auto"/>
              </w:divBdr>
              <w:divsChild>
                <w:div w:id="228882896">
                  <w:marLeft w:val="0"/>
                  <w:marRight w:val="0"/>
                  <w:marTop w:val="0"/>
                  <w:marBottom w:val="0"/>
                  <w:divBdr>
                    <w:top w:val="none" w:sz="0" w:space="0" w:color="auto"/>
                    <w:left w:val="none" w:sz="0" w:space="0" w:color="auto"/>
                    <w:bottom w:val="none" w:sz="0" w:space="0" w:color="auto"/>
                    <w:right w:val="none" w:sz="0" w:space="0" w:color="auto"/>
                  </w:divBdr>
                </w:div>
              </w:divsChild>
            </w:div>
            <w:div w:id="1166559257">
              <w:marLeft w:val="0"/>
              <w:marRight w:val="0"/>
              <w:marTop w:val="0"/>
              <w:marBottom w:val="0"/>
              <w:divBdr>
                <w:top w:val="none" w:sz="0" w:space="0" w:color="auto"/>
                <w:left w:val="none" w:sz="0" w:space="0" w:color="auto"/>
                <w:bottom w:val="none" w:sz="0" w:space="0" w:color="auto"/>
                <w:right w:val="none" w:sz="0" w:space="0" w:color="auto"/>
              </w:divBdr>
              <w:divsChild>
                <w:div w:id="449130551">
                  <w:marLeft w:val="0"/>
                  <w:marRight w:val="0"/>
                  <w:marTop w:val="0"/>
                  <w:marBottom w:val="0"/>
                  <w:divBdr>
                    <w:top w:val="none" w:sz="0" w:space="0" w:color="auto"/>
                    <w:left w:val="none" w:sz="0" w:space="0" w:color="auto"/>
                    <w:bottom w:val="none" w:sz="0" w:space="0" w:color="auto"/>
                    <w:right w:val="none" w:sz="0" w:space="0" w:color="auto"/>
                  </w:divBdr>
                </w:div>
              </w:divsChild>
            </w:div>
            <w:div w:id="1182352435">
              <w:marLeft w:val="0"/>
              <w:marRight w:val="0"/>
              <w:marTop w:val="0"/>
              <w:marBottom w:val="0"/>
              <w:divBdr>
                <w:top w:val="none" w:sz="0" w:space="0" w:color="auto"/>
                <w:left w:val="none" w:sz="0" w:space="0" w:color="auto"/>
                <w:bottom w:val="none" w:sz="0" w:space="0" w:color="auto"/>
                <w:right w:val="none" w:sz="0" w:space="0" w:color="auto"/>
              </w:divBdr>
              <w:divsChild>
                <w:div w:id="482934869">
                  <w:marLeft w:val="0"/>
                  <w:marRight w:val="0"/>
                  <w:marTop w:val="0"/>
                  <w:marBottom w:val="0"/>
                  <w:divBdr>
                    <w:top w:val="none" w:sz="0" w:space="0" w:color="auto"/>
                    <w:left w:val="none" w:sz="0" w:space="0" w:color="auto"/>
                    <w:bottom w:val="none" w:sz="0" w:space="0" w:color="auto"/>
                    <w:right w:val="none" w:sz="0" w:space="0" w:color="auto"/>
                  </w:divBdr>
                </w:div>
              </w:divsChild>
            </w:div>
            <w:div w:id="1199510114">
              <w:marLeft w:val="0"/>
              <w:marRight w:val="0"/>
              <w:marTop w:val="0"/>
              <w:marBottom w:val="0"/>
              <w:divBdr>
                <w:top w:val="none" w:sz="0" w:space="0" w:color="auto"/>
                <w:left w:val="none" w:sz="0" w:space="0" w:color="auto"/>
                <w:bottom w:val="none" w:sz="0" w:space="0" w:color="auto"/>
                <w:right w:val="none" w:sz="0" w:space="0" w:color="auto"/>
              </w:divBdr>
              <w:divsChild>
                <w:div w:id="1677616000">
                  <w:marLeft w:val="0"/>
                  <w:marRight w:val="0"/>
                  <w:marTop w:val="0"/>
                  <w:marBottom w:val="0"/>
                  <w:divBdr>
                    <w:top w:val="none" w:sz="0" w:space="0" w:color="auto"/>
                    <w:left w:val="none" w:sz="0" w:space="0" w:color="auto"/>
                    <w:bottom w:val="none" w:sz="0" w:space="0" w:color="auto"/>
                    <w:right w:val="none" w:sz="0" w:space="0" w:color="auto"/>
                  </w:divBdr>
                </w:div>
              </w:divsChild>
            </w:div>
            <w:div w:id="1207253013">
              <w:marLeft w:val="0"/>
              <w:marRight w:val="0"/>
              <w:marTop w:val="0"/>
              <w:marBottom w:val="0"/>
              <w:divBdr>
                <w:top w:val="none" w:sz="0" w:space="0" w:color="auto"/>
                <w:left w:val="none" w:sz="0" w:space="0" w:color="auto"/>
                <w:bottom w:val="none" w:sz="0" w:space="0" w:color="auto"/>
                <w:right w:val="none" w:sz="0" w:space="0" w:color="auto"/>
              </w:divBdr>
              <w:divsChild>
                <w:div w:id="256059080">
                  <w:marLeft w:val="0"/>
                  <w:marRight w:val="0"/>
                  <w:marTop w:val="0"/>
                  <w:marBottom w:val="0"/>
                  <w:divBdr>
                    <w:top w:val="none" w:sz="0" w:space="0" w:color="auto"/>
                    <w:left w:val="none" w:sz="0" w:space="0" w:color="auto"/>
                    <w:bottom w:val="none" w:sz="0" w:space="0" w:color="auto"/>
                    <w:right w:val="none" w:sz="0" w:space="0" w:color="auto"/>
                  </w:divBdr>
                </w:div>
              </w:divsChild>
            </w:div>
            <w:div w:id="1209761219">
              <w:marLeft w:val="0"/>
              <w:marRight w:val="0"/>
              <w:marTop w:val="0"/>
              <w:marBottom w:val="0"/>
              <w:divBdr>
                <w:top w:val="none" w:sz="0" w:space="0" w:color="auto"/>
                <w:left w:val="none" w:sz="0" w:space="0" w:color="auto"/>
                <w:bottom w:val="none" w:sz="0" w:space="0" w:color="auto"/>
                <w:right w:val="none" w:sz="0" w:space="0" w:color="auto"/>
              </w:divBdr>
              <w:divsChild>
                <w:div w:id="957955638">
                  <w:marLeft w:val="0"/>
                  <w:marRight w:val="0"/>
                  <w:marTop w:val="0"/>
                  <w:marBottom w:val="0"/>
                  <w:divBdr>
                    <w:top w:val="none" w:sz="0" w:space="0" w:color="auto"/>
                    <w:left w:val="none" w:sz="0" w:space="0" w:color="auto"/>
                    <w:bottom w:val="none" w:sz="0" w:space="0" w:color="auto"/>
                    <w:right w:val="none" w:sz="0" w:space="0" w:color="auto"/>
                  </w:divBdr>
                </w:div>
              </w:divsChild>
            </w:div>
            <w:div w:id="1217860848">
              <w:marLeft w:val="0"/>
              <w:marRight w:val="0"/>
              <w:marTop w:val="0"/>
              <w:marBottom w:val="0"/>
              <w:divBdr>
                <w:top w:val="none" w:sz="0" w:space="0" w:color="auto"/>
                <w:left w:val="none" w:sz="0" w:space="0" w:color="auto"/>
                <w:bottom w:val="none" w:sz="0" w:space="0" w:color="auto"/>
                <w:right w:val="none" w:sz="0" w:space="0" w:color="auto"/>
              </w:divBdr>
              <w:divsChild>
                <w:div w:id="454252125">
                  <w:marLeft w:val="0"/>
                  <w:marRight w:val="0"/>
                  <w:marTop w:val="0"/>
                  <w:marBottom w:val="0"/>
                  <w:divBdr>
                    <w:top w:val="none" w:sz="0" w:space="0" w:color="auto"/>
                    <w:left w:val="none" w:sz="0" w:space="0" w:color="auto"/>
                    <w:bottom w:val="none" w:sz="0" w:space="0" w:color="auto"/>
                    <w:right w:val="none" w:sz="0" w:space="0" w:color="auto"/>
                  </w:divBdr>
                </w:div>
              </w:divsChild>
            </w:div>
            <w:div w:id="1230379989">
              <w:marLeft w:val="0"/>
              <w:marRight w:val="0"/>
              <w:marTop w:val="0"/>
              <w:marBottom w:val="0"/>
              <w:divBdr>
                <w:top w:val="none" w:sz="0" w:space="0" w:color="auto"/>
                <w:left w:val="none" w:sz="0" w:space="0" w:color="auto"/>
                <w:bottom w:val="none" w:sz="0" w:space="0" w:color="auto"/>
                <w:right w:val="none" w:sz="0" w:space="0" w:color="auto"/>
              </w:divBdr>
              <w:divsChild>
                <w:div w:id="1613977745">
                  <w:marLeft w:val="0"/>
                  <w:marRight w:val="0"/>
                  <w:marTop w:val="0"/>
                  <w:marBottom w:val="0"/>
                  <w:divBdr>
                    <w:top w:val="none" w:sz="0" w:space="0" w:color="auto"/>
                    <w:left w:val="none" w:sz="0" w:space="0" w:color="auto"/>
                    <w:bottom w:val="none" w:sz="0" w:space="0" w:color="auto"/>
                    <w:right w:val="none" w:sz="0" w:space="0" w:color="auto"/>
                  </w:divBdr>
                </w:div>
              </w:divsChild>
            </w:div>
            <w:div w:id="1292591101">
              <w:marLeft w:val="0"/>
              <w:marRight w:val="0"/>
              <w:marTop w:val="0"/>
              <w:marBottom w:val="0"/>
              <w:divBdr>
                <w:top w:val="none" w:sz="0" w:space="0" w:color="auto"/>
                <w:left w:val="none" w:sz="0" w:space="0" w:color="auto"/>
                <w:bottom w:val="none" w:sz="0" w:space="0" w:color="auto"/>
                <w:right w:val="none" w:sz="0" w:space="0" w:color="auto"/>
              </w:divBdr>
              <w:divsChild>
                <w:div w:id="449712278">
                  <w:marLeft w:val="0"/>
                  <w:marRight w:val="0"/>
                  <w:marTop w:val="0"/>
                  <w:marBottom w:val="0"/>
                  <w:divBdr>
                    <w:top w:val="none" w:sz="0" w:space="0" w:color="auto"/>
                    <w:left w:val="none" w:sz="0" w:space="0" w:color="auto"/>
                    <w:bottom w:val="none" w:sz="0" w:space="0" w:color="auto"/>
                    <w:right w:val="none" w:sz="0" w:space="0" w:color="auto"/>
                  </w:divBdr>
                </w:div>
              </w:divsChild>
            </w:div>
            <w:div w:id="1299338477">
              <w:marLeft w:val="0"/>
              <w:marRight w:val="0"/>
              <w:marTop w:val="0"/>
              <w:marBottom w:val="0"/>
              <w:divBdr>
                <w:top w:val="none" w:sz="0" w:space="0" w:color="auto"/>
                <w:left w:val="none" w:sz="0" w:space="0" w:color="auto"/>
                <w:bottom w:val="none" w:sz="0" w:space="0" w:color="auto"/>
                <w:right w:val="none" w:sz="0" w:space="0" w:color="auto"/>
              </w:divBdr>
              <w:divsChild>
                <w:div w:id="1732846560">
                  <w:marLeft w:val="0"/>
                  <w:marRight w:val="0"/>
                  <w:marTop w:val="0"/>
                  <w:marBottom w:val="0"/>
                  <w:divBdr>
                    <w:top w:val="none" w:sz="0" w:space="0" w:color="auto"/>
                    <w:left w:val="none" w:sz="0" w:space="0" w:color="auto"/>
                    <w:bottom w:val="none" w:sz="0" w:space="0" w:color="auto"/>
                    <w:right w:val="none" w:sz="0" w:space="0" w:color="auto"/>
                  </w:divBdr>
                </w:div>
              </w:divsChild>
            </w:div>
            <w:div w:id="1306199529">
              <w:marLeft w:val="0"/>
              <w:marRight w:val="0"/>
              <w:marTop w:val="0"/>
              <w:marBottom w:val="0"/>
              <w:divBdr>
                <w:top w:val="none" w:sz="0" w:space="0" w:color="auto"/>
                <w:left w:val="none" w:sz="0" w:space="0" w:color="auto"/>
                <w:bottom w:val="none" w:sz="0" w:space="0" w:color="auto"/>
                <w:right w:val="none" w:sz="0" w:space="0" w:color="auto"/>
              </w:divBdr>
              <w:divsChild>
                <w:div w:id="89668521">
                  <w:marLeft w:val="0"/>
                  <w:marRight w:val="0"/>
                  <w:marTop w:val="0"/>
                  <w:marBottom w:val="0"/>
                  <w:divBdr>
                    <w:top w:val="none" w:sz="0" w:space="0" w:color="auto"/>
                    <w:left w:val="none" w:sz="0" w:space="0" w:color="auto"/>
                    <w:bottom w:val="none" w:sz="0" w:space="0" w:color="auto"/>
                    <w:right w:val="none" w:sz="0" w:space="0" w:color="auto"/>
                  </w:divBdr>
                </w:div>
              </w:divsChild>
            </w:div>
            <w:div w:id="1316957894">
              <w:marLeft w:val="0"/>
              <w:marRight w:val="0"/>
              <w:marTop w:val="0"/>
              <w:marBottom w:val="0"/>
              <w:divBdr>
                <w:top w:val="none" w:sz="0" w:space="0" w:color="auto"/>
                <w:left w:val="none" w:sz="0" w:space="0" w:color="auto"/>
                <w:bottom w:val="none" w:sz="0" w:space="0" w:color="auto"/>
                <w:right w:val="none" w:sz="0" w:space="0" w:color="auto"/>
              </w:divBdr>
              <w:divsChild>
                <w:div w:id="684600846">
                  <w:marLeft w:val="0"/>
                  <w:marRight w:val="0"/>
                  <w:marTop w:val="0"/>
                  <w:marBottom w:val="0"/>
                  <w:divBdr>
                    <w:top w:val="none" w:sz="0" w:space="0" w:color="auto"/>
                    <w:left w:val="none" w:sz="0" w:space="0" w:color="auto"/>
                    <w:bottom w:val="none" w:sz="0" w:space="0" w:color="auto"/>
                    <w:right w:val="none" w:sz="0" w:space="0" w:color="auto"/>
                  </w:divBdr>
                </w:div>
                <w:div w:id="1623226535">
                  <w:marLeft w:val="0"/>
                  <w:marRight w:val="0"/>
                  <w:marTop w:val="0"/>
                  <w:marBottom w:val="0"/>
                  <w:divBdr>
                    <w:top w:val="none" w:sz="0" w:space="0" w:color="auto"/>
                    <w:left w:val="none" w:sz="0" w:space="0" w:color="auto"/>
                    <w:bottom w:val="none" w:sz="0" w:space="0" w:color="auto"/>
                    <w:right w:val="none" w:sz="0" w:space="0" w:color="auto"/>
                  </w:divBdr>
                </w:div>
              </w:divsChild>
            </w:div>
            <w:div w:id="1331300058">
              <w:marLeft w:val="0"/>
              <w:marRight w:val="0"/>
              <w:marTop w:val="0"/>
              <w:marBottom w:val="0"/>
              <w:divBdr>
                <w:top w:val="none" w:sz="0" w:space="0" w:color="auto"/>
                <w:left w:val="none" w:sz="0" w:space="0" w:color="auto"/>
                <w:bottom w:val="none" w:sz="0" w:space="0" w:color="auto"/>
                <w:right w:val="none" w:sz="0" w:space="0" w:color="auto"/>
              </w:divBdr>
              <w:divsChild>
                <w:div w:id="1929726076">
                  <w:marLeft w:val="0"/>
                  <w:marRight w:val="0"/>
                  <w:marTop w:val="0"/>
                  <w:marBottom w:val="0"/>
                  <w:divBdr>
                    <w:top w:val="none" w:sz="0" w:space="0" w:color="auto"/>
                    <w:left w:val="none" w:sz="0" w:space="0" w:color="auto"/>
                    <w:bottom w:val="none" w:sz="0" w:space="0" w:color="auto"/>
                    <w:right w:val="none" w:sz="0" w:space="0" w:color="auto"/>
                  </w:divBdr>
                </w:div>
              </w:divsChild>
            </w:div>
            <w:div w:id="1352684236">
              <w:marLeft w:val="0"/>
              <w:marRight w:val="0"/>
              <w:marTop w:val="0"/>
              <w:marBottom w:val="0"/>
              <w:divBdr>
                <w:top w:val="none" w:sz="0" w:space="0" w:color="auto"/>
                <w:left w:val="none" w:sz="0" w:space="0" w:color="auto"/>
                <w:bottom w:val="none" w:sz="0" w:space="0" w:color="auto"/>
                <w:right w:val="none" w:sz="0" w:space="0" w:color="auto"/>
              </w:divBdr>
              <w:divsChild>
                <w:div w:id="296645832">
                  <w:marLeft w:val="0"/>
                  <w:marRight w:val="0"/>
                  <w:marTop w:val="0"/>
                  <w:marBottom w:val="0"/>
                  <w:divBdr>
                    <w:top w:val="none" w:sz="0" w:space="0" w:color="auto"/>
                    <w:left w:val="none" w:sz="0" w:space="0" w:color="auto"/>
                    <w:bottom w:val="none" w:sz="0" w:space="0" w:color="auto"/>
                    <w:right w:val="none" w:sz="0" w:space="0" w:color="auto"/>
                  </w:divBdr>
                </w:div>
              </w:divsChild>
            </w:div>
            <w:div w:id="1396708571">
              <w:marLeft w:val="0"/>
              <w:marRight w:val="0"/>
              <w:marTop w:val="0"/>
              <w:marBottom w:val="0"/>
              <w:divBdr>
                <w:top w:val="none" w:sz="0" w:space="0" w:color="auto"/>
                <w:left w:val="none" w:sz="0" w:space="0" w:color="auto"/>
                <w:bottom w:val="none" w:sz="0" w:space="0" w:color="auto"/>
                <w:right w:val="none" w:sz="0" w:space="0" w:color="auto"/>
              </w:divBdr>
              <w:divsChild>
                <w:div w:id="470640533">
                  <w:marLeft w:val="0"/>
                  <w:marRight w:val="0"/>
                  <w:marTop w:val="0"/>
                  <w:marBottom w:val="0"/>
                  <w:divBdr>
                    <w:top w:val="none" w:sz="0" w:space="0" w:color="auto"/>
                    <w:left w:val="none" w:sz="0" w:space="0" w:color="auto"/>
                    <w:bottom w:val="none" w:sz="0" w:space="0" w:color="auto"/>
                    <w:right w:val="none" w:sz="0" w:space="0" w:color="auto"/>
                  </w:divBdr>
                </w:div>
              </w:divsChild>
            </w:div>
            <w:div w:id="1434785197">
              <w:marLeft w:val="0"/>
              <w:marRight w:val="0"/>
              <w:marTop w:val="0"/>
              <w:marBottom w:val="0"/>
              <w:divBdr>
                <w:top w:val="none" w:sz="0" w:space="0" w:color="auto"/>
                <w:left w:val="none" w:sz="0" w:space="0" w:color="auto"/>
                <w:bottom w:val="none" w:sz="0" w:space="0" w:color="auto"/>
                <w:right w:val="none" w:sz="0" w:space="0" w:color="auto"/>
              </w:divBdr>
              <w:divsChild>
                <w:div w:id="1442208">
                  <w:marLeft w:val="0"/>
                  <w:marRight w:val="0"/>
                  <w:marTop w:val="0"/>
                  <w:marBottom w:val="0"/>
                  <w:divBdr>
                    <w:top w:val="none" w:sz="0" w:space="0" w:color="auto"/>
                    <w:left w:val="none" w:sz="0" w:space="0" w:color="auto"/>
                    <w:bottom w:val="none" w:sz="0" w:space="0" w:color="auto"/>
                    <w:right w:val="none" w:sz="0" w:space="0" w:color="auto"/>
                  </w:divBdr>
                </w:div>
              </w:divsChild>
            </w:div>
            <w:div w:id="1437556096">
              <w:marLeft w:val="0"/>
              <w:marRight w:val="0"/>
              <w:marTop w:val="0"/>
              <w:marBottom w:val="0"/>
              <w:divBdr>
                <w:top w:val="none" w:sz="0" w:space="0" w:color="auto"/>
                <w:left w:val="none" w:sz="0" w:space="0" w:color="auto"/>
                <w:bottom w:val="none" w:sz="0" w:space="0" w:color="auto"/>
                <w:right w:val="none" w:sz="0" w:space="0" w:color="auto"/>
              </w:divBdr>
              <w:divsChild>
                <w:div w:id="1777560699">
                  <w:marLeft w:val="0"/>
                  <w:marRight w:val="0"/>
                  <w:marTop w:val="0"/>
                  <w:marBottom w:val="0"/>
                  <w:divBdr>
                    <w:top w:val="none" w:sz="0" w:space="0" w:color="auto"/>
                    <w:left w:val="none" w:sz="0" w:space="0" w:color="auto"/>
                    <w:bottom w:val="none" w:sz="0" w:space="0" w:color="auto"/>
                    <w:right w:val="none" w:sz="0" w:space="0" w:color="auto"/>
                  </w:divBdr>
                </w:div>
              </w:divsChild>
            </w:div>
            <w:div w:id="1495682552">
              <w:marLeft w:val="0"/>
              <w:marRight w:val="0"/>
              <w:marTop w:val="0"/>
              <w:marBottom w:val="0"/>
              <w:divBdr>
                <w:top w:val="none" w:sz="0" w:space="0" w:color="auto"/>
                <w:left w:val="none" w:sz="0" w:space="0" w:color="auto"/>
                <w:bottom w:val="none" w:sz="0" w:space="0" w:color="auto"/>
                <w:right w:val="none" w:sz="0" w:space="0" w:color="auto"/>
              </w:divBdr>
              <w:divsChild>
                <w:div w:id="116458986">
                  <w:marLeft w:val="0"/>
                  <w:marRight w:val="0"/>
                  <w:marTop w:val="0"/>
                  <w:marBottom w:val="0"/>
                  <w:divBdr>
                    <w:top w:val="none" w:sz="0" w:space="0" w:color="auto"/>
                    <w:left w:val="none" w:sz="0" w:space="0" w:color="auto"/>
                    <w:bottom w:val="none" w:sz="0" w:space="0" w:color="auto"/>
                    <w:right w:val="none" w:sz="0" w:space="0" w:color="auto"/>
                  </w:divBdr>
                </w:div>
              </w:divsChild>
            </w:div>
            <w:div w:id="1502351050">
              <w:marLeft w:val="0"/>
              <w:marRight w:val="0"/>
              <w:marTop w:val="0"/>
              <w:marBottom w:val="0"/>
              <w:divBdr>
                <w:top w:val="none" w:sz="0" w:space="0" w:color="auto"/>
                <w:left w:val="none" w:sz="0" w:space="0" w:color="auto"/>
                <w:bottom w:val="none" w:sz="0" w:space="0" w:color="auto"/>
                <w:right w:val="none" w:sz="0" w:space="0" w:color="auto"/>
              </w:divBdr>
              <w:divsChild>
                <w:div w:id="1481121136">
                  <w:marLeft w:val="0"/>
                  <w:marRight w:val="0"/>
                  <w:marTop w:val="0"/>
                  <w:marBottom w:val="0"/>
                  <w:divBdr>
                    <w:top w:val="none" w:sz="0" w:space="0" w:color="auto"/>
                    <w:left w:val="none" w:sz="0" w:space="0" w:color="auto"/>
                    <w:bottom w:val="none" w:sz="0" w:space="0" w:color="auto"/>
                    <w:right w:val="none" w:sz="0" w:space="0" w:color="auto"/>
                  </w:divBdr>
                </w:div>
              </w:divsChild>
            </w:div>
            <w:div w:id="1522355029">
              <w:marLeft w:val="0"/>
              <w:marRight w:val="0"/>
              <w:marTop w:val="0"/>
              <w:marBottom w:val="0"/>
              <w:divBdr>
                <w:top w:val="none" w:sz="0" w:space="0" w:color="auto"/>
                <w:left w:val="none" w:sz="0" w:space="0" w:color="auto"/>
                <w:bottom w:val="none" w:sz="0" w:space="0" w:color="auto"/>
                <w:right w:val="none" w:sz="0" w:space="0" w:color="auto"/>
              </w:divBdr>
              <w:divsChild>
                <w:div w:id="595286905">
                  <w:marLeft w:val="0"/>
                  <w:marRight w:val="0"/>
                  <w:marTop w:val="0"/>
                  <w:marBottom w:val="0"/>
                  <w:divBdr>
                    <w:top w:val="none" w:sz="0" w:space="0" w:color="auto"/>
                    <w:left w:val="none" w:sz="0" w:space="0" w:color="auto"/>
                    <w:bottom w:val="none" w:sz="0" w:space="0" w:color="auto"/>
                    <w:right w:val="none" w:sz="0" w:space="0" w:color="auto"/>
                  </w:divBdr>
                </w:div>
              </w:divsChild>
            </w:div>
            <w:div w:id="1528256858">
              <w:marLeft w:val="0"/>
              <w:marRight w:val="0"/>
              <w:marTop w:val="0"/>
              <w:marBottom w:val="0"/>
              <w:divBdr>
                <w:top w:val="none" w:sz="0" w:space="0" w:color="auto"/>
                <w:left w:val="none" w:sz="0" w:space="0" w:color="auto"/>
                <w:bottom w:val="none" w:sz="0" w:space="0" w:color="auto"/>
                <w:right w:val="none" w:sz="0" w:space="0" w:color="auto"/>
              </w:divBdr>
              <w:divsChild>
                <w:div w:id="1572156155">
                  <w:marLeft w:val="0"/>
                  <w:marRight w:val="0"/>
                  <w:marTop w:val="0"/>
                  <w:marBottom w:val="0"/>
                  <w:divBdr>
                    <w:top w:val="none" w:sz="0" w:space="0" w:color="auto"/>
                    <w:left w:val="none" w:sz="0" w:space="0" w:color="auto"/>
                    <w:bottom w:val="none" w:sz="0" w:space="0" w:color="auto"/>
                    <w:right w:val="none" w:sz="0" w:space="0" w:color="auto"/>
                  </w:divBdr>
                </w:div>
              </w:divsChild>
            </w:div>
            <w:div w:id="1548223560">
              <w:marLeft w:val="0"/>
              <w:marRight w:val="0"/>
              <w:marTop w:val="0"/>
              <w:marBottom w:val="0"/>
              <w:divBdr>
                <w:top w:val="none" w:sz="0" w:space="0" w:color="auto"/>
                <w:left w:val="none" w:sz="0" w:space="0" w:color="auto"/>
                <w:bottom w:val="none" w:sz="0" w:space="0" w:color="auto"/>
                <w:right w:val="none" w:sz="0" w:space="0" w:color="auto"/>
              </w:divBdr>
              <w:divsChild>
                <w:div w:id="454177761">
                  <w:marLeft w:val="0"/>
                  <w:marRight w:val="0"/>
                  <w:marTop w:val="0"/>
                  <w:marBottom w:val="0"/>
                  <w:divBdr>
                    <w:top w:val="none" w:sz="0" w:space="0" w:color="auto"/>
                    <w:left w:val="none" w:sz="0" w:space="0" w:color="auto"/>
                    <w:bottom w:val="none" w:sz="0" w:space="0" w:color="auto"/>
                    <w:right w:val="none" w:sz="0" w:space="0" w:color="auto"/>
                  </w:divBdr>
                </w:div>
              </w:divsChild>
            </w:div>
            <w:div w:id="1558583958">
              <w:marLeft w:val="0"/>
              <w:marRight w:val="0"/>
              <w:marTop w:val="0"/>
              <w:marBottom w:val="0"/>
              <w:divBdr>
                <w:top w:val="none" w:sz="0" w:space="0" w:color="auto"/>
                <w:left w:val="none" w:sz="0" w:space="0" w:color="auto"/>
                <w:bottom w:val="none" w:sz="0" w:space="0" w:color="auto"/>
                <w:right w:val="none" w:sz="0" w:space="0" w:color="auto"/>
              </w:divBdr>
              <w:divsChild>
                <w:div w:id="999115290">
                  <w:marLeft w:val="0"/>
                  <w:marRight w:val="0"/>
                  <w:marTop w:val="0"/>
                  <w:marBottom w:val="0"/>
                  <w:divBdr>
                    <w:top w:val="none" w:sz="0" w:space="0" w:color="auto"/>
                    <w:left w:val="none" w:sz="0" w:space="0" w:color="auto"/>
                    <w:bottom w:val="none" w:sz="0" w:space="0" w:color="auto"/>
                    <w:right w:val="none" w:sz="0" w:space="0" w:color="auto"/>
                  </w:divBdr>
                </w:div>
              </w:divsChild>
            </w:div>
            <w:div w:id="1558660095">
              <w:marLeft w:val="0"/>
              <w:marRight w:val="0"/>
              <w:marTop w:val="0"/>
              <w:marBottom w:val="0"/>
              <w:divBdr>
                <w:top w:val="none" w:sz="0" w:space="0" w:color="auto"/>
                <w:left w:val="none" w:sz="0" w:space="0" w:color="auto"/>
                <w:bottom w:val="none" w:sz="0" w:space="0" w:color="auto"/>
                <w:right w:val="none" w:sz="0" w:space="0" w:color="auto"/>
              </w:divBdr>
              <w:divsChild>
                <w:div w:id="1264070051">
                  <w:marLeft w:val="0"/>
                  <w:marRight w:val="0"/>
                  <w:marTop w:val="0"/>
                  <w:marBottom w:val="0"/>
                  <w:divBdr>
                    <w:top w:val="none" w:sz="0" w:space="0" w:color="auto"/>
                    <w:left w:val="none" w:sz="0" w:space="0" w:color="auto"/>
                    <w:bottom w:val="none" w:sz="0" w:space="0" w:color="auto"/>
                    <w:right w:val="none" w:sz="0" w:space="0" w:color="auto"/>
                  </w:divBdr>
                </w:div>
              </w:divsChild>
            </w:div>
            <w:div w:id="1574467166">
              <w:marLeft w:val="0"/>
              <w:marRight w:val="0"/>
              <w:marTop w:val="0"/>
              <w:marBottom w:val="0"/>
              <w:divBdr>
                <w:top w:val="none" w:sz="0" w:space="0" w:color="auto"/>
                <w:left w:val="none" w:sz="0" w:space="0" w:color="auto"/>
                <w:bottom w:val="none" w:sz="0" w:space="0" w:color="auto"/>
                <w:right w:val="none" w:sz="0" w:space="0" w:color="auto"/>
              </w:divBdr>
              <w:divsChild>
                <w:div w:id="557857495">
                  <w:marLeft w:val="0"/>
                  <w:marRight w:val="0"/>
                  <w:marTop w:val="0"/>
                  <w:marBottom w:val="0"/>
                  <w:divBdr>
                    <w:top w:val="none" w:sz="0" w:space="0" w:color="auto"/>
                    <w:left w:val="none" w:sz="0" w:space="0" w:color="auto"/>
                    <w:bottom w:val="none" w:sz="0" w:space="0" w:color="auto"/>
                    <w:right w:val="none" w:sz="0" w:space="0" w:color="auto"/>
                  </w:divBdr>
                </w:div>
              </w:divsChild>
            </w:div>
            <w:div w:id="1582837292">
              <w:marLeft w:val="0"/>
              <w:marRight w:val="0"/>
              <w:marTop w:val="0"/>
              <w:marBottom w:val="0"/>
              <w:divBdr>
                <w:top w:val="none" w:sz="0" w:space="0" w:color="auto"/>
                <w:left w:val="none" w:sz="0" w:space="0" w:color="auto"/>
                <w:bottom w:val="none" w:sz="0" w:space="0" w:color="auto"/>
                <w:right w:val="none" w:sz="0" w:space="0" w:color="auto"/>
              </w:divBdr>
              <w:divsChild>
                <w:div w:id="108865394">
                  <w:marLeft w:val="0"/>
                  <w:marRight w:val="0"/>
                  <w:marTop w:val="0"/>
                  <w:marBottom w:val="0"/>
                  <w:divBdr>
                    <w:top w:val="none" w:sz="0" w:space="0" w:color="auto"/>
                    <w:left w:val="none" w:sz="0" w:space="0" w:color="auto"/>
                    <w:bottom w:val="none" w:sz="0" w:space="0" w:color="auto"/>
                    <w:right w:val="none" w:sz="0" w:space="0" w:color="auto"/>
                  </w:divBdr>
                </w:div>
              </w:divsChild>
            </w:div>
            <w:div w:id="1588462996">
              <w:marLeft w:val="0"/>
              <w:marRight w:val="0"/>
              <w:marTop w:val="0"/>
              <w:marBottom w:val="0"/>
              <w:divBdr>
                <w:top w:val="none" w:sz="0" w:space="0" w:color="auto"/>
                <w:left w:val="none" w:sz="0" w:space="0" w:color="auto"/>
                <w:bottom w:val="none" w:sz="0" w:space="0" w:color="auto"/>
                <w:right w:val="none" w:sz="0" w:space="0" w:color="auto"/>
              </w:divBdr>
              <w:divsChild>
                <w:div w:id="2127655790">
                  <w:marLeft w:val="0"/>
                  <w:marRight w:val="0"/>
                  <w:marTop w:val="0"/>
                  <w:marBottom w:val="0"/>
                  <w:divBdr>
                    <w:top w:val="none" w:sz="0" w:space="0" w:color="auto"/>
                    <w:left w:val="none" w:sz="0" w:space="0" w:color="auto"/>
                    <w:bottom w:val="none" w:sz="0" w:space="0" w:color="auto"/>
                    <w:right w:val="none" w:sz="0" w:space="0" w:color="auto"/>
                  </w:divBdr>
                </w:div>
              </w:divsChild>
            </w:div>
            <w:div w:id="1590503589">
              <w:marLeft w:val="0"/>
              <w:marRight w:val="0"/>
              <w:marTop w:val="0"/>
              <w:marBottom w:val="0"/>
              <w:divBdr>
                <w:top w:val="none" w:sz="0" w:space="0" w:color="auto"/>
                <w:left w:val="none" w:sz="0" w:space="0" w:color="auto"/>
                <w:bottom w:val="none" w:sz="0" w:space="0" w:color="auto"/>
                <w:right w:val="none" w:sz="0" w:space="0" w:color="auto"/>
              </w:divBdr>
              <w:divsChild>
                <w:div w:id="1220244167">
                  <w:marLeft w:val="0"/>
                  <w:marRight w:val="0"/>
                  <w:marTop w:val="0"/>
                  <w:marBottom w:val="0"/>
                  <w:divBdr>
                    <w:top w:val="none" w:sz="0" w:space="0" w:color="auto"/>
                    <w:left w:val="none" w:sz="0" w:space="0" w:color="auto"/>
                    <w:bottom w:val="none" w:sz="0" w:space="0" w:color="auto"/>
                    <w:right w:val="none" w:sz="0" w:space="0" w:color="auto"/>
                  </w:divBdr>
                </w:div>
              </w:divsChild>
            </w:div>
            <w:div w:id="1595897435">
              <w:marLeft w:val="0"/>
              <w:marRight w:val="0"/>
              <w:marTop w:val="0"/>
              <w:marBottom w:val="0"/>
              <w:divBdr>
                <w:top w:val="none" w:sz="0" w:space="0" w:color="auto"/>
                <w:left w:val="none" w:sz="0" w:space="0" w:color="auto"/>
                <w:bottom w:val="none" w:sz="0" w:space="0" w:color="auto"/>
                <w:right w:val="none" w:sz="0" w:space="0" w:color="auto"/>
              </w:divBdr>
              <w:divsChild>
                <w:div w:id="1481387227">
                  <w:marLeft w:val="0"/>
                  <w:marRight w:val="0"/>
                  <w:marTop w:val="0"/>
                  <w:marBottom w:val="0"/>
                  <w:divBdr>
                    <w:top w:val="none" w:sz="0" w:space="0" w:color="auto"/>
                    <w:left w:val="none" w:sz="0" w:space="0" w:color="auto"/>
                    <w:bottom w:val="none" w:sz="0" w:space="0" w:color="auto"/>
                    <w:right w:val="none" w:sz="0" w:space="0" w:color="auto"/>
                  </w:divBdr>
                </w:div>
              </w:divsChild>
            </w:div>
            <w:div w:id="1598631443">
              <w:marLeft w:val="0"/>
              <w:marRight w:val="0"/>
              <w:marTop w:val="0"/>
              <w:marBottom w:val="0"/>
              <w:divBdr>
                <w:top w:val="none" w:sz="0" w:space="0" w:color="auto"/>
                <w:left w:val="none" w:sz="0" w:space="0" w:color="auto"/>
                <w:bottom w:val="none" w:sz="0" w:space="0" w:color="auto"/>
                <w:right w:val="none" w:sz="0" w:space="0" w:color="auto"/>
              </w:divBdr>
              <w:divsChild>
                <w:div w:id="33620784">
                  <w:marLeft w:val="0"/>
                  <w:marRight w:val="0"/>
                  <w:marTop w:val="0"/>
                  <w:marBottom w:val="0"/>
                  <w:divBdr>
                    <w:top w:val="none" w:sz="0" w:space="0" w:color="auto"/>
                    <w:left w:val="none" w:sz="0" w:space="0" w:color="auto"/>
                    <w:bottom w:val="none" w:sz="0" w:space="0" w:color="auto"/>
                    <w:right w:val="none" w:sz="0" w:space="0" w:color="auto"/>
                  </w:divBdr>
                </w:div>
              </w:divsChild>
            </w:div>
            <w:div w:id="1632789779">
              <w:marLeft w:val="0"/>
              <w:marRight w:val="0"/>
              <w:marTop w:val="0"/>
              <w:marBottom w:val="0"/>
              <w:divBdr>
                <w:top w:val="none" w:sz="0" w:space="0" w:color="auto"/>
                <w:left w:val="none" w:sz="0" w:space="0" w:color="auto"/>
                <w:bottom w:val="none" w:sz="0" w:space="0" w:color="auto"/>
                <w:right w:val="none" w:sz="0" w:space="0" w:color="auto"/>
              </w:divBdr>
              <w:divsChild>
                <w:div w:id="280308978">
                  <w:marLeft w:val="0"/>
                  <w:marRight w:val="0"/>
                  <w:marTop w:val="0"/>
                  <w:marBottom w:val="0"/>
                  <w:divBdr>
                    <w:top w:val="none" w:sz="0" w:space="0" w:color="auto"/>
                    <w:left w:val="none" w:sz="0" w:space="0" w:color="auto"/>
                    <w:bottom w:val="none" w:sz="0" w:space="0" w:color="auto"/>
                    <w:right w:val="none" w:sz="0" w:space="0" w:color="auto"/>
                  </w:divBdr>
                </w:div>
              </w:divsChild>
            </w:div>
            <w:div w:id="1663241719">
              <w:marLeft w:val="0"/>
              <w:marRight w:val="0"/>
              <w:marTop w:val="0"/>
              <w:marBottom w:val="0"/>
              <w:divBdr>
                <w:top w:val="none" w:sz="0" w:space="0" w:color="auto"/>
                <w:left w:val="none" w:sz="0" w:space="0" w:color="auto"/>
                <w:bottom w:val="none" w:sz="0" w:space="0" w:color="auto"/>
                <w:right w:val="none" w:sz="0" w:space="0" w:color="auto"/>
              </w:divBdr>
              <w:divsChild>
                <w:div w:id="396704998">
                  <w:marLeft w:val="0"/>
                  <w:marRight w:val="0"/>
                  <w:marTop w:val="0"/>
                  <w:marBottom w:val="0"/>
                  <w:divBdr>
                    <w:top w:val="none" w:sz="0" w:space="0" w:color="auto"/>
                    <w:left w:val="none" w:sz="0" w:space="0" w:color="auto"/>
                    <w:bottom w:val="none" w:sz="0" w:space="0" w:color="auto"/>
                    <w:right w:val="none" w:sz="0" w:space="0" w:color="auto"/>
                  </w:divBdr>
                </w:div>
              </w:divsChild>
            </w:div>
            <w:div w:id="1673994045">
              <w:marLeft w:val="0"/>
              <w:marRight w:val="0"/>
              <w:marTop w:val="0"/>
              <w:marBottom w:val="0"/>
              <w:divBdr>
                <w:top w:val="none" w:sz="0" w:space="0" w:color="auto"/>
                <w:left w:val="none" w:sz="0" w:space="0" w:color="auto"/>
                <w:bottom w:val="none" w:sz="0" w:space="0" w:color="auto"/>
                <w:right w:val="none" w:sz="0" w:space="0" w:color="auto"/>
              </w:divBdr>
              <w:divsChild>
                <w:div w:id="2069375488">
                  <w:marLeft w:val="0"/>
                  <w:marRight w:val="0"/>
                  <w:marTop w:val="0"/>
                  <w:marBottom w:val="0"/>
                  <w:divBdr>
                    <w:top w:val="none" w:sz="0" w:space="0" w:color="auto"/>
                    <w:left w:val="none" w:sz="0" w:space="0" w:color="auto"/>
                    <w:bottom w:val="none" w:sz="0" w:space="0" w:color="auto"/>
                    <w:right w:val="none" w:sz="0" w:space="0" w:color="auto"/>
                  </w:divBdr>
                </w:div>
              </w:divsChild>
            </w:div>
            <w:div w:id="1683119931">
              <w:marLeft w:val="0"/>
              <w:marRight w:val="0"/>
              <w:marTop w:val="0"/>
              <w:marBottom w:val="0"/>
              <w:divBdr>
                <w:top w:val="none" w:sz="0" w:space="0" w:color="auto"/>
                <w:left w:val="none" w:sz="0" w:space="0" w:color="auto"/>
                <w:bottom w:val="none" w:sz="0" w:space="0" w:color="auto"/>
                <w:right w:val="none" w:sz="0" w:space="0" w:color="auto"/>
              </w:divBdr>
              <w:divsChild>
                <w:div w:id="2073968984">
                  <w:marLeft w:val="0"/>
                  <w:marRight w:val="0"/>
                  <w:marTop w:val="0"/>
                  <w:marBottom w:val="0"/>
                  <w:divBdr>
                    <w:top w:val="none" w:sz="0" w:space="0" w:color="auto"/>
                    <w:left w:val="none" w:sz="0" w:space="0" w:color="auto"/>
                    <w:bottom w:val="none" w:sz="0" w:space="0" w:color="auto"/>
                    <w:right w:val="none" w:sz="0" w:space="0" w:color="auto"/>
                  </w:divBdr>
                </w:div>
              </w:divsChild>
            </w:div>
            <w:div w:id="1689018469">
              <w:marLeft w:val="0"/>
              <w:marRight w:val="0"/>
              <w:marTop w:val="0"/>
              <w:marBottom w:val="0"/>
              <w:divBdr>
                <w:top w:val="none" w:sz="0" w:space="0" w:color="auto"/>
                <w:left w:val="none" w:sz="0" w:space="0" w:color="auto"/>
                <w:bottom w:val="none" w:sz="0" w:space="0" w:color="auto"/>
                <w:right w:val="none" w:sz="0" w:space="0" w:color="auto"/>
              </w:divBdr>
              <w:divsChild>
                <w:div w:id="943271451">
                  <w:marLeft w:val="0"/>
                  <w:marRight w:val="0"/>
                  <w:marTop w:val="0"/>
                  <w:marBottom w:val="0"/>
                  <w:divBdr>
                    <w:top w:val="none" w:sz="0" w:space="0" w:color="auto"/>
                    <w:left w:val="none" w:sz="0" w:space="0" w:color="auto"/>
                    <w:bottom w:val="none" w:sz="0" w:space="0" w:color="auto"/>
                    <w:right w:val="none" w:sz="0" w:space="0" w:color="auto"/>
                  </w:divBdr>
                </w:div>
              </w:divsChild>
            </w:div>
            <w:div w:id="1689211531">
              <w:marLeft w:val="0"/>
              <w:marRight w:val="0"/>
              <w:marTop w:val="0"/>
              <w:marBottom w:val="0"/>
              <w:divBdr>
                <w:top w:val="none" w:sz="0" w:space="0" w:color="auto"/>
                <w:left w:val="none" w:sz="0" w:space="0" w:color="auto"/>
                <w:bottom w:val="none" w:sz="0" w:space="0" w:color="auto"/>
                <w:right w:val="none" w:sz="0" w:space="0" w:color="auto"/>
              </w:divBdr>
              <w:divsChild>
                <w:div w:id="1282767900">
                  <w:marLeft w:val="0"/>
                  <w:marRight w:val="0"/>
                  <w:marTop w:val="0"/>
                  <w:marBottom w:val="0"/>
                  <w:divBdr>
                    <w:top w:val="none" w:sz="0" w:space="0" w:color="auto"/>
                    <w:left w:val="none" w:sz="0" w:space="0" w:color="auto"/>
                    <w:bottom w:val="none" w:sz="0" w:space="0" w:color="auto"/>
                    <w:right w:val="none" w:sz="0" w:space="0" w:color="auto"/>
                  </w:divBdr>
                </w:div>
              </w:divsChild>
            </w:div>
            <w:div w:id="1724674006">
              <w:marLeft w:val="0"/>
              <w:marRight w:val="0"/>
              <w:marTop w:val="0"/>
              <w:marBottom w:val="0"/>
              <w:divBdr>
                <w:top w:val="none" w:sz="0" w:space="0" w:color="auto"/>
                <w:left w:val="none" w:sz="0" w:space="0" w:color="auto"/>
                <w:bottom w:val="none" w:sz="0" w:space="0" w:color="auto"/>
                <w:right w:val="none" w:sz="0" w:space="0" w:color="auto"/>
              </w:divBdr>
              <w:divsChild>
                <w:div w:id="583105030">
                  <w:marLeft w:val="0"/>
                  <w:marRight w:val="0"/>
                  <w:marTop w:val="0"/>
                  <w:marBottom w:val="0"/>
                  <w:divBdr>
                    <w:top w:val="none" w:sz="0" w:space="0" w:color="auto"/>
                    <w:left w:val="none" w:sz="0" w:space="0" w:color="auto"/>
                    <w:bottom w:val="none" w:sz="0" w:space="0" w:color="auto"/>
                    <w:right w:val="none" w:sz="0" w:space="0" w:color="auto"/>
                  </w:divBdr>
                </w:div>
              </w:divsChild>
            </w:div>
            <w:div w:id="1728870302">
              <w:marLeft w:val="0"/>
              <w:marRight w:val="0"/>
              <w:marTop w:val="0"/>
              <w:marBottom w:val="0"/>
              <w:divBdr>
                <w:top w:val="none" w:sz="0" w:space="0" w:color="auto"/>
                <w:left w:val="none" w:sz="0" w:space="0" w:color="auto"/>
                <w:bottom w:val="none" w:sz="0" w:space="0" w:color="auto"/>
                <w:right w:val="none" w:sz="0" w:space="0" w:color="auto"/>
              </w:divBdr>
              <w:divsChild>
                <w:div w:id="956792303">
                  <w:marLeft w:val="0"/>
                  <w:marRight w:val="0"/>
                  <w:marTop w:val="0"/>
                  <w:marBottom w:val="0"/>
                  <w:divBdr>
                    <w:top w:val="none" w:sz="0" w:space="0" w:color="auto"/>
                    <w:left w:val="none" w:sz="0" w:space="0" w:color="auto"/>
                    <w:bottom w:val="none" w:sz="0" w:space="0" w:color="auto"/>
                    <w:right w:val="none" w:sz="0" w:space="0" w:color="auto"/>
                  </w:divBdr>
                </w:div>
              </w:divsChild>
            </w:div>
            <w:div w:id="1733700321">
              <w:marLeft w:val="0"/>
              <w:marRight w:val="0"/>
              <w:marTop w:val="0"/>
              <w:marBottom w:val="0"/>
              <w:divBdr>
                <w:top w:val="none" w:sz="0" w:space="0" w:color="auto"/>
                <w:left w:val="none" w:sz="0" w:space="0" w:color="auto"/>
                <w:bottom w:val="none" w:sz="0" w:space="0" w:color="auto"/>
                <w:right w:val="none" w:sz="0" w:space="0" w:color="auto"/>
              </w:divBdr>
              <w:divsChild>
                <w:div w:id="1603948856">
                  <w:marLeft w:val="0"/>
                  <w:marRight w:val="0"/>
                  <w:marTop w:val="0"/>
                  <w:marBottom w:val="0"/>
                  <w:divBdr>
                    <w:top w:val="none" w:sz="0" w:space="0" w:color="auto"/>
                    <w:left w:val="none" w:sz="0" w:space="0" w:color="auto"/>
                    <w:bottom w:val="none" w:sz="0" w:space="0" w:color="auto"/>
                    <w:right w:val="none" w:sz="0" w:space="0" w:color="auto"/>
                  </w:divBdr>
                </w:div>
              </w:divsChild>
            </w:div>
            <w:div w:id="1739285192">
              <w:marLeft w:val="0"/>
              <w:marRight w:val="0"/>
              <w:marTop w:val="0"/>
              <w:marBottom w:val="0"/>
              <w:divBdr>
                <w:top w:val="none" w:sz="0" w:space="0" w:color="auto"/>
                <w:left w:val="none" w:sz="0" w:space="0" w:color="auto"/>
                <w:bottom w:val="none" w:sz="0" w:space="0" w:color="auto"/>
                <w:right w:val="none" w:sz="0" w:space="0" w:color="auto"/>
              </w:divBdr>
              <w:divsChild>
                <w:div w:id="175005268">
                  <w:marLeft w:val="0"/>
                  <w:marRight w:val="0"/>
                  <w:marTop w:val="0"/>
                  <w:marBottom w:val="0"/>
                  <w:divBdr>
                    <w:top w:val="none" w:sz="0" w:space="0" w:color="auto"/>
                    <w:left w:val="none" w:sz="0" w:space="0" w:color="auto"/>
                    <w:bottom w:val="none" w:sz="0" w:space="0" w:color="auto"/>
                    <w:right w:val="none" w:sz="0" w:space="0" w:color="auto"/>
                  </w:divBdr>
                </w:div>
              </w:divsChild>
            </w:div>
            <w:div w:id="1747264754">
              <w:marLeft w:val="0"/>
              <w:marRight w:val="0"/>
              <w:marTop w:val="0"/>
              <w:marBottom w:val="0"/>
              <w:divBdr>
                <w:top w:val="none" w:sz="0" w:space="0" w:color="auto"/>
                <w:left w:val="none" w:sz="0" w:space="0" w:color="auto"/>
                <w:bottom w:val="none" w:sz="0" w:space="0" w:color="auto"/>
                <w:right w:val="none" w:sz="0" w:space="0" w:color="auto"/>
              </w:divBdr>
              <w:divsChild>
                <w:div w:id="2058893345">
                  <w:marLeft w:val="0"/>
                  <w:marRight w:val="0"/>
                  <w:marTop w:val="0"/>
                  <w:marBottom w:val="0"/>
                  <w:divBdr>
                    <w:top w:val="none" w:sz="0" w:space="0" w:color="auto"/>
                    <w:left w:val="none" w:sz="0" w:space="0" w:color="auto"/>
                    <w:bottom w:val="none" w:sz="0" w:space="0" w:color="auto"/>
                    <w:right w:val="none" w:sz="0" w:space="0" w:color="auto"/>
                  </w:divBdr>
                </w:div>
              </w:divsChild>
            </w:div>
            <w:div w:id="1766923528">
              <w:marLeft w:val="0"/>
              <w:marRight w:val="0"/>
              <w:marTop w:val="0"/>
              <w:marBottom w:val="0"/>
              <w:divBdr>
                <w:top w:val="none" w:sz="0" w:space="0" w:color="auto"/>
                <w:left w:val="none" w:sz="0" w:space="0" w:color="auto"/>
                <w:bottom w:val="none" w:sz="0" w:space="0" w:color="auto"/>
                <w:right w:val="none" w:sz="0" w:space="0" w:color="auto"/>
              </w:divBdr>
              <w:divsChild>
                <w:div w:id="1722286720">
                  <w:marLeft w:val="0"/>
                  <w:marRight w:val="0"/>
                  <w:marTop w:val="0"/>
                  <w:marBottom w:val="0"/>
                  <w:divBdr>
                    <w:top w:val="none" w:sz="0" w:space="0" w:color="auto"/>
                    <w:left w:val="none" w:sz="0" w:space="0" w:color="auto"/>
                    <w:bottom w:val="none" w:sz="0" w:space="0" w:color="auto"/>
                    <w:right w:val="none" w:sz="0" w:space="0" w:color="auto"/>
                  </w:divBdr>
                </w:div>
              </w:divsChild>
            </w:div>
            <w:div w:id="1777749908">
              <w:marLeft w:val="0"/>
              <w:marRight w:val="0"/>
              <w:marTop w:val="0"/>
              <w:marBottom w:val="0"/>
              <w:divBdr>
                <w:top w:val="none" w:sz="0" w:space="0" w:color="auto"/>
                <w:left w:val="none" w:sz="0" w:space="0" w:color="auto"/>
                <w:bottom w:val="none" w:sz="0" w:space="0" w:color="auto"/>
                <w:right w:val="none" w:sz="0" w:space="0" w:color="auto"/>
              </w:divBdr>
              <w:divsChild>
                <w:div w:id="1351488830">
                  <w:marLeft w:val="0"/>
                  <w:marRight w:val="0"/>
                  <w:marTop w:val="0"/>
                  <w:marBottom w:val="0"/>
                  <w:divBdr>
                    <w:top w:val="none" w:sz="0" w:space="0" w:color="auto"/>
                    <w:left w:val="none" w:sz="0" w:space="0" w:color="auto"/>
                    <w:bottom w:val="none" w:sz="0" w:space="0" w:color="auto"/>
                    <w:right w:val="none" w:sz="0" w:space="0" w:color="auto"/>
                  </w:divBdr>
                </w:div>
              </w:divsChild>
            </w:div>
            <w:div w:id="1784883663">
              <w:marLeft w:val="0"/>
              <w:marRight w:val="0"/>
              <w:marTop w:val="0"/>
              <w:marBottom w:val="0"/>
              <w:divBdr>
                <w:top w:val="none" w:sz="0" w:space="0" w:color="auto"/>
                <w:left w:val="none" w:sz="0" w:space="0" w:color="auto"/>
                <w:bottom w:val="none" w:sz="0" w:space="0" w:color="auto"/>
                <w:right w:val="none" w:sz="0" w:space="0" w:color="auto"/>
              </w:divBdr>
              <w:divsChild>
                <w:div w:id="2141339048">
                  <w:marLeft w:val="0"/>
                  <w:marRight w:val="0"/>
                  <w:marTop w:val="0"/>
                  <w:marBottom w:val="0"/>
                  <w:divBdr>
                    <w:top w:val="none" w:sz="0" w:space="0" w:color="auto"/>
                    <w:left w:val="none" w:sz="0" w:space="0" w:color="auto"/>
                    <w:bottom w:val="none" w:sz="0" w:space="0" w:color="auto"/>
                    <w:right w:val="none" w:sz="0" w:space="0" w:color="auto"/>
                  </w:divBdr>
                </w:div>
              </w:divsChild>
            </w:div>
            <w:div w:id="1788767319">
              <w:marLeft w:val="0"/>
              <w:marRight w:val="0"/>
              <w:marTop w:val="0"/>
              <w:marBottom w:val="0"/>
              <w:divBdr>
                <w:top w:val="none" w:sz="0" w:space="0" w:color="auto"/>
                <w:left w:val="none" w:sz="0" w:space="0" w:color="auto"/>
                <w:bottom w:val="none" w:sz="0" w:space="0" w:color="auto"/>
                <w:right w:val="none" w:sz="0" w:space="0" w:color="auto"/>
              </w:divBdr>
              <w:divsChild>
                <w:div w:id="443620080">
                  <w:marLeft w:val="0"/>
                  <w:marRight w:val="0"/>
                  <w:marTop w:val="0"/>
                  <w:marBottom w:val="0"/>
                  <w:divBdr>
                    <w:top w:val="none" w:sz="0" w:space="0" w:color="auto"/>
                    <w:left w:val="none" w:sz="0" w:space="0" w:color="auto"/>
                    <w:bottom w:val="none" w:sz="0" w:space="0" w:color="auto"/>
                    <w:right w:val="none" w:sz="0" w:space="0" w:color="auto"/>
                  </w:divBdr>
                </w:div>
              </w:divsChild>
            </w:div>
            <w:div w:id="1791127052">
              <w:marLeft w:val="0"/>
              <w:marRight w:val="0"/>
              <w:marTop w:val="0"/>
              <w:marBottom w:val="0"/>
              <w:divBdr>
                <w:top w:val="none" w:sz="0" w:space="0" w:color="auto"/>
                <w:left w:val="none" w:sz="0" w:space="0" w:color="auto"/>
                <w:bottom w:val="none" w:sz="0" w:space="0" w:color="auto"/>
                <w:right w:val="none" w:sz="0" w:space="0" w:color="auto"/>
              </w:divBdr>
              <w:divsChild>
                <w:div w:id="882711900">
                  <w:marLeft w:val="0"/>
                  <w:marRight w:val="0"/>
                  <w:marTop w:val="0"/>
                  <w:marBottom w:val="0"/>
                  <w:divBdr>
                    <w:top w:val="none" w:sz="0" w:space="0" w:color="auto"/>
                    <w:left w:val="none" w:sz="0" w:space="0" w:color="auto"/>
                    <w:bottom w:val="none" w:sz="0" w:space="0" w:color="auto"/>
                    <w:right w:val="none" w:sz="0" w:space="0" w:color="auto"/>
                  </w:divBdr>
                </w:div>
              </w:divsChild>
            </w:div>
            <w:div w:id="1792166542">
              <w:marLeft w:val="0"/>
              <w:marRight w:val="0"/>
              <w:marTop w:val="0"/>
              <w:marBottom w:val="0"/>
              <w:divBdr>
                <w:top w:val="none" w:sz="0" w:space="0" w:color="auto"/>
                <w:left w:val="none" w:sz="0" w:space="0" w:color="auto"/>
                <w:bottom w:val="none" w:sz="0" w:space="0" w:color="auto"/>
                <w:right w:val="none" w:sz="0" w:space="0" w:color="auto"/>
              </w:divBdr>
              <w:divsChild>
                <w:div w:id="688675148">
                  <w:marLeft w:val="0"/>
                  <w:marRight w:val="0"/>
                  <w:marTop w:val="0"/>
                  <w:marBottom w:val="0"/>
                  <w:divBdr>
                    <w:top w:val="none" w:sz="0" w:space="0" w:color="auto"/>
                    <w:left w:val="none" w:sz="0" w:space="0" w:color="auto"/>
                    <w:bottom w:val="none" w:sz="0" w:space="0" w:color="auto"/>
                    <w:right w:val="none" w:sz="0" w:space="0" w:color="auto"/>
                  </w:divBdr>
                </w:div>
              </w:divsChild>
            </w:div>
            <w:div w:id="1795637227">
              <w:marLeft w:val="0"/>
              <w:marRight w:val="0"/>
              <w:marTop w:val="0"/>
              <w:marBottom w:val="0"/>
              <w:divBdr>
                <w:top w:val="none" w:sz="0" w:space="0" w:color="auto"/>
                <w:left w:val="none" w:sz="0" w:space="0" w:color="auto"/>
                <w:bottom w:val="none" w:sz="0" w:space="0" w:color="auto"/>
                <w:right w:val="none" w:sz="0" w:space="0" w:color="auto"/>
              </w:divBdr>
              <w:divsChild>
                <w:div w:id="234703042">
                  <w:marLeft w:val="0"/>
                  <w:marRight w:val="0"/>
                  <w:marTop w:val="0"/>
                  <w:marBottom w:val="0"/>
                  <w:divBdr>
                    <w:top w:val="none" w:sz="0" w:space="0" w:color="auto"/>
                    <w:left w:val="none" w:sz="0" w:space="0" w:color="auto"/>
                    <w:bottom w:val="none" w:sz="0" w:space="0" w:color="auto"/>
                    <w:right w:val="none" w:sz="0" w:space="0" w:color="auto"/>
                  </w:divBdr>
                </w:div>
              </w:divsChild>
            </w:div>
            <w:div w:id="1801147159">
              <w:marLeft w:val="0"/>
              <w:marRight w:val="0"/>
              <w:marTop w:val="0"/>
              <w:marBottom w:val="0"/>
              <w:divBdr>
                <w:top w:val="none" w:sz="0" w:space="0" w:color="auto"/>
                <w:left w:val="none" w:sz="0" w:space="0" w:color="auto"/>
                <w:bottom w:val="none" w:sz="0" w:space="0" w:color="auto"/>
                <w:right w:val="none" w:sz="0" w:space="0" w:color="auto"/>
              </w:divBdr>
              <w:divsChild>
                <w:div w:id="178203267">
                  <w:marLeft w:val="0"/>
                  <w:marRight w:val="0"/>
                  <w:marTop w:val="0"/>
                  <w:marBottom w:val="0"/>
                  <w:divBdr>
                    <w:top w:val="none" w:sz="0" w:space="0" w:color="auto"/>
                    <w:left w:val="none" w:sz="0" w:space="0" w:color="auto"/>
                    <w:bottom w:val="none" w:sz="0" w:space="0" w:color="auto"/>
                    <w:right w:val="none" w:sz="0" w:space="0" w:color="auto"/>
                  </w:divBdr>
                </w:div>
              </w:divsChild>
            </w:div>
            <w:div w:id="1822690959">
              <w:marLeft w:val="0"/>
              <w:marRight w:val="0"/>
              <w:marTop w:val="0"/>
              <w:marBottom w:val="0"/>
              <w:divBdr>
                <w:top w:val="none" w:sz="0" w:space="0" w:color="auto"/>
                <w:left w:val="none" w:sz="0" w:space="0" w:color="auto"/>
                <w:bottom w:val="none" w:sz="0" w:space="0" w:color="auto"/>
                <w:right w:val="none" w:sz="0" w:space="0" w:color="auto"/>
              </w:divBdr>
              <w:divsChild>
                <w:div w:id="1796287047">
                  <w:marLeft w:val="0"/>
                  <w:marRight w:val="0"/>
                  <w:marTop w:val="0"/>
                  <w:marBottom w:val="0"/>
                  <w:divBdr>
                    <w:top w:val="none" w:sz="0" w:space="0" w:color="auto"/>
                    <w:left w:val="none" w:sz="0" w:space="0" w:color="auto"/>
                    <w:bottom w:val="none" w:sz="0" w:space="0" w:color="auto"/>
                    <w:right w:val="none" w:sz="0" w:space="0" w:color="auto"/>
                  </w:divBdr>
                </w:div>
              </w:divsChild>
            </w:div>
            <w:div w:id="1846361030">
              <w:marLeft w:val="0"/>
              <w:marRight w:val="0"/>
              <w:marTop w:val="0"/>
              <w:marBottom w:val="0"/>
              <w:divBdr>
                <w:top w:val="none" w:sz="0" w:space="0" w:color="auto"/>
                <w:left w:val="none" w:sz="0" w:space="0" w:color="auto"/>
                <w:bottom w:val="none" w:sz="0" w:space="0" w:color="auto"/>
                <w:right w:val="none" w:sz="0" w:space="0" w:color="auto"/>
              </w:divBdr>
              <w:divsChild>
                <w:div w:id="1712001655">
                  <w:marLeft w:val="0"/>
                  <w:marRight w:val="0"/>
                  <w:marTop w:val="0"/>
                  <w:marBottom w:val="0"/>
                  <w:divBdr>
                    <w:top w:val="none" w:sz="0" w:space="0" w:color="auto"/>
                    <w:left w:val="none" w:sz="0" w:space="0" w:color="auto"/>
                    <w:bottom w:val="none" w:sz="0" w:space="0" w:color="auto"/>
                    <w:right w:val="none" w:sz="0" w:space="0" w:color="auto"/>
                  </w:divBdr>
                </w:div>
              </w:divsChild>
            </w:div>
            <w:div w:id="1865941428">
              <w:marLeft w:val="0"/>
              <w:marRight w:val="0"/>
              <w:marTop w:val="0"/>
              <w:marBottom w:val="0"/>
              <w:divBdr>
                <w:top w:val="none" w:sz="0" w:space="0" w:color="auto"/>
                <w:left w:val="none" w:sz="0" w:space="0" w:color="auto"/>
                <w:bottom w:val="none" w:sz="0" w:space="0" w:color="auto"/>
                <w:right w:val="none" w:sz="0" w:space="0" w:color="auto"/>
              </w:divBdr>
              <w:divsChild>
                <w:div w:id="1185903400">
                  <w:marLeft w:val="0"/>
                  <w:marRight w:val="0"/>
                  <w:marTop w:val="0"/>
                  <w:marBottom w:val="0"/>
                  <w:divBdr>
                    <w:top w:val="none" w:sz="0" w:space="0" w:color="auto"/>
                    <w:left w:val="none" w:sz="0" w:space="0" w:color="auto"/>
                    <w:bottom w:val="none" w:sz="0" w:space="0" w:color="auto"/>
                    <w:right w:val="none" w:sz="0" w:space="0" w:color="auto"/>
                  </w:divBdr>
                </w:div>
              </w:divsChild>
            </w:div>
            <w:div w:id="1874462842">
              <w:marLeft w:val="0"/>
              <w:marRight w:val="0"/>
              <w:marTop w:val="0"/>
              <w:marBottom w:val="0"/>
              <w:divBdr>
                <w:top w:val="none" w:sz="0" w:space="0" w:color="auto"/>
                <w:left w:val="none" w:sz="0" w:space="0" w:color="auto"/>
                <w:bottom w:val="none" w:sz="0" w:space="0" w:color="auto"/>
                <w:right w:val="none" w:sz="0" w:space="0" w:color="auto"/>
              </w:divBdr>
              <w:divsChild>
                <w:div w:id="115682306">
                  <w:marLeft w:val="0"/>
                  <w:marRight w:val="0"/>
                  <w:marTop w:val="0"/>
                  <w:marBottom w:val="0"/>
                  <w:divBdr>
                    <w:top w:val="none" w:sz="0" w:space="0" w:color="auto"/>
                    <w:left w:val="none" w:sz="0" w:space="0" w:color="auto"/>
                    <w:bottom w:val="none" w:sz="0" w:space="0" w:color="auto"/>
                    <w:right w:val="none" w:sz="0" w:space="0" w:color="auto"/>
                  </w:divBdr>
                </w:div>
                <w:div w:id="1263685487">
                  <w:marLeft w:val="0"/>
                  <w:marRight w:val="0"/>
                  <w:marTop w:val="0"/>
                  <w:marBottom w:val="0"/>
                  <w:divBdr>
                    <w:top w:val="none" w:sz="0" w:space="0" w:color="auto"/>
                    <w:left w:val="none" w:sz="0" w:space="0" w:color="auto"/>
                    <w:bottom w:val="none" w:sz="0" w:space="0" w:color="auto"/>
                    <w:right w:val="none" w:sz="0" w:space="0" w:color="auto"/>
                  </w:divBdr>
                </w:div>
              </w:divsChild>
            </w:div>
            <w:div w:id="1896501788">
              <w:marLeft w:val="0"/>
              <w:marRight w:val="0"/>
              <w:marTop w:val="0"/>
              <w:marBottom w:val="0"/>
              <w:divBdr>
                <w:top w:val="none" w:sz="0" w:space="0" w:color="auto"/>
                <w:left w:val="none" w:sz="0" w:space="0" w:color="auto"/>
                <w:bottom w:val="none" w:sz="0" w:space="0" w:color="auto"/>
                <w:right w:val="none" w:sz="0" w:space="0" w:color="auto"/>
              </w:divBdr>
              <w:divsChild>
                <w:div w:id="1698892410">
                  <w:marLeft w:val="0"/>
                  <w:marRight w:val="0"/>
                  <w:marTop w:val="0"/>
                  <w:marBottom w:val="0"/>
                  <w:divBdr>
                    <w:top w:val="none" w:sz="0" w:space="0" w:color="auto"/>
                    <w:left w:val="none" w:sz="0" w:space="0" w:color="auto"/>
                    <w:bottom w:val="none" w:sz="0" w:space="0" w:color="auto"/>
                    <w:right w:val="none" w:sz="0" w:space="0" w:color="auto"/>
                  </w:divBdr>
                </w:div>
              </w:divsChild>
            </w:div>
            <w:div w:id="1896701095">
              <w:marLeft w:val="0"/>
              <w:marRight w:val="0"/>
              <w:marTop w:val="0"/>
              <w:marBottom w:val="0"/>
              <w:divBdr>
                <w:top w:val="none" w:sz="0" w:space="0" w:color="auto"/>
                <w:left w:val="none" w:sz="0" w:space="0" w:color="auto"/>
                <w:bottom w:val="none" w:sz="0" w:space="0" w:color="auto"/>
                <w:right w:val="none" w:sz="0" w:space="0" w:color="auto"/>
              </w:divBdr>
              <w:divsChild>
                <w:div w:id="1142190668">
                  <w:marLeft w:val="0"/>
                  <w:marRight w:val="0"/>
                  <w:marTop w:val="0"/>
                  <w:marBottom w:val="0"/>
                  <w:divBdr>
                    <w:top w:val="none" w:sz="0" w:space="0" w:color="auto"/>
                    <w:left w:val="none" w:sz="0" w:space="0" w:color="auto"/>
                    <w:bottom w:val="none" w:sz="0" w:space="0" w:color="auto"/>
                    <w:right w:val="none" w:sz="0" w:space="0" w:color="auto"/>
                  </w:divBdr>
                </w:div>
              </w:divsChild>
            </w:div>
            <w:div w:id="1900937807">
              <w:marLeft w:val="0"/>
              <w:marRight w:val="0"/>
              <w:marTop w:val="0"/>
              <w:marBottom w:val="0"/>
              <w:divBdr>
                <w:top w:val="none" w:sz="0" w:space="0" w:color="auto"/>
                <w:left w:val="none" w:sz="0" w:space="0" w:color="auto"/>
                <w:bottom w:val="none" w:sz="0" w:space="0" w:color="auto"/>
                <w:right w:val="none" w:sz="0" w:space="0" w:color="auto"/>
              </w:divBdr>
              <w:divsChild>
                <w:div w:id="1450972157">
                  <w:marLeft w:val="0"/>
                  <w:marRight w:val="0"/>
                  <w:marTop w:val="0"/>
                  <w:marBottom w:val="0"/>
                  <w:divBdr>
                    <w:top w:val="none" w:sz="0" w:space="0" w:color="auto"/>
                    <w:left w:val="none" w:sz="0" w:space="0" w:color="auto"/>
                    <w:bottom w:val="none" w:sz="0" w:space="0" w:color="auto"/>
                    <w:right w:val="none" w:sz="0" w:space="0" w:color="auto"/>
                  </w:divBdr>
                </w:div>
              </w:divsChild>
            </w:div>
            <w:div w:id="1907688426">
              <w:marLeft w:val="0"/>
              <w:marRight w:val="0"/>
              <w:marTop w:val="0"/>
              <w:marBottom w:val="0"/>
              <w:divBdr>
                <w:top w:val="none" w:sz="0" w:space="0" w:color="auto"/>
                <w:left w:val="none" w:sz="0" w:space="0" w:color="auto"/>
                <w:bottom w:val="none" w:sz="0" w:space="0" w:color="auto"/>
                <w:right w:val="none" w:sz="0" w:space="0" w:color="auto"/>
              </w:divBdr>
              <w:divsChild>
                <w:div w:id="1484859187">
                  <w:marLeft w:val="0"/>
                  <w:marRight w:val="0"/>
                  <w:marTop w:val="0"/>
                  <w:marBottom w:val="0"/>
                  <w:divBdr>
                    <w:top w:val="none" w:sz="0" w:space="0" w:color="auto"/>
                    <w:left w:val="none" w:sz="0" w:space="0" w:color="auto"/>
                    <w:bottom w:val="none" w:sz="0" w:space="0" w:color="auto"/>
                    <w:right w:val="none" w:sz="0" w:space="0" w:color="auto"/>
                  </w:divBdr>
                </w:div>
              </w:divsChild>
            </w:div>
            <w:div w:id="1919243279">
              <w:marLeft w:val="0"/>
              <w:marRight w:val="0"/>
              <w:marTop w:val="0"/>
              <w:marBottom w:val="0"/>
              <w:divBdr>
                <w:top w:val="none" w:sz="0" w:space="0" w:color="auto"/>
                <w:left w:val="none" w:sz="0" w:space="0" w:color="auto"/>
                <w:bottom w:val="none" w:sz="0" w:space="0" w:color="auto"/>
                <w:right w:val="none" w:sz="0" w:space="0" w:color="auto"/>
              </w:divBdr>
              <w:divsChild>
                <w:div w:id="1430351482">
                  <w:marLeft w:val="0"/>
                  <w:marRight w:val="0"/>
                  <w:marTop w:val="0"/>
                  <w:marBottom w:val="0"/>
                  <w:divBdr>
                    <w:top w:val="none" w:sz="0" w:space="0" w:color="auto"/>
                    <w:left w:val="none" w:sz="0" w:space="0" w:color="auto"/>
                    <w:bottom w:val="none" w:sz="0" w:space="0" w:color="auto"/>
                    <w:right w:val="none" w:sz="0" w:space="0" w:color="auto"/>
                  </w:divBdr>
                </w:div>
              </w:divsChild>
            </w:div>
            <w:div w:id="1929263735">
              <w:marLeft w:val="0"/>
              <w:marRight w:val="0"/>
              <w:marTop w:val="0"/>
              <w:marBottom w:val="0"/>
              <w:divBdr>
                <w:top w:val="none" w:sz="0" w:space="0" w:color="auto"/>
                <w:left w:val="none" w:sz="0" w:space="0" w:color="auto"/>
                <w:bottom w:val="none" w:sz="0" w:space="0" w:color="auto"/>
                <w:right w:val="none" w:sz="0" w:space="0" w:color="auto"/>
              </w:divBdr>
              <w:divsChild>
                <w:div w:id="1813714385">
                  <w:marLeft w:val="0"/>
                  <w:marRight w:val="0"/>
                  <w:marTop w:val="0"/>
                  <w:marBottom w:val="0"/>
                  <w:divBdr>
                    <w:top w:val="none" w:sz="0" w:space="0" w:color="auto"/>
                    <w:left w:val="none" w:sz="0" w:space="0" w:color="auto"/>
                    <w:bottom w:val="none" w:sz="0" w:space="0" w:color="auto"/>
                    <w:right w:val="none" w:sz="0" w:space="0" w:color="auto"/>
                  </w:divBdr>
                </w:div>
              </w:divsChild>
            </w:div>
            <w:div w:id="1987516069">
              <w:marLeft w:val="0"/>
              <w:marRight w:val="0"/>
              <w:marTop w:val="0"/>
              <w:marBottom w:val="0"/>
              <w:divBdr>
                <w:top w:val="none" w:sz="0" w:space="0" w:color="auto"/>
                <w:left w:val="none" w:sz="0" w:space="0" w:color="auto"/>
                <w:bottom w:val="none" w:sz="0" w:space="0" w:color="auto"/>
                <w:right w:val="none" w:sz="0" w:space="0" w:color="auto"/>
              </w:divBdr>
              <w:divsChild>
                <w:div w:id="1969507980">
                  <w:marLeft w:val="0"/>
                  <w:marRight w:val="0"/>
                  <w:marTop w:val="0"/>
                  <w:marBottom w:val="0"/>
                  <w:divBdr>
                    <w:top w:val="none" w:sz="0" w:space="0" w:color="auto"/>
                    <w:left w:val="none" w:sz="0" w:space="0" w:color="auto"/>
                    <w:bottom w:val="none" w:sz="0" w:space="0" w:color="auto"/>
                    <w:right w:val="none" w:sz="0" w:space="0" w:color="auto"/>
                  </w:divBdr>
                </w:div>
              </w:divsChild>
            </w:div>
            <w:div w:id="2018385929">
              <w:marLeft w:val="0"/>
              <w:marRight w:val="0"/>
              <w:marTop w:val="0"/>
              <w:marBottom w:val="0"/>
              <w:divBdr>
                <w:top w:val="none" w:sz="0" w:space="0" w:color="auto"/>
                <w:left w:val="none" w:sz="0" w:space="0" w:color="auto"/>
                <w:bottom w:val="none" w:sz="0" w:space="0" w:color="auto"/>
                <w:right w:val="none" w:sz="0" w:space="0" w:color="auto"/>
              </w:divBdr>
              <w:divsChild>
                <w:div w:id="485322736">
                  <w:marLeft w:val="0"/>
                  <w:marRight w:val="0"/>
                  <w:marTop w:val="0"/>
                  <w:marBottom w:val="0"/>
                  <w:divBdr>
                    <w:top w:val="none" w:sz="0" w:space="0" w:color="auto"/>
                    <w:left w:val="none" w:sz="0" w:space="0" w:color="auto"/>
                    <w:bottom w:val="none" w:sz="0" w:space="0" w:color="auto"/>
                    <w:right w:val="none" w:sz="0" w:space="0" w:color="auto"/>
                  </w:divBdr>
                </w:div>
              </w:divsChild>
            </w:div>
            <w:div w:id="2020152973">
              <w:marLeft w:val="0"/>
              <w:marRight w:val="0"/>
              <w:marTop w:val="0"/>
              <w:marBottom w:val="0"/>
              <w:divBdr>
                <w:top w:val="none" w:sz="0" w:space="0" w:color="auto"/>
                <w:left w:val="none" w:sz="0" w:space="0" w:color="auto"/>
                <w:bottom w:val="none" w:sz="0" w:space="0" w:color="auto"/>
                <w:right w:val="none" w:sz="0" w:space="0" w:color="auto"/>
              </w:divBdr>
              <w:divsChild>
                <w:div w:id="1432970043">
                  <w:marLeft w:val="0"/>
                  <w:marRight w:val="0"/>
                  <w:marTop w:val="0"/>
                  <w:marBottom w:val="0"/>
                  <w:divBdr>
                    <w:top w:val="none" w:sz="0" w:space="0" w:color="auto"/>
                    <w:left w:val="none" w:sz="0" w:space="0" w:color="auto"/>
                    <w:bottom w:val="none" w:sz="0" w:space="0" w:color="auto"/>
                    <w:right w:val="none" w:sz="0" w:space="0" w:color="auto"/>
                  </w:divBdr>
                </w:div>
              </w:divsChild>
            </w:div>
            <w:div w:id="2038382774">
              <w:marLeft w:val="0"/>
              <w:marRight w:val="0"/>
              <w:marTop w:val="0"/>
              <w:marBottom w:val="0"/>
              <w:divBdr>
                <w:top w:val="none" w:sz="0" w:space="0" w:color="auto"/>
                <w:left w:val="none" w:sz="0" w:space="0" w:color="auto"/>
                <w:bottom w:val="none" w:sz="0" w:space="0" w:color="auto"/>
                <w:right w:val="none" w:sz="0" w:space="0" w:color="auto"/>
              </w:divBdr>
              <w:divsChild>
                <w:div w:id="842159063">
                  <w:marLeft w:val="0"/>
                  <w:marRight w:val="0"/>
                  <w:marTop w:val="0"/>
                  <w:marBottom w:val="0"/>
                  <w:divBdr>
                    <w:top w:val="none" w:sz="0" w:space="0" w:color="auto"/>
                    <w:left w:val="none" w:sz="0" w:space="0" w:color="auto"/>
                    <w:bottom w:val="none" w:sz="0" w:space="0" w:color="auto"/>
                    <w:right w:val="none" w:sz="0" w:space="0" w:color="auto"/>
                  </w:divBdr>
                </w:div>
              </w:divsChild>
            </w:div>
            <w:div w:id="2039813083">
              <w:marLeft w:val="0"/>
              <w:marRight w:val="0"/>
              <w:marTop w:val="0"/>
              <w:marBottom w:val="0"/>
              <w:divBdr>
                <w:top w:val="none" w:sz="0" w:space="0" w:color="auto"/>
                <w:left w:val="none" w:sz="0" w:space="0" w:color="auto"/>
                <w:bottom w:val="none" w:sz="0" w:space="0" w:color="auto"/>
                <w:right w:val="none" w:sz="0" w:space="0" w:color="auto"/>
              </w:divBdr>
              <w:divsChild>
                <w:div w:id="478150973">
                  <w:marLeft w:val="0"/>
                  <w:marRight w:val="0"/>
                  <w:marTop w:val="0"/>
                  <w:marBottom w:val="0"/>
                  <w:divBdr>
                    <w:top w:val="none" w:sz="0" w:space="0" w:color="auto"/>
                    <w:left w:val="none" w:sz="0" w:space="0" w:color="auto"/>
                    <w:bottom w:val="none" w:sz="0" w:space="0" w:color="auto"/>
                    <w:right w:val="none" w:sz="0" w:space="0" w:color="auto"/>
                  </w:divBdr>
                </w:div>
              </w:divsChild>
            </w:div>
            <w:div w:id="2047949278">
              <w:marLeft w:val="0"/>
              <w:marRight w:val="0"/>
              <w:marTop w:val="0"/>
              <w:marBottom w:val="0"/>
              <w:divBdr>
                <w:top w:val="none" w:sz="0" w:space="0" w:color="auto"/>
                <w:left w:val="none" w:sz="0" w:space="0" w:color="auto"/>
                <w:bottom w:val="none" w:sz="0" w:space="0" w:color="auto"/>
                <w:right w:val="none" w:sz="0" w:space="0" w:color="auto"/>
              </w:divBdr>
              <w:divsChild>
                <w:div w:id="1625308841">
                  <w:marLeft w:val="0"/>
                  <w:marRight w:val="0"/>
                  <w:marTop w:val="0"/>
                  <w:marBottom w:val="0"/>
                  <w:divBdr>
                    <w:top w:val="none" w:sz="0" w:space="0" w:color="auto"/>
                    <w:left w:val="none" w:sz="0" w:space="0" w:color="auto"/>
                    <w:bottom w:val="none" w:sz="0" w:space="0" w:color="auto"/>
                    <w:right w:val="none" w:sz="0" w:space="0" w:color="auto"/>
                  </w:divBdr>
                </w:div>
              </w:divsChild>
            </w:div>
            <w:div w:id="2053461965">
              <w:marLeft w:val="0"/>
              <w:marRight w:val="0"/>
              <w:marTop w:val="0"/>
              <w:marBottom w:val="0"/>
              <w:divBdr>
                <w:top w:val="none" w:sz="0" w:space="0" w:color="auto"/>
                <w:left w:val="none" w:sz="0" w:space="0" w:color="auto"/>
                <w:bottom w:val="none" w:sz="0" w:space="0" w:color="auto"/>
                <w:right w:val="none" w:sz="0" w:space="0" w:color="auto"/>
              </w:divBdr>
              <w:divsChild>
                <w:div w:id="536311219">
                  <w:marLeft w:val="0"/>
                  <w:marRight w:val="0"/>
                  <w:marTop w:val="0"/>
                  <w:marBottom w:val="0"/>
                  <w:divBdr>
                    <w:top w:val="none" w:sz="0" w:space="0" w:color="auto"/>
                    <w:left w:val="none" w:sz="0" w:space="0" w:color="auto"/>
                    <w:bottom w:val="none" w:sz="0" w:space="0" w:color="auto"/>
                    <w:right w:val="none" w:sz="0" w:space="0" w:color="auto"/>
                  </w:divBdr>
                </w:div>
              </w:divsChild>
            </w:div>
            <w:div w:id="2058698877">
              <w:marLeft w:val="0"/>
              <w:marRight w:val="0"/>
              <w:marTop w:val="0"/>
              <w:marBottom w:val="0"/>
              <w:divBdr>
                <w:top w:val="none" w:sz="0" w:space="0" w:color="auto"/>
                <w:left w:val="none" w:sz="0" w:space="0" w:color="auto"/>
                <w:bottom w:val="none" w:sz="0" w:space="0" w:color="auto"/>
                <w:right w:val="none" w:sz="0" w:space="0" w:color="auto"/>
              </w:divBdr>
              <w:divsChild>
                <w:div w:id="468401610">
                  <w:marLeft w:val="0"/>
                  <w:marRight w:val="0"/>
                  <w:marTop w:val="0"/>
                  <w:marBottom w:val="0"/>
                  <w:divBdr>
                    <w:top w:val="none" w:sz="0" w:space="0" w:color="auto"/>
                    <w:left w:val="none" w:sz="0" w:space="0" w:color="auto"/>
                    <w:bottom w:val="none" w:sz="0" w:space="0" w:color="auto"/>
                    <w:right w:val="none" w:sz="0" w:space="0" w:color="auto"/>
                  </w:divBdr>
                </w:div>
              </w:divsChild>
            </w:div>
            <w:div w:id="2077311325">
              <w:marLeft w:val="0"/>
              <w:marRight w:val="0"/>
              <w:marTop w:val="0"/>
              <w:marBottom w:val="0"/>
              <w:divBdr>
                <w:top w:val="none" w:sz="0" w:space="0" w:color="auto"/>
                <w:left w:val="none" w:sz="0" w:space="0" w:color="auto"/>
                <w:bottom w:val="none" w:sz="0" w:space="0" w:color="auto"/>
                <w:right w:val="none" w:sz="0" w:space="0" w:color="auto"/>
              </w:divBdr>
              <w:divsChild>
                <w:div w:id="85272458">
                  <w:marLeft w:val="0"/>
                  <w:marRight w:val="0"/>
                  <w:marTop w:val="0"/>
                  <w:marBottom w:val="0"/>
                  <w:divBdr>
                    <w:top w:val="none" w:sz="0" w:space="0" w:color="auto"/>
                    <w:left w:val="none" w:sz="0" w:space="0" w:color="auto"/>
                    <w:bottom w:val="none" w:sz="0" w:space="0" w:color="auto"/>
                    <w:right w:val="none" w:sz="0" w:space="0" w:color="auto"/>
                  </w:divBdr>
                </w:div>
              </w:divsChild>
            </w:div>
            <w:div w:id="2088333409">
              <w:marLeft w:val="0"/>
              <w:marRight w:val="0"/>
              <w:marTop w:val="0"/>
              <w:marBottom w:val="0"/>
              <w:divBdr>
                <w:top w:val="none" w:sz="0" w:space="0" w:color="auto"/>
                <w:left w:val="none" w:sz="0" w:space="0" w:color="auto"/>
                <w:bottom w:val="none" w:sz="0" w:space="0" w:color="auto"/>
                <w:right w:val="none" w:sz="0" w:space="0" w:color="auto"/>
              </w:divBdr>
              <w:divsChild>
                <w:div w:id="1639341446">
                  <w:marLeft w:val="0"/>
                  <w:marRight w:val="0"/>
                  <w:marTop w:val="0"/>
                  <w:marBottom w:val="0"/>
                  <w:divBdr>
                    <w:top w:val="none" w:sz="0" w:space="0" w:color="auto"/>
                    <w:left w:val="none" w:sz="0" w:space="0" w:color="auto"/>
                    <w:bottom w:val="none" w:sz="0" w:space="0" w:color="auto"/>
                    <w:right w:val="none" w:sz="0" w:space="0" w:color="auto"/>
                  </w:divBdr>
                </w:div>
              </w:divsChild>
            </w:div>
            <w:div w:id="2091344014">
              <w:marLeft w:val="0"/>
              <w:marRight w:val="0"/>
              <w:marTop w:val="0"/>
              <w:marBottom w:val="0"/>
              <w:divBdr>
                <w:top w:val="none" w:sz="0" w:space="0" w:color="auto"/>
                <w:left w:val="none" w:sz="0" w:space="0" w:color="auto"/>
                <w:bottom w:val="none" w:sz="0" w:space="0" w:color="auto"/>
                <w:right w:val="none" w:sz="0" w:space="0" w:color="auto"/>
              </w:divBdr>
              <w:divsChild>
                <w:div w:id="1379628003">
                  <w:marLeft w:val="0"/>
                  <w:marRight w:val="0"/>
                  <w:marTop w:val="0"/>
                  <w:marBottom w:val="0"/>
                  <w:divBdr>
                    <w:top w:val="none" w:sz="0" w:space="0" w:color="auto"/>
                    <w:left w:val="none" w:sz="0" w:space="0" w:color="auto"/>
                    <w:bottom w:val="none" w:sz="0" w:space="0" w:color="auto"/>
                    <w:right w:val="none" w:sz="0" w:space="0" w:color="auto"/>
                  </w:divBdr>
                </w:div>
              </w:divsChild>
            </w:div>
            <w:div w:id="2097094671">
              <w:marLeft w:val="0"/>
              <w:marRight w:val="0"/>
              <w:marTop w:val="0"/>
              <w:marBottom w:val="0"/>
              <w:divBdr>
                <w:top w:val="none" w:sz="0" w:space="0" w:color="auto"/>
                <w:left w:val="none" w:sz="0" w:space="0" w:color="auto"/>
                <w:bottom w:val="none" w:sz="0" w:space="0" w:color="auto"/>
                <w:right w:val="none" w:sz="0" w:space="0" w:color="auto"/>
              </w:divBdr>
              <w:divsChild>
                <w:div w:id="1151410355">
                  <w:marLeft w:val="0"/>
                  <w:marRight w:val="0"/>
                  <w:marTop w:val="0"/>
                  <w:marBottom w:val="0"/>
                  <w:divBdr>
                    <w:top w:val="none" w:sz="0" w:space="0" w:color="auto"/>
                    <w:left w:val="none" w:sz="0" w:space="0" w:color="auto"/>
                    <w:bottom w:val="none" w:sz="0" w:space="0" w:color="auto"/>
                    <w:right w:val="none" w:sz="0" w:space="0" w:color="auto"/>
                  </w:divBdr>
                </w:div>
              </w:divsChild>
            </w:div>
            <w:div w:id="2097897820">
              <w:marLeft w:val="0"/>
              <w:marRight w:val="0"/>
              <w:marTop w:val="0"/>
              <w:marBottom w:val="0"/>
              <w:divBdr>
                <w:top w:val="none" w:sz="0" w:space="0" w:color="auto"/>
                <w:left w:val="none" w:sz="0" w:space="0" w:color="auto"/>
                <w:bottom w:val="none" w:sz="0" w:space="0" w:color="auto"/>
                <w:right w:val="none" w:sz="0" w:space="0" w:color="auto"/>
              </w:divBdr>
              <w:divsChild>
                <w:div w:id="184713175">
                  <w:marLeft w:val="0"/>
                  <w:marRight w:val="0"/>
                  <w:marTop w:val="0"/>
                  <w:marBottom w:val="0"/>
                  <w:divBdr>
                    <w:top w:val="none" w:sz="0" w:space="0" w:color="auto"/>
                    <w:left w:val="none" w:sz="0" w:space="0" w:color="auto"/>
                    <w:bottom w:val="none" w:sz="0" w:space="0" w:color="auto"/>
                    <w:right w:val="none" w:sz="0" w:space="0" w:color="auto"/>
                  </w:divBdr>
                </w:div>
              </w:divsChild>
            </w:div>
            <w:div w:id="2100909898">
              <w:marLeft w:val="0"/>
              <w:marRight w:val="0"/>
              <w:marTop w:val="0"/>
              <w:marBottom w:val="0"/>
              <w:divBdr>
                <w:top w:val="none" w:sz="0" w:space="0" w:color="auto"/>
                <w:left w:val="none" w:sz="0" w:space="0" w:color="auto"/>
                <w:bottom w:val="none" w:sz="0" w:space="0" w:color="auto"/>
                <w:right w:val="none" w:sz="0" w:space="0" w:color="auto"/>
              </w:divBdr>
              <w:divsChild>
                <w:div w:id="712312939">
                  <w:marLeft w:val="0"/>
                  <w:marRight w:val="0"/>
                  <w:marTop w:val="0"/>
                  <w:marBottom w:val="0"/>
                  <w:divBdr>
                    <w:top w:val="none" w:sz="0" w:space="0" w:color="auto"/>
                    <w:left w:val="none" w:sz="0" w:space="0" w:color="auto"/>
                    <w:bottom w:val="none" w:sz="0" w:space="0" w:color="auto"/>
                    <w:right w:val="none" w:sz="0" w:space="0" w:color="auto"/>
                  </w:divBdr>
                </w:div>
              </w:divsChild>
            </w:div>
            <w:div w:id="2101296742">
              <w:marLeft w:val="0"/>
              <w:marRight w:val="0"/>
              <w:marTop w:val="0"/>
              <w:marBottom w:val="0"/>
              <w:divBdr>
                <w:top w:val="none" w:sz="0" w:space="0" w:color="auto"/>
                <w:left w:val="none" w:sz="0" w:space="0" w:color="auto"/>
                <w:bottom w:val="none" w:sz="0" w:space="0" w:color="auto"/>
                <w:right w:val="none" w:sz="0" w:space="0" w:color="auto"/>
              </w:divBdr>
              <w:divsChild>
                <w:div w:id="1634481789">
                  <w:marLeft w:val="0"/>
                  <w:marRight w:val="0"/>
                  <w:marTop w:val="0"/>
                  <w:marBottom w:val="0"/>
                  <w:divBdr>
                    <w:top w:val="none" w:sz="0" w:space="0" w:color="auto"/>
                    <w:left w:val="none" w:sz="0" w:space="0" w:color="auto"/>
                    <w:bottom w:val="none" w:sz="0" w:space="0" w:color="auto"/>
                    <w:right w:val="none" w:sz="0" w:space="0" w:color="auto"/>
                  </w:divBdr>
                </w:div>
              </w:divsChild>
            </w:div>
            <w:div w:id="2105346284">
              <w:marLeft w:val="0"/>
              <w:marRight w:val="0"/>
              <w:marTop w:val="0"/>
              <w:marBottom w:val="0"/>
              <w:divBdr>
                <w:top w:val="none" w:sz="0" w:space="0" w:color="auto"/>
                <w:left w:val="none" w:sz="0" w:space="0" w:color="auto"/>
                <w:bottom w:val="none" w:sz="0" w:space="0" w:color="auto"/>
                <w:right w:val="none" w:sz="0" w:space="0" w:color="auto"/>
              </w:divBdr>
              <w:divsChild>
                <w:div w:id="397291066">
                  <w:marLeft w:val="0"/>
                  <w:marRight w:val="0"/>
                  <w:marTop w:val="0"/>
                  <w:marBottom w:val="0"/>
                  <w:divBdr>
                    <w:top w:val="none" w:sz="0" w:space="0" w:color="auto"/>
                    <w:left w:val="none" w:sz="0" w:space="0" w:color="auto"/>
                    <w:bottom w:val="none" w:sz="0" w:space="0" w:color="auto"/>
                    <w:right w:val="none" w:sz="0" w:space="0" w:color="auto"/>
                  </w:divBdr>
                </w:div>
              </w:divsChild>
            </w:div>
            <w:div w:id="2119829351">
              <w:marLeft w:val="0"/>
              <w:marRight w:val="0"/>
              <w:marTop w:val="0"/>
              <w:marBottom w:val="0"/>
              <w:divBdr>
                <w:top w:val="none" w:sz="0" w:space="0" w:color="auto"/>
                <w:left w:val="none" w:sz="0" w:space="0" w:color="auto"/>
                <w:bottom w:val="none" w:sz="0" w:space="0" w:color="auto"/>
                <w:right w:val="none" w:sz="0" w:space="0" w:color="auto"/>
              </w:divBdr>
              <w:divsChild>
                <w:div w:id="171844664">
                  <w:marLeft w:val="0"/>
                  <w:marRight w:val="0"/>
                  <w:marTop w:val="0"/>
                  <w:marBottom w:val="0"/>
                  <w:divBdr>
                    <w:top w:val="none" w:sz="0" w:space="0" w:color="auto"/>
                    <w:left w:val="none" w:sz="0" w:space="0" w:color="auto"/>
                    <w:bottom w:val="none" w:sz="0" w:space="0" w:color="auto"/>
                    <w:right w:val="none" w:sz="0" w:space="0" w:color="auto"/>
                  </w:divBdr>
                </w:div>
              </w:divsChild>
            </w:div>
            <w:div w:id="2121603052">
              <w:marLeft w:val="0"/>
              <w:marRight w:val="0"/>
              <w:marTop w:val="0"/>
              <w:marBottom w:val="0"/>
              <w:divBdr>
                <w:top w:val="none" w:sz="0" w:space="0" w:color="auto"/>
                <w:left w:val="none" w:sz="0" w:space="0" w:color="auto"/>
                <w:bottom w:val="none" w:sz="0" w:space="0" w:color="auto"/>
                <w:right w:val="none" w:sz="0" w:space="0" w:color="auto"/>
              </w:divBdr>
              <w:divsChild>
                <w:div w:id="765615267">
                  <w:marLeft w:val="0"/>
                  <w:marRight w:val="0"/>
                  <w:marTop w:val="0"/>
                  <w:marBottom w:val="0"/>
                  <w:divBdr>
                    <w:top w:val="none" w:sz="0" w:space="0" w:color="auto"/>
                    <w:left w:val="none" w:sz="0" w:space="0" w:color="auto"/>
                    <w:bottom w:val="none" w:sz="0" w:space="0" w:color="auto"/>
                    <w:right w:val="none" w:sz="0" w:space="0" w:color="auto"/>
                  </w:divBdr>
                </w:div>
              </w:divsChild>
            </w:div>
            <w:div w:id="2135830902">
              <w:marLeft w:val="0"/>
              <w:marRight w:val="0"/>
              <w:marTop w:val="0"/>
              <w:marBottom w:val="0"/>
              <w:divBdr>
                <w:top w:val="none" w:sz="0" w:space="0" w:color="auto"/>
                <w:left w:val="none" w:sz="0" w:space="0" w:color="auto"/>
                <w:bottom w:val="none" w:sz="0" w:space="0" w:color="auto"/>
                <w:right w:val="none" w:sz="0" w:space="0" w:color="auto"/>
              </w:divBdr>
              <w:divsChild>
                <w:div w:id="2010861393">
                  <w:marLeft w:val="0"/>
                  <w:marRight w:val="0"/>
                  <w:marTop w:val="0"/>
                  <w:marBottom w:val="0"/>
                  <w:divBdr>
                    <w:top w:val="none" w:sz="0" w:space="0" w:color="auto"/>
                    <w:left w:val="none" w:sz="0" w:space="0" w:color="auto"/>
                    <w:bottom w:val="none" w:sz="0" w:space="0" w:color="auto"/>
                    <w:right w:val="none" w:sz="0" w:space="0" w:color="auto"/>
                  </w:divBdr>
                </w:div>
              </w:divsChild>
            </w:div>
            <w:div w:id="2143575206">
              <w:marLeft w:val="0"/>
              <w:marRight w:val="0"/>
              <w:marTop w:val="0"/>
              <w:marBottom w:val="0"/>
              <w:divBdr>
                <w:top w:val="none" w:sz="0" w:space="0" w:color="auto"/>
                <w:left w:val="none" w:sz="0" w:space="0" w:color="auto"/>
                <w:bottom w:val="none" w:sz="0" w:space="0" w:color="auto"/>
                <w:right w:val="none" w:sz="0" w:space="0" w:color="auto"/>
              </w:divBdr>
              <w:divsChild>
                <w:div w:id="14998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17745">
          <w:marLeft w:val="0"/>
          <w:marRight w:val="0"/>
          <w:marTop w:val="0"/>
          <w:marBottom w:val="0"/>
          <w:divBdr>
            <w:top w:val="none" w:sz="0" w:space="0" w:color="auto"/>
            <w:left w:val="none" w:sz="0" w:space="0" w:color="auto"/>
            <w:bottom w:val="none" w:sz="0" w:space="0" w:color="auto"/>
            <w:right w:val="none" w:sz="0" w:space="0" w:color="auto"/>
          </w:divBdr>
        </w:div>
      </w:divsChild>
    </w:div>
    <w:div w:id="1938127147">
      <w:bodyDiv w:val="1"/>
      <w:marLeft w:val="0"/>
      <w:marRight w:val="0"/>
      <w:marTop w:val="0"/>
      <w:marBottom w:val="0"/>
      <w:divBdr>
        <w:top w:val="none" w:sz="0" w:space="0" w:color="auto"/>
        <w:left w:val="none" w:sz="0" w:space="0" w:color="auto"/>
        <w:bottom w:val="none" w:sz="0" w:space="0" w:color="auto"/>
        <w:right w:val="none" w:sz="0" w:space="0" w:color="auto"/>
      </w:divBdr>
    </w:div>
    <w:div w:id="1989092876">
      <w:bodyDiv w:val="1"/>
      <w:marLeft w:val="0"/>
      <w:marRight w:val="0"/>
      <w:marTop w:val="0"/>
      <w:marBottom w:val="0"/>
      <w:divBdr>
        <w:top w:val="none" w:sz="0" w:space="0" w:color="auto"/>
        <w:left w:val="none" w:sz="0" w:space="0" w:color="auto"/>
        <w:bottom w:val="none" w:sz="0" w:space="0" w:color="auto"/>
        <w:right w:val="none" w:sz="0" w:space="0" w:color="auto"/>
      </w:divBdr>
    </w:div>
    <w:div w:id="2004384726">
      <w:bodyDiv w:val="1"/>
      <w:marLeft w:val="0"/>
      <w:marRight w:val="0"/>
      <w:marTop w:val="0"/>
      <w:marBottom w:val="0"/>
      <w:divBdr>
        <w:top w:val="none" w:sz="0" w:space="0" w:color="auto"/>
        <w:left w:val="none" w:sz="0" w:space="0" w:color="auto"/>
        <w:bottom w:val="none" w:sz="0" w:space="0" w:color="auto"/>
        <w:right w:val="none" w:sz="0" w:space="0" w:color="auto"/>
      </w:divBdr>
    </w:div>
    <w:div w:id="2103724558">
      <w:bodyDiv w:val="1"/>
      <w:marLeft w:val="0"/>
      <w:marRight w:val="0"/>
      <w:marTop w:val="0"/>
      <w:marBottom w:val="0"/>
      <w:divBdr>
        <w:top w:val="none" w:sz="0" w:space="0" w:color="auto"/>
        <w:left w:val="none" w:sz="0" w:space="0" w:color="auto"/>
        <w:bottom w:val="none" w:sz="0" w:space="0" w:color="auto"/>
        <w:right w:val="none" w:sz="0" w:space="0" w:color="auto"/>
      </w:divBdr>
    </w:div>
    <w:div w:id="2109613073">
      <w:bodyDiv w:val="1"/>
      <w:marLeft w:val="0"/>
      <w:marRight w:val="0"/>
      <w:marTop w:val="0"/>
      <w:marBottom w:val="0"/>
      <w:divBdr>
        <w:top w:val="none" w:sz="0" w:space="0" w:color="auto"/>
        <w:left w:val="none" w:sz="0" w:space="0" w:color="auto"/>
        <w:bottom w:val="none" w:sz="0" w:space="0" w:color="auto"/>
        <w:right w:val="none" w:sz="0" w:space="0" w:color="auto"/>
      </w:divBdr>
    </w:div>
    <w:div w:id="2110469522">
      <w:bodyDiv w:val="1"/>
      <w:marLeft w:val="0"/>
      <w:marRight w:val="0"/>
      <w:marTop w:val="0"/>
      <w:marBottom w:val="0"/>
      <w:divBdr>
        <w:top w:val="none" w:sz="0" w:space="0" w:color="auto"/>
        <w:left w:val="none" w:sz="0" w:space="0" w:color="auto"/>
        <w:bottom w:val="none" w:sz="0" w:space="0" w:color="auto"/>
        <w:right w:val="none" w:sz="0" w:space="0" w:color="auto"/>
      </w:divBdr>
    </w:div>
    <w:div w:id="2115050182">
      <w:bodyDiv w:val="1"/>
      <w:marLeft w:val="0"/>
      <w:marRight w:val="0"/>
      <w:marTop w:val="0"/>
      <w:marBottom w:val="0"/>
      <w:divBdr>
        <w:top w:val="none" w:sz="0" w:space="0" w:color="auto"/>
        <w:left w:val="none" w:sz="0" w:space="0" w:color="auto"/>
        <w:bottom w:val="none" w:sz="0" w:space="0" w:color="auto"/>
        <w:right w:val="none" w:sz="0" w:space="0" w:color="auto"/>
      </w:divBdr>
    </w:div>
    <w:div w:id="2117944012">
      <w:bodyDiv w:val="1"/>
      <w:marLeft w:val="0"/>
      <w:marRight w:val="0"/>
      <w:marTop w:val="0"/>
      <w:marBottom w:val="0"/>
      <w:divBdr>
        <w:top w:val="none" w:sz="0" w:space="0" w:color="auto"/>
        <w:left w:val="none" w:sz="0" w:space="0" w:color="auto"/>
        <w:bottom w:val="none" w:sz="0" w:space="0" w:color="auto"/>
        <w:right w:val="none" w:sz="0" w:space="0" w:color="auto"/>
      </w:divBdr>
    </w:div>
    <w:div w:id="21288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header" Target="header4.xml"/><Relationship Id="rId138" Type="http://schemas.openxmlformats.org/officeDocument/2006/relationships/theme" Target="theme/theme1.xml"/><Relationship Id="rId16" Type="http://schemas.openxmlformats.org/officeDocument/2006/relationships/image" Target="media/image7.jpeg"/><Relationship Id="rId107" Type="http://schemas.openxmlformats.org/officeDocument/2006/relationships/image" Target="media/image90.png"/><Relationship Id="rId11" Type="http://schemas.openxmlformats.org/officeDocument/2006/relationships/hyperlink" Target="https://www.tewhatuora.govt.nz/"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eader" Target="header2.xml"/><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80" Type="http://schemas.openxmlformats.org/officeDocument/2006/relationships/footer" Target="footer2.xml"/><Relationship Id="rId85" Type="http://schemas.openxmlformats.org/officeDocument/2006/relationships/image" Target="media/image70.emf"/><Relationship Id="rId12" Type="http://schemas.openxmlformats.org/officeDocument/2006/relationships/image" Target="media/image4.png"/><Relationship Id="rId17" Type="http://schemas.openxmlformats.org/officeDocument/2006/relationships/hyperlink" Target="https://www.dpmc.govt.nz/our-programmes/government-targets" TargetMode="External"/><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8.png"/><Relationship Id="rId86" Type="http://schemas.openxmlformats.org/officeDocument/2006/relationships/header" Target="header5.xml"/><Relationship Id="rId130" Type="http://schemas.openxmlformats.org/officeDocument/2006/relationships/image" Target="media/image113.png"/><Relationship Id="rId135" Type="http://schemas.openxmlformats.org/officeDocument/2006/relationships/image" Target="media/image118.png"/><Relationship Id="rId13" Type="http://schemas.openxmlformats.org/officeDocument/2006/relationships/hyperlink" Target="https://www.tewhatuora.govt.nz/publications/health-status-report/" TargetMode="Externa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eader" Target="header6.xml"/><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61" Type="http://schemas.openxmlformats.org/officeDocument/2006/relationships/image" Target="media/image51.png"/><Relationship Id="rId82" Type="http://schemas.openxmlformats.org/officeDocument/2006/relationships/image" Target="media/image69.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header" Target="header1.xml"/><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8" Type="http://schemas.openxmlformats.org/officeDocument/2006/relationships/image" Target="media/image1.jp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9.png"/><Relationship Id="rId13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header" Target="header3.xml"/><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 Type="http://schemas.openxmlformats.org/officeDocument/2006/relationships/image" Target="media/image6.jpe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3.sv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footer" Target="footer1.xml"/><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s>
</file>

<file path=word/_rels/footnotes.xml.rels><?xml version="1.0" encoding="UTF-8" standalone="yes"?>
<Relationships xmlns="http://schemas.openxmlformats.org/package/2006/relationships"><Relationship Id="rId3" Type="http://schemas.openxmlformats.org/officeDocument/2006/relationships/hyperlink" Target="https://my.health.nz/" TargetMode="External"/><Relationship Id="rId2" Type="http://schemas.openxmlformats.org/officeDocument/2006/relationships/hyperlink" Target="https://www.ecald.com/about-us/our-performance/course-uptake/" TargetMode="External"/><Relationship Id="rId1" Type="http://schemas.openxmlformats.org/officeDocument/2006/relationships/hyperlink" Target="https://www.tewhatuora.govt.nz/health-services-and-programmes/vaccine-information/vaccine-service-delivery/vaccinating-workforce/" TargetMode="External"/><Relationship Id="rId5" Type="http://schemas.openxmlformats.org/officeDocument/2006/relationships/hyperlink" Target="https://healthify.nz/app-library/" TargetMode="External"/><Relationship Id="rId4" Type="http://schemas.openxmlformats.org/officeDocument/2006/relationships/hyperlink" Target="https://www.tewhatuora.govt.nz/health-services-and-programmes/digital-health/my-health-accou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7.png"/></Relationships>
</file>

<file path=word/_rels/header2.xml.rels><?xml version="1.0" encoding="UTF-8" standalone="yes"?>
<Relationships xmlns="http://schemas.openxmlformats.org/package/2006/relationships"><Relationship Id="rId1" Type="http://schemas.openxmlformats.org/officeDocument/2006/relationships/image" Target="media/image67.png"/></Relationships>
</file>

<file path=word/_rels/header3.xml.rels><?xml version="1.0" encoding="UTF-8" standalone="yes"?>
<Relationships xmlns="http://schemas.openxmlformats.org/package/2006/relationships"><Relationship Id="rId1" Type="http://schemas.openxmlformats.org/officeDocument/2006/relationships/image" Target="media/image67.png"/></Relationships>
</file>

<file path=word/_rels/header4.xml.rels><?xml version="1.0" encoding="UTF-8" standalone="yes"?>
<Relationships xmlns="http://schemas.openxmlformats.org/package/2006/relationships"><Relationship Id="rId1" Type="http://schemas.openxmlformats.org/officeDocument/2006/relationships/image" Target="media/image67.png"/></Relationships>
</file>

<file path=word/_rels/header5.xml.rels><?xml version="1.0" encoding="UTF-8" standalone="yes"?>
<Relationships xmlns="http://schemas.openxmlformats.org/package/2006/relationships"><Relationship Id="rId1" Type="http://schemas.openxmlformats.org/officeDocument/2006/relationships/image" Target="media/image67.png"/></Relationships>
</file>

<file path=word/_rels/header6.xml.rels><?xml version="1.0" encoding="UTF-8" standalone="yes"?>
<Relationships xmlns="http://schemas.openxmlformats.org/package/2006/relationships"><Relationship Id="rId1" Type="http://schemas.openxmlformats.org/officeDocument/2006/relationships/image" Target="media/image67.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79E5D-3A3E-4237-84E8-E357ACFD5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13898</Words>
  <Characters>79219</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92932</CharactersWithSpaces>
  <SharedDoc>false</SharedDoc>
  <HLinks>
    <vt:vector size="240" baseType="variant">
      <vt:variant>
        <vt:i4>2883632</vt:i4>
      </vt:variant>
      <vt:variant>
        <vt:i4>201</vt:i4>
      </vt:variant>
      <vt:variant>
        <vt:i4>0</vt:i4>
      </vt:variant>
      <vt:variant>
        <vt:i4>5</vt:i4>
      </vt:variant>
      <vt:variant>
        <vt:lpwstr>https://www.dpmc.govt.nz/our-programmes/government-targets</vt:lpwstr>
      </vt:variant>
      <vt:variant>
        <vt:lpwstr/>
      </vt:variant>
      <vt:variant>
        <vt:i4>1114169</vt:i4>
      </vt:variant>
      <vt:variant>
        <vt:i4>194</vt:i4>
      </vt:variant>
      <vt:variant>
        <vt:i4>0</vt:i4>
      </vt:variant>
      <vt:variant>
        <vt:i4>5</vt:i4>
      </vt:variant>
      <vt:variant>
        <vt:lpwstr/>
      </vt:variant>
      <vt:variant>
        <vt:lpwstr>_Toc170199194</vt:lpwstr>
      </vt:variant>
      <vt:variant>
        <vt:i4>1114169</vt:i4>
      </vt:variant>
      <vt:variant>
        <vt:i4>188</vt:i4>
      </vt:variant>
      <vt:variant>
        <vt:i4>0</vt:i4>
      </vt:variant>
      <vt:variant>
        <vt:i4>5</vt:i4>
      </vt:variant>
      <vt:variant>
        <vt:lpwstr/>
      </vt:variant>
      <vt:variant>
        <vt:lpwstr>_Toc170199193</vt:lpwstr>
      </vt:variant>
      <vt:variant>
        <vt:i4>1048633</vt:i4>
      </vt:variant>
      <vt:variant>
        <vt:i4>182</vt:i4>
      </vt:variant>
      <vt:variant>
        <vt:i4>0</vt:i4>
      </vt:variant>
      <vt:variant>
        <vt:i4>5</vt:i4>
      </vt:variant>
      <vt:variant>
        <vt:lpwstr/>
      </vt:variant>
      <vt:variant>
        <vt:lpwstr>_Toc170199182</vt:lpwstr>
      </vt:variant>
      <vt:variant>
        <vt:i4>1048633</vt:i4>
      </vt:variant>
      <vt:variant>
        <vt:i4>176</vt:i4>
      </vt:variant>
      <vt:variant>
        <vt:i4>0</vt:i4>
      </vt:variant>
      <vt:variant>
        <vt:i4>5</vt:i4>
      </vt:variant>
      <vt:variant>
        <vt:lpwstr/>
      </vt:variant>
      <vt:variant>
        <vt:lpwstr>_Toc170199181</vt:lpwstr>
      </vt:variant>
      <vt:variant>
        <vt:i4>1048633</vt:i4>
      </vt:variant>
      <vt:variant>
        <vt:i4>170</vt:i4>
      </vt:variant>
      <vt:variant>
        <vt:i4>0</vt:i4>
      </vt:variant>
      <vt:variant>
        <vt:i4>5</vt:i4>
      </vt:variant>
      <vt:variant>
        <vt:lpwstr/>
      </vt:variant>
      <vt:variant>
        <vt:lpwstr>_Toc170199180</vt:lpwstr>
      </vt:variant>
      <vt:variant>
        <vt:i4>2031673</vt:i4>
      </vt:variant>
      <vt:variant>
        <vt:i4>164</vt:i4>
      </vt:variant>
      <vt:variant>
        <vt:i4>0</vt:i4>
      </vt:variant>
      <vt:variant>
        <vt:i4>5</vt:i4>
      </vt:variant>
      <vt:variant>
        <vt:lpwstr/>
      </vt:variant>
      <vt:variant>
        <vt:lpwstr>_Toc170199179</vt:lpwstr>
      </vt:variant>
      <vt:variant>
        <vt:i4>2031673</vt:i4>
      </vt:variant>
      <vt:variant>
        <vt:i4>158</vt:i4>
      </vt:variant>
      <vt:variant>
        <vt:i4>0</vt:i4>
      </vt:variant>
      <vt:variant>
        <vt:i4>5</vt:i4>
      </vt:variant>
      <vt:variant>
        <vt:lpwstr/>
      </vt:variant>
      <vt:variant>
        <vt:lpwstr>_Toc170199178</vt:lpwstr>
      </vt:variant>
      <vt:variant>
        <vt:i4>2031673</vt:i4>
      </vt:variant>
      <vt:variant>
        <vt:i4>152</vt:i4>
      </vt:variant>
      <vt:variant>
        <vt:i4>0</vt:i4>
      </vt:variant>
      <vt:variant>
        <vt:i4>5</vt:i4>
      </vt:variant>
      <vt:variant>
        <vt:lpwstr/>
      </vt:variant>
      <vt:variant>
        <vt:lpwstr>_Toc170199177</vt:lpwstr>
      </vt:variant>
      <vt:variant>
        <vt:i4>2031673</vt:i4>
      </vt:variant>
      <vt:variant>
        <vt:i4>146</vt:i4>
      </vt:variant>
      <vt:variant>
        <vt:i4>0</vt:i4>
      </vt:variant>
      <vt:variant>
        <vt:i4>5</vt:i4>
      </vt:variant>
      <vt:variant>
        <vt:lpwstr/>
      </vt:variant>
      <vt:variant>
        <vt:lpwstr>_Toc170199176</vt:lpwstr>
      </vt:variant>
      <vt:variant>
        <vt:i4>2031673</vt:i4>
      </vt:variant>
      <vt:variant>
        <vt:i4>140</vt:i4>
      </vt:variant>
      <vt:variant>
        <vt:i4>0</vt:i4>
      </vt:variant>
      <vt:variant>
        <vt:i4>5</vt:i4>
      </vt:variant>
      <vt:variant>
        <vt:lpwstr/>
      </vt:variant>
      <vt:variant>
        <vt:lpwstr>_Toc170199175</vt:lpwstr>
      </vt:variant>
      <vt:variant>
        <vt:i4>2031673</vt:i4>
      </vt:variant>
      <vt:variant>
        <vt:i4>134</vt:i4>
      </vt:variant>
      <vt:variant>
        <vt:i4>0</vt:i4>
      </vt:variant>
      <vt:variant>
        <vt:i4>5</vt:i4>
      </vt:variant>
      <vt:variant>
        <vt:lpwstr/>
      </vt:variant>
      <vt:variant>
        <vt:lpwstr>_Toc170199174</vt:lpwstr>
      </vt:variant>
      <vt:variant>
        <vt:i4>2031673</vt:i4>
      </vt:variant>
      <vt:variant>
        <vt:i4>128</vt:i4>
      </vt:variant>
      <vt:variant>
        <vt:i4>0</vt:i4>
      </vt:variant>
      <vt:variant>
        <vt:i4>5</vt:i4>
      </vt:variant>
      <vt:variant>
        <vt:lpwstr/>
      </vt:variant>
      <vt:variant>
        <vt:lpwstr>_Toc170199173</vt:lpwstr>
      </vt:variant>
      <vt:variant>
        <vt:i4>2031673</vt:i4>
      </vt:variant>
      <vt:variant>
        <vt:i4>122</vt:i4>
      </vt:variant>
      <vt:variant>
        <vt:i4>0</vt:i4>
      </vt:variant>
      <vt:variant>
        <vt:i4>5</vt:i4>
      </vt:variant>
      <vt:variant>
        <vt:lpwstr/>
      </vt:variant>
      <vt:variant>
        <vt:lpwstr>_Toc170199172</vt:lpwstr>
      </vt:variant>
      <vt:variant>
        <vt:i4>2031673</vt:i4>
      </vt:variant>
      <vt:variant>
        <vt:i4>116</vt:i4>
      </vt:variant>
      <vt:variant>
        <vt:i4>0</vt:i4>
      </vt:variant>
      <vt:variant>
        <vt:i4>5</vt:i4>
      </vt:variant>
      <vt:variant>
        <vt:lpwstr/>
      </vt:variant>
      <vt:variant>
        <vt:lpwstr>_Toc170199171</vt:lpwstr>
      </vt:variant>
      <vt:variant>
        <vt:i4>2031673</vt:i4>
      </vt:variant>
      <vt:variant>
        <vt:i4>110</vt:i4>
      </vt:variant>
      <vt:variant>
        <vt:i4>0</vt:i4>
      </vt:variant>
      <vt:variant>
        <vt:i4>5</vt:i4>
      </vt:variant>
      <vt:variant>
        <vt:lpwstr/>
      </vt:variant>
      <vt:variant>
        <vt:lpwstr>_Toc170199170</vt:lpwstr>
      </vt:variant>
      <vt:variant>
        <vt:i4>1966137</vt:i4>
      </vt:variant>
      <vt:variant>
        <vt:i4>104</vt:i4>
      </vt:variant>
      <vt:variant>
        <vt:i4>0</vt:i4>
      </vt:variant>
      <vt:variant>
        <vt:i4>5</vt:i4>
      </vt:variant>
      <vt:variant>
        <vt:lpwstr/>
      </vt:variant>
      <vt:variant>
        <vt:lpwstr>_Toc170199169</vt:lpwstr>
      </vt:variant>
      <vt:variant>
        <vt:i4>1966137</vt:i4>
      </vt:variant>
      <vt:variant>
        <vt:i4>98</vt:i4>
      </vt:variant>
      <vt:variant>
        <vt:i4>0</vt:i4>
      </vt:variant>
      <vt:variant>
        <vt:i4>5</vt:i4>
      </vt:variant>
      <vt:variant>
        <vt:lpwstr/>
      </vt:variant>
      <vt:variant>
        <vt:lpwstr>_Toc170199168</vt:lpwstr>
      </vt:variant>
      <vt:variant>
        <vt:i4>1966137</vt:i4>
      </vt:variant>
      <vt:variant>
        <vt:i4>92</vt:i4>
      </vt:variant>
      <vt:variant>
        <vt:i4>0</vt:i4>
      </vt:variant>
      <vt:variant>
        <vt:i4>5</vt:i4>
      </vt:variant>
      <vt:variant>
        <vt:lpwstr/>
      </vt:variant>
      <vt:variant>
        <vt:lpwstr>_Toc170199167</vt:lpwstr>
      </vt:variant>
      <vt:variant>
        <vt:i4>1966137</vt:i4>
      </vt:variant>
      <vt:variant>
        <vt:i4>86</vt:i4>
      </vt:variant>
      <vt:variant>
        <vt:i4>0</vt:i4>
      </vt:variant>
      <vt:variant>
        <vt:i4>5</vt:i4>
      </vt:variant>
      <vt:variant>
        <vt:lpwstr/>
      </vt:variant>
      <vt:variant>
        <vt:lpwstr>_Toc170199166</vt:lpwstr>
      </vt:variant>
      <vt:variant>
        <vt:i4>1966137</vt:i4>
      </vt:variant>
      <vt:variant>
        <vt:i4>80</vt:i4>
      </vt:variant>
      <vt:variant>
        <vt:i4>0</vt:i4>
      </vt:variant>
      <vt:variant>
        <vt:i4>5</vt:i4>
      </vt:variant>
      <vt:variant>
        <vt:lpwstr/>
      </vt:variant>
      <vt:variant>
        <vt:lpwstr>_Toc170199165</vt:lpwstr>
      </vt:variant>
      <vt:variant>
        <vt:i4>1966137</vt:i4>
      </vt:variant>
      <vt:variant>
        <vt:i4>74</vt:i4>
      </vt:variant>
      <vt:variant>
        <vt:i4>0</vt:i4>
      </vt:variant>
      <vt:variant>
        <vt:i4>5</vt:i4>
      </vt:variant>
      <vt:variant>
        <vt:lpwstr/>
      </vt:variant>
      <vt:variant>
        <vt:lpwstr>_Toc170199164</vt:lpwstr>
      </vt:variant>
      <vt:variant>
        <vt:i4>1966137</vt:i4>
      </vt:variant>
      <vt:variant>
        <vt:i4>68</vt:i4>
      </vt:variant>
      <vt:variant>
        <vt:i4>0</vt:i4>
      </vt:variant>
      <vt:variant>
        <vt:i4>5</vt:i4>
      </vt:variant>
      <vt:variant>
        <vt:lpwstr/>
      </vt:variant>
      <vt:variant>
        <vt:lpwstr>_Toc170199163</vt:lpwstr>
      </vt:variant>
      <vt:variant>
        <vt:i4>1966137</vt:i4>
      </vt:variant>
      <vt:variant>
        <vt:i4>62</vt:i4>
      </vt:variant>
      <vt:variant>
        <vt:i4>0</vt:i4>
      </vt:variant>
      <vt:variant>
        <vt:i4>5</vt:i4>
      </vt:variant>
      <vt:variant>
        <vt:lpwstr/>
      </vt:variant>
      <vt:variant>
        <vt:lpwstr>_Toc170199162</vt:lpwstr>
      </vt:variant>
      <vt:variant>
        <vt:i4>1966137</vt:i4>
      </vt:variant>
      <vt:variant>
        <vt:i4>56</vt:i4>
      </vt:variant>
      <vt:variant>
        <vt:i4>0</vt:i4>
      </vt:variant>
      <vt:variant>
        <vt:i4>5</vt:i4>
      </vt:variant>
      <vt:variant>
        <vt:lpwstr/>
      </vt:variant>
      <vt:variant>
        <vt:lpwstr>_Toc170199161</vt:lpwstr>
      </vt:variant>
      <vt:variant>
        <vt:i4>1966137</vt:i4>
      </vt:variant>
      <vt:variant>
        <vt:i4>50</vt:i4>
      </vt:variant>
      <vt:variant>
        <vt:i4>0</vt:i4>
      </vt:variant>
      <vt:variant>
        <vt:i4>5</vt:i4>
      </vt:variant>
      <vt:variant>
        <vt:lpwstr/>
      </vt:variant>
      <vt:variant>
        <vt:lpwstr>_Toc170199160</vt:lpwstr>
      </vt:variant>
      <vt:variant>
        <vt:i4>1900601</vt:i4>
      </vt:variant>
      <vt:variant>
        <vt:i4>44</vt:i4>
      </vt:variant>
      <vt:variant>
        <vt:i4>0</vt:i4>
      </vt:variant>
      <vt:variant>
        <vt:i4>5</vt:i4>
      </vt:variant>
      <vt:variant>
        <vt:lpwstr/>
      </vt:variant>
      <vt:variant>
        <vt:lpwstr>_Toc170199159</vt:lpwstr>
      </vt:variant>
      <vt:variant>
        <vt:i4>1900601</vt:i4>
      </vt:variant>
      <vt:variant>
        <vt:i4>38</vt:i4>
      </vt:variant>
      <vt:variant>
        <vt:i4>0</vt:i4>
      </vt:variant>
      <vt:variant>
        <vt:i4>5</vt:i4>
      </vt:variant>
      <vt:variant>
        <vt:lpwstr/>
      </vt:variant>
      <vt:variant>
        <vt:lpwstr>_Toc170199158</vt:lpwstr>
      </vt:variant>
      <vt:variant>
        <vt:i4>1900601</vt:i4>
      </vt:variant>
      <vt:variant>
        <vt:i4>32</vt:i4>
      </vt:variant>
      <vt:variant>
        <vt:i4>0</vt:i4>
      </vt:variant>
      <vt:variant>
        <vt:i4>5</vt:i4>
      </vt:variant>
      <vt:variant>
        <vt:lpwstr/>
      </vt:variant>
      <vt:variant>
        <vt:lpwstr>_Toc170199154</vt:lpwstr>
      </vt:variant>
      <vt:variant>
        <vt:i4>1835065</vt:i4>
      </vt:variant>
      <vt:variant>
        <vt:i4>26</vt:i4>
      </vt:variant>
      <vt:variant>
        <vt:i4>0</vt:i4>
      </vt:variant>
      <vt:variant>
        <vt:i4>5</vt:i4>
      </vt:variant>
      <vt:variant>
        <vt:lpwstr/>
      </vt:variant>
      <vt:variant>
        <vt:lpwstr>_Toc170199149</vt:lpwstr>
      </vt:variant>
      <vt:variant>
        <vt:i4>1835065</vt:i4>
      </vt:variant>
      <vt:variant>
        <vt:i4>20</vt:i4>
      </vt:variant>
      <vt:variant>
        <vt:i4>0</vt:i4>
      </vt:variant>
      <vt:variant>
        <vt:i4>5</vt:i4>
      </vt:variant>
      <vt:variant>
        <vt:lpwstr/>
      </vt:variant>
      <vt:variant>
        <vt:lpwstr>_Toc170199141</vt:lpwstr>
      </vt:variant>
      <vt:variant>
        <vt:i4>1769529</vt:i4>
      </vt:variant>
      <vt:variant>
        <vt:i4>14</vt:i4>
      </vt:variant>
      <vt:variant>
        <vt:i4>0</vt:i4>
      </vt:variant>
      <vt:variant>
        <vt:i4>5</vt:i4>
      </vt:variant>
      <vt:variant>
        <vt:lpwstr/>
      </vt:variant>
      <vt:variant>
        <vt:lpwstr>_Toc170199139</vt:lpwstr>
      </vt:variant>
      <vt:variant>
        <vt:i4>1769529</vt:i4>
      </vt:variant>
      <vt:variant>
        <vt:i4>8</vt:i4>
      </vt:variant>
      <vt:variant>
        <vt:i4>0</vt:i4>
      </vt:variant>
      <vt:variant>
        <vt:i4>5</vt:i4>
      </vt:variant>
      <vt:variant>
        <vt:lpwstr/>
      </vt:variant>
      <vt:variant>
        <vt:lpwstr>_Toc170199138</vt:lpwstr>
      </vt:variant>
      <vt:variant>
        <vt:i4>1900560</vt:i4>
      </vt:variant>
      <vt:variant>
        <vt:i4>3</vt:i4>
      </vt:variant>
      <vt:variant>
        <vt:i4>0</vt:i4>
      </vt:variant>
      <vt:variant>
        <vt:i4>5</vt:i4>
      </vt:variant>
      <vt:variant>
        <vt:lpwstr>https://www.tewhatuora.govt.nz/publications/health-status-report/</vt:lpwstr>
      </vt:variant>
      <vt:variant>
        <vt:lpwstr/>
      </vt:variant>
      <vt:variant>
        <vt:i4>7995518</vt:i4>
      </vt:variant>
      <vt:variant>
        <vt:i4>0</vt:i4>
      </vt:variant>
      <vt:variant>
        <vt:i4>0</vt:i4>
      </vt:variant>
      <vt:variant>
        <vt:i4>5</vt:i4>
      </vt:variant>
      <vt:variant>
        <vt:lpwstr>https://www.tewhatuora.govt.nz/</vt:lpwstr>
      </vt:variant>
      <vt:variant>
        <vt:lpwstr/>
      </vt:variant>
      <vt:variant>
        <vt:i4>4522072</vt:i4>
      </vt:variant>
      <vt:variant>
        <vt:i4>12</vt:i4>
      </vt:variant>
      <vt:variant>
        <vt:i4>0</vt:i4>
      </vt:variant>
      <vt:variant>
        <vt:i4>5</vt:i4>
      </vt:variant>
      <vt:variant>
        <vt:lpwstr>https://healthify.nz/app-library/</vt:lpwstr>
      </vt:variant>
      <vt:variant>
        <vt:lpwstr/>
      </vt:variant>
      <vt:variant>
        <vt:i4>6881339</vt:i4>
      </vt:variant>
      <vt:variant>
        <vt:i4>9</vt:i4>
      </vt:variant>
      <vt:variant>
        <vt:i4>0</vt:i4>
      </vt:variant>
      <vt:variant>
        <vt:i4>5</vt:i4>
      </vt:variant>
      <vt:variant>
        <vt:lpwstr>https://www.tewhatuora.govt.nz/health-services-and-programmes/digital-health/my-health-account/</vt:lpwstr>
      </vt:variant>
      <vt:variant>
        <vt:lpwstr/>
      </vt:variant>
      <vt:variant>
        <vt:i4>4259852</vt:i4>
      </vt:variant>
      <vt:variant>
        <vt:i4>6</vt:i4>
      </vt:variant>
      <vt:variant>
        <vt:i4>0</vt:i4>
      </vt:variant>
      <vt:variant>
        <vt:i4>5</vt:i4>
      </vt:variant>
      <vt:variant>
        <vt:lpwstr>https://my.health.nz/</vt:lpwstr>
      </vt:variant>
      <vt:variant>
        <vt:lpwstr/>
      </vt:variant>
      <vt:variant>
        <vt:i4>4849688</vt:i4>
      </vt:variant>
      <vt:variant>
        <vt:i4>3</vt:i4>
      </vt:variant>
      <vt:variant>
        <vt:i4>0</vt:i4>
      </vt:variant>
      <vt:variant>
        <vt:i4>5</vt:i4>
      </vt:variant>
      <vt:variant>
        <vt:lpwstr>https://www.ecald.com/about-us/our-performance/course-uptake/</vt:lpwstr>
      </vt:variant>
      <vt:variant>
        <vt:lpwstr/>
      </vt:variant>
      <vt:variant>
        <vt:i4>1310815</vt:i4>
      </vt:variant>
      <vt:variant>
        <vt:i4>0</vt:i4>
      </vt:variant>
      <vt:variant>
        <vt:i4>0</vt:i4>
      </vt:variant>
      <vt:variant>
        <vt:i4>5</vt:i4>
      </vt:variant>
      <vt:variant>
        <vt:lpwstr>https://www.tewhatuora.govt.nz/health-services-and-programmes/vaccine-information/vaccine-service-delivery/vaccinating-workforce/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2024-07-04T03:46:00Z</dcterms:created>
  <dcterms:modified xsi:type="dcterms:W3CDTF">2024-07-04T03:48:00Z</dcterms:modified>
</cp:coreProperties>
</file>