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09D983" w14:textId="77777777" w:rsidR="00D05DA5" w:rsidRDefault="00D05DA5" w:rsidP="0087795F">
      <w:pPr>
        <w:rPr>
          <w:noProof/>
        </w:rPr>
      </w:pPr>
    </w:p>
    <w:p w14:paraId="76F869CD" w14:textId="56E8E0ED" w:rsidR="00817A32" w:rsidRDefault="00F80AC5" w:rsidP="0087795F">
      <w:r>
        <w:rPr>
          <w:noProof/>
        </w:rPr>
        <w:drawing>
          <wp:inline distT="0" distB="0" distL="0" distR="0" wp14:anchorId="7D8ABA4C" wp14:editId="2BA6E13F">
            <wp:extent cx="6158865" cy="8562448"/>
            <wp:effectExtent l="0" t="0" r="0" b="0"/>
            <wp:docPr id="789210238" name="Picture 1" descr="Whakaohooho manawa ora: Cognitive screening and support in alcohol and other drug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210238" name="Picture 1" descr="Whakaohooho manawa ora: Cognitive screening and support in alcohol and other drug servic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63228" cy="8568514"/>
                    </a:xfrm>
                    <a:prstGeom prst="rect">
                      <a:avLst/>
                    </a:prstGeom>
                    <a:noFill/>
                  </pic:spPr>
                </pic:pic>
              </a:graphicData>
            </a:graphic>
          </wp:inline>
        </w:drawing>
      </w:r>
      <w:r w:rsidR="00817A32">
        <w:br w:type="page"/>
      </w:r>
    </w:p>
    <w:p w14:paraId="24EE68F5" w14:textId="3C1EEE4F" w:rsidR="006C3CC4" w:rsidRPr="003C1285" w:rsidRDefault="006C3CC4" w:rsidP="006C3CC4">
      <w:r>
        <w:lastRenderedPageBreak/>
        <w:t xml:space="preserve">Citation: Health New Zealand | Te Whatu Ora. 2024. </w:t>
      </w:r>
      <w:r w:rsidRPr="00554152">
        <w:rPr>
          <w:i/>
          <w:iCs/>
        </w:rPr>
        <w:t>Whakaohooho manawa ora</w:t>
      </w:r>
      <w:r>
        <w:rPr>
          <w:i/>
          <w:iCs/>
        </w:rPr>
        <w:t>:</w:t>
      </w:r>
      <w:r w:rsidRPr="00554152">
        <w:rPr>
          <w:i/>
          <w:iCs/>
        </w:rPr>
        <w:t xml:space="preserve"> Cognitive screening</w:t>
      </w:r>
      <w:r>
        <w:rPr>
          <w:i/>
          <w:iCs/>
        </w:rPr>
        <w:t xml:space="preserve"> and support in alcohol and other drug services. Aotearoa New Zealand practice guidelines</w:t>
      </w:r>
      <w:r w:rsidR="00B316F5">
        <w:t xml:space="preserve">: </w:t>
      </w:r>
      <w:r w:rsidR="00B316F5" w:rsidRPr="00B316F5">
        <w:rPr>
          <w:i/>
          <w:iCs/>
        </w:rPr>
        <w:t>September 2024</w:t>
      </w:r>
      <w:r w:rsidR="003C1285">
        <w:t xml:space="preserve">. Wellington: </w:t>
      </w:r>
      <w:r w:rsidR="00901934">
        <w:t>Health New Zealand | Te Whatu Ora.</w:t>
      </w:r>
    </w:p>
    <w:p w14:paraId="693D56AB" w14:textId="1D2BAE05" w:rsidR="006C3CC4" w:rsidRDefault="006C3CC4" w:rsidP="006C3CC4">
      <w:r>
        <w:t xml:space="preserve">Published </w:t>
      </w:r>
      <w:r w:rsidR="009F1FC6">
        <w:t xml:space="preserve">report </w:t>
      </w:r>
      <w:r>
        <w:t>in September 2024 by Health New Zealand | Te Whatu Ora</w:t>
      </w:r>
      <w:r>
        <w:br/>
        <w:t>PO Box 793, Wellington 6140, New Zealand</w:t>
      </w:r>
    </w:p>
    <w:p w14:paraId="6253A8C8" w14:textId="2720747E" w:rsidR="006C3CC4" w:rsidRDefault="002D4450" w:rsidP="004C2E5B">
      <w:pPr>
        <w:rPr>
          <w:noProof/>
          <w:lang w:eastAsia="en-NZ"/>
        </w:rPr>
      </w:pPr>
      <w:r>
        <w:rPr>
          <w:noProof/>
          <w:lang w:eastAsia="en-NZ"/>
        </w:rPr>
        <w:t>ISBN</w:t>
      </w:r>
      <w:r w:rsidR="009C7C94">
        <w:rPr>
          <w:noProof/>
          <w:lang w:eastAsia="en-NZ"/>
        </w:rPr>
        <w:t xml:space="preserve"> </w:t>
      </w:r>
      <w:r w:rsidR="009C7C94" w:rsidRPr="009C7C94">
        <w:rPr>
          <w:noProof/>
          <w:lang w:eastAsia="en-NZ"/>
        </w:rPr>
        <w:t>978-1-991139-13-9</w:t>
      </w:r>
      <w:r w:rsidR="009C7C94">
        <w:rPr>
          <w:noProof/>
          <w:lang w:eastAsia="en-NZ"/>
        </w:rPr>
        <w:t xml:space="preserve"> </w:t>
      </w:r>
      <w:r w:rsidR="009640A1">
        <w:rPr>
          <w:noProof/>
          <w:lang w:eastAsia="en-NZ"/>
        </w:rPr>
        <w:t>(online)</w:t>
      </w:r>
    </w:p>
    <w:p w14:paraId="484FDA4E" w14:textId="1F4CD9FE" w:rsidR="00B75F7F" w:rsidRDefault="00EE5E59" w:rsidP="004C2E5B">
      <w:r>
        <w:rPr>
          <w:noProof/>
          <w:lang w:eastAsia="en-NZ"/>
        </w:rPr>
        <w:drawing>
          <wp:inline distT="0" distB="0" distL="0" distR="0" wp14:anchorId="1B6F4510" wp14:editId="16B92C50">
            <wp:extent cx="1838325" cy="323850"/>
            <wp:effectExtent l="0" t="0" r="9525" b="0"/>
            <wp:docPr id="4" name="Picture 4" descr="Health New Zealand Te Whatu O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ealth New Zealand Te Whatu Ora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8325" cy="323850"/>
                    </a:xfrm>
                    <a:prstGeom prst="rect">
                      <a:avLst/>
                    </a:prstGeom>
                    <a:noFill/>
                    <a:ln>
                      <a:noFill/>
                    </a:ln>
                  </pic:spPr>
                </pic:pic>
              </a:graphicData>
            </a:graphic>
          </wp:inline>
        </w:drawing>
      </w:r>
    </w:p>
    <w:p w14:paraId="3A76B488" w14:textId="77777777" w:rsidR="00B75F7F" w:rsidRDefault="00B75F7F" w:rsidP="00C033FA">
      <w:r w:rsidRPr="00B75F7F">
        <w:t>This document is available at</w:t>
      </w:r>
      <w:r w:rsidR="00ED4008">
        <w:t xml:space="preserve"> </w:t>
      </w:r>
      <w:hyperlink r:id="rId10" w:history="1">
        <w:r w:rsidR="00ED4008" w:rsidRPr="00ED4008">
          <w:rPr>
            <w:rStyle w:val="Hyperlink"/>
            <w:bCs/>
          </w:rPr>
          <w:t>tewhatuora.govt.nz</w:t>
        </w:r>
      </w:hyperlink>
      <w:r w:rsidRPr="00B75F7F">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96"/>
        <w:gridCol w:w="7932"/>
      </w:tblGrid>
      <w:tr w:rsidR="00B75F7F" w14:paraId="3783DC7F" w14:textId="77777777" w:rsidTr="00B75F7F">
        <w:tc>
          <w:tcPr>
            <w:tcW w:w="1696" w:type="dxa"/>
            <w:vAlign w:val="center"/>
          </w:tcPr>
          <w:p w14:paraId="76F8A935" w14:textId="77777777" w:rsidR="00B75F7F" w:rsidRDefault="00B75F7F" w:rsidP="00B75F7F">
            <w:r w:rsidRPr="00EF30CD">
              <w:rPr>
                <w:rFonts w:cs="Segoe UI"/>
                <w:b/>
                <w:noProof/>
                <w:sz w:val="15"/>
                <w:szCs w:val="15"/>
                <w:lang w:eastAsia="en-NZ"/>
              </w:rPr>
              <w:drawing>
                <wp:anchor distT="0" distB="0" distL="114300" distR="114300" simplePos="0" relativeHeight="251748352" behindDoc="1" locked="0" layoutInCell="1" allowOverlap="1" wp14:anchorId="58E5C710" wp14:editId="02128E07">
                  <wp:simplePos x="0" y="0"/>
                  <wp:positionH relativeFrom="column">
                    <wp:posOffset>-1905</wp:posOffset>
                  </wp:positionH>
                  <wp:positionV relativeFrom="paragraph">
                    <wp:posOffset>-1783080</wp:posOffset>
                  </wp:positionV>
                  <wp:extent cx="809625" cy="285750"/>
                  <wp:effectExtent l="0" t="0" r="9525"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932" w:type="dxa"/>
          </w:tcPr>
          <w:p w14:paraId="3C80545C" w14:textId="77777777" w:rsidR="00B75F7F" w:rsidRDefault="00B75F7F" w:rsidP="00B75F7F">
            <w:r w:rsidRPr="00B75F7F">
              <w:t xml:space="preserve">This work is licensed under the Creative Commons Attribution 4.0 International licence. In essence, you are free to: share </w:t>
            </w:r>
            <w:r w:rsidR="00841B11" w:rsidRPr="00B75F7F">
              <w:t>i.e.</w:t>
            </w:r>
            <w:r w:rsidRPr="00B75F7F">
              <w:t xml:space="preserve">, copy and redistribute the material in any medium or format; adapt </w:t>
            </w:r>
            <w:r w:rsidR="00841B11" w:rsidRPr="00B75F7F">
              <w:t>i.e.</w:t>
            </w:r>
            <w:r w:rsidRPr="00B75F7F">
              <w:t>, remix, transform and build upon the material. You must give appropriate credit, provide a link to the licence and indicate if changes were made.</w:t>
            </w:r>
          </w:p>
          <w:p w14:paraId="22311BE0" w14:textId="77777777" w:rsidR="00A637A6" w:rsidRDefault="00A637A6" w:rsidP="00B75F7F"/>
          <w:p w14:paraId="51071AAB" w14:textId="77777777" w:rsidR="00A637A6" w:rsidRDefault="00A637A6" w:rsidP="00B75F7F"/>
          <w:p w14:paraId="1896F81A" w14:textId="77777777" w:rsidR="00A637A6" w:rsidRDefault="00A637A6" w:rsidP="00B75F7F"/>
          <w:p w14:paraId="72B8B916" w14:textId="77777777" w:rsidR="00A637A6" w:rsidRDefault="00A637A6" w:rsidP="00B75F7F"/>
          <w:p w14:paraId="33A17150" w14:textId="77777777" w:rsidR="00A637A6" w:rsidRDefault="00A637A6" w:rsidP="00B75F7F"/>
          <w:p w14:paraId="5384C854" w14:textId="77777777" w:rsidR="00A637A6" w:rsidRDefault="00A637A6" w:rsidP="00B75F7F"/>
          <w:p w14:paraId="2806162F" w14:textId="77777777" w:rsidR="00A637A6" w:rsidRDefault="00A637A6" w:rsidP="00B75F7F"/>
          <w:p w14:paraId="0C8DD07C" w14:textId="77777777" w:rsidR="00A637A6" w:rsidRDefault="00A637A6" w:rsidP="00B75F7F"/>
        </w:tc>
      </w:tr>
    </w:tbl>
    <w:p w14:paraId="58AEB77F" w14:textId="77777777" w:rsidR="006E1AF8" w:rsidRDefault="006E1AF8" w:rsidP="006E1AF8">
      <w:pPr>
        <w:spacing w:before="0" w:after="160" w:line="259" w:lineRule="auto"/>
      </w:pPr>
    </w:p>
    <w:p w14:paraId="43ADAB1A" w14:textId="7A456B83" w:rsidR="006E1AF8" w:rsidRDefault="006E1AF8">
      <w:pPr>
        <w:spacing w:before="0" w:after="160" w:line="259" w:lineRule="auto"/>
      </w:pPr>
      <w:r>
        <w:br w:type="page"/>
      </w:r>
    </w:p>
    <w:bookmarkStart w:id="0" w:name="_Toc175317934" w:displacedByCustomXml="next"/>
    <w:sdt>
      <w:sdtPr>
        <w:rPr>
          <w:rFonts w:asciiTheme="minorHAnsi" w:eastAsiaTheme="minorHAnsi" w:hAnsiTheme="minorHAnsi" w:cstheme="minorBidi"/>
          <w:b w:val="0"/>
          <w:color w:val="auto"/>
          <w:sz w:val="24"/>
          <w:szCs w:val="22"/>
        </w:rPr>
        <w:id w:val="1834958790"/>
        <w:docPartObj>
          <w:docPartGallery w:val="Table of Contents"/>
          <w:docPartUnique/>
        </w:docPartObj>
      </w:sdtPr>
      <w:sdtEndPr>
        <w:rPr>
          <w:bCs/>
          <w:noProof/>
        </w:rPr>
      </w:sdtEndPr>
      <w:sdtContent>
        <w:p w14:paraId="5C9B6390" w14:textId="723D59F0" w:rsidR="000E6421" w:rsidRPr="00D524A3" w:rsidRDefault="000E6421">
          <w:pPr>
            <w:pStyle w:val="TOCHeading"/>
            <w:rPr>
              <w:rStyle w:val="Heading1Char"/>
              <w:b/>
              <w:bCs/>
            </w:rPr>
          </w:pPr>
          <w:r w:rsidRPr="00D524A3">
            <w:rPr>
              <w:rStyle w:val="Heading1Char"/>
              <w:b/>
              <w:bCs/>
            </w:rPr>
            <w:t>Contents</w:t>
          </w:r>
        </w:p>
        <w:p w14:paraId="476B2F8C" w14:textId="2EF18381" w:rsidR="00E470B8" w:rsidRDefault="000E6421">
          <w:pPr>
            <w:pStyle w:val="TOC1"/>
            <w:tabs>
              <w:tab w:val="right" w:leader="dot" w:pos="9628"/>
            </w:tabs>
            <w:rPr>
              <w:rFonts w:eastAsiaTheme="minorEastAsia"/>
              <w:b w:val="0"/>
              <w:noProof/>
              <w:kern w:val="2"/>
              <w:szCs w:val="24"/>
              <w:lang w:eastAsia="en-NZ"/>
              <w14:ligatures w14:val="standardContextual"/>
            </w:rPr>
          </w:pPr>
          <w:r>
            <w:fldChar w:fldCharType="begin"/>
          </w:r>
          <w:r>
            <w:instrText xml:space="preserve"> TOC \o "1-3" \h \z \u </w:instrText>
          </w:r>
          <w:r>
            <w:fldChar w:fldCharType="separate"/>
          </w:r>
          <w:hyperlink w:anchor="_Toc180571278" w:history="1">
            <w:r w:rsidR="00E470B8" w:rsidRPr="00FE1A6E">
              <w:rPr>
                <w:rStyle w:val="Hyperlink"/>
                <w:noProof/>
              </w:rPr>
              <w:t>List of tables</w:t>
            </w:r>
            <w:r w:rsidR="00E470B8">
              <w:rPr>
                <w:noProof/>
                <w:webHidden/>
              </w:rPr>
              <w:tab/>
            </w:r>
            <w:r w:rsidR="00E470B8">
              <w:rPr>
                <w:noProof/>
                <w:webHidden/>
              </w:rPr>
              <w:fldChar w:fldCharType="begin"/>
            </w:r>
            <w:r w:rsidR="00E470B8">
              <w:rPr>
                <w:noProof/>
                <w:webHidden/>
              </w:rPr>
              <w:instrText xml:space="preserve"> PAGEREF _Toc180571278 \h </w:instrText>
            </w:r>
            <w:r w:rsidR="00E470B8">
              <w:rPr>
                <w:noProof/>
                <w:webHidden/>
              </w:rPr>
            </w:r>
            <w:r w:rsidR="00E470B8">
              <w:rPr>
                <w:noProof/>
                <w:webHidden/>
              </w:rPr>
              <w:fldChar w:fldCharType="separate"/>
            </w:r>
            <w:r w:rsidR="007F1966">
              <w:rPr>
                <w:noProof/>
                <w:webHidden/>
              </w:rPr>
              <w:t>5</w:t>
            </w:r>
            <w:r w:rsidR="00E470B8">
              <w:rPr>
                <w:noProof/>
                <w:webHidden/>
              </w:rPr>
              <w:fldChar w:fldCharType="end"/>
            </w:r>
          </w:hyperlink>
        </w:p>
        <w:p w14:paraId="760BD94F" w14:textId="3C74EC75" w:rsidR="00E470B8" w:rsidRDefault="00000000">
          <w:pPr>
            <w:pStyle w:val="TOC1"/>
            <w:tabs>
              <w:tab w:val="right" w:leader="dot" w:pos="9628"/>
            </w:tabs>
            <w:rPr>
              <w:rFonts w:eastAsiaTheme="minorEastAsia"/>
              <w:b w:val="0"/>
              <w:noProof/>
              <w:kern w:val="2"/>
              <w:szCs w:val="24"/>
              <w:lang w:eastAsia="en-NZ"/>
              <w14:ligatures w14:val="standardContextual"/>
            </w:rPr>
          </w:pPr>
          <w:hyperlink w:anchor="_Toc180571279" w:history="1">
            <w:r w:rsidR="00E470B8" w:rsidRPr="00FE1A6E">
              <w:rPr>
                <w:rStyle w:val="Hyperlink"/>
                <w:noProof/>
              </w:rPr>
              <w:t>Karakia</w:t>
            </w:r>
            <w:r w:rsidR="00E470B8">
              <w:rPr>
                <w:noProof/>
                <w:webHidden/>
              </w:rPr>
              <w:tab/>
            </w:r>
            <w:r w:rsidR="00E470B8">
              <w:rPr>
                <w:noProof/>
                <w:webHidden/>
              </w:rPr>
              <w:fldChar w:fldCharType="begin"/>
            </w:r>
            <w:r w:rsidR="00E470B8">
              <w:rPr>
                <w:noProof/>
                <w:webHidden/>
              </w:rPr>
              <w:instrText xml:space="preserve"> PAGEREF _Toc180571279 \h </w:instrText>
            </w:r>
            <w:r w:rsidR="00E470B8">
              <w:rPr>
                <w:noProof/>
                <w:webHidden/>
              </w:rPr>
            </w:r>
            <w:r w:rsidR="00E470B8">
              <w:rPr>
                <w:noProof/>
                <w:webHidden/>
              </w:rPr>
              <w:fldChar w:fldCharType="separate"/>
            </w:r>
            <w:r w:rsidR="007F1966">
              <w:rPr>
                <w:noProof/>
                <w:webHidden/>
              </w:rPr>
              <w:t>6</w:t>
            </w:r>
            <w:r w:rsidR="00E470B8">
              <w:rPr>
                <w:noProof/>
                <w:webHidden/>
              </w:rPr>
              <w:fldChar w:fldCharType="end"/>
            </w:r>
          </w:hyperlink>
        </w:p>
        <w:p w14:paraId="3F9CA888" w14:textId="55208E7E" w:rsidR="00E470B8" w:rsidRDefault="00000000">
          <w:pPr>
            <w:pStyle w:val="TOC1"/>
            <w:tabs>
              <w:tab w:val="right" w:leader="dot" w:pos="9628"/>
            </w:tabs>
            <w:rPr>
              <w:rFonts w:eastAsiaTheme="minorEastAsia"/>
              <w:b w:val="0"/>
              <w:noProof/>
              <w:kern w:val="2"/>
              <w:szCs w:val="24"/>
              <w:lang w:eastAsia="en-NZ"/>
              <w14:ligatures w14:val="standardContextual"/>
            </w:rPr>
          </w:pPr>
          <w:hyperlink w:anchor="_Toc180571280" w:history="1">
            <w:r w:rsidR="00E470B8" w:rsidRPr="00FE1A6E">
              <w:rPr>
                <w:rStyle w:val="Hyperlink"/>
                <w:noProof/>
              </w:rPr>
              <w:t>Kā mihi - Acknowledgements</w:t>
            </w:r>
            <w:r w:rsidR="00E470B8">
              <w:rPr>
                <w:noProof/>
                <w:webHidden/>
              </w:rPr>
              <w:tab/>
            </w:r>
            <w:r w:rsidR="00E470B8">
              <w:rPr>
                <w:noProof/>
                <w:webHidden/>
              </w:rPr>
              <w:fldChar w:fldCharType="begin"/>
            </w:r>
            <w:r w:rsidR="00E470B8">
              <w:rPr>
                <w:noProof/>
                <w:webHidden/>
              </w:rPr>
              <w:instrText xml:space="preserve"> PAGEREF _Toc180571280 \h </w:instrText>
            </w:r>
            <w:r w:rsidR="00E470B8">
              <w:rPr>
                <w:noProof/>
                <w:webHidden/>
              </w:rPr>
            </w:r>
            <w:r w:rsidR="00E470B8">
              <w:rPr>
                <w:noProof/>
                <w:webHidden/>
              </w:rPr>
              <w:fldChar w:fldCharType="separate"/>
            </w:r>
            <w:r w:rsidR="007F1966">
              <w:rPr>
                <w:noProof/>
                <w:webHidden/>
              </w:rPr>
              <w:t>7</w:t>
            </w:r>
            <w:r w:rsidR="00E470B8">
              <w:rPr>
                <w:noProof/>
                <w:webHidden/>
              </w:rPr>
              <w:fldChar w:fldCharType="end"/>
            </w:r>
          </w:hyperlink>
        </w:p>
        <w:p w14:paraId="77FA348E" w14:textId="00C0D872" w:rsidR="00E470B8" w:rsidRDefault="00000000">
          <w:pPr>
            <w:pStyle w:val="TOC1"/>
            <w:tabs>
              <w:tab w:val="right" w:leader="dot" w:pos="9628"/>
            </w:tabs>
            <w:rPr>
              <w:rFonts w:eastAsiaTheme="minorEastAsia"/>
              <w:b w:val="0"/>
              <w:noProof/>
              <w:kern w:val="2"/>
              <w:szCs w:val="24"/>
              <w:lang w:eastAsia="en-NZ"/>
              <w14:ligatures w14:val="standardContextual"/>
            </w:rPr>
          </w:pPr>
          <w:hyperlink w:anchor="_Toc180571281" w:history="1">
            <w:r w:rsidR="00E470B8" w:rsidRPr="00FE1A6E">
              <w:rPr>
                <w:rStyle w:val="Hyperlink"/>
                <w:noProof/>
              </w:rPr>
              <w:t>He Kupu whakataki – Forward</w:t>
            </w:r>
            <w:r w:rsidR="00E470B8">
              <w:rPr>
                <w:noProof/>
                <w:webHidden/>
              </w:rPr>
              <w:tab/>
            </w:r>
            <w:r w:rsidR="00E470B8">
              <w:rPr>
                <w:noProof/>
                <w:webHidden/>
              </w:rPr>
              <w:fldChar w:fldCharType="begin"/>
            </w:r>
            <w:r w:rsidR="00E470B8">
              <w:rPr>
                <w:noProof/>
                <w:webHidden/>
              </w:rPr>
              <w:instrText xml:space="preserve"> PAGEREF _Toc180571281 \h </w:instrText>
            </w:r>
            <w:r w:rsidR="00E470B8">
              <w:rPr>
                <w:noProof/>
                <w:webHidden/>
              </w:rPr>
            </w:r>
            <w:r w:rsidR="00E470B8">
              <w:rPr>
                <w:noProof/>
                <w:webHidden/>
              </w:rPr>
              <w:fldChar w:fldCharType="separate"/>
            </w:r>
            <w:r w:rsidR="007F1966">
              <w:rPr>
                <w:noProof/>
                <w:webHidden/>
              </w:rPr>
              <w:t>10</w:t>
            </w:r>
            <w:r w:rsidR="00E470B8">
              <w:rPr>
                <w:noProof/>
                <w:webHidden/>
              </w:rPr>
              <w:fldChar w:fldCharType="end"/>
            </w:r>
          </w:hyperlink>
        </w:p>
        <w:p w14:paraId="54BF32E8" w14:textId="01D122A4" w:rsidR="00E470B8" w:rsidRDefault="00000000">
          <w:pPr>
            <w:pStyle w:val="TOC1"/>
            <w:tabs>
              <w:tab w:val="right" w:leader="dot" w:pos="9628"/>
            </w:tabs>
            <w:rPr>
              <w:rFonts w:eastAsiaTheme="minorEastAsia"/>
              <w:b w:val="0"/>
              <w:noProof/>
              <w:kern w:val="2"/>
              <w:szCs w:val="24"/>
              <w:lang w:eastAsia="en-NZ"/>
              <w14:ligatures w14:val="standardContextual"/>
            </w:rPr>
          </w:pPr>
          <w:hyperlink w:anchor="_Toc180571282" w:history="1">
            <w:r w:rsidR="00E470B8" w:rsidRPr="00FE1A6E">
              <w:rPr>
                <w:rStyle w:val="Hyperlink"/>
                <w:noProof/>
              </w:rPr>
              <w:t>Background</w:t>
            </w:r>
            <w:r w:rsidR="00E470B8">
              <w:rPr>
                <w:noProof/>
                <w:webHidden/>
              </w:rPr>
              <w:tab/>
            </w:r>
            <w:r w:rsidR="00E470B8">
              <w:rPr>
                <w:noProof/>
                <w:webHidden/>
              </w:rPr>
              <w:fldChar w:fldCharType="begin"/>
            </w:r>
            <w:r w:rsidR="00E470B8">
              <w:rPr>
                <w:noProof/>
                <w:webHidden/>
              </w:rPr>
              <w:instrText xml:space="preserve"> PAGEREF _Toc180571282 \h </w:instrText>
            </w:r>
            <w:r w:rsidR="00E470B8">
              <w:rPr>
                <w:noProof/>
                <w:webHidden/>
              </w:rPr>
            </w:r>
            <w:r w:rsidR="00E470B8">
              <w:rPr>
                <w:noProof/>
                <w:webHidden/>
              </w:rPr>
              <w:fldChar w:fldCharType="separate"/>
            </w:r>
            <w:r w:rsidR="007F1966">
              <w:rPr>
                <w:noProof/>
                <w:webHidden/>
              </w:rPr>
              <w:t>11</w:t>
            </w:r>
            <w:r w:rsidR="00E470B8">
              <w:rPr>
                <w:noProof/>
                <w:webHidden/>
              </w:rPr>
              <w:fldChar w:fldCharType="end"/>
            </w:r>
          </w:hyperlink>
        </w:p>
        <w:p w14:paraId="4610C9EB" w14:textId="30506DC3" w:rsidR="00E470B8" w:rsidRDefault="00000000">
          <w:pPr>
            <w:pStyle w:val="TOC2"/>
            <w:rPr>
              <w:rFonts w:eastAsiaTheme="minorEastAsia"/>
              <w:color w:val="auto"/>
              <w:kern w:val="2"/>
              <w:szCs w:val="24"/>
              <w:lang w:eastAsia="en-NZ"/>
              <w14:ligatures w14:val="standardContextual"/>
            </w:rPr>
          </w:pPr>
          <w:hyperlink w:anchor="_Toc180571283" w:history="1">
            <w:r w:rsidR="00E470B8" w:rsidRPr="00FE1A6E">
              <w:rPr>
                <w:rStyle w:val="Hyperlink"/>
              </w:rPr>
              <w:t>Aim, purpose and scope</w:t>
            </w:r>
            <w:r w:rsidR="00E470B8">
              <w:rPr>
                <w:webHidden/>
              </w:rPr>
              <w:tab/>
            </w:r>
            <w:r w:rsidR="00E470B8">
              <w:rPr>
                <w:webHidden/>
              </w:rPr>
              <w:fldChar w:fldCharType="begin"/>
            </w:r>
            <w:r w:rsidR="00E470B8">
              <w:rPr>
                <w:webHidden/>
              </w:rPr>
              <w:instrText xml:space="preserve"> PAGEREF _Toc180571283 \h </w:instrText>
            </w:r>
            <w:r w:rsidR="00E470B8">
              <w:rPr>
                <w:webHidden/>
              </w:rPr>
            </w:r>
            <w:r w:rsidR="00E470B8">
              <w:rPr>
                <w:webHidden/>
              </w:rPr>
              <w:fldChar w:fldCharType="separate"/>
            </w:r>
            <w:r w:rsidR="007F1966">
              <w:rPr>
                <w:webHidden/>
              </w:rPr>
              <w:t>11</w:t>
            </w:r>
            <w:r w:rsidR="00E470B8">
              <w:rPr>
                <w:webHidden/>
              </w:rPr>
              <w:fldChar w:fldCharType="end"/>
            </w:r>
          </w:hyperlink>
        </w:p>
        <w:p w14:paraId="0D1F1BD5" w14:textId="5A414950" w:rsidR="00E470B8" w:rsidRDefault="00000000">
          <w:pPr>
            <w:pStyle w:val="TOC2"/>
            <w:rPr>
              <w:rFonts w:eastAsiaTheme="minorEastAsia"/>
              <w:color w:val="auto"/>
              <w:kern w:val="2"/>
              <w:szCs w:val="24"/>
              <w:lang w:eastAsia="en-NZ"/>
              <w14:ligatures w14:val="standardContextual"/>
            </w:rPr>
          </w:pPr>
          <w:hyperlink w:anchor="_Toc180571284" w:history="1">
            <w:r w:rsidR="00E470B8" w:rsidRPr="00FE1A6E">
              <w:rPr>
                <w:rStyle w:val="Hyperlink"/>
              </w:rPr>
              <w:t>Why these guidelines are needed</w:t>
            </w:r>
            <w:r w:rsidR="00E470B8">
              <w:rPr>
                <w:webHidden/>
              </w:rPr>
              <w:tab/>
            </w:r>
            <w:r w:rsidR="00E470B8">
              <w:rPr>
                <w:webHidden/>
              </w:rPr>
              <w:fldChar w:fldCharType="begin"/>
            </w:r>
            <w:r w:rsidR="00E470B8">
              <w:rPr>
                <w:webHidden/>
              </w:rPr>
              <w:instrText xml:space="preserve"> PAGEREF _Toc180571284 \h </w:instrText>
            </w:r>
            <w:r w:rsidR="00E470B8">
              <w:rPr>
                <w:webHidden/>
              </w:rPr>
            </w:r>
            <w:r w:rsidR="00E470B8">
              <w:rPr>
                <w:webHidden/>
              </w:rPr>
              <w:fldChar w:fldCharType="separate"/>
            </w:r>
            <w:r w:rsidR="007F1966">
              <w:rPr>
                <w:webHidden/>
              </w:rPr>
              <w:t>12</w:t>
            </w:r>
            <w:r w:rsidR="00E470B8">
              <w:rPr>
                <w:webHidden/>
              </w:rPr>
              <w:fldChar w:fldCharType="end"/>
            </w:r>
          </w:hyperlink>
        </w:p>
        <w:p w14:paraId="7D7B7D96" w14:textId="2D005D7C" w:rsidR="00E470B8" w:rsidRDefault="00000000">
          <w:pPr>
            <w:pStyle w:val="TOC2"/>
            <w:rPr>
              <w:rFonts w:eastAsiaTheme="minorEastAsia"/>
              <w:color w:val="auto"/>
              <w:kern w:val="2"/>
              <w:szCs w:val="24"/>
              <w:lang w:eastAsia="en-NZ"/>
              <w14:ligatures w14:val="standardContextual"/>
            </w:rPr>
          </w:pPr>
          <w:hyperlink w:anchor="_Toc180571285" w:history="1">
            <w:r w:rsidR="00E470B8" w:rsidRPr="00FE1A6E">
              <w:rPr>
                <w:rStyle w:val="Hyperlink"/>
              </w:rPr>
              <w:t>Development of the guidelines</w:t>
            </w:r>
            <w:r w:rsidR="00E470B8">
              <w:rPr>
                <w:webHidden/>
              </w:rPr>
              <w:tab/>
            </w:r>
            <w:r w:rsidR="00E470B8">
              <w:rPr>
                <w:webHidden/>
              </w:rPr>
              <w:fldChar w:fldCharType="begin"/>
            </w:r>
            <w:r w:rsidR="00E470B8">
              <w:rPr>
                <w:webHidden/>
              </w:rPr>
              <w:instrText xml:space="preserve"> PAGEREF _Toc180571285 \h </w:instrText>
            </w:r>
            <w:r w:rsidR="00E470B8">
              <w:rPr>
                <w:webHidden/>
              </w:rPr>
            </w:r>
            <w:r w:rsidR="00E470B8">
              <w:rPr>
                <w:webHidden/>
              </w:rPr>
              <w:fldChar w:fldCharType="separate"/>
            </w:r>
            <w:r w:rsidR="007F1966">
              <w:rPr>
                <w:webHidden/>
              </w:rPr>
              <w:t>13</w:t>
            </w:r>
            <w:r w:rsidR="00E470B8">
              <w:rPr>
                <w:webHidden/>
              </w:rPr>
              <w:fldChar w:fldCharType="end"/>
            </w:r>
          </w:hyperlink>
        </w:p>
        <w:p w14:paraId="058DE113" w14:textId="19EEB306" w:rsidR="00E470B8" w:rsidRDefault="00000000">
          <w:pPr>
            <w:pStyle w:val="TOC2"/>
            <w:rPr>
              <w:rFonts w:eastAsiaTheme="minorEastAsia"/>
              <w:color w:val="auto"/>
              <w:kern w:val="2"/>
              <w:szCs w:val="24"/>
              <w:lang w:eastAsia="en-NZ"/>
              <w14:ligatures w14:val="standardContextual"/>
            </w:rPr>
          </w:pPr>
          <w:hyperlink w:anchor="_Toc180571286" w:history="1">
            <w:r w:rsidR="00E470B8" w:rsidRPr="00FE1A6E">
              <w:rPr>
                <w:rStyle w:val="Hyperlink"/>
              </w:rPr>
              <w:t>Aotearoa New Zealand context</w:t>
            </w:r>
            <w:r w:rsidR="00E470B8">
              <w:rPr>
                <w:webHidden/>
              </w:rPr>
              <w:tab/>
            </w:r>
            <w:r w:rsidR="00E470B8">
              <w:rPr>
                <w:webHidden/>
              </w:rPr>
              <w:fldChar w:fldCharType="begin"/>
            </w:r>
            <w:r w:rsidR="00E470B8">
              <w:rPr>
                <w:webHidden/>
              </w:rPr>
              <w:instrText xml:space="preserve"> PAGEREF _Toc180571286 \h </w:instrText>
            </w:r>
            <w:r w:rsidR="00E470B8">
              <w:rPr>
                <w:webHidden/>
              </w:rPr>
            </w:r>
            <w:r w:rsidR="00E470B8">
              <w:rPr>
                <w:webHidden/>
              </w:rPr>
              <w:fldChar w:fldCharType="separate"/>
            </w:r>
            <w:r w:rsidR="007F1966">
              <w:rPr>
                <w:webHidden/>
              </w:rPr>
              <w:t>13</w:t>
            </w:r>
            <w:r w:rsidR="00E470B8">
              <w:rPr>
                <w:webHidden/>
              </w:rPr>
              <w:fldChar w:fldCharType="end"/>
            </w:r>
          </w:hyperlink>
        </w:p>
        <w:p w14:paraId="2F0059DD" w14:textId="1821ACEA" w:rsidR="00E470B8" w:rsidRDefault="00000000">
          <w:pPr>
            <w:pStyle w:val="TOC2"/>
            <w:rPr>
              <w:rFonts w:eastAsiaTheme="minorEastAsia"/>
              <w:color w:val="auto"/>
              <w:kern w:val="2"/>
              <w:szCs w:val="24"/>
              <w:lang w:eastAsia="en-NZ"/>
              <w14:ligatures w14:val="standardContextual"/>
            </w:rPr>
          </w:pPr>
          <w:hyperlink w:anchor="_Toc180571287" w:history="1">
            <w:r w:rsidR="00E470B8" w:rsidRPr="00FE1A6E">
              <w:rPr>
                <w:rStyle w:val="Hyperlink"/>
              </w:rPr>
              <w:t>Workforce values and attitudes</w:t>
            </w:r>
            <w:r w:rsidR="00E470B8">
              <w:rPr>
                <w:webHidden/>
              </w:rPr>
              <w:tab/>
            </w:r>
            <w:r w:rsidR="00E470B8">
              <w:rPr>
                <w:webHidden/>
              </w:rPr>
              <w:fldChar w:fldCharType="begin"/>
            </w:r>
            <w:r w:rsidR="00E470B8">
              <w:rPr>
                <w:webHidden/>
              </w:rPr>
              <w:instrText xml:space="preserve"> PAGEREF _Toc180571287 \h </w:instrText>
            </w:r>
            <w:r w:rsidR="00E470B8">
              <w:rPr>
                <w:webHidden/>
              </w:rPr>
            </w:r>
            <w:r w:rsidR="00E470B8">
              <w:rPr>
                <w:webHidden/>
              </w:rPr>
              <w:fldChar w:fldCharType="separate"/>
            </w:r>
            <w:r w:rsidR="007F1966">
              <w:rPr>
                <w:webHidden/>
              </w:rPr>
              <w:t>15</w:t>
            </w:r>
            <w:r w:rsidR="00E470B8">
              <w:rPr>
                <w:webHidden/>
              </w:rPr>
              <w:fldChar w:fldCharType="end"/>
            </w:r>
          </w:hyperlink>
        </w:p>
        <w:p w14:paraId="3B844376" w14:textId="3792C8F9" w:rsidR="00E470B8" w:rsidRDefault="00000000">
          <w:pPr>
            <w:pStyle w:val="TOC2"/>
            <w:rPr>
              <w:rFonts w:eastAsiaTheme="minorEastAsia"/>
              <w:color w:val="auto"/>
              <w:kern w:val="2"/>
              <w:szCs w:val="24"/>
              <w:lang w:eastAsia="en-NZ"/>
              <w14:ligatures w14:val="standardContextual"/>
            </w:rPr>
          </w:pPr>
          <w:hyperlink w:anchor="_Toc180571288" w:history="1">
            <w:r w:rsidR="00E470B8" w:rsidRPr="00FE1A6E">
              <w:rPr>
                <w:rStyle w:val="Hyperlink"/>
              </w:rPr>
              <w:t>Language</w:t>
            </w:r>
            <w:r w:rsidR="00E470B8">
              <w:rPr>
                <w:webHidden/>
              </w:rPr>
              <w:tab/>
            </w:r>
            <w:r w:rsidR="00E470B8">
              <w:rPr>
                <w:webHidden/>
              </w:rPr>
              <w:fldChar w:fldCharType="begin"/>
            </w:r>
            <w:r w:rsidR="00E470B8">
              <w:rPr>
                <w:webHidden/>
              </w:rPr>
              <w:instrText xml:space="preserve"> PAGEREF _Toc180571288 \h </w:instrText>
            </w:r>
            <w:r w:rsidR="00E470B8">
              <w:rPr>
                <w:webHidden/>
              </w:rPr>
            </w:r>
            <w:r w:rsidR="00E470B8">
              <w:rPr>
                <w:webHidden/>
              </w:rPr>
              <w:fldChar w:fldCharType="separate"/>
            </w:r>
            <w:r w:rsidR="007F1966">
              <w:rPr>
                <w:webHidden/>
              </w:rPr>
              <w:t>15</w:t>
            </w:r>
            <w:r w:rsidR="00E470B8">
              <w:rPr>
                <w:webHidden/>
              </w:rPr>
              <w:fldChar w:fldCharType="end"/>
            </w:r>
          </w:hyperlink>
        </w:p>
        <w:p w14:paraId="5C1CC6FA" w14:textId="28126CA9" w:rsidR="00E470B8" w:rsidRDefault="00000000">
          <w:pPr>
            <w:pStyle w:val="TOC2"/>
            <w:rPr>
              <w:rFonts w:eastAsiaTheme="minorEastAsia"/>
              <w:color w:val="auto"/>
              <w:kern w:val="2"/>
              <w:szCs w:val="24"/>
              <w:lang w:eastAsia="en-NZ"/>
              <w14:ligatures w14:val="standardContextual"/>
            </w:rPr>
          </w:pPr>
          <w:hyperlink w:anchor="_Toc180571289" w:history="1">
            <w:r w:rsidR="00E470B8" w:rsidRPr="00FE1A6E">
              <w:rPr>
                <w:rStyle w:val="Hyperlink"/>
              </w:rPr>
              <w:t>Navigation</w:t>
            </w:r>
            <w:r w:rsidR="00E470B8">
              <w:rPr>
                <w:webHidden/>
              </w:rPr>
              <w:tab/>
            </w:r>
            <w:r w:rsidR="00E470B8">
              <w:rPr>
                <w:webHidden/>
              </w:rPr>
              <w:fldChar w:fldCharType="begin"/>
            </w:r>
            <w:r w:rsidR="00E470B8">
              <w:rPr>
                <w:webHidden/>
              </w:rPr>
              <w:instrText xml:space="preserve"> PAGEREF _Toc180571289 \h </w:instrText>
            </w:r>
            <w:r w:rsidR="00E470B8">
              <w:rPr>
                <w:webHidden/>
              </w:rPr>
            </w:r>
            <w:r w:rsidR="00E470B8">
              <w:rPr>
                <w:webHidden/>
              </w:rPr>
              <w:fldChar w:fldCharType="separate"/>
            </w:r>
            <w:r w:rsidR="007F1966">
              <w:rPr>
                <w:webHidden/>
              </w:rPr>
              <w:t>16</w:t>
            </w:r>
            <w:r w:rsidR="00E470B8">
              <w:rPr>
                <w:webHidden/>
              </w:rPr>
              <w:fldChar w:fldCharType="end"/>
            </w:r>
          </w:hyperlink>
        </w:p>
        <w:p w14:paraId="570A5F1A" w14:textId="4411D448" w:rsidR="00E470B8" w:rsidRDefault="00000000">
          <w:pPr>
            <w:pStyle w:val="TOC1"/>
            <w:tabs>
              <w:tab w:val="right" w:leader="dot" w:pos="9628"/>
            </w:tabs>
            <w:rPr>
              <w:rFonts w:eastAsiaTheme="minorEastAsia"/>
              <w:b w:val="0"/>
              <w:noProof/>
              <w:kern w:val="2"/>
              <w:szCs w:val="24"/>
              <w:lang w:eastAsia="en-NZ"/>
              <w14:ligatures w14:val="standardContextual"/>
            </w:rPr>
          </w:pPr>
          <w:hyperlink w:anchor="_Toc180571290" w:history="1">
            <w:r w:rsidR="00E470B8" w:rsidRPr="00FE1A6E">
              <w:rPr>
                <w:rStyle w:val="Hyperlink"/>
                <w:noProof/>
              </w:rPr>
              <w:t xml:space="preserve">Part 1: Cognitive impairment and its impact on tāngata whai ora and whānau </w:t>
            </w:r>
            <w:r w:rsidR="00E470B8">
              <w:rPr>
                <w:noProof/>
                <w:webHidden/>
              </w:rPr>
              <w:tab/>
            </w:r>
            <w:r w:rsidR="00E470B8">
              <w:rPr>
                <w:noProof/>
                <w:webHidden/>
              </w:rPr>
              <w:fldChar w:fldCharType="begin"/>
            </w:r>
            <w:r w:rsidR="00E470B8">
              <w:rPr>
                <w:noProof/>
                <w:webHidden/>
              </w:rPr>
              <w:instrText xml:space="preserve"> PAGEREF _Toc180571290 \h </w:instrText>
            </w:r>
            <w:r w:rsidR="00E470B8">
              <w:rPr>
                <w:noProof/>
                <w:webHidden/>
              </w:rPr>
            </w:r>
            <w:r w:rsidR="00E470B8">
              <w:rPr>
                <w:noProof/>
                <w:webHidden/>
              </w:rPr>
              <w:fldChar w:fldCharType="separate"/>
            </w:r>
            <w:r w:rsidR="007F1966">
              <w:rPr>
                <w:noProof/>
                <w:webHidden/>
              </w:rPr>
              <w:t>17</w:t>
            </w:r>
            <w:r w:rsidR="00E470B8">
              <w:rPr>
                <w:noProof/>
                <w:webHidden/>
              </w:rPr>
              <w:fldChar w:fldCharType="end"/>
            </w:r>
          </w:hyperlink>
        </w:p>
        <w:p w14:paraId="43EF5311" w14:textId="3EE017E4" w:rsidR="00E470B8" w:rsidRDefault="00000000">
          <w:pPr>
            <w:pStyle w:val="TOC2"/>
            <w:rPr>
              <w:rFonts w:eastAsiaTheme="minorEastAsia"/>
              <w:color w:val="auto"/>
              <w:kern w:val="2"/>
              <w:szCs w:val="24"/>
              <w:lang w:eastAsia="en-NZ"/>
              <w14:ligatures w14:val="standardContextual"/>
            </w:rPr>
          </w:pPr>
          <w:hyperlink w:anchor="_Toc180571291" w:history="1">
            <w:r w:rsidR="00E470B8" w:rsidRPr="00FE1A6E">
              <w:rPr>
                <w:rStyle w:val="Hyperlink"/>
              </w:rPr>
              <w:t>Summary</w:t>
            </w:r>
            <w:r w:rsidR="00E470B8">
              <w:rPr>
                <w:webHidden/>
              </w:rPr>
              <w:tab/>
            </w:r>
            <w:r w:rsidR="00E470B8">
              <w:rPr>
                <w:webHidden/>
              </w:rPr>
              <w:fldChar w:fldCharType="begin"/>
            </w:r>
            <w:r w:rsidR="00E470B8">
              <w:rPr>
                <w:webHidden/>
              </w:rPr>
              <w:instrText xml:space="preserve"> PAGEREF _Toc180571291 \h </w:instrText>
            </w:r>
            <w:r w:rsidR="00E470B8">
              <w:rPr>
                <w:webHidden/>
              </w:rPr>
            </w:r>
            <w:r w:rsidR="00E470B8">
              <w:rPr>
                <w:webHidden/>
              </w:rPr>
              <w:fldChar w:fldCharType="separate"/>
            </w:r>
            <w:r w:rsidR="007F1966">
              <w:rPr>
                <w:webHidden/>
              </w:rPr>
              <w:t>18</w:t>
            </w:r>
            <w:r w:rsidR="00E470B8">
              <w:rPr>
                <w:webHidden/>
              </w:rPr>
              <w:fldChar w:fldCharType="end"/>
            </w:r>
          </w:hyperlink>
        </w:p>
        <w:p w14:paraId="4F529F39" w14:textId="6F01E64E" w:rsidR="00E470B8" w:rsidRDefault="00000000">
          <w:pPr>
            <w:pStyle w:val="TOC2"/>
            <w:rPr>
              <w:rFonts w:eastAsiaTheme="minorEastAsia"/>
              <w:color w:val="auto"/>
              <w:kern w:val="2"/>
              <w:szCs w:val="24"/>
              <w:lang w:eastAsia="en-NZ"/>
              <w14:ligatures w14:val="standardContextual"/>
            </w:rPr>
          </w:pPr>
          <w:hyperlink w:anchor="_Toc180571292" w:history="1">
            <w:r w:rsidR="00E470B8" w:rsidRPr="00FE1A6E">
              <w:rPr>
                <w:rStyle w:val="Hyperlink"/>
              </w:rPr>
              <w:t>What is cognitive functioning and cognitive impairment?</w:t>
            </w:r>
            <w:r w:rsidR="00E470B8">
              <w:rPr>
                <w:webHidden/>
              </w:rPr>
              <w:tab/>
            </w:r>
            <w:r w:rsidR="00E470B8">
              <w:rPr>
                <w:webHidden/>
              </w:rPr>
              <w:fldChar w:fldCharType="begin"/>
            </w:r>
            <w:r w:rsidR="00E470B8">
              <w:rPr>
                <w:webHidden/>
              </w:rPr>
              <w:instrText xml:space="preserve"> PAGEREF _Toc180571292 \h </w:instrText>
            </w:r>
            <w:r w:rsidR="00E470B8">
              <w:rPr>
                <w:webHidden/>
              </w:rPr>
            </w:r>
            <w:r w:rsidR="00E470B8">
              <w:rPr>
                <w:webHidden/>
              </w:rPr>
              <w:fldChar w:fldCharType="separate"/>
            </w:r>
            <w:r w:rsidR="007F1966">
              <w:rPr>
                <w:webHidden/>
              </w:rPr>
              <w:t>18</w:t>
            </w:r>
            <w:r w:rsidR="00E470B8">
              <w:rPr>
                <w:webHidden/>
              </w:rPr>
              <w:fldChar w:fldCharType="end"/>
            </w:r>
          </w:hyperlink>
        </w:p>
        <w:p w14:paraId="2FB324B3" w14:textId="4645C8BA" w:rsidR="00E470B8" w:rsidRDefault="00000000">
          <w:pPr>
            <w:pStyle w:val="TOC2"/>
            <w:rPr>
              <w:rFonts w:eastAsiaTheme="minorEastAsia"/>
              <w:color w:val="auto"/>
              <w:kern w:val="2"/>
              <w:szCs w:val="24"/>
              <w:lang w:eastAsia="en-NZ"/>
              <w14:ligatures w14:val="standardContextual"/>
            </w:rPr>
          </w:pPr>
          <w:hyperlink w:anchor="_Toc180571293" w:history="1">
            <w:r w:rsidR="00E470B8" w:rsidRPr="00FE1A6E">
              <w:rPr>
                <w:rStyle w:val="Hyperlink"/>
              </w:rPr>
              <w:t>What are the impacts of cognitive impairment on tāngata whai ora and whānau?</w:t>
            </w:r>
            <w:r w:rsidR="00E470B8">
              <w:rPr>
                <w:webHidden/>
              </w:rPr>
              <w:tab/>
            </w:r>
            <w:r w:rsidR="00E470B8">
              <w:rPr>
                <w:webHidden/>
              </w:rPr>
              <w:fldChar w:fldCharType="begin"/>
            </w:r>
            <w:r w:rsidR="00E470B8">
              <w:rPr>
                <w:webHidden/>
              </w:rPr>
              <w:instrText xml:space="preserve"> PAGEREF _Toc180571293 \h </w:instrText>
            </w:r>
            <w:r w:rsidR="00E470B8">
              <w:rPr>
                <w:webHidden/>
              </w:rPr>
            </w:r>
            <w:r w:rsidR="00E470B8">
              <w:rPr>
                <w:webHidden/>
              </w:rPr>
              <w:fldChar w:fldCharType="separate"/>
            </w:r>
            <w:r w:rsidR="007F1966">
              <w:rPr>
                <w:webHidden/>
              </w:rPr>
              <w:t>23</w:t>
            </w:r>
            <w:r w:rsidR="00E470B8">
              <w:rPr>
                <w:webHidden/>
              </w:rPr>
              <w:fldChar w:fldCharType="end"/>
            </w:r>
          </w:hyperlink>
        </w:p>
        <w:p w14:paraId="0693BC73" w14:textId="6B20C9B9" w:rsidR="00E470B8" w:rsidRDefault="00000000">
          <w:pPr>
            <w:pStyle w:val="TOC2"/>
            <w:rPr>
              <w:rFonts w:eastAsiaTheme="minorEastAsia"/>
              <w:color w:val="auto"/>
              <w:kern w:val="2"/>
              <w:szCs w:val="24"/>
              <w:lang w:eastAsia="en-NZ"/>
              <w14:ligatures w14:val="standardContextual"/>
            </w:rPr>
          </w:pPr>
          <w:hyperlink w:anchor="_Toc180571294" w:history="1">
            <w:r w:rsidR="00E470B8" w:rsidRPr="00FE1A6E">
              <w:rPr>
                <w:rStyle w:val="Hyperlink"/>
              </w:rPr>
              <w:t>What causes cognitive impairment?</w:t>
            </w:r>
            <w:r w:rsidR="00E470B8">
              <w:rPr>
                <w:webHidden/>
              </w:rPr>
              <w:tab/>
            </w:r>
            <w:r w:rsidR="00E470B8">
              <w:rPr>
                <w:webHidden/>
              </w:rPr>
              <w:fldChar w:fldCharType="begin"/>
            </w:r>
            <w:r w:rsidR="00E470B8">
              <w:rPr>
                <w:webHidden/>
              </w:rPr>
              <w:instrText xml:space="preserve"> PAGEREF _Toc180571294 \h </w:instrText>
            </w:r>
            <w:r w:rsidR="00E470B8">
              <w:rPr>
                <w:webHidden/>
              </w:rPr>
            </w:r>
            <w:r w:rsidR="00E470B8">
              <w:rPr>
                <w:webHidden/>
              </w:rPr>
              <w:fldChar w:fldCharType="separate"/>
            </w:r>
            <w:r w:rsidR="007F1966">
              <w:rPr>
                <w:webHidden/>
              </w:rPr>
              <w:t>24</w:t>
            </w:r>
            <w:r w:rsidR="00E470B8">
              <w:rPr>
                <w:webHidden/>
              </w:rPr>
              <w:fldChar w:fldCharType="end"/>
            </w:r>
          </w:hyperlink>
        </w:p>
        <w:p w14:paraId="6CB13DF3" w14:textId="4A922A23" w:rsidR="00E470B8" w:rsidRDefault="00000000">
          <w:pPr>
            <w:pStyle w:val="TOC2"/>
            <w:rPr>
              <w:rFonts w:eastAsiaTheme="minorEastAsia"/>
              <w:color w:val="auto"/>
              <w:kern w:val="2"/>
              <w:szCs w:val="24"/>
              <w:lang w:eastAsia="en-NZ"/>
              <w14:ligatures w14:val="standardContextual"/>
            </w:rPr>
          </w:pPr>
          <w:hyperlink w:anchor="_Toc180571295" w:history="1">
            <w:r w:rsidR="00E470B8" w:rsidRPr="00FE1A6E">
              <w:rPr>
                <w:rStyle w:val="Hyperlink"/>
              </w:rPr>
              <w:t>Which substances contribute to cognitive impairment and is recovery possible?</w:t>
            </w:r>
            <w:r w:rsidR="00E470B8">
              <w:rPr>
                <w:webHidden/>
              </w:rPr>
              <w:tab/>
            </w:r>
            <w:r w:rsidR="00E470B8">
              <w:rPr>
                <w:webHidden/>
              </w:rPr>
              <w:fldChar w:fldCharType="begin"/>
            </w:r>
            <w:r w:rsidR="00E470B8">
              <w:rPr>
                <w:webHidden/>
              </w:rPr>
              <w:instrText xml:space="preserve"> PAGEREF _Toc180571295 \h </w:instrText>
            </w:r>
            <w:r w:rsidR="00E470B8">
              <w:rPr>
                <w:webHidden/>
              </w:rPr>
            </w:r>
            <w:r w:rsidR="00E470B8">
              <w:rPr>
                <w:webHidden/>
              </w:rPr>
              <w:fldChar w:fldCharType="separate"/>
            </w:r>
            <w:r w:rsidR="007F1966">
              <w:rPr>
                <w:webHidden/>
              </w:rPr>
              <w:t>27</w:t>
            </w:r>
            <w:r w:rsidR="00E470B8">
              <w:rPr>
                <w:webHidden/>
              </w:rPr>
              <w:fldChar w:fldCharType="end"/>
            </w:r>
          </w:hyperlink>
        </w:p>
        <w:p w14:paraId="66A279A1" w14:textId="6A0182AA" w:rsidR="00E470B8" w:rsidRDefault="00000000">
          <w:pPr>
            <w:pStyle w:val="TOC1"/>
            <w:tabs>
              <w:tab w:val="right" w:leader="dot" w:pos="9628"/>
            </w:tabs>
            <w:rPr>
              <w:rFonts w:eastAsiaTheme="minorEastAsia"/>
              <w:b w:val="0"/>
              <w:noProof/>
              <w:kern w:val="2"/>
              <w:szCs w:val="24"/>
              <w:lang w:eastAsia="en-NZ"/>
              <w14:ligatures w14:val="standardContextual"/>
            </w:rPr>
          </w:pPr>
          <w:hyperlink w:anchor="_Toc180571296" w:history="1">
            <w:r w:rsidR="00E470B8" w:rsidRPr="00FE1A6E">
              <w:rPr>
                <w:rStyle w:val="Hyperlink"/>
                <w:noProof/>
              </w:rPr>
              <w:t>Part 2: Cognitive screening and support for tangata whai ora and whānau</w:t>
            </w:r>
            <w:r w:rsidR="00E470B8">
              <w:rPr>
                <w:noProof/>
                <w:webHidden/>
              </w:rPr>
              <w:tab/>
            </w:r>
            <w:r w:rsidR="00E470B8">
              <w:rPr>
                <w:noProof/>
                <w:webHidden/>
              </w:rPr>
              <w:fldChar w:fldCharType="begin"/>
            </w:r>
            <w:r w:rsidR="00E470B8">
              <w:rPr>
                <w:noProof/>
                <w:webHidden/>
              </w:rPr>
              <w:instrText xml:space="preserve"> PAGEREF _Toc180571296 \h </w:instrText>
            </w:r>
            <w:r w:rsidR="00E470B8">
              <w:rPr>
                <w:noProof/>
                <w:webHidden/>
              </w:rPr>
            </w:r>
            <w:r w:rsidR="00E470B8">
              <w:rPr>
                <w:noProof/>
                <w:webHidden/>
              </w:rPr>
              <w:fldChar w:fldCharType="separate"/>
            </w:r>
            <w:r w:rsidR="007F1966">
              <w:rPr>
                <w:noProof/>
                <w:webHidden/>
              </w:rPr>
              <w:t>32</w:t>
            </w:r>
            <w:r w:rsidR="00E470B8">
              <w:rPr>
                <w:noProof/>
                <w:webHidden/>
              </w:rPr>
              <w:fldChar w:fldCharType="end"/>
            </w:r>
          </w:hyperlink>
        </w:p>
        <w:p w14:paraId="0220F420" w14:textId="01063BAD" w:rsidR="00E470B8" w:rsidRDefault="00000000">
          <w:pPr>
            <w:pStyle w:val="TOC2"/>
            <w:rPr>
              <w:rFonts w:eastAsiaTheme="minorEastAsia"/>
              <w:color w:val="auto"/>
              <w:kern w:val="2"/>
              <w:szCs w:val="24"/>
              <w:lang w:eastAsia="en-NZ"/>
              <w14:ligatures w14:val="standardContextual"/>
            </w:rPr>
          </w:pPr>
          <w:hyperlink w:anchor="_Toc180571297" w:history="1">
            <w:r w:rsidR="00E470B8" w:rsidRPr="00FE1A6E">
              <w:rPr>
                <w:rStyle w:val="Hyperlink"/>
              </w:rPr>
              <w:t>Overview: Ideal cognitive screening and support pathway in AOD services</w:t>
            </w:r>
            <w:r w:rsidR="00E470B8">
              <w:rPr>
                <w:webHidden/>
              </w:rPr>
              <w:tab/>
            </w:r>
            <w:r w:rsidR="00E470B8">
              <w:rPr>
                <w:webHidden/>
              </w:rPr>
              <w:fldChar w:fldCharType="begin"/>
            </w:r>
            <w:r w:rsidR="00E470B8">
              <w:rPr>
                <w:webHidden/>
              </w:rPr>
              <w:instrText xml:space="preserve"> PAGEREF _Toc180571297 \h </w:instrText>
            </w:r>
            <w:r w:rsidR="00E470B8">
              <w:rPr>
                <w:webHidden/>
              </w:rPr>
            </w:r>
            <w:r w:rsidR="00E470B8">
              <w:rPr>
                <w:webHidden/>
              </w:rPr>
              <w:fldChar w:fldCharType="separate"/>
            </w:r>
            <w:r w:rsidR="007F1966">
              <w:rPr>
                <w:webHidden/>
              </w:rPr>
              <w:t>33</w:t>
            </w:r>
            <w:r w:rsidR="00E470B8">
              <w:rPr>
                <w:webHidden/>
              </w:rPr>
              <w:fldChar w:fldCharType="end"/>
            </w:r>
          </w:hyperlink>
        </w:p>
        <w:p w14:paraId="454232E9" w14:textId="21C1C467" w:rsidR="00E470B8" w:rsidRDefault="00000000">
          <w:pPr>
            <w:pStyle w:val="TOC2"/>
            <w:rPr>
              <w:rFonts w:eastAsiaTheme="minorEastAsia"/>
              <w:color w:val="auto"/>
              <w:kern w:val="2"/>
              <w:szCs w:val="24"/>
              <w:lang w:eastAsia="en-NZ"/>
              <w14:ligatures w14:val="standardContextual"/>
            </w:rPr>
          </w:pPr>
          <w:hyperlink w:anchor="_Toc180571298" w:history="1">
            <w:r w:rsidR="00E470B8" w:rsidRPr="00FE1A6E">
              <w:rPr>
                <w:rStyle w:val="Hyperlink"/>
              </w:rPr>
              <w:t>Information to guide practice across screening and support</w:t>
            </w:r>
            <w:r w:rsidR="00E470B8">
              <w:rPr>
                <w:webHidden/>
              </w:rPr>
              <w:tab/>
            </w:r>
            <w:r w:rsidR="00E470B8">
              <w:rPr>
                <w:webHidden/>
              </w:rPr>
              <w:fldChar w:fldCharType="begin"/>
            </w:r>
            <w:r w:rsidR="00E470B8">
              <w:rPr>
                <w:webHidden/>
              </w:rPr>
              <w:instrText xml:space="preserve"> PAGEREF _Toc180571298 \h </w:instrText>
            </w:r>
            <w:r w:rsidR="00E470B8">
              <w:rPr>
                <w:webHidden/>
              </w:rPr>
            </w:r>
            <w:r w:rsidR="00E470B8">
              <w:rPr>
                <w:webHidden/>
              </w:rPr>
              <w:fldChar w:fldCharType="separate"/>
            </w:r>
            <w:r w:rsidR="007F1966">
              <w:rPr>
                <w:webHidden/>
              </w:rPr>
              <w:t>35</w:t>
            </w:r>
            <w:r w:rsidR="00E470B8">
              <w:rPr>
                <w:webHidden/>
              </w:rPr>
              <w:fldChar w:fldCharType="end"/>
            </w:r>
          </w:hyperlink>
        </w:p>
        <w:p w14:paraId="17A7F2D6" w14:textId="6FFEF62F" w:rsidR="00E470B8" w:rsidRDefault="00000000">
          <w:pPr>
            <w:pStyle w:val="TOC2"/>
            <w:rPr>
              <w:rFonts w:eastAsiaTheme="minorEastAsia"/>
              <w:color w:val="auto"/>
              <w:kern w:val="2"/>
              <w:szCs w:val="24"/>
              <w:lang w:eastAsia="en-NZ"/>
              <w14:ligatures w14:val="standardContextual"/>
            </w:rPr>
          </w:pPr>
          <w:hyperlink w:anchor="_Toc180571299" w:history="1">
            <w:r w:rsidR="00E470B8" w:rsidRPr="00FE1A6E">
              <w:rPr>
                <w:rStyle w:val="Hyperlink"/>
              </w:rPr>
              <w:t>Information gathering as part of a comprehensive assessment</w:t>
            </w:r>
            <w:r w:rsidR="00E470B8">
              <w:rPr>
                <w:webHidden/>
              </w:rPr>
              <w:tab/>
            </w:r>
            <w:r w:rsidR="00E470B8">
              <w:rPr>
                <w:webHidden/>
              </w:rPr>
              <w:fldChar w:fldCharType="begin"/>
            </w:r>
            <w:r w:rsidR="00E470B8">
              <w:rPr>
                <w:webHidden/>
              </w:rPr>
              <w:instrText xml:space="preserve"> PAGEREF _Toc180571299 \h </w:instrText>
            </w:r>
            <w:r w:rsidR="00E470B8">
              <w:rPr>
                <w:webHidden/>
              </w:rPr>
            </w:r>
            <w:r w:rsidR="00E470B8">
              <w:rPr>
                <w:webHidden/>
              </w:rPr>
              <w:fldChar w:fldCharType="separate"/>
            </w:r>
            <w:r w:rsidR="007F1966">
              <w:rPr>
                <w:webHidden/>
              </w:rPr>
              <w:t>41</w:t>
            </w:r>
            <w:r w:rsidR="00E470B8">
              <w:rPr>
                <w:webHidden/>
              </w:rPr>
              <w:fldChar w:fldCharType="end"/>
            </w:r>
          </w:hyperlink>
        </w:p>
        <w:p w14:paraId="211BAC39" w14:textId="1D283910" w:rsidR="00E470B8" w:rsidRDefault="00000000">
          <w:pPr>
            <w:pStyle w:val="TOC2"/>
            <w:rPr>
              <w:rFonts w:eastAsiaTheme="minorEastAsia"/>
              <w:color w:val="auto"/>
              <w:kern w:val="2"/>
              <w:szCs w:val="24"/>
              <w:lang w:eastAsia="en-NZ"/>
              <w14:ligatures w14:val="standardContextual"/>
            </w:rPr>
          </w:pPr>
          <w:hyperlink w:anchor="_Toc180571300" w:history="1">
            <w:r w:rsidR="00E470B8" w:rsidRPr="00FE1A6E">
              <w:rPr>
                <w:rStyle w:val="Hyperlink"/>
              </w:rPr>
              <w:t>How to screen for cognitive impairment and identify strengths</w:t>
            </w:r>
            <w:r w:rsidR="00E470B8">
              <w:rPr>
                <w:webHidden/>
              </w:rPr>
              <w:tab/>
            </w:r>
            <w:r w:rsidR="00E470B8">
              <w:rPr>
                <w:webHidden/>
              </w:rPr>
              <w:fldChar w:fldCharType="begin"/>
            </w:r>
            <w:r w:rsidR="00E470B8">
              <w:rPr>
                <w:webHidden/>
              </w:rPr>
              <w:instrText xml:space="preserve"> PAGEREF _Toc180571300 \h </w:instrText>
            </w:r>
            <w:r w:rsidR="00E470B8">
              <w:rPr>
                <w:webHidden/>
              </w:rPr>
            </w:r>
            <w:r w:rsidR="00E470B8">
              <w:rPr>
                <w:webHidden/>
              </w:rPr>
              <w:fldChar w:fldCharType="separate"/>
            </w:r>
            <w:r w:rsidR="007F1966">
              <w:rPr>
                <w:webHidden/>
              </w:rPr>
              <w:t>47</w:t>
            </w:r>
            <w:r w:rsidR="00E470B8">
              <w:rPr>
                <w:webHidden/>
              </w:rPr>
              <w:fldChar w:fldCharType="end"/>
            </w:r>
          </w:hyperlink>
        </w:p>
        <w:p w14:paraId="3DAACE30" w14:textId="4DF33C06" w:rsidR="00E470B8" w:rsidRDefault="00000000">
          <w:pPr>
            <w:pStyle w:val="TOC2"/>
            <w:rPr>
              <w:rFonts w:eastAsiaTheme="minorEastAsia"/>
              <w:color w:val="auto"/>
              <w:kern w:val="2"/>
              <w:szCs w:val="24"/>
              <w:lang w:eastAsia="en-NZ"/>
              <w14:ligatures w14:val="standardContextual"/>
            </w:rPr>
          </w:pPr>
          <w:hyperlink w:anchor="_Toc180571301" w:history="1">
            <w:r w:rsidR="00E470B8" w:rsidRPr="00FE1A6E">
              <w:rPr>
                <w:rStyle w:val="Hyperlink"/>
              </w:rPr>
              <w:t>How to support tāngata whai ora experiencing cognitive impairment to enhance outcomes</w:t>
            </w:r>
            <w:r w:rsidR="00E470B8">
              <w:rPr>
                <w:webHidden/>
              </w:rPr>
              <w:tab/>
            </w:r>
            <w:r w:rsidR="00E470B8">
              <w:rPr>
                <w:webHidden/>
              </w:rPr>
              <w:fldChar w:fldCharType="begin"/>
            </w:r>
            <w:r w:rsidR="00E470B8">
              <w:rPr>
                <w:webHidden/>
              </w:rPr>
              <w:instrText xml:space="preserve"> PAGEREF _Toc180571301 \h </w:instrText>
            </w:r>
            <w:r w:rsidR="00E470B8">
              <w:rPr>
                <w:webHidden/>
              </w:rPr>
            </w:r>
            <w:r w:rsidR="00E470B8">
              <w:rPr>
                <w:webHidden/>
              </w:rPr>
              <w:fldChar w:fldCharType="separate"/>
            </w:r>
            <w:r w:rsidR="007F1966">
              <w:rPr>
                <w:webHidden/>
              </w:rPr>
              <w:t>60</w:t>
            </w:r>
            <w:r w:rsidR="00E470B8">
              <w:rPr>
                <w:webHidden/>
              </w:rPr>
              <w:fldChar w:fldCharType="end"/>
            </w:r>
          </w:hyperlink>
        </w:p>
        <w:p w14:paraId="5CB4EC37" w14:textId="0695B930" w:rsidR="00E470B8" w:rsidRDefault="00000000">
          <w:pPr>
            <w:pStyle w:val="TOC2"/>
            <w:rPr>
              <w:rFonts w:eastAsiaTheme="minorEastAsia"/>
              <w:color w:val="auto"/>
              <w:kern w:val="2"/>
              <w:szCs w:val="24"/>
              <w:lang w:eastAsia="en-NZ"/>
              <w14:ligatures w14:val="standardContextual"/>
            </w:rPr>
          </w:pPr>
          <w:hyperlink w:anchor="_Toc180571302" w:history="1">
            <w:r w:rsidR="00E470B8" w:rsidRPr="00FE1A6E">
              <w:rPr>
                <w:rStyle w:val="Hyperlink"/>
              </w:rPr>
              <w:t>Review quizzes</w:t>
            </w:r>
            <w:r w:rsidR="00E470B8">
              <w:rPr>
                <w:webHidden/>
              </w:rPr>
              <w:tab/>
            </w:r>
            <w:r w:rsidR="00E470B8">
              <w:rPr>
                <w:webHidden/>
              </w:rPr>
              <w:fldChar w:fldCharType="begin"/>
            </w:r>
            <w:r w:rsidR="00E470B8">
              <w:rPr>
                <w:webHidden/>
              </w:rPr>
              <w:instrText xml:space="preserve"> PAGEREF _Toc180571302 \h </w:instrText>
            </w:r>
            <w:r w:rsidR="00E470B8">
              <w:rPr>
                <w:webHidden/>
              </w:rPr>
            </w:r>
            <w:r w:rsidR="00E470B8">
              <w:rPr>
                <w:webHidden/>
              </w:rPr>
              <w:fldChar w:fldCharType="separate"/>
            </w:r>
            <w:r w:rsidR="007F1966">
              <w:rPr>
                <w:webHidden/>
              </w:rPr>
              <w:t>81</w:t>
            </w:r>
            <w:r w:rsidR="00E470B8">
              <w:rPr>
                <w:webHidden/>
              </w:rPr>
              <w:fldChar w:fldCharType="end"/>
            </w:r>
          </w:hyperlink>
        </w:p>
        <w:p w14:paraId="23D6DF96" w14:textId="221A0F89" w:rsidR="00E470B8" w:rsidRDefault="00000000">
          <w:pPr>
            <w:pStyle w:val="TOC1"/>
            <w:tabs>
              <w:tab w:val="right" w:leader="dot" w:pos="9628"/>
            </w:tabs>
            <w:rPr>
              <w:rFonts w:eastAsiaTheme="minorEastAsia"/>
              <w:b w:val="0"/>
              <w:noProof/>
              <w:kern w:val="2"/>
              <w:szCs w:val="24"/>
              <w:lang w:eastAsia="en-NZ"/>
              <w14:ligatures w14:val="standardContextual"/>
            </w:rPr>
          </w:pPr>
          <w:hyperlink w:anchor="_Toc180571303" w:history="1">
            <w:r w:rsidR="00E470B8" w:rsidRPr="00FE1A6E">
              <w:rPr>
                <w:rStyle w:val="Hyperlink"/>
                <w:noProof/>
              </w:rPr>
              <w:t xml:space="preserve">Part 3: Practice Examples </w:t>
            </w:r>
            <w:r w:rsidR="00E470B8">
              <w:rPr>
                <w:noProof/>
                <w:webHidden/>
              </w:rPr>
              <w:tab/>
            </w:r>
            <w:r w:rsidR="00E470B8">
              <w:rPr>
                <w:noProof/>
                <w:webHidden/>
              </w:rPr>
              <w:fldChar w:fldCharType="begin"/>
            </w:r>
            <w:r w:rsidR="00E470B8">
              <w:rPr>
                <w:noProof/>
                <w:webHidden/>
              </w:rPr>
              <w:instrText xml:space="preserve"> PAGEREF _Toc180571303 \h </w:instrText>
            </w:r>
            <w:r w:rsidR="00E470B8">
              <w:rPr>
                <w:noProof/>
                <w:webHidden/>
              </w:rPr>
            </w:r>
            <w:r w:rsidR="00E470B8">
              <w:rPr>
                <w:noProof/>
                <w:webHidden/>
              </w:rPr>
              <w:fldChar w:fldCharType="separate"/>
            </w:r>
            <w:r w:rsidR="007F1966">
              <w:rPr>
                <w:noProof/>
                <w:webHidden/>
              </w:rPr>
              <w:t>83</w:t>
            </w:r>
            <w:r w:rsidR="00E470B8">
              <w:rPr>
                <w:noProof/>
                <w:webHidden/>
              </w:rPr>
              <w:fldChar w:fldCharType="end"/>
            </w:r>
          </w:hyperlink>
        </w:p>
        <w:p w14:paraId="054C3CA9" w14:textId="1AB849F3" w:rsidR="00E470B8" w:rsidRDefault="00000000">
          <w:pPr>
            <w:pStyle w:val="TOC2"/>
            <w:rPr>
              <w:rFonts w:eastAsiaTheme="minorEastAsia"/>
              <w:color w:val="auto"/>
              <w:kern w:val="2"/>
              <w:szCs w:val="24"/>
              <w:lang w:eastAsia="en-NZ"/>
              <w14:ligatures w14:val="standardContextual"/>
            </w:rPr>
          </w:pPr>
          <w:hyperlink w:anchor="_Toc180571304" w:history="1">
            <w:r w:rsidR="00E470B8" w:rsidRPr="00FE1A6E">
              <w:rPr>
                <w:rStyle w:val="Hyperlink"/>
              </w:rPr>
              <w:t>Practice example 1</w:t>
            </w:r>
            <w:r w:rsidR="00E470B8">
              <w:rPr>
                <w:webHidden/>
              </w:rPr>
              <w:tab/>
            </w:r>
            <w:r w:rsidR="00E470B8">
              <w:rPr>
                <w:webHidden/>
              </w:rPr>
              <w:fldChar w:fldCharType="begin"/>
            </w:r>
            <w:r w:rsidR="00E470B8">
              <w:rPr>
                <w:webHidden/>
              </w:rPr>
              <w:instrText xml:space="preserve"> PAGEREF _Toc180571304 \h </w:instrText>
            </w:r>
            <w:r w:rsidR="00E470B8">
              <w:rPr>
                <w:webHidden/>
              </w:rPr>
            </w:r>
            <w:r w:rsidR="00E470B8">
              <w:rPr>
                <w:webHidden/>
              </w:rPr>
              <w:fldChar w:fldCharType="separate"/>
            </w:r>
            <w:r w:rsidR="007F1966">
              <w:rPr>
                <w:webHidden/>
              </w:rPr>
              <w:t>84</w:t>
            </w:r>
            <w:r w:rsidR="00E470B8">
              <w:rPr>
                <w:webHidden/>
              </w:rPr>
              <w:fldChar w:fldCharType="end"/>
            </w:r>
          </w:hyperlink>
        </w:p>
        <w:p w14:paraId="58BFD797" w14:textId="450841BE" w:rsidR="00E470B8" w:rsidRDefault="00000000">
          <w:pPr>
            <w:pStyle w:val="TOC2"/>
            <w:rPr>
              <w:rFonts w:eastAsiaTheme="minorEastAsia"/>
              <w:color w:val="auto"/>
              <w:kern w:val="2"/>
              <w:szCs w:val="24"/>
              <w:lang w:eastAsia="en-NZ"/>
              <w14:ligatures w14:val="standardContextual"/>
            </w:rPr>
          </w:pPr>
          <w:hyperlink w:anchor="_Toc180571305" w:history="1">
            <w:r w:rsidR="00E470B8" w:rsidRPr="00FE1A6E">
              <w:rPr>
                <w:rStyle w:val="Hyperlink"/>
              </w:rPr>
              <w:t>Practice example 2</w:t>
            </w:r>
            <w:r w:rsidR="00E470B8">
              <w:rPr>
                <w:webHidden/>
              </w:rPr>
              <w:tab/>
            </w:r>
            <w:r w:rsidR="00E470B8">
              <w:rPr>
                <w:webHidden/>
              </w:rPr>
              <w:fldChar w:fldCharType="begin"/>
            </w:r>
            <w:r w:rsidR="00E470B8">
              <w:rPr>
                <w:webHidden/>
              </w:rPr>
              <w:instrText xml:space="preserve"> PAGEREF _Toc180571305 \h </w:instrText>
            </w:r>
            <w:r w:rsidR="00E470B8">
              <w:rPr>
                <w:webHidden/>
              </w:rPr>
            </w:r>
            <w:r w:rsidR="00E470B8">
              <w:rPr>
                <w:webHidden/>
              </w:rPr>
              <w:fldChar w:fldCharType="separate"/>
            </w:r>
            <w:r w:rsidR="007F1966">
              <w:rPr>
                <w:webHidden/>
              </w:rPr>
              <w:t>87</w:t>
            </w:r>
            <w:r w:rsidR="00E470B8">
              <w:rPr>
                <w:webHidden/>
              </w:rPr>
              <w:fldChar w:fldCharType="end"/>
            </w:r>
          </w:hyperlink>
        </w:p>
        <w:p w14:paraId="52BE9E89" w14:textId="675311C1" w:rsidR="00E470B8" w:rsidRDefault="00000000">
          <w:pPr>
            <w:pStyle w:val="TOC2"/>
            <w:rPr>
              <w:rFonts w:eastAsiaTheme="minorEastAsia"/>
              <w:color w:val="auto"/>
              <w:kern w:val="2"/>
              <w:szCs w:val="24"/>
              <w:lang w:eastAsia="en-NZ"/>
              <w14:ligatures w14:val="standardContextual"/>
            </w:rPr>
          </w:pPr>
          <w:hyperlink w:anchor="_Toc180571306" w:history="1">
            <w:r w:rsidR="00E470B8" w:rsidRPr="00FE1A6E">
              <w:rPr>
                <w:rStyle w:val="Hyperlink"/>
              </w:rPr>
              <w:t>Practice example 3</w:t>
            </w:r>
            <w:r w:rsidR="00E470B8">
              <w:rPr>
                <w:webHidden/>
              </w:rPr>
              <w:tab/>
            </w:r>
            <w:r w:rsidR="00E470B8">
              <w:rPr>
                <w:webHidden/>
              </w:rPr>
              <w:fldChar w:fldCharType="begin"/>
            </w:r>
            <w:r w:rsidR="00E470B8">
              <w:rPr>
                <w:webHidden/>
              </w:rPr>
              <w:instrText xml:space="preserve"> PAGEREF _Toc180571306 \h </w:instrText>
            </w:r>
            <w:r w:rsidR="00E470B8">
              <w:rPr>
                <w:webHidden/>
              </w:rPr>
            </w:r>
            <w:r w:rsidR="00E470B8">
              <w:rPr>
                <w:webHidden/>
              </w:rPr>
              <w:fldChar w:fldCharType="separate"/>
            </w:r>
            <w:r w:rsidR="007F1966">
              <w:rPr>
                <w:webHidden/>
              </w:rPr>
              <w:t>89</w:t>
            </w:r>
            <w:r w:rsidR="00E470B8">
              <w:rPr>
                <w:webHidden/>
              </w:rPr>
              <w:fldChar w:fldCharType="end"/>
            </w:r>
          </w:hyperlink>
        </w:p>
        <w:p w14:paraId="75D4D013" w14:textId="53693DE2" w:rsidR="00E470B8" w:rsidRDefault="00000000">
          <w:pPr>
            <w:pStyle w:val="TOC2"/>
            <w:rPr>
              <w:rFonts w:eastAsiaTheme="minorEastAsia"/>
              <w:color w:val="auto"/>
              <w:kern w:val="2"/>
              <w:szCs w:val="24"/>
              <w:lang w:eastAsia="en-NZ"/>
              <w14:ligatures w14:val="standardContextual"/>
            </w:rPr>
          </w:pPr>
          <w:hyperlink w:anchor="_Toc180571307" w:history="1">
            <w:r w:rsidR="00E470B8" w:rsidRPr="00FE1A6E">
              <w:rPr>
                <w:rStyle w:val="Hyperlink"/>
              </w:rPr>
              <w:t>Practice example 4</w:t>
            </w:r>
            <w:r w:rsidR="00E470B8">
              <w:rPr>
                <w:webHidden/>
              </w:rPr>
              <w:tab/>
            </w:r>
            <w:r w:rsidR="00E470B8">
              <w:rPr>
                <w:webHidden/>
              </w:rPr>
              <w:fldChar w:fldCharType="begin"/>
            </w:r>
            <w:r w:rsidR="00E470B8">
              <w:rPr>
                <w:webHidden/>
              </w:rPr>
              <w:instrText xml:space="preserve"> PAGEREF _Toc180571307 \h </w:instrText>
            </w:r>
            <w:r w:rsidR="00E470B8">
              <w:rPr>
                <w:webHidden/>
              </w:rPr>
            </w:r>
            <w:r w:rsidR="00E470B8">
              <w:rPr>
                <w:webHidden/>
              </w:rPr>
              <w:fldChar w:fldCharType="separate"/>
            </w:r>
            <w:r w:rsidR="007F1966">
              <w:rPr>
                <w:webHidden/>
              </w:rPr>
              <w:t>92</w:t>
            </w:r>
            <w:r w:rsidR="00E470B8">
              <w:rPr>
                <w:webHidden/>
              </w:rPr>
              <w:fldChar w:fldCharType="end"/>
            </w:r>
          </w:hyperlink>
        </w:p>
        <w:p w14:paraId="003F4EBC" w14:textId="1F6FF308" w:rsidR="00E470B8" w:rsidRDefault="00000000">
          <w:pPr>
            <w:pStyle w:val="TOC1"/>
            <w:tabs>
              <w:tab w:val="right" w:leader="dot" w:pos="9628"/>
            </w:tabs>
            <w:rPr>
              <w:rFonts w:eastAsiaTheme="minorEastAsia"/>
              <w:b w:val="0"/>
              <w:noProof/>
              <w:kern w:val="2"/>
              <w:szCs w:val="24"/>
              <w:lang w:eastAsia="en-NZ"/>
              <w14:ligatures w14:val="standardContextual"/>
            </w:rPr>
          </w:pPr>
          <w:hyperlink w:anchor="_Toc180571308" w:history="1">
            <w:r w:rsidR="00E470B8" w:rsidRPr="00FE1A6E">
              <w:rPr>
                <w:rStyle w:val="Hyperlink"/>
                <w:noProof/>
              </w:rPr>
              <w:t>Quiz answers</w:t>
            </w:r>
            <w:r w:rsidR="00E470B8">
              <w:rPr>
                <w:noProof/>
                <w:webHidden/>
              </w:rPr>
              <w:tab/>
            </w:r>
            <w:r w:rsidR="00E470B8">
              <w:rPr>
                <w:noProof/>
                <w:webHidden/>
              </w:rPr>
              <w:fldChar w:fldCharType="begin"/>
            </w:r>
            <w:r w:rsidR="00E470B8">
              <w:rPr>
                <w:noProof/>
                <w:webHidden/>
              </w:rPr>
              <w:instrText xml:space="preserve"> PAGEREF _Toc180571308 \h </w:instrText>
            </w:r>
            <w:r w:rsidR="00E470B8">
              <w:rPr>
                <w:noProof/>
                <w:webHidden/>
              </w:rPr>
            </w:r>
            <w:r w:rsidR="00E470B8">
              <w:rPr>
                <w:noProof/>
                <w:webHidden/>
              </w:rPr>
              <w:fldChar w:fldCharType="separate"/>
            </w:r>
            <w:r w:rsidR="007F1966">
              <w:rPr>
                <w:noProof/>
                <w:webHidden/>
              </w:rPr>
              <w:t>93</w:t>
            </w:r>
            <w:r w:rsidR="00E470B8">
              <w:rPr>
                <w:noProof/>
                <w:webHidden/>
              </w:rPr>
              <w:fldChar w:fldCharType="end"/>
            </w:r>
          </w:hyperlink>
        </w:p>
        <w:p w14:paraId="17BC3015" w14:textId="24E03483" w:rsidR="00E470B8" w:rsidRDefault="00000000">
          <w:pPr>
            <w:pStyle w:val="TOC2"/>
            <w:rPr>
              <w:rFonts w:eastAsiaTheme="minorEastAsia"/>
              <w:color w:val="auto"/>
              <w:kern w:val="2"/>
              <w:szCs w:val="24"/>
              <w:lang w:eastAsia="en-NZ"/>
              <w14:ligatures w14:val="standardContextual"/>
            </w:rPr>
          </w:pPr>
          <w:hyperlink w:anchor="_Toc180571309" w:history="1">
            <w:r w:rsidR="00E470B8" w:rsidRPr="00FE1A6E">
              <w:rPr>
                <w:rStyle w:val="Hyperlink"/>
              </w:rPr>
              <w:t>Review quiz: Cognitive impairment and its impacts</w:t>
            </w:r>
            <w:r w:rsidR="00E470B8">
              <w:rPr>
                <w:webHidden/>
              </w:rPr>
              <w:tab/>
            </w:r>
            <w:r w:rsidR="00E470B8">
              <w:rPr>
                <w:webHidden/>
              </w:rPr>
              <w:fldChar w:fldCharType="begin"/>
            </w:r>
            <w:r w:rsidR="00E470B8">
              <w:rPr>
                <w:webHidden/>
              </w:rPr>
              <w:instrText xml:space="preserve"> PAGEREF _Toc180571309 \h </w:instrText>
            </w:r>
            <w:r w:rsidR="00E470B8">
              <w:rPr>
                <w:webHidden/>
              </w:rPr>
            </w:r>
            <w:r w:rsidR="00E470B8">
              <w:rPr>
                <w:webHidden/>
              </w:rPr>
              <w:fldChar w:fldCharType="separate"/>
            </w:r>
            <w:r w:rsidR="007F1966">
              <w:rPr>
                <w:webHidden/>
              </w:rPr>
              <w:t>93</w:t>
            </w:r>
            <w:r w:rsidR="00E470B8">
              <w:rPr>
                <w:webHidden/>
              </w:rPr>
              <w:fldChar w:fldCharType="end"/>
            </w:r>
          </w:hyperlink>
        </w:p>
        <w:p w14:paraId="298D486F" w14:textId="0C6B29BA" w:rsidR="00E470B8" w:rsidRDefault="00000000">
          <w:pPr>
            <w:pStyle w:val="TOC2"/>
            <w:rPr>
              <w:rFonts w:eastAsiaTheme="minorEastAsia"/>
              <w:color w:val="auto"/>
              <w:kern w:val="2"/>
              <w:szCs w:val="24"/>
              <w:lang w:eastAsia="en-NZ"/>
              <w14:ligatures w14:val="standardContextual"/>
            </w:rPr>
          </w:pPr>
          <w:hyperlink w:anchor="_Toc180571310" w:history="1">
            <w:r w:rsidR="00E470B8" w:rsidRPr="00FE1A6E">
              <w:rPr>
                <w:rStyle w:val="Hyperlink"/>
              </w:rPr>
              <w:t>Review quiz: Screening</w:t>
            </w:r>
            <w:r w:rsidR="00E470B8">
              <w:rPr>
                <w:webHidden/>
              </w:rPr>
              <w:tab/>
            </w:r>
            <w:r w:rsidR="00E470B8">
              <w:rPr>
                <w:webHidden/>
              </w:rPr>
              <w:fldChar w:fldCharType="begin"/>
            </w:r>
            <w:r w:rsidR="00E470B8">
              <w:rPr>
                <w:webHidden/>
              </w:rPr>
              <w:instrText xml:space="preserve"> PAGEREF _Toc180571310 \h </w:instrText>
            </w:r>
            <w:r w:rsidR="00E470B8">
              <w:rPr>
                <w:webHidden/>
              </w:rPr>
            </w:r>
            <w:r w:rsidR="00E470B8">
              <w:rPr>
                <w:webHidden/>
              </w:rPr>
              <w:fldChar w:fldCharType="separate"/>
            </w:r>
            <w:r w:rsidR="007F1966">
              <w:rPr>
                <w:webHidden/>
              </w:rPr>
              <w:t>94</w:t>
            </w:r>
            <w:r w:rsidR="00E470B8">
              <w:rPr>
                <w:webHidden/>
              </w:rPr>
              <w:fldChar w:fldCharType="end"/>
            </w:r>
          </w:hyperlink>
        </w:p>
        <w:p w14:paraId="2C209203" w14:textId="72094169" w:rsidR="00E470B8" w:rsidRDefault="00000000">
          <w:pPr>
            <w:pStyle w:val="TOC2"/>
            <w:rPr>
              <w:rFonts w:eastAsiaTheme="minorEastAsia"/>
              <w:color w:val="auto"/>
              <w:kern w:val="2"/>
              <w:szCs w:val="24"/>
              <w:lang w:eastAsia="en-NZ"/>
              <w14:ligatures w14:val="standardContextual"/>
            </w:rPr>
          </w:pPr>
          <w:hyperlink w:anchor="_Toc180571311" w:history="1">
            <w:r w:rsidR="00E470B8" w:rsidRPr="00FE1A6E">
              <w:rPr>
                <w:rStyle w:val="Hyperlink"/>
              </w:rPr>
              <w:t>Review quiz: Support</w:t>
            </w:r>
            <w:r w:rsidR="00E470B8">
              <w:rPr>
                <w:webHidden/>
              </w:rPr>
              <w:tab/>
            </w:r>
            <w:r w:rsidR="00E470B8">
              <w:rPr>
                <w:webHidden/>
              </w:rPr>
              <w:fldChar w:fldCharType="begin"/>
            </w:r>
            <w:r w:rsidR="00E470B8">
              <w:rPr>
                <w:webHidden/>
              </w:rPr>
              <w:instrText xml:space="preserve"> PAGEREF _Toc180571311 \h </w:instrText>
            </w:r>
            <w:r w:rsidR="00E470B8">
              <w:rPr>
                <w:webHidden/>
              </w:rPr>
            </w:r>
            <w:r w:rsidR="00E470B8">
              <w:rPr>
                <w:webHidden/>
              </w:rPr>
              <w:fldChar w:fldCharType="separate"/>
            </w:r>
            <w:r w:rsidR="007F1966">
              <w:rPr>
                <w:webHidden/>
              </w:rPr>
              <w:t>95</w:t>
            </w:r>
            <w:r w:rsidR="00E470B8">
              <w:rPr>
                <w:webHidden/>
              </w:rPr>
              <w:fldChar w:fldCharType="end"/>
            </w:r>
          </w:hyperlink>
        </w:p>
        <w:p w14:paraId="788E5846" w14:textId="127D6212" w:rsidR="00E470B8" w:rsidRDefault="00000000">
          <w:pPr>
            <w:pStyle w:val="TOC1"/>
            <w:tabs>
              <w:tab w:val="right" w:leader="dot" w:pos="9628"/>
            </w:tabs>
            <w:rPr>
              <w:rFonts w:eastAsiaTheme="minorEastAsia"/>
              <w:b w:val="0"/>
              <w:noProof/>
              <w:kern w:val="2"/>
              <w:szCs w:val="24"/>
              <w:lang w:eastAsia="en-NZ"/>
              <w14:ligatures w14:val="standardContextual"/>
            </w:rPr>
          </w:pPr>
          <w:hyperlink w:anchor="_Toc180571312" w:history="1">
            <w:r w:rsidR="00E470B8" w:rsidRPr="00FE1A6E">
              <w:rPr>
                <w:rStyle w:val="Hyperlink"/>
                <w:noProof/>
              </w:rPr>
              <w:t>Part 4: Helpful Resources</w:t>
            </w:r>
            <w:r w:rsidR="00E470B8">
              <w:rPr>
                <w:noProof/>
                <w:webHidden/>
              </w:rPr>
              <w:tab/>
            </w:r>
            <w:r w:rsidR="00E470B8">
              <w:rPr>
                <w:noProof/>
                <w:webHidden/>
              </w:rPr>
              <w:fldChar w:fldCharType="begin"/>
            </w:r>
            <w:r w:rsidR="00E470B8">
              <w:rPr>
                <w:noProof/>
                <w:webHidden/>
              </w:rPr>
              <w:instrText xml:space="preserve"> PAGEREF _Toc180571312 \h </w:instrText>
            </w:r>
            <w:r w:rsidR="00E470B8">
              <w:rPr>
                <w:noProof/>
                <w:webHidden/>
              </w:rPr>
            </w:r>
            <w:r w:rsidR="00E470B8">
              <w:rPr>
                <w:noProof/>
                <w:webHidden/>
              </w:rPr>
              <w:fldChar w:fldCharType="separate"/>
            </w:r>
            <w:r w:rsidR="007F1966">
              <w:rPr>
                <w:noProof/>
                <w:webHidden/>
              </w:rPr>
              <w:t>96</w:t>
            </w:r>
            <w:r w:rsidR="00E470B8">
              <w:rPr>
                <w:noProof/>
                <w:webHidden/>
              </w:rPr>
              <w:fldChar w:fldCharType="end"/>
            </w:r>
          </w:hyperlink>
        </w:p>
        <w:p w14:paraId="07DD77CF" w14:textId="6BF7523C" w:rsidR="00E470B8" w:rsidRDefault="00000000">
          <w:pPr>
            <w:pStyle w:val="TOC2"/>
            <w:rPr>
              <w:rFonts w:eastAsiaTheme="minorEastAsia"/>
              <w:color w:val="auto"/>
              <w:kern w:val="2"/>
              <w:szCs w:val="24"/>
              <w:lang w:eastAsia="en-NZ"/>
              <w14:ligatures w14:val="standardContextual"/>
            </w:rPr>
          </w:pPr>
          <w:hyperlink w:anchor="_Toc180571313" w:history="1">
            <w:r w:rsidR="00E470B8" w:rsidRPr="00FE1A6E">
              <w:rPr>
                <w:rStyle w:val="Hyperlink"/>
              </w:rPr>
              <w:t>Consumer rights and service standards</w:t>
            </w:r>
            <w:r w:rsidR="00E470B8">
              <w:rPr>
                <w:webHidden/>
              </w:rPr>
              <w:tab/>
            </w:r>
            <w:r w:rsidR="00E470B8">
              <w:rPr>
                <w:webHidden/>
              </w:rPr>
              <w:fldChar w:fldCharType="begin"/>
            </w:r>
            <w:r w:rsidR="00E470B8">
              <w:rPr>
                <w:webHidden/>
              </w:rPr>
              <w:instrText xml:space="preserve"> PAGEREF _Toc180571313 \h </w:instrText>
            </w:r>
            <w:r w:rsidR="00E470B8">
              <w:rPr>
                <w:webHidden/>
              </w:rPr>
            </w:r>
            <w:r w:rsidR="00E470B8">
              <w:rPr>
                <w:webHidden/>
              </w:rPr>
              <w:fldChar w:fldCharType="separate"/>
            </w:r>
            <w:r w:rsidR="007F1966">
              <w:rPr>
                <w:webHidden/>
              </w:rPr>
              <w:t>97</w:t>
            </w:r>
            <w:r w:rsidR="00E470B8">
              <w:rPr>
                <w:webHidden/>
              </w:rPr>
              <w:fldChar w:fldCharType="end"/>
            </w:r>
          </w:hyperlink>
        </w:p>
        <w:p w14:paraId="5649F5C6" w14:textId="3FE20079" w:rsidR="00E470B8" w:rsidRDefault="00000000">
          <w:pPr>
            <w:pStyle w:val="TOC2"/>
            <w:rPr>
              <w:rFonts w:eastAsiaTheme="minorEastAsia"/>
              <w:color w:val="auto"/>
              <w:kern w:val="2"/>
              <w:szCs w:val="24"/>
              <w:lang w:eastAsia="en-NZ"/>
              <w14:ligatures w14:val="standardContextual"/>
            </w:rPr>
          </w:pPr>
          <w:hyperlink w:anchor="_Toc180571314" w:history="1">
            <w:r w:rsidR="00E470B8" w:rsidRPr="00FE1A6E">
              <w:rPr>
                <w:rStyle w:val="Hyperlink"/>
              </w:rPr>
              <w:t>Workforce development resources</w:t>
            </w:r>
            <w:r w:rsidR="00E470B8">
              <w:rPr>
                <w:webHidden/>
              </w:rPr>
              <w:tab/>
            </w:r>
            <w:r w:rsidR="00E470B8">
              <w:rPr>
                <w:webHidden/>
              </w:rPr>
              <w:fldChar w:fldCharType="begin"/>
            </w:r>
            <w:r w:rsidR="00E470B8">
              <w:rPr>
                <w:webHidden/>
              </w:rPr>
              <w:instrText xml:space="preserve"> PAGEREF _Toc180571314 \h </w:instrText>
            </w:r>
            <w:r w:rsidR="00E470B8">
              <w:rPr>
                <w:webHidden/>
              </w:rPr>
            </w:r>
            <w:r w:rsidR="00E470B8">
              <w:rPr>
                <w:webHidden/>
              </w:rPr>
              <w:fldChar w:fldCharType="separate"/>
            </w:r>
            <w:r w:rsidR="007F1966">
              <w:rPr>
                <w:webHidden/>
              </w:rPr>
              <w:t>98</w:t>
            </w:r>
            <w:r w:rsidR="00E470B8">
              <w:rPr>
                <w:webHidden/>
              </w:rPr>
              <w:fldChar w:fldCharType="end"/>
            </w:r>
          </w:hyperlink>
        </w:p>
        <w:p w14:paraId="6E6681E5" w14:textId="0FB942F3" w:rsidR="00E470B8" w:rsidRDefault="00000000">
          <w:pPr>
            <w:pStyle w:val="TOC2"/>
            <w:rPr>
              <w:rFonts w:eastAsiaTheme="minorEastAsia"/>
              <w:color w:val="auto"/>
              <w:kern w:val="2"/>
              <w:szCs w:val="24"/>
              <w:lang w:eastAsia="en-NZ"/>
              <w14:ligatures w14:val="standardContextual"/>
            </w:rPr>
          </w:pPr>
          <w:hyperlink w:anchor="_Toc180571315" w:history="1">
            <w:r w:rsidR="00E470B8" w:rsidRPr="00FE1A6E">
              <w:rPr>
                <w:rStyle w:val="Hyperlink"/>
              </w:rPr>
              <w:t xml:space="preserve">Workforce Community support for people and </w:t>
            </w:r>
            <w:r w:rsidR="00E470B8" w:rsidRPr="00FE1A6E">
              <w:rPr>
                <w:rStyle w:val="Hyperlink"/>
                <w:bCs/>
              </w:rPr>
              <w:t>whānau</w:t>
            </w:r>
            <w:r w:rsidR="00E470B8">
              <w:rPr>
                <w:webHidden/>
              </w:rPr>
              <w:tab/>
            </w:r>
            <w:r w:rsidR="00E470B8">
              <w:rPr>
                <w:webHidden/>
              </w:rPr>
              <w:fldChar w:fldCharType="begin"/>
            </w:r>
            <w:r w:rsidR="00E470B8">
              <w:rPr>
                <w:webHidden/>
              </w:rPr>
              <w:instrText xml:space="preserve"> PAGEREF _Toc180571315 \h </w:instrText>
            </w:r>
            <w:r w:rsidR="00E470B8">
              <w:rPr>
                <w:webHidden/>
              </w:rPr>
            </w:r>
            <w:r w:rsidR="00E470B8">
              <w:rPr>
                <w:webHidden/>
              </w:rPr>
              <w:fldChar w:fldCharType="separate"/>
            </w:r>
            <w:r w:rsidR="007F1966">
              <w:rPr>
                <w:webHidden/>
              </w:rPr>
              <w:t>101</w:t>
            </w:r>
            <w:r w:rsidR="00E470B8">
              <w:rPr>
                <w:webHidden/>
              </w:rPr>
              <w:fldChar w:fldCharType="end"/>
            </w:r>
          </w:hyperlink>
        </w:p>
        <w:p w14:paraId="6D922DA4" w14:textId="24E25D3E" w:rsidR="00E470B8" w:rsidRDefault="00000000">
          <w:pPr>
            <w:pStyle w:val="TOC2"/>
            <w:rPr>
              <w:rFonts w:eastAsiaTheme="minorEastAsia"/>
              <w:color w:val="auto"/>
              <w:kern w:val="2"/>
              <w:szCs w:val="24"/>
              <w:lang w:eastAsia="en-NZ"/>
              <w14:ligatures w14:val="standardContextual"/>
            </w:rPr>
          </w:pPr>
          <w:hyperlink w:anchor="_Toc180571316" w:history="1">
            <w:r w:rsidR="00E470B8" w:rsidRPr="00FE1A6E">
              <w:rPr>
                <w:rStyle w:val="Hyperlink"/>
              </w:rPr>
              <w:t>Accessible communication and resources</w:t>
            </w:r>
            <w:r w:rsidR="00E470B8">
              <w:rPr>
                <w:webHidden/>
              </w:rPr>
              <w:tab/>
            </w:r>
            <w:r w:rsidR="00E470B8">
              <w:rPr>
                <w:webHidden/>
              </w:rPr>
              <w:fldChar w:fldCharType="begin"/>
            </w:r>
            <w:r w:rsidR="00E470B8">
              <w:rPr>
                <w:webHidden/>
              </w:rPr>
              <w:instrText xml:space="preserve"> PAGEREF _Toc180571316 \h </w:instrText>
            </w:r>
            <w:r w:rsidR="00E470B8">
              <w:rPr>
                <w:webHidden/>
              </w:rPr>
            </w:r>
            <w:r w:rsidR="00E470B8">
              <w:rPr>
                <w:webHidden/>
              </w:rPr>
              <w:fldChar w:fldCharType="separate"/>
            </w:r>
            <w:r w:rsidR="007F1966">
              <w:rPr>
                <w:webHidden/>
              </w:rPr>
              <w:t>103</w:t>
            </w:r>
            <w:r w:rsidR="00E470B8">
              <w:rPr>
                <w:webHidden/>
              </w:rPr>
              <w:fldChar w:fldCharType="end"/>
            </w:r>
          </w:hyperlink>
        </w:p>
        <w:p w14:paraId="1BEDEBBC" w14:textId="2DC0358F" w:rsidR="00E470B8" w:rsidRDefault="00000000">
          <w:pPr>
            <w:pStyle w:val="TOC2"/>
            <w:rPr>
              <w:rFonts w:eastAsiaTheme="minorEastAsia"/>
              <w:color w:val="auto"/>
              <w:kern w:val="2"/>
              <w:szCs w:val="24"/>
              <w:lang w:eastAsia="en-NZ"/>
              <w14:ligatures w14:val="standardContextual"/>
            </w:rPr>
          </w:pPr>
          <w:hyperlink w:anchor="_Toc180571317" w:history="1">
            <w:r w:rsidR="00E470B8" w:rsidRPr="00FE1A6E">
              <w:rPr>
                <w:rStyle w:val="Hyperlink"/>
              </w:rPr>
              <w:t>Guideline summary</w:t>
            </w:r>
            <w:r w:rsidR="00E470B8">
              <w:rPr>
                <w:webHidden/>
              </w:rPr>
              <w:tab/>
            </w:r>
            <w:r w:rsidR="00E470B8">
              <w:rPr>
                <w:webHidden/>
              </w:rPr>
              <w:fldChar w:fldCharType="begin"/>
            </w:r>
            <w:r w:rsidR="00E470B8">
              <w:rPr>
                <w:webHidden/>
              </w:rPr>
              <w:instrText xml:space="preserve"> PAGEREF _Toc180571317 \h </w:instrText>
            </w:r>
            <w:r w:rsidR="00E470B8">
              <w:rPr>
                <w:webHidden/>
              </w:rPr>
            </w:r>
            <w:r w:rsidR="00E470B8">
              <w:rPr>
                <w:webHidden/>
              </w:rPr>
              <w:fldChar w:fldCharType="separate"/>
            </w:r>
            <w:r w:rsidR="007F1966">
              <w:rPr>
                <w:webHidden/>
              </w:rPr>
              <w:t>103</w:t>
            </w:r>
            <w:r w:rsidR="00E470B8">
              <w:rPr>
                <w:webHidden/>
              </w:rPr>
              <w:fldChar w:fldCharType="end"/>
            </w:r>
          </w:hyperlink>
        </w:p>
        <w:p w14:paraId="11794837" w14:textId="6BA959C0" w:rsidR="00E470B8" w:rsidRDefault="00000000">
          <w:pPr>
            <w:pStyle w:val="TOC1"/>
            <w:tabs>
              <w:tab w:val="right" w:leader="dot" w:pos="9628"/>
            </w:tabs>
            <w:rPr>
              <w:rFonts w:eastAsiaTheme="minorEastAsia"/>
              <w:b w:val="0"/>
              <w:noProof/>
              <w:kern w:val="2"/>
              <w:szCs w:val="24"/>
              <w:lang w:eastAsia="en-NZ"/>
              <w14:ligatures w14:val="standardContextual"/>
            </w:rPr>
          </w:pPr>
          <w:hyperlink w:anchor="_Toc180571318" w:history="1">
            <w:r w:rsidR="00E470B8" w:rsidRPr="00FE1A6E">
              <w:rPr>
                <w:rStyle w:val="Hyperlink"/>
                <w:noProof/>
              </w:rPr>
              <w:t>Glossary</w:t>
            </w:r>
            <w:r w:rsidR="00E470B8">
              <w:rPr>
                <w:noProof/>
                <w:webHidden/>
              </w:rPr>
              <w:tab/>
            </w:r>
            <w:r w:rsidR="00E470B8">
              <w:rPr>
                <w:noProof/>
                <w:webHidden/>
              </w:rPr>
              <w:fldChar w:fldCharType="begin"/>
            </w:r>
            <w:r w:rsidR="00E470B8">
              <w:rPr>
                <w:noProof/>
                <w:webHidden/>
              </w:rPr>
              <w:instrText xml:space="preserve"> PAGEREF _Toc180571318 \h </w:instrText>
            </w:r>
            <w:r w:rsidR="00E470B8">
              <w:rPr>
                <w:noProof/>
                <w:webHidden/>
              </w:rPr>
            </w:r>
            <w:r w:rsidR="00E470B8">
              <w:rPr>
                <w:noProof/>
                <w:webHidden/>
              </w:rPr>
              <w:fldChar w:fldCharType="separate"/>
            </w:r>
            <w:r w:rsidR="007F1966">
              <w:rPr>
                <w:noProof/>
                <w:webHidden/>
              </w:rPr>
              <w:t>105</w:t>
            </w:r>
            <w:r w:rsidR="00E470B8">
              <w:rPr>
                <w:noProof/>
                <w:webHidden/>
              </w:rPr>
              <w:fldChar w:fldCharType="end"/>
            </w:r>
          </w:hyperlink>
        </w:p>
        <w:p w14:paraId="74D4334E" w14:textId="1FE39003" w:rsidR="00E470B8" w:rsidRDefault="00000000">
          <w:pPr>
            <w:pStyle w:val="TOC1"/>
            <w:tabs>
              <w:tab w:val="right" w:leader="dot" w:pos="9628"/>
            </w:tabs>
            <w:rPr>
              <w:rFonts w:eastAsiaTheme="minorEastAsia"/>
              <w:b w:val="0"/>
              <w:noProof/>
              <w:kern w:val="2"/>
              <w:szCs w:val="24"/>
              <w:lang w:eastAsia="en-NZ"/>
              <w14:ligatures w14:val="standardContextual"/>
            </w:rPr>
          </w:pPr>
          <w:hyperlink w:anchor="_Toc180571319" w:history="1">
            <w:r w:rsidR="00E470B8" w:rsidRPr="00FE1A6E">
              <w:rPr>
                <w:rStyle w:val="Hyperlink"/>
                <w:noProof/>
                <w:lang w:val="fr-FR"/>
              </w:rPr>
              <w:t>Appendices</w:t>
            </w:r>
            <w:r w:rsidR="00E470B8">
              <w:rPr>
                <w:noProof/>
                <w:webHidden/>
              </w:rPr>
              <w:tab/>
            </w:r>
            <w:r w:rsidR="00E470B8">
              <w:rPr>
                <w:noProof/>
                <w:webHidden/>
              </w:rPr>
              <w:fldChar w:fldCharType="begin"/>
            </w:r>
            <w:r w:rsidR="00E470B8">
              <w:rPr>
                <w:noProof/>
                <w:webHidden/>
              </w:rPr>
              <w:instrText xml:space="preserve"> PAGEREF _Toc180571319 \h </w:instrText>
            </w:r>
            <w:r w:rsidR="00E470B8">
              <w:rPr>
                <w:noProof/>
                <w:webHidden/>
              </w:rPr>
            </w:r>
            <w:r w:rsidR="00E470B8">
              <w:rPr>
                <w:noProof/>
                <w:webHidden/>
              </w:rPr>
              <w:fldChar w:fldCharType="separate"/>
            </w:r>
            <w:r w:rsidR="007F1966">
              <w:rPr>
                <w:noProof/>
                <w:webHidden/>
              </w:rPr>
              <w:t>107</w:t>
            </w:r>
            <w:r w:rsidR="00E470B8">
              <w:rPr>
                <w:noProof/>
                <w:webHidden/>
              </w:rPr>
              <w:fldChar w:fldCharType="end"/>
            </w:r>
          </w:hyperlink>
        </w:p>
        <w:p w14:paraId="0BC12290" w14:textId="5EDF7AF5" w:rsidR="00E470B8" w:rsidRDefault="00000000">
          <w:pPr>
            <w:pStyle w:val="TOC2"/>
            <w:rPr>
              <w:rFonts w:eastAsiaTheme="minorEastAsia"/>
              <w:color w:val="auto"/>
              <w:kern w:val="2"/>
              <w:szCs w:val="24"/>
              <w:lang w:eastAsia="en-NZ"/>
              <w14:ligatures w14:val="standardContextual"/>
            </w:rPr>
          </w:pPr>
          <w:hyperlink w:anchor="_Toc180571320" w:history="1">
            <w:r w:rsidR="00E470B8" w:rsidRPr="00FE1A6E">
              <w:rPr>
                <w:rStyle w:val="Hyperlink"/>
                <w:lang w:val="fr-FR"/>
              </w:rPr>
              <w:t>Appendix A : Māori cultural model</w:t>
            </w:r>
            <w:r w:rsidR="00E470B8">
              <w:rPr>
                <w:webHidden/>
              </w:rPr>
              <w:tab/>
            </w:r>
            <w:r w:rsidR="00E470B8">
              <w:rPr>
                <w:webHidden/>
              </w:rPr>
              <w:fldChar w:fldCharType="begin"/>
            </w:r>
            <w:r w:rsidR="00E470B8">
              <w:rPr>
                <w:webHidden/>
              </w:rPr>
              <w:instrText xml:space="preserve"> PAGEREF _Toc180571320 \h </w:instrText>
            </w:r>
            <w:r w:rsidR="00E470B8">
              <w:rPr>
                <w:webHidden/>
              </w:rPr>
            </w:r>
            <w:r w:rsidR="00E470B8">
              <w:rPr>
                <w:webHidden/>
              </w:rPr>
              <w:fldChar w:fldCharType="separate"/>
            </w:r>
            <w:r w:rsidR="007F1966">
              <w:rPr>
                <w:webHidden/>
              </w:rPr>
              <w:t>107</w:t>
            </w:r>
            <w:r w:rsidR="00E470B8">
              <w:rPr>
                <w:webHidden/>
              </w:rPr>
              <w:fldChar w:fldCharType="end"/>
            </w:r>
          </w:hyperlink>
        </w:p>
        <w:p w14:paraId="0B579F18" w14:textId="5947FC6E" w:rsidR="00E470B8" w:rsidRDefault="00000000">
          <w:pPr>
            <w:pStyle w:val="TOC2"/>
            <w:rPr>
              <w:rFonts w:eastAsiaTheme="minorEastAsia"/>
              <w:color w:val="auto"/>
              <w:kern w:val="2"/>
              <w:szCs w:val="24"/>
              <w:lang w:eastAsia="en-NZ"/>
              <w14:ligatures w14:val="standardContextual"/>
            </w:rPr>
          </w:pPr>
          <w:hyperlink w:anchor="_Toc180571321" w:history="1">
            <w:r w:rsidR="00E470B8" w:rsidRPr="00FE1A6E">
              <w:rPr>
                <w:rStyle w:val="Hyperlink"/>
              </w:rPr>
              <w:t>Appendix B: Pasifika cultural models</w:t>
            </w:r>
            <w:r w:rsidR="00E470B8">
              <w:rPr>
                <w:webHidden/>
              </w:rPr>
              <w:tab/>
            </w:r>
            <w:r w:rsidR="00E470B8">
              <w:rPr>
                <w:webHidden/>
              </w:rPr>
              <w:fldChar w:fldCharType="begin"/>
            </w:r>
            <w:r w:rsidR="00E470B8">
              <w:rPr>
                <w:webHidden/>
              </w:rPr>
              <w:instrText xml:space="preserve"> PAGEREF _Toc180571321 \h </w:instrText>
            </w:r>
            <w:r w:rsidR="00E470B8">
              <w:rPr>
                <w:webHidden/>
              </w:rPr>
            </w:r>
            <w:r w:rsidR="00E470B8">
              <w:rPr>
                <w:webHidden/>
              </w:rPr>
              <w:fldChar w:fldCharType="separate"/>
            </w:r>
            <w:r w:rsidR="007F1966">
              <w:rPr>
                <w:webHidden/>
              </w:rPr>
              <w:t>111</w:t>
            </w:r>
            <w:r w:rsidR="00E470B8">
              <w:rPr>
                <w:webHidden/>
              </w:rPr>
              <w:fldChar w:fldCharType="end"/>
            </w:r>
          </w:hyperlink>
        </w:p>
        <w:p w14:paraId="3B7F18B6" w14:textId="15779F51" w:rsidR="00E470B8" w:rsidRDefault="00000000">
          <w:pPr>
            <w:pStyle w:val="TOC2"/>
            <w:rPr>
              <w:rFonts w:eastAsiaTheme="minorEastAsia"/>
              <w:color w:val="auto"/>
              <w:kern w:val="2"/>
              <w:szCs w:val="24"/>
              <w:lang w:eastAsia="en-NZ"/>
              <w14:ligatures w14:val="standardContextual"/>
            </w:rPr>
          </w:pPr>
          <w:hyperlink w:anchor="_Toc180571322" w:history="1">
            <w:r w:rsidR="00E470B8" w:rsidRPr="00FE1A6E">
              <w:rPr>
                <w:rStyle w:val="Hyperlink"/>
              </w:rPr>
              <w:t>Appendix C: Mental health screening tools</w:t>
            </w:r>
            <w:r w:rsidR="00E470B8">
              <w:rPr>
                <w:webHidden/>
              </w:rPr>
              <w:tab/>
            </w:r>
            <w:r w:rsidR="00E470B8">
              <w:rPr>
                <w:webHidden/>
              </w:rPr>
              <w:fldChar w:fldCharType="begin"/>
            </w:r>
            <w:r w:rsidR="00E470B8">
              <w:rPr>
                <w:webHidden/>
              </w:rPr>
              <w:instrText xml:space="preserve"> PAGEREF _Toc180571322 \h </w:instrText>
            </w:r>
            <w:r w:rsidR="00E470B8">
              <w:rPr>
                <w:webHidden/>
              </w:rPr>
            </w:r>
            <w:r w:rsidR="00E470B8">
              <w:rPr>
                <w:webHidden/>
              </w:rPr>
              <w:fldChar w:fldCharType="separate"/>
            </w:r>
            <w:r w:rsidR="007F1966">
              <w:rPr>
                <w:webHidden/>
              </w:rPr>
              <w:t>113</w:t>
            </w:r>
            <w:r w:rsidR="00E470B8">
              <w:rPr>
                <w:webHidden/>
              </w:rPr>
              <w:fldChar w:fldCharType="end"/>
            </w:r>
          </w:hyperlink>
        </w:p>
        <w:p w14:paraId="15E3D26A" w14:textId="6EB84B0E" w:rsidR="00E470B8" w:rsidRDefault="00000000">
          <w:pPr>
            <w:pStyle w:val="TOC2"/>
            <w:rPr>
              <w:rFonts w:eastAsiaTheme="minorEastAsia"/>
              <w:color w:val="auto"/>
              <w:kern w:val="2"/>
              <w:szCs w:val="24"/>
              <w:lang w:eastAsia="en-NZ"/>
              <w14:ligatures w14:val="standardContextual"/>
            </w:rPr>
          </w:pPr>
          <w:hyperlink w:anchor="_Toc180571323" w:history="1">
            <w:r w:rsidR="00E470B8" w:rsidRPr="00FE1A6E">
              <w:rPr>
                <w:rStyle w:val="Hyperlink"/>
              </w:rPr>
              <w:t>Appendix D: Cognitive screening pathway</w:t>
            </w:r>
            <w:r w:rsidR="00E470B8">
              <w:rPr>
                <w:webHidden/>
              </w:rPr>
              <w:tab/>
            </w:r>
            <w:r w:rsidR="00E470B8">
              <w:rPr>
                <w:webHidden/>
              </w:rPr>
              <w:fldChar w:fldCharType="begin"/>
            </w:r>
            <w:r w:rsidR="00E470B8">
              <w:rPr>
                <w:webHidden/>
              </w:rPr>
              <w:instrText xml:space="preserve"> PAGEREF _Toc180571323 \h </w:instrText>
            </w:r>
            <w:r w:rsidR="00E470B8">
              <w:rPr>
                <w:webHidden/>
              </w:rPr>
            </w:r>
            <w:r w:rsidR="00E470B8">
              <w:rPr>
                <w:webHidden/>
              </w:rPr>
              <w:fldChar w:fldCharType="separate"/>
            </w:r>
            <w:r w:rsidR="007F1966">
              <w:rPr>
                <w:webHidden/>
              </w:rPr>
              <w:t>114</w:t>
            </w:r>
            <w:r w:rsidR="00E470B8">
              <w:rPr>
                <w:webHidden/>
              </w:rPr>
              <w:fldChar w:fldCharType="end"/>
            </w:r>
          </w:hyperlink>
        </w:p>
        <w:p w14:paraId="600BED3F" w14:textId="1CAD0B0D" w:rsidR="00E470B8" w:rsidRDefault="00000000">
          <w:pPr>
            <w:pStyle w:val="TOC2"/>
            <w:rPr>
              <w:rFonts w:eastAsiaTheme="minorEastAsia"/>
              <w:color w:val="auto"/>
              <w:kern w:val="2"/>
              <w:szCs w:val="24"/>
              <w:lang w:eastAsia="en-NZ"/>
              <w14:ligatures w14:val="standardContextual"/>
            </w:rPr>
          </w:pPr>
          <w:hyperlink w:anchor="_Toc180571324" w:history="1">
            <w:r w:rsidR="00E470B8" w:rsidRPr="00FE1A6E">
              <w:rPr>
                <w:rStyle w:val="Hyperlink"/>
              </w:rPr>
              <w:t>Appendix E: Considerations when supporting diverse population groups</w:t>
            </w:r>
            <w:r w:rsidR="00E470B8">
              <w:rPr>
                <w:webHidden/>
              </w:rPr>
              <w:tab/>
            </w:r>
            <w:r w:rsidR="00E470B8">
              <w:rPr>
                <w:webHidden/>
              </w:rPr>
              <w:fldChar w:fldCharType="begin"/>
            </w:r>
            <w:r w:rsidR="00E470B8">
              <w:rPr>
                <w:webHidden/>
              </w:rPr>
              <w:instrText xml:space="preserve"> PAGEREF _Toc180571324 \h </w:instrText>
            </w:r>
            <w:r w:rsidR="00E470B8">
              <w:rPr>
                <w:webHidden/>
              </w:rPr>
            </w:r>
            <w:r w:rsidR="00E470B8">
              <w:rPr>
                <w:webHidden/>
              </w:rPr>
              <w:fldChar w:fldCharType="separate"/>
            </w:r>
            <w:r w:rsidR="007F1966">
              <w:rPr>
                <w:webHidden/>
              </w:rPr>
              <w:t>115</w:t>
            </w:r>
            <w:r w:rsidR="00E470B8">
              <w:rPr>
                <w:webHidden/>
              </w:rPr>
              <w:fldChar w:fldCharType="end"/>
            </w:r>
          </w:hyperlink>
        </w:p>
        <w:p w14:paraId="44996154" w14:textId="185A6C6E" w:rsidR="00E470B8" w:rsidRDefault="00000000">
          <w:pPr>
            <w:pStyle w:val="TOC1"/>
            <w:tabs>
              <w:tab w:val="right" w:leader="dot" w:pos="9628"/>
            </w:tabs>
            <w:rPr>
              <w:rFonts w:eastAsiaTheme="minorEastAsia"/>
              <w:b w:val="0"/>
              <w:noProof/>
              <w:kern w:val="2"/>
              <w:szCs w:val="24"/>
              <w:lang w:eastAsia="en-NZ"/>
              <w14:ligatures w14:val="standardContextual"/>
            </w:rPr>
          </w:pPr>
          <w:hyperlink w:anchor="_Toc180571325" w:history="1">
            <w:r w:rsidR="00E470B8" w:rsidRPr="00FE1A6E">
              <w:rPr>
                <w:rStyle w:val="Hyperlink"/>
                <w:noProof/>
              </w:rPr>
              <w:t>References</w:t>
            </w:r>
            <w:r w:rsidR="00E470B8">
              <w:rPr>
                <w:noProof/>
                <w:webHidden/>
              </w:rPr>
              <w:tab/>
            </w:r>
            <w:r w:rsidR="00E470B8">
              <w:rPr>
                <w:noProof/>
                <w:webHidden/>
              </w:rPr>
              <w:fldChar w:fldCharType="begin"/>
            </w:r>
            <w:r w:rsidR="00E470B8">
              <w:rPr>
                <w:noProof/>
                <w:webHidden/>
              </w:rPr>
              <w:instrText xml:space="preserve"> PAGEREF _Toc180571325 \h </w:instrText>
            </w:r>
            <w:r w:rsidR="00E470B8">
              <w:rPr>
                <w:noProof/>
                <w:webHidden/>
              </w:rPr>
            </w:r>
            <w:r w:rsidR="00E470B8">
              <w:rPr>
                <w:noProof/>
                <w:webHidden/>
              </w:rPr>
              <w:fldChar w:fldCharType="separate"/>
            </w:r>
            <w:r w:rsidR="007F1966">
              <w:rPr>
                <w:noProof/>
                <w:webHidden/>
              </w:rPr>
              <w:t>121</w:t>
            </w:r>
            <w:r w:rsidR="00E470B8">
              <w:rPr>
                <w:noProof/>
                <w:webHidden/>
              </w:rPr>
              <w:fldChar w:fldCharType="end"/>
            </w:r>
          </w:hyperlink>
        </w:p>
        <w:p w14:paraId="532CBE07" w14:textId="4B37AC61" w:rsidR="00537690" w:rsidRDefault="000E6421" w:rsidP="00537690">
          <w:pPr>
            <w:rPr>
              <w:b/>
              <w:bCs/>
              <w:noProof/>
            </w:rPr>
          </w:pPr>
          <w:r>
            <w:rPr>
              <w:b/>
              <w:bCs/>
              <w:noProof/>
            </w:rPr>
            <w:fldChar w:fldCharType="end"/>
          </w:r>
        </w:p>
        <w:p w14:paraId="19512AA7" w14:textId="77777777" w:rsidR="00537690" w:rsidRDefault="00537690" w:rsidP="00537690">
          <w:pPr>
            <w:rPr>
              <w:b/>
              <w:bCs/>
              <w:noProof/>
            </w:rPr>
          </w:pPr>
        </w:p>
        <w:p w14:paraId="4D33F4F4" w14:textId="7682F72B" w:rsidR="00537690" w:rsidRPr="00537690" w:rsidRDefault="00000000" w:rsidP="00537690"/>
      </w:sdtContent>
    </w:sdt>
    <w:bookmarkStart w:id="1" w:name="_Toc179465209" w:displacedByCustomXml="prev"/>
    <w:bookmarkStart w:id="2" w:name="_Toc179467020" w:displacedByCustomXml="prev"/>
    <w:bookmarkStart w:id="3" w:name="_Toc179467076" w:displacedByCustomXml="prev"/>
    <w:bookmarkStart w:id="4" w:name="_Toc179467153" w:displacedByCustomXml="prev"/>
    <w:bookmarkStart w:id="5" w:name="_Toc179467228" w:displacedByCustomXml="prev"/>
    <w:bookmarkStart w:id="6" w:name="_Toc179467412" w:displacedByCustomXml="prev"/>
    <w:bookmarkStart w:id="7" w:name="_Toc179467650" w:displacedByCustomXml="prev"/>
    <w:bookmarkStart w:id="8" w:name="_Toc179468024" w:displacedByCustomXml="prev"/>
    <w:bookmarkStart w:id="9" w:name="_Toc179468283" w:displacedByCustomXml="prev"/>
    <w:bookmarkStart w:id="10" w:name="_Toc179468525" w:displacedByCustomXml="prev"/>
    <w:bookmarkStart w:id="11" w:name="_Toc179483228" w:displacedByCustomXml="prev"/>
    <w:bookmarkStart w:id="12" w:name="_Toc179486296" w:displacedByCustomXml="prev"/>
    <w:bookmarkStart w:id="13" w:name="_Toc179487901" w:displacedByCustomXml="prev"/>
    <w:bookmarkStart w:id="14" w:name="_Toc179489204" w:displacedByCustomXml="prev"/>
    <w:bookmarkStart w:id="15" w:name="_Toc179531329" w:displacedByCustomXml="prev"/>
    <w:bookmarkStart w:id="16" w:name="_Toc179536002" w:displacedByCustomXml="prev"/>
    <w:bookmarkStart w:id="17" w:name="_Toc179537841" w:displacedByCustomXml="prev"/>
    <w:bookmarkStart w:id="18" w:name="_Toc179537905" w:displacedByCustomXml="prev"/>
    <w:bookmarkStart w:id="19" w:name="_Toc179538072" w:displacedByCustomXml="prev"/>
    <w:bookmarkStart w:id="20" w:name="_Toc179538885" w:displacedByCustomXml="prev"/>
    <w:bookmarkStart w:id="21" w:name="_Toc179539204" w:displacedByCustomXml="prev"/>
    <w:bookmarkStart w:id="22" w:name="_Toc179539320" w:displacedByCustomXml="prev"/>
    <w:bookmarkStart w:id="23" w:name="_Toc179539457" w:displacedByCustomXml="prev"/>
    <w:bookmarkStart w:id="24" w:name="_Toc179539553" w:displacedByCustomXml="prev"/>
    <w:bookmarkStart w:id="25" w:name="_Toc179539640" w:displacedByCustomXml="prev"/>
    <w:bookmarkStart w:id="26" w:name="_Toc179539730" w:displacedByCustomXml="prev"/>
    <w:bookmarkStart w:id="27" w:name="_Toc179540414" w:displacedByCustomXml="prev"/>
    <w:bookmarkStart w:id="28" w:name="_Toc179541759" w:displacedByCustomXml="prev"/>
    <w:bookmarkStart w:id="29" w:name="_Toc179542951" w:displacedByCustomXml="prev"/>
    <w:p w14:paraId="7889D584" w14:textId="721C92AD" w:rsidR="00DF19E5" w:rsidRPr="00D524A3" w:rsidRDefault="00F83A8E" w:rsidP="00D524A3">
      <w:pPr>
        <w:pStyle w:val="Heading1"/>
      </w:pPr>
      <w:bookmarkStart w:id="30" w:name="_Toc180571278"/>
      <w:r w:rsidRPr="00D524A3">
        <w:lastRenderedPageBreak/>
        <w:t>List of tables</w:t>
      </w:r>
      <w:bookmarkEnd w:id="29"/>
      <w:bookmarkEnd w:id="28"/>
      <w:bookmarkEnd w:id="27"/>
      <w:bookmarkEnd w:id="26"/>
      <w:bookmarkEnd w:id="25"/>
      <w:bookmarkEnd w:id="24"/>
      <w:bookmarkEnd w:id="23"/>
      <w:bookmarkEnd w:id="22"/>
      <w:bookmarkEnd w:id="21"/>
      <w:bookmarkEnd w:id="20"/>
      <w:bookmarkEnd w:id="19"/>
      <w:bookmarkEnd w:id="18"/>
      <w:bookmarkEnd w:id="17"/>
      <w:bookmarkEnd w:id="16"/>
      <w:bookmarkEnd w:id="15"/>
      <w:bookmarkEnd w:id="14"/>
      <w:bookmarkEnd w:id="13"/>
      <w:bookmarkEnd w:id="12"/>
      <w:bookmarkEnd w:id="11"/>
      <w:bookmarkEnd w:id="10"/>
      <w:bookmarkEnd w:id="9"/>
      <w:bookmarkEnd w:id="8"/>
      <w:bookmarkEnd w:id="7"/>
      <w:bookmarkEnd w:id="6"/>
      <w:bookmarkEnd w:id="5"/>
      <w:bookmarkEnd w:id="4"/>
      <w:bookmarkEnd w:id="3"/>
      <w:bookmarkEnd w:id="2"/>
      <w:bookmarkEnd w:id="1"/>
      <w:bookmarkEnd w:id="30"/>
      <w:r w:rsidR="006D6C46" w:rsidRPr="00D524A3">
        <w:t xml:space="preserve"> </w:t>
      </w:r>
      <w:bookmarkEnd w:id="0"/>
    </w:p>
    <w:p w14:paraId="1C21352E" w14:textId="7A27FA32" w:rsidR="00D07F17" w:rsidRPr="00903743" w:rsidRDefault="00D07F17">
      <w:pPr>
        <w:pStyle w:val="TableofFigures"/>
        <w:tabs>
          <w:tab w:val="right" w:leader="dot" w:pos="9628"/>
        </w:tabs>
        <w:rPr>
          <w:rFonts w:asciiTheme="minorHAnsi" w:eastAsiaTheme="minorEastAsia" w:hAnsiTheme="minorHAnsi"/>
          <w:noProof/>
          <w:kern w:val="2"/>
          <w:sz w:val="24"/>
          <w:szCs w:val="24"/>
          <w:lang w:eastAsia="en-NZ"/>
          <w14:ligatures w14:val="standardContextual"/>
        </w:rPr>
      </w:pPr>
      <w:r w:rsidRPr="00903743">
        <w:rPr>
          <w:sz w:val="24"/>
          <w:szCs w:val="24"/>
        </w:rPr>
        <w:fldChar w:fldCharType="begin"/>
      </w:r>
      <w:r w:rsidRPr="00903743">
        <w:rPr>
          <w:sz w:val="24"/>
          <w:szCs w:val="24"/>
        </w:rPr>
        <w:instrText xml:space="preserve"> TOC \h \z \c "Table" </w:instrText>
      </w:r>
      <w:r w:rsidRPr="00903743">
        <w:rPr>
          <w:sz w:val="24"/>
          <w:szCs w:val="24"/>
        </w:rPr>
        <w:fldChar w:fldCharType="separate"/>
      </w:r>
      <w:hyperlink w:anchor="_Toc179544003" w:history="1">
        <w:r w:rsidRPr="00903743">
          <w:rPr>
            <w:rStyle w:val="Hyperlink"/>
            <w:rFonts w:cstheme="minorHAnsi"/>
            <w:noProof/>
            <w:sz w:val="24"/>
            <w:szCs w:val="24"/>
          </w:rPr>
          <w:t>Table 1. Six of the formally recognised cognitive domains in the DSM-5, their function, and what people might notice if they are impacted</w:t>
        </w:r>
        <w:r w:rsidRPr="00903743">
          <w:rPr>
            <w:rStyle w:val="Hyperlink"/>
            <w:rFonts w:cstheme="minorHAnsi"/>
            <w:noProof/>
            <w:sz w:val="24"/>
            <w:szCs w:val="24"/>
            <w:vertAlign w:val="superscript"/>
          </w:rPr>
          <w:t>3,43</w:t>
        </w:r>
        <w:r w:rsidRPr="00903743">
          <w:rPr>
            <w:noProof/>
            <w:webHidden/>
            <w:sz w:val="24"/>
            <w:szCs w:val="24"/>
          </w:rPr>
          <w:tab/>
        </w:r>
        <w:r w:rsidRPr="00903743">
          <w:rPr>
            <w:noProof/>
            <w:webHidden/>
            <w:sz w:val="24"/>
            <w:szCs w:val="24"/>
          </w:rPr>
          <w:fldChar w:fldCharType="begin"/>
        </w:r>
        <w:r w:rsidRPr="00903743">
          <w:rPr>
            <w:noProof/>
            <w:webHidden/>
            <w:sz w:val="24"/>
            <w:szCs w:val="24"/>
          </w:rPr>
          <w:instrText xml:space="preserve"> PAGEREF _Toc179544003 \h </w:instrText>
        </w:r>
        <w:r w:rsidRPr="00903743">
          <w:rPr>
            <w:noProof/>
            <w:webHidden/>
            <w:sz w:val="24"/>
            <w:szCs w:val="24"/>
          </w:rPr>
        </w:r>
        <w:r w:rsidRPr="00903743">
          <w:rPr>
            <w:noProof/>
            <w:webHidden/>
            <w:sz w:val="24"/>
            <w:szCs w:val="24"/>
          </w:rPr>
          <w:fldChar w:fldCharType="separate"/>
        </w:r>
        <w:r w:rsidR="007F1966">
          <w:rPr>
            <w:noProof/>
            <w:webHidden/>
            <w:sz w:val="24"/>
            <w:szCs w:val="24"/>
          </w:rPr>
          <w:t>21</w:t>
        </w:r>
        <w:r w:rsidRPr="00903743">
          <w:rPr>
            <w:noProof/>
            <w:webHidden/>
            <w:sz w:val="24"/>
            <w:szCs w:val="24"/>
          </w:rPr>
          <w:fldChar w:fldCharType="end"/>
        </w:r>
      </w:hyperlink>
    </w:p>
    <w:p w14:paraId="4101F476" w14:textId="6E5B81B9" w:rsidR="00D07F17" w:rsidRPr="00903743" w:rsidRDefault="00000000">
      <w:pPr>
        <w:pStyle w:val="TableofFigures"/>
        <w:tabs>
          <w:tab w:val="right" w:leader="dot" w:pos="9628"/>
        </w:tabs>
        <w:rPr>
          <w:rFonts w:asciiTheme="minorHAnsi" w:eastAsiaTheme="minorEastAsia" w:hAnsiTheme="minorHAnsi"/>
          <w:noProof/>
          <w:kern w:val="2"/>
          <w:sz w:val="24"/>
          <w:szCs w:val="24"/>
          <w:lang w:eastAsia="en-NZ"/>
          <w14:ligatures w14:val="standardContextual"/>
        </w:rPr>
      </w:pPr>
      <w:hyperlink w:anchor="_Toc179544004" w:history="1">
        <w:r w:rsidR="00D07F17" w:rsidRPr="00903743">
          <w:rPr>
            <w:rStyle w:val="Hyperlink"/>
            <w:rFonts w:cstheme="minorHAnsi"/>
            <w:noProof/>
            <w:sz w:val="24"/>
            <w:szCs w:val="24"/>
          </w:rPr>
          <w:t>Table 2. Short- and long-term causes of cognitive impairment</w:t>
        </w:r>
        <w:r w:rsidR="00D07F17" w:rsidRPr="00903743">
          <w:rPr>
            <w:rStyle w:val="Hyperlink"/>
            <w:rFonts w:cstheme="minorHAnsi"/>
            <w:noProof/>
            <w:sz w:val="24"/>
            <w:szCs w:val="24"/>
            <w:vertAlign w:val="superscript"/>
          </w:rPr>
          <w:t>3</w:t>
        </w:r>
        <w:r w:rsidR="00D07F17" w:rsidRPr="00903743">
          <w:rPr>
            <w:noProof/>
            <w:webHidden/>
            <w:sz w:val="24"/>
            <w:szCs w:val="24"/>
          </w:rPr>
          <w:tab/>
        </w:r>
        <w:r w:rsidR="00D07F17" w:rsidRPr="00903743">
          <w:rPr>
            <w:noProof/>
            <w:webHidden/>
            <w:sz w:val="24"/>
            <w:szCs w:val="24"/>
          </w:rPr>
          <w:fldChar w:fldCharType="begin"/>
        </w:r>
        <w:r w:rsidR="00D07F17" w:rsidRPr="00903743">
          <w:rPr>
            <w:noProof/>
            <w:webHidden/>
            <w:sz w:val="24"/>
            <w:szCs w:val="24"/>
          </w:rPr>
          <w:instrText xml:space="preserve"> PAGEREF _Toc179544004 \h </w:instrText>
        </w:r>
        <w:r w:rsidR="00D07F17" w:rsidRPr="00903743">
          <w:rPr>
            <w:noProof/>
            <w:webHidden/>
            <w:sz w:val="24"/>
            <w:szCs w:val="24"/>
          </w:rPr>
        </w:r>
        <w:r w:rsidR="00D07F17" w:rsidRPr="00903743">
          <w:rPr>
            <w:noProof/>
            <w:webHidden/>
            <w:sz w:val="24"/>
            <w:szCs w:val="24"/>
          </w:rPr>
          <w:fldChar w:fldCharType="separate"/>
        </w:r>
        <w:r w:rsidR="007F1966">
          <w:rPr>
            <w:noProof/>
            <w:webHidden/>
            <w:sz w:val="24"/>
            <w:szCs w:val="24"/>
          </w:rPr>
          <w:t>26</w:t>
        </w:r>
        <w:r w:rsidR="00D07F17" w:rsidRPr="00903743">
          <w:rPr>
            <w:noProof/>
            <w:webHidden/>
            <w:sz w:val="24"/>
            <w:szCs w:val="24"/>
          </w:rPr>
          <w:fldChar w:fldCharType="end"/>
        </w:r>
      </w:hyperlink>
    </w:p>
    <w:p w14:paraId="030C290A" w14:textId="739ED810" w:rsidR="00D07F17" w:rsidRPr="00903743" w:rsidRDefault="00000000">
      <w:pPr>
        <w:pStyle w:val="TableofFigures"/>
        <w:tabs>
          <w:tab w:val="right" w:leader="dot" w:pos="9628"/>
        </w:tabs>
        <w:rPr>
          <w:rFonts w:asciiTheme="minorHAnsi" w:eastAsiaTheme="minorEastAsia" w:hAnsiTheme="minorHAnsi"/>
          <w:noProof/>
          <w:kern w:val="2"/>
          <w:sz w:val="24"/>
          <w:szCs w:val="24"/>
          <w:lang w:eastAsia="en-NZ"/>
          <w14:ligatures w14:val="standardContextual"/>
        </w:rPr>
      </w:pPr>
      <w:hyperlink w:anchor="_Toc179544005" w:history="1">
        <w:r w:rsidR="00D07F17" w:rsidRPr="00903743">
          <w:rPr>
            <w:rStyle w:val="Hyperlink"/>
            <w:noProof/>
            <w:sz w:val="24"/>
            <w:szCs w:val="24"/>
          </w:rPr>
          <w:t>Table 3. Cognitive impact and recovery of different substances</w:t>
        </w:r>
        <w:r w:rsidR="00D07F17" w:rsidRPr="00903743">
          <w:rPr>
            <w:noProof/>
            <w:webHidden/>
            <w:sz w:val="24"/>
            <w:szCs w:val="24"/>
          </w:rPr>
          <w:tab/>
        </w:r>
        <w:r w:rsidR="00D07F17" w:rsidRPr="00903743">
          <w:rPr>
            <w:noProof/>
            <w:webHidden/>
            <w:sz w:val="24"/>
            <w:szCs w:val="24"/>
          </w:rPr>
          <w:fldChar w:fldCharType="begin"/>
        </w:r>
        <w:r w:rsidR="00D07F17" w:rsidRPr="00903743">
          <w:rPr>
            <w:noProof/>
            <w:webHidden/>
            <w:sz w:val="24"/>
            <w:szCs w:val="24"/>
          </w:rPr>
          <w:instrText xml:space="preserve"> PAGEREF _Toc179544005 \h </w:instrText>
        </w:r>
        <w:r w:rsidR="00D07F17" w:rsidRPr="00903743">
          <w:rPr>
            <w:noProof/>
            <w:webHidden/>
            <w:sz w:val="24"/>
            <w:szCs w:val="24"/>
          </w:rPr>
        </w:r>
        <w:r w:rsidR="00D07F17" w:rsidRPr="00903743">
          <w:rPr>
            <w:noProof/>
            <w:webHidden/>
            <w:sz w:val="24"/>
            <w:szCs w:val="24"/>
          </w:rPr>
          <w:fldChar w:fldCharType="separate"/>
        </w:r>
        <w:r w:rsidR="007F1966">
          <w:rPr>
            <w:noProof/>
            <w:webHidden/>
            <w:sz w:val="24"/>
            <w:szCs w:val="24"/>
          </w:rPr>
          <w:t>29</w:t>
        </w:r>
        <w:r w:rsidR="00D07F17" w:rsidRPr="00903743">
          <w:rPr>
            <w:noProof/>
            <w:webHidden/>
            <w:sz w:val="24"/>
            <w:szCs w:val="24"/>
          </w:rPr>
          <w:fldChar w:fldCharType="end"/>
        </w:r>
      </w:hyperlink>
    </w:p>
    <w:p w14:paraId="048F13C4" w14:textId="6DDF3270" w:rsidR="00D07F17" w:rsidRPr="00903743" w:rsidRDefault="00000000">
      <w:pPr>
        <w:pStyle w:val="TableofFigures"/>
        <w:tabs>
          <w:tab w:val="right" w:leader="dot" w:pos="9628"/>
        </w:tabs>
        <w:rPr>
          <w:rFonts w:asciiTheme="minorHAnsi" w:eastAsiaTheme="minorEastAsia" w:hAnsiTheme="minorHAnsi"/>
          <w:noProof/>
          <w:kern w:val="2"/>
          <w:sz w:val="24"/>
          <w:szCs w:val="24"/>
          <w:lang w:eastAsia="en-NZ"/>
          <w14:ligatures w14:val="standardContextual"/>
        </w:rPr>
      </w:pPr>
      <w:hyperlink w:anchor="_Toc179544006" w:history="1">
        <w:r w:rsidR="00D07F17" w:rsidRPr="00903743">
          <w:rPr>
            <w:rStyle w:val="Hyperlink"/>
            <w:noProof/>
            <w:sz w:val="24"/>
            <w:szCs w:val="24"/>
          </w:rPr>
          <w:t>Table 4. Ideal cognitive screening and support pathway</w:t>
        </w:r>
        <w:r w:rsidR="00D07F17" w:rsidRPr="00903743">
          <w:rPr>
            <w:noProof/>
            <w:webHidden/>
            <w:sz w:val="24"/>
            <w:szCs w:val="24"/>
          </w:rPr>
          <w:tab/>
        </w:r>
        <w:r w:rsidR="00D07F17" w:rsidRPr="00903743">
          <w:rPr>
            <w:noProof/>
            <w:webHidden/>
            <w:sz w:val="24"/>
            <w:szCs w:val="24"/>
          </w:rPr>
          <w:fldChar w:fldCharType="begin"/>
        </w:r>
        <w:r w:rsidR="00D07F17" w:rsidRPr="00903743">
          <w:rPr>
            <w:noProof/>
            <w:webHidden/>
            <w:sz w:val="24"/>
            <w:szCs w:val="24"/>
          </w:rPr>
          <w:instrText xml:space="preserve"> PAGEREF _Toc179544006 \h </w:instrText>
        </w:r>
        <w:r w:rsidR="00D07F17" w:rsidRPr="00903743">
          <w:rPr>
            <w:noProof/>
            <w:webHidden/>
            <w:sz w:val="24"/>
            <w:szCs w:val="24"/>
          </w:rPr>
        </w:r>
        <w:r w:rsidR="00D07F17" w:rsidRPr="00903743">
          <w:rPr>
            <w:noProof/>
            <w:webHidden/>
            <w:sz w:val="24"/>
            <w:szCs w:val="24"/>
          </w:rPr>
          <w:fldChar w:fldCharType="separate"/>
        </w:r>
        <w:r w:rsidR="007F1966">
          <w:rPr>
            <w:noProof/>
            <w:webHidden/>
            <w:sz w:val="24"/>
            <w:szCs w:val="24"/>
          </w:rPr>
          <w:t>33</w:t>
        </w:r>
        <w:r w:rsidR="00D07F17" w:rsidRPr="00903743">
          <w:rPr>
            <w:noProof/>
            <w:webHidden/>
            <w:sz w:val="24"/>
            <w:szCs w:val="24"/>
          </w:rPr>
          <w:fldChar w:fldCharType="end"/>
        </w:r>
      </w:hyperlink>
    </w:p>
    <w:p w14:paraId="7FF60358" w14:textId="36EDB3C9" w:rsidR="00D07F17" w:rsidRPr="00903743" w:rsidRDefault="00000000">
      <w:pPr>
        <w:pStyle w:val="TableofFigures"/>
        <w:tabs>
          <w:tab w:val="right" w:leader="dot" w:pos="9628"/>
        </w:tabs>
        <w:rPr>
          <w:rFonts w:asciiTheme="minorHAnsi" w:eastAsiaTheme="minorEastAsia" w:hAnsiTheme="minorHAnsi"/>
          <w:noProof/>
          <w:kern w:val="2"/>
          <w:sz w:val="24"/>
          <w:szCs w:val="24"/>
          <w:lang w:eastAsia="en-NZ"/>
          <w14:ligatures w14:val="standardContextual"/>
        </w:rPr>
      </w:pPr>
      <w:hyperlink w:anchor="_Toc179544007" w:history="1">
        <w:r w:rsidR="00D07F17" w:rsidRPr="00903743">
          <w:rPr>
            <w:rStyle w:val="Hyperlink"/>
            <w:rFonts w:cstheme="minorHAnsi"/>
            <w:noProof/>
            <w:sz w:val="24"/>
            <w:szCs w:val="24"/>
          </w:rPr>
          <w:t>Table 5. Relevant questions to ask as part of a comprehensive assessment</w:t>
        </w:r>
        <w:r w:rsidR="00D07F17" w:rsidRPr="00903743">
          <w:rPr>
            <w:noProof/>
            <w:webHidden/>
            <w:sz w:val="24"/>
            <w:szCs w:val="24"/>
          </w:rPr>
          <w:tab/>
        </w:r>
        <w:r w:rsidR="00D07F17" w:rsidRPr="00903743">
          <w:rPr>
            <w:noProof/>
            <w:webHidden/>
            <w:sz w:val="24"/>
            <w:szCs w:val="24"/>
          </w:rPr>
          <w:fldChar w:fldCharType="begin"/>
        </w:r>
        <w:r w:rsidR="00D07F17" w:rsidRPr="00903743">
          <w:rPr>
            <w:noProof/>
            <w:webHidden/>
            <w:sz w:val="24"/>
            <w:szCs w:val="24"/>
          </w:rPr>
          <w:instrText xml:space="preserve"> PAGEREF _Toc179544007 \h </w:instrText>
        </w:r>
        <w:r w:rsidR="00D07F17" w:rsidRPr="00903743">
          <w:rPr>
            <w:noProof/>
            <w:webHidden/>
            <w:sz w:val="24"/>
            <w:szCs w:val="24"/>
          </w:rPr>
        </w:r>
        <w:r w:rsidR="00D07F17" w:rsidRPr="00903743">
          <w:rPr>
            <w:noProof/>
            <w:webHidden/>
            <w:sz w:val="24"/>
            <w:szCs w:val="24"/>
          </w:rPr>
          <w:fldChar w:fldCharType="separate"/>
        </w:r>
        <w:r w:rsidR="007F1966">
          <w:rPr>
            <w:noProof/>
            <w:webHidden/>
            <w:sz w:val="24"/>
            <w:szCs w:val="24"/>
          </w:rPr>
          <w:t>42</w:t>
        </w:r>
        <w:r w:rsidR="00D07F17" w:rsidRPr="00903743">
          <w:rPr>
            <w:noProof/>
            <w:webHidden/>
            <w:sz w:val="24"/>
            <w:szCs w:val="24"/>
          </w:rPr>
          <w:fldChar w:fldCharType="end"/>
        </w:r>
      </w:hyperlink>
    </w:p>
    <w:p w14:paraId="1BEB4032" w14:textId="04799713" w:rsidR="00D07F17" w:rsidRPr="00903743" w:rsidRDefault="00000000">
      <w:pPr>
        <w:pStyle w:val="TableofFigures"/>
        <w:tabs>
          <w:tab w:val="right" w:leader="dot" w:pos="9628"/>
        </w:tabs>
        <w:rPr>
          <w:rFonts w:asciiTheme="minorHAnsi" w:eastAsiaTheme="minorEastAsia" w:hAnsiTheme="minorHAnsi"/>
          <w:noProof/>
          <w:kern w:val="2"/>
          <w:sz w:val="24"/>
          <w:szCs w:val="24"/>
          <w:lang w:eastAsia="en-NZ"/>
          <w14:ligatures w14:val="standardContextual"/>
        </w:rPr>
      </w:pPr>
      <w:hyperlink w:anchor="_Toc179544008" w:history="1">
        <w:r w:rsidR="00D07F17" w:rsidRPr="00903743">
          <w:rPr>
            <w:rStyle w:val="Hyperlink"/>
            <w:rFonts w:cstheme="minorHAnsi"/>
            <w:noProof/>
            <w:sz w:val="24"/>
            <w:szCs w:val="24"/>
          </w:rPr>
          <w:t>Table 6. Screening tool options</w:t>
        </w:r>
        <w:r w:rsidR="00D07F17" w:rsidRPr="00903743">
          <w:rPr>
            <w:noProof/>
            <w:webHidden/>
            <w:sz w:val="24"/>
            <w:szCs w:val="24"/>
          </w:rPr>
          <w:tab/>
        </w:r>
        <w:r w:rsidR="00D07F17" w:rsidRPr="00903743">
          <w:rPr>
            <w:noProof/>
            <w:webHidden/>
            <w:sz w:val="24"/>
            <w:szCs w:val="24"/>
          </w:rPr>
          <w:fldChar w:fldCharType="begin"/>
        </w:r>
        <w:r w:rsidR="00D07F17" w:rsidRPr="00903743">
          <w:rPr>
            <w:noProof/>
            <w:webHidden/>
            <w:sz w:val="24"/>
            <w:szCs w:val="24"/>
          </w:rPr>
          <w:instrText xml:space="preserve"> PAGEREF _Toc179544008 \h </w:instrText>
        </w:r>
        <w:r w:rsidR="00D07F17" w:rsidRPr="00903743">
          <w:rPr>
            <w:noProof/>
            <w:webHidden/>
            <w:sz w:val="24"/>
            <w:szCs w:val="24"/>
          </w:rPr>
        </w:r>
        <w:r w:rsidR="00D07F17" w:rsidRPr="00903743">
          <w:rPr>
            <w:noProof/>
            <w:webHidden/>
            <w:sz w:val="24"/>
            <w:szCs w:val="24"/>
          </w:rPr>
          <w:fldChar w:fldCharType="separate"/>
        </w:r>
        <w:r w:rsidR="007F1966">
          <w:rPr>
            <w:noProof/>
            <w:webHidden/>
            <w:sz w:val="24"/>
            <w:szCs w:val="24"/>
          </w:rPr>
          <w:t>52</w:t>
        </w:r>
        <w:r w:rsidR="00D07F17" w:rsidRPr="00903743">
          <w:rPr>
            <w:noProof/>
            <w:webHidden/>
            <w:sz w:val="24"/>
            <w:szCs w:val="24"/>
          </w:rPr>
          <w:fldChar w:fldCharType="end"/>
        </w:r>
      </w:hyperlink>
    </w:p>
    <w:p w14:paraId="2B0A84D3" w14:textId="2DB2BA79" w:rsidR="00D07F17" w:rsidRPr="00903743" w:rsidRDefault="00000000">
      <w:pPr>
        <w:pStyle w:val="TableofFigures"/>
        <w:tabs>
          <w:tab w:val="right" w:leader="dot" w:pos="9628"/>
        </w:tabs>
        <w:rPr>
          <w:rFonts w:asciiTheme="minorHAnsi" w:eastAsiaTheme="minorEastAsia" w:hAnsiTheme="minorHAnsi"/>
          <w:noProof/>
          <w:kern w:val="2"/>
          <w:sz w:val="24"/>
          <w:szCs w:val="24"/>
          <w:lang w:eastAsia="en-NZ"/>
          <w14:ligatures w14:val="standardContextual"/>
        </w:rPr>
      </w:pPr>
      <w:hyperlink w:anchor="_Toc179544009" w:history="1">
        <w:r w:rsidR="00D07F17" w:rsidRPr="00903743">
          <w:rPr>
            <w:rStyle w:val="Hyperlink"/>
            <w:rFonts w:cstheme="minorHAnsi"/>
            <w:noProof/>
            <w:sz w:val="24"/>
            <w:szCs w:val="24"/>
          </w:rPr>
          <w:t>Table 7. Internal strategies and examples</w:t>
        </w:r>
        <w:r w:rsidR="00D07F17" w:rsidRPr="00903743">
          <w:rPr>
            <w:rStyle w:val="Hyperlink"/>
            <w:rFonts w:cstheme="minorHAnsi"/>
            <w:noProof/>
            <w:sz w:val="24"/>
            <w:szCs w:val="24"/>
            <w:vertAlign w:val="superscript"/>
          </w:rPr>
          <w:t>3,151</w:t>
        </w:r>
        <w:r w:rsidR="00D07F17" w:rsidRPr="00903743">
          <w:rPr>
            <w:noProof/>
            <w:webHidden/>
            <w:sz w:val="24"/>
            <w:szCs w:val="24"/>
          </w:rPr>
          <w:tab/>
        </w:r>
        <w:r w:rsidR="00D07F17" w:rsidRPr="00903743">
          <w:rPr>
            <w:noProof/>
            <w:webHidden/>
            <w:sz w:val="24"/>
            <w:szCs w:val="24"/>
          </w:rPr>
          <w:fldChar w:fldCharType="begin"/>
        </w:r>
        <w:r w:rsidR="00D07F17" w:rsidRPr="00903743">
          <w:rPr>
            <w:noProof/>
            <w:webHidden/>
            <w:sz w:val="24"/>
            <w:szCs w:val="24"/>
          </w:rPr>
          <w:instrText xml:space="preserve"> PAGEREF _Toc179544009 \h </w:instrText>
        </w:r>
        <w:r w:rsidR="00D07F17" w:rsidRPr="00903743">
          <w:rPr>
            <w:noProof/>
            <w:webHidden/>
            <w:sz w:val="24"/>
            <w:szCs w:val="24"/>
          </w:rPr>
        </w:r>
        <w:r w:rsidR="00D07F17" w:rsidRPr="00903743">
          <w:rPr>
            <w:noProof/>
            <w:webHidden/>
            <w:sz w:val="24"/>
            <w:szCs w:val="24"/>
          </w:rPr>
          <w:fldChar w:fldCharType="separate"/>
        </w:r>
        <w:r w:rsidR="007F1966">
          <w:rPr>
            <w:noProof/>
            <w:webHidden/>
            <w:sz w:val="24"/>
            <w:szCs w:val="24"/>
          </w:rPr>
          <w:t>62</w:t>
        </w:r>
        <w:r w:rsidR="00D07F17" w:rsidRPr="00903743">
          <w:rPr>
            <w:noProof/>
            <w:webHidden/>
            <w:sz w:val="24"/>
            <w:szCs w:val="24"/>
          </w:rPr>
          <w:fldChar w:fldCharType="end"/>
        </w:r>
      </w:hyperlink>
    </w:p>
    <w:p w14:paraId="4D965124" w14:textId="29B93842" w:rsidR="00D07F17" w:rsidRPr="00903743" w:rsidRDefault="00000000">
      <w:pPr>
        <w:pStyle w:val="TableofFigures"/>
        <w:tabs>
          <w:tab w:val="right" w:leader="dot" w:pos="9628"/>
        </w:tabs>
        <w:rPr>
          <w:rFonts w:asciiTheme="minorHAnsi" w:eastAsiaTheme="minorEastAsia" w:hAnsiTheme="minorHAnsi"/>
          <w:noProof/>
          <w:kern w:val="2"/>
          <w:sz w:val="24"/>
          <w:szCs w:val="24"/>
          <w:lang w:eastAsia="en-NZ"/>
          <w14:ligatures w14:val="standardContextual"/>
        </w:rPr>
      </w:pPr>
      <w:hyperlink w:anchor="_Toc179544010" w:history="1">
        <w:r w:rsidR="00D07F17" w:rsidRPr="00903743">
          <w:rPr>
            <w:rStyle w:val="Hyperlink"/>
            <w:noProof/>
            <w:sz w:val="24"/>
            <w:szCs w:val="24"/>
          </w:rPr>
          <w:t>Table 8. External strategies and examples</w:t>
        </w:r>
        <w:r w:rsidR="00D07F17" w:rsidRPr="00903743">
          <w:rPr>
            <w:rStyle w:val="Hyperlink"/>
            <w:rFonts w:cs="Arial"/>
            <w:noProof/>
            <w:sz w:val="24"/>
            <w:szCs w:val="24"/>
            <w:vertAlign w:val="superscript"/>
          </w:rPr>
          <w:t>3</w:t>
        </w:r>
        <w:r w:rsidR="00D07F17" w:rsidRPr="00903743">
          <w:rPr>
            <w:noProof/>
            <w:webHidden/>
            <w:sz w:val="24"/>
            <w:szCs w:val="24"/>
          </w:rPr>
          <w:tab/>
        </w:r>
        <w:r w:rsidR="00D07F17" w:rsidRPr="00903743">
          <w:rPr>
            <w:noProof/>
            <w:webHidden/>
            <w:sz w:val="24"/>
            <w:szCs w:val="24"/>
          </w:rPr>
          <w:fldChar w:fldCharType="begin"/>
        </w:r>
        <w:r w:rsidR="00D07F17" w:rsidRPr="00903743">
          <w:rPr>
            <w:noProof/>
            <w:webHidden/>
            <w:sz w:val="24"/>
            <w:szCs w:val="24"/>
          </w:rPr>
          <w:instrText xml:space="preserve"> PAGEREF _Toc179544010 \h </w:instrText>
        </w:r>
        <w:r w:rsidR="00D07F17" w:rsidRPr="00903743">
          <w:rPr>
            <w:noProof/>
            <w:webHidden/>
            <w:sz w:val="24"/>
            <w:szCs w:val="24"/>
          </w:rPr>
        </w:r>
        <w:r w:rsidR="00D07F17" w:rsidRPr="00903743">
          <w:rPr>
            <w:noProof/>
            <w:webHidden/>
            <w:sz w:val="24"/>
            <w:szCs w:val="24"/>
          </w:rPr>
          <w:fldChar w:fldCharType="separate"/>
        </w:r>
        <w:r w:rsidR="007F1966">
          <w:rPr>
            <w:noProof/>
            <w:webHidden/>
            <w:sz w:val="24"/>
            <w:szCs w:val="24"/>
          </w:rPr>
          <w:t>65</w:t>
        </w:r>
        <w:r w:rsidR="00D07F17" w:rsidRPr="00903743">
          <w:rPr>
            <w:noProof/>
            <w:webHidden/>
            <w:sz w:val="24"/>
            <w:szCs w:val="24"/>
          </w:rPr>
          <w:fldChar w:fldCharType="end"/>
        </w:r>
      </w:hyperlink>
    </w:p>
    <w:p w14:paraId="1AB3BEA7" w14:textId="16D257AF" w:rsidR="00D07F17" w:rsidRPr="00903743" w:rsidRDefault="00000000">
      <w:pPr>
        <w:pStyle w:val="TableofFigures"/>
        <w:tabs>
          <w:tab w:val="right" w:leader="dot" w:pos="9628"/>
        </w:tabs>
        <w:rPr>
          <w:rFonts w:asciiTheme="minorHAnsi" w:eastAsiaTheme="minorEastAsia" w:hAnsiTheme="minorHAnsi"/>
          <w:noProof/>
          <w:kern w:val="2"/>
          <w:sz w:val="24"/>
          <w:szCs w:val="24"/>
          <w:lang w:eastAsia="en-NZ"/>
          <w14:ligatures w14:val="standardContextual"/>
        </w:rPr>
      </w:pPr>
      <w:hyperlink w:anchor="_Toc179544011" w:history="1">
        <w:r w:rsidR="00D07F17" w:rsidRPr="00903743">
          <w:rPr>
            <w:rStyle w:val="Hyperlink"/>
            <w:rFonts w:cstheme="minorHAnsi"/>
            <w:noProof/>
            <w:sz w:val="24"/>
            <w:szCs w:val="24"/>
          </w:rPr>
          <w:t>Table 9. Adaptations based on affected aspects of cognition</w:t>
        </w:r>
        <w:r w:rsidR="00D07F17" w:rsidRPr="00903743">
          <w:rPr>
            <w:noProof/>
            <w:webHidden/>
            <w:sz w:val="24"/>
            <w:szCs w:val="24"/>
          </w:rPr>
          <w:tab/>
        </w:r>
        <w:r w:rsidR="00D07F17" w:rsidRPr="00903743">
          <w:rPr>
            <w:noProof/>
            <w:webHidden/>
            <w:sz w:val="24"/>
            <w:szCs w:val="24"/>
          </w:rPr>
          <w:fldChar w:fldCharType="begin"/>
        </w:r>
        <w:r w:rsidR="00D07F17" w:rsidRPr="00903743">
          <w:rPr>
            <w:noProof/>
            <w:webHidden/>
            <w:sz w:val="24"/>
            <w:szCs w:val="24"/>
          </w:rPr>
          <w:instrText xml:space="preserve"> PAGEREF _Toc179544011 \h </w:instrText>
        </w:r>
        <w:r w:rsidR="00D07F17" w:rsidRPr="00903743">
          <w:rPr>
            <w:noProof/>
            <w:webHidden/>
            <w:sz w:val="24"/>
            <w:szCs w:val="24"/>
          </w:rPr>
        </w:r>
        <w:r w:rsidR="00D07F17" w:rsidRPr="00903743">
          <w:rPr>
            <w:noProof/>
            <w:webHidden/>
            <w:sz w:val="24"/>
            <w:szCs w:val="24"/>
          </w:rPr>
          <w:fldChar w:fldCharType="separate"/>
        </w:r>
        <w:r w:rsidR="007F1966">
          <w:rPr>
            <w:noProof/>
            <w:webHidden/>
            <w:sz w:val="24"/>
            <w:szCs w:val="24"/>
          </w:rPr>
          <w:t>67</w:t>
        </w:r>
        <w:r w:rsidR="00D07F17" w:rsidRPr="00903743">
          <w:rPr>
            <w:noProof/>
            <w:webHidden/>
            <w:sz w:val="24"/>
            <w:szCs w:val="24"/>
          </w:rPr>
          <w:fldChar w:fldCharType="end"/>
        </w:r>
      </w:hyperlink>
    </w:p>
    <w:p w14:paraId="7CA5C7B5" w14:textId="602C3096" w:rsidR="00D07F17" w:rsidRPr="00903743" w:rsidRDefault="00000000">
      <w:pPr>
        <w:pStyle w:val="TableofFigures"/>
        <w:tabs>
          <w:tab w:val="right" w:leader="dot" w:pos="9628"/>
        </w:tabs>
        <w:rPr>
          <w:rFonts w:asciiTheme="minorHAnsi" w:eastAsiaTheme="minorEastAsia" w:hAnsiTheme="minorHAnsi"/>
          <w:noProof/>
          <w:kern w:val="2"/>
          <w:sz w:val="24"/>
          <w:szCs w:val="24"/>
          <w:lang w:eastAsia="en-NZ"/>
          <w14:ligatures w14:val="standardContextual"/>
        </w:rPr>
      </w:pPr>
      <w:hyperlink w:anchor="_Toc179544012" w:history="1">
        <w:r w:rsidR="00D07F17" w:rsidRPr="00903743">
          <w:rPr>
            <w:rStyle w:val="Hyperlink"/>
            <w:noProof/>
            <w:sz w:val="24"/>
            <w:szCs w:val="24"/>
          </w:rPr>
          <w:t>Table 10. General techniques for implementing cognitive training and remediation</w:t>
        </w:r>
        <w:r w:rsidR="00D07F17" w:rsidRPr="00903743">
          <w:rPr>
            <w:noProof/>
            <w:webHidden/>
            <w:sz w:val="24"/>
            <w:szCs w:val="24"/>
          </w:rPr>
          <w:tab/>
        </w:r>
        <w:r w:rsidR="00D07F17" w:rsidRPr="00903743">
          <w:rPr>
            <w:noProof/>
            <w:webHidden/>
            <w:sz w:val="24"/>
            <w:szCs w:val="24"/>
          </w:rPr>
          <w:fldChar w:fldCharType="begin"/>
        </w:r>
        <w:r w:rsidR="00D07F17" w:rsidRPr="00903743">
          <w:rPr>
            <w:noProof/>
            <w:webHidden/>
            <w:sz w:val="24"/>
            <w:szCs w:val="24"/>
          </w:rPr>
          <w:instrText xml:space="preserve"> PAGEREF _Toc179544012 \h </w:instrText>
        </w:r>
        <w:r w:rsidR="00D07F17" w:rsidRPr="00903743">
          <w:rPr>
            <w:noProof/>
            <w:webHidden/>
            <w:sz w:val="24"/>
            <w:szCs w:val="24"/>
          </w:rPr>
        </w:r>
        <w:r w:rsidR="00D07F17" w:rsidRPr="00903743">
          <w:rPr>
            <w:noProof/>
            <w:webHidden/>
            <w:sz w:val="24"/>
            <w:szCs w:val="24"/>
          </w:rPr>
          <w:fldChar w:fldCharType="separate"/>
        </w:r>
        <w:r w:rsidR="007F1966">
          <w:rPr>
            <w:noProof/>
            <w:webHidden/>
            <w:sz w:val="24"/>
            <w:szCs w:val="24"/>
          </w:rPr>
          <w:t>72</w:t>
        </w:r>
        <w:r w:rsidR="00D07F17" w:rsidRPr="00903743">
          <w:rPr>
            <w:noProof/>
            <w:webHidden/>
            <w:sz w:val="24"/>
            <w:szCs w:val="24"/>
          </w:rPr>
          <w:fldChar w:fldCharType="end"/>
        </w:r>
      </w:hyperlink>
    </w:p>
    <w:p w14:paraId="7EEB700C" w14:textId="2CAA6773" w:rsidR="00D07F17" w:rsidRPr="00903743" w:rsidRDefault="00000000">
      <w:pPr>
        <w:pStyle w:val="TableofFigures"/>
        <w:tabs>
          <w:tab w:val="right" w:leader="dot" w:pos="9628"/>
        </w:tabs>
        <w:rPr>
          <w:rFonts w:asciiTheme="minorHAnsi" w:eastAsiaTheme="minorEastAsia" w:hAnsiTheme="minorHAnsi"/>
          <w:noProof/>
          <w:kern w:val="2"/>
          <w:sz w:val="24"/>
          <w:szCs w:val="24"/>
          <w:lang w:eastAsia="en-NZ"/>
          <w14:ligatures w14:val="standardContextual"/>
        </w:rPr>
      </w:pPr>
      <w:hyperlink w:anchor="_Toc179544013" w:history="1">
        <w:r w:rsidR="00D07F17" w:rsidRPr="00903743">
          <w:rPr>
            <w:rStyle w:val="Hyperlink"/>
            <w:rFonts w:cstheme="minorHAnsi"/>
            <w:noProof/>
            <w:sz w:val="24"/>
            <w:szCs w:val="24"/>
          </w:rPr>
          <w:t>Table 11. Aspects and definitions included in the Meihana model</w:t>
        </w:r>
        <w:r w:rsidR="00D07F17" w:rsidRPr="00903743">
          <w:rPr>
            <w:rStyle w:val="Hyperlink"/>
            <w:rFonts w:cstheme="minorHAnsi"/>
            <w:noProof/>
            <w:sz w:val="24"/>
            <w:szCs w:val="24"/>
            <w:vertAlign w:val="superscript"/>
          </w:rPr>
          <w:t>111,115</w:t>
        </w:r>
        <w:r w:rsidR="00D07F17" w:rsidRPr="00903743">
          <w:rPr>
            <w:noProof/>
            <w:webHidden/>
            <w:sz w:val="24"/>
            <w:szCs w:val="24"/>
          </w:rPr>
          <w:tab/>
        </w:r>
        <w:r w:rsidR="00D07F17" w:rsidRPr="00903743">
          <w:rPr>
            <w:noProof/>
            <w:webHidden/>
            <w:sz w:val="24"/>
            <w:szCs w:val="24"/>
          </w:rPr>
          <w:fldChar w:fldCharType="begin"/>
        </w:r>
        <w:r w:rsidR="00D07F17" w:rsidRPr="00903743">
          <w:rPr>
            <w:noProof/>
            <w:webHidden/>
            <w:sz w:val="24"/>
            <w:szCs w:val="24"/>
          </w:rPr>
          <w:instrText xml:space="preserve"> PAGEREF _Toc179544013 \h </w:instrText>
        </w:r>
        <w:r w:rsidR="00D07F17" w:rsidRPr="00903743">
          <w:rPr>
            <w:noProof/>
            <w:webHidden/>
            <w:sz w:val="24"/>
            <w:szCs w:val="24"/>
          </w:rPr>
        </w:r>
        <w:r w:rsidR="00D07F17" w:rsidRPr="00903743">
          <w:rPr>
            <w:noProof/>
            <w:webHidden/>
            <w:sz w:val="24"/>
            <w:szCs w:val="24"/>
          </w:rPr>
          <w:fldChar w:fldCharType="separate"/>
        </w:r>
        <w:r w:rsidR="007F1966">
          <w:rPr>
            <w:noProof/>
            <w:webHidden/>
            <w:sz w:val="24"/>
            <w:szCs w:val="24"/>
          </w:rPr>
          <w:t>107</w:t>
        </w:r>
        <w:r w:rsidR="00D07F17" w:rsidRPr="00903743">
          <w:rPr>
            <w:noProof/>
            <w:webHidden/>
            <w:sz w:val="24"/>
            <w:szCs w:val="24"/>
          </w:rPr>
          <w:fldChar w:fldCharType="end"/>
        </w:r>
      </w:hyperlink>
    </w:p>
    <w:p w14:paraId="34AD7DA4" w14:textId="293681F5" w:rsidR="00F83A8E" w:rsidRPr="00903743" w:rsidRDefault="00D07F17" w:rsidP="00F83A8E">
      <w:pPr>
        <w:rPr>
          <w:szCs w:val="24"/>
        </w:rPr>
      </w:pPr>
      <w:r w:rsidRPr="00903743">
        <w:rPr>
          <w:rFonts w:ascii="Arial" w:hAnsi="Arial"/>
          <w:szCs w:val="24"/>
        </w:rPr>
        <w:fldChar w:fldCharType="end"/>
      </w:r>
    </w:p>
    <w:p w14:paraId="2DB62304" w14:textId="393C0150" w:rsidR="0002438E" w:rsidRDefault="00DF19E5" w:rsidP="006D6C46">
      <w:pPr>
        <w:pStyle w:val="TOC1"/>
        <w:rPr>
          <w:rFonts w:eastAsiaTheme="minorEastAsia"/>
          <w:noProof/>
          <w:kern w:val="2"/>
          <w:szCs w:val="24"/>
          <w:lang w:eastAsia="en-NZ"/>
          <w14:ligatures w14:val="standardContextual"/>
        </w:rPr>
      </w:pPr>
      <w:r>
        <w:fldChar w:fldCharType="begin"/>
      </w:r>
      <w:r>
        <w:instrText xml:space="preserve"> TOC \o "1-3" \h \z \u </w:instrText>
      </w:r>
      <w:r>
        <w:fldChar w:fldCharType="separate"/>
      </w:r>
    </w:p>
    <w:p w14:paraId="14ADF1F2" w14:textId="77777777" w:rsidR="006E1AF8" w:rsidRDefault="00DF19E5">
      <w:pPr>
        <w:spacing w:before="0" w:after="160" w:line="259" w:lineRule="auto"/>
      </w:pPr>
      <w:r>
        <w:fldChar w:fldCharType="end"/>
      </w:r>
      <w:r w:rsidR="006E1AF8">
        <w:br w:type="page"/>
      </w:r>
    </w:p>
    <w:p w14:paraId="28D3A774" w14:textId="3D3BC93F" w:rsidR="006C3CC4" w:rsidRPr="00D524A3" w:rsidRDefault="006C3CC4" w:rsidP="00D524A3">
      <w:pPr>
        <w:pStyle w:val="Heading1"/>
      </w:pPr>
      <w:bookmarkStart w:id="31" w:name="_Toc179465210"/>
      <w:bookmarkStart w:id="32" w:name="_Toc179467021"/>
      <w:bookmarkStart w:id="33" w:name="_Toc179467077"/>
      <w:bookmarkStart w:id="34" w:name="_Toc179467154"/>
      <w:bookmarkStart w:id="35" w:name="_Toc179467229"/>
      <w:bookmarkStart w:id="36" w:name="_Toc179467413"/>
      <w:bookmarkStart w:id="37" w:name="_Toc179467651"/>
      <w:bookmarkStart w:id="38" w:name="_Toc179468025"/>
      <w:bookmarkStart w:id="39" w:name="_Toc179468284"/>
      <w:bookmarkStart w:id="40" w:name="_Toc179468526"/>
      <w:bookmarkStart w:id="41" w:name="_Toc179483229"/>
      <w:bookmarkStart w:id="42" w:name="_Toc179486297"/>
      <w:bookmarkStart w:id="43" w:name="_Toc179487902"/>
      <w:bookmarkStart w:id="44" w:name="_Toc179489205"/>
      <w:bookmarkStart w:id="45" w:name="_Toc179531330"/>
      <w:bookmarkStart w:id="46" w:name="_Toc179536003"/>
      <w:bookmarkStart w:id="47" w:name="_Toc179537842"/>
      <w:bookmarkStart w:id="48" w:name="_Toc179537906"/>
      <w:bookmarkStart w:id="49" w:name="_Toc179538073"/>
      <w:bookmarkStart w:id="50" w:name="_Toc179538886"/>
      <w:bookmarkStart w:id="51" w:name="_Toc179539205"/>
      <w:bookmarkStart w:id="52" w:name="_Toc179539321"/>
      <w:bookmarkStart w:id="53" w:name="_Toc179539458"/>
      <w:bookmarkStart w:id="54" w:name="_Toc179539554"/>
      <w:bookmarkStart w:id="55" w:name="_Toc179539641"/>
      <w:bookmarkStart w:id="56" w:name="_Toc179539731"/>
      <w:bookmarkStart w:id="57" w:name="_Toc179540415"/>
      <w:bookmarkStart w:id="58" w:name="_Toc179541760"/>
      <w:bookmarkStart w:id="59" w:name="_Toc179542952"/>
      <w:bookmarkStart w:id="60" w:name="_Toc180571279"/>
      <w:r w:rsidRPr="00D524A3">
        <w:lastRenderedPageBreak/>
        <w:t>Karakia</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rsidRPr="00D524A3">
        <w:t xml:space="preserve"> </w:t>
      </w:r>
    </w:p>
    <w:p w14:paraId="4456DB46" w14:textId="77777777" w:rsidR="006C3CC4" w:rsidRPr="00103A06" w:rsidRDefault="006C3CC4" w:rsidP="006C3CC4">
      <w:pPr>
        <w:pStyle w:val="IntenseQuote"/>
        <w:spacing w:before="240" w:after="240"/>
        <w:ind w:left="562" w:right="288"/>
        <w:jc w:val="center"/>
        <w:rPr>
          <w:color w:val="000000" w:themeColor="text1"/>
          <w:sz w:val="24"/>
          <w:szCs w:val="24"/>
          <w:lang w:val="pt-BR"/>
        </w:rPr>
      </w:pPr>
      <w:r w:rsidRPr="00103A06">
        <w:rPr>
          <w:color w:val="000000" w:themeColor="text1"/>
          <w:sz w:val="24"/>
          <w:szCs w:val="24"/>
          <w:lang w:val="pt-BR"/>
        </w:rPr>
        <w:t>Mā te rā e kawe mai te āhuru ia rā ia rā</w:t>
      </w:r>
    </w:p>
    <w:p w14:paraId="5326F0C2" w14:textId="77777777" w:rsidR="006C3CC4" w:rsidRPr="00103A06" w:rsidRDefault="006C3CC4" w:rsidP="006C3CC4">
      <w:pPr>
        <w:pStyle w:val="IntenseQuote"/>
        <w:spacing w:before="240" w:after="240"/>
        <w:ind w:left="562" w:right="288"/>
        <w:jc w:val="center"/>
        <w:rPr>
          <w:color w:val="000000" w:themeColor="text1"/>
          <w:sz w:val="24"/>
          <w:szCs w:val="24"/>
          <w:lang w:val="pt-BR"/>
        </w:rPr>
      </w:pPr>
      <w:r w:rsidRPr="00103A06">
        <w:rPr>
          <w:color w:val="000000" w:themeColor="text1"/>
          <w:sz w:val="24"/>
          <w:szCs w:val="24"/>
          <w:lang w:val="pt-BR"/>
        </w:rPr>
        <w:t>Mā te marama e whakaora ia koe i waenga pō</w:t>
      </w:r>
    </w:p>
    <w:p w14:paraId="17EF24A3" w14:textId="77777777" w:rsidR="006C3CC4" w:rsidRPr="00103A06" w:rsidRDefault="006C3CC4" w:rsidP="006C3CC4">
      <w:pPr>
        <w:pStyle w:val="IntenseQuote"/>
        <w:spacing w:before="240" w:after="240"/>
        <w:ind w:left="562" w:right="288"/>
        <w:jc w:val="center"/>
        <w:rPr>
          <w:color w:val="000000" w:themeColor="text1"/>
          <w:sz w:val="24"/>
          <w:szCs w:val="24"/>
          <w:lang w:val="pt-BR"/>
        </w:rPr>
      </w:pPr>
      <w:r w:rsidRPr="00103A06">
        <w:rPr>
          <w:color w:val="000000" w:themeColor="text1"/>
          <w:sz w:val="24"/>
          <w:szCs w:val="24"/>
          <w:lang w:val="pt-BR"/>
        </w:rPr>
        <w:t>Mā te ua te horoi ōu māharahara</w:t>
      </w:r>
    </w:p>
    <w:p w14:paraId="4C5D32BE" w14:textId="77777777" w:rsidR="006C3CC4" w:rsidRPr="00103A06" w:rsidRDefault="006C3CC4" w:rsidP="006C3CC4">
      <w:pPr>
        <w:pStyle w:val="IntenseQuote"/>
        <w:spacing w:before="240" w:after="240"/>
        <w:ind w:left="562" w:right="288"/>
        <w:jc w:val="center"/>
        <w:rPr>
          <w:color w:val="000000" w:themeColor="text1"/>
          <w:sz w:val="24"/>
          <w:szCs w:val="24"/>
          <w:lang w:val="pt-BR"/>
        </w:rPr>
      </w:pPr>
      <w:r w:rsidRPr="00103A06">
        <w:rPr>
          <w:color w:val="000000" w:themeColor="text1"/>
          <w:sz w:val="24"/>
          <w:szCs w:val="24"/>
          <w:lang w:val="pt-BR"/>
        </w:rPr>
        <w:t>Mā te hau e pupuhi te pākahukahu ki roto i tō tinana</w:t>
      </w:r>
    </w:p>
    <w:p w14:paraId="2E707F56" w14:textId="77777777" w:rsidR="006C3CC4" w:rsidRPr="00103A06" w:rsidRDefault="006C3CC4" w:rsidP="006C3CC4">
      <w:pPr>
        <w:pStyle w:val="IntenseQuote"/>
        <w:spacing w:before="240" w:after="240"/>
        <w:ind w:left="562" w:right="288"/>
        <w:jc w:val="center"/>
        <w:rPr>
          <w:color w:val="000000" w:themeColor="text1"/>
          <w:sz w:val="24"/>
          <w:szCs w:val="24"/>
          <w:lang w:val="pt-BR"/>
        </w:rPr>
      </w:pPr>
      <w:r w:rsidRPr="00103A06">
        <w:rPr>
          <w:color w:val="000000" w:themeColor="text1"/>
          <w:sz w:val="24"/>
          <w:szCs w:val="24"/>
          <w:lang w:val="pt-BR"/>
        </w:rPr>
        <w:t>I roto i ōu hikoitan</w:t>
      </w:r>
      <w:r w:rsidRPr="00103A06">
        <w:rPr>
          <w:color w:val="000000" w:themeColor="text1"/>
          <w:sz w:val="24"/>
          <w:szCs w:val="24"/>
          <w:u w:val="single"/>
          <w:lang w:val="pt-BR"/>
        </w:rPr>
        <w:t>k</w:t>
      </w:r>
      <w:r w:rsidRPr="00103A06">
        <w:rPr>
          <w:color w:val="000000" w:themeColor="text1"/>
          <w:sz w:val="24"/>
          <w:szCs w:val="24"/>
          <w:lang w:val="pt-BR"/>
        </w:rPr>
        <w:t>a i te kia whakaaro koe</w:t>
      </w:r>
    </w:p>
    <w:p w14:paraId="2CD1D7B1" w14:textId="77777777" w:rsidR="006C3CC4" w:rsidRPr="00103A06" w:rsidRDefault="006C3CC4" w:rsidP="006C3CC4">
      <w:pPr>
        <w:pStyle w:val="IntenseQuote"/>
        <w:spacing w:before="240" w:after="240"/>
        <w:ind w:left="562" w:right="288"/>
        <w:jc w:val="center"/>
        <w:rPr>
          <w:color w:val="000000" w:themeColor="text1"/>
          <w:sz w:val="24"/>
          <w:szCs w:val="24"/>
          <w:lang w:val="pt-BR"/>
        </w:rPr>
      </w:pPr>
      <w:r w:rsidRPr="00103A06">
        <w:rPr>
          <w:color w:val="000000" w:themeColor="text1"/>
          <w:sz w:val="24"/>
          <w:szCs w:val="24"/>
          <w:lang w:val="pt-BR"/>
        </w:rPr>
        <w:t>Ki te hū marie hoki o ōu mō ake tonu atu</w:t>
      </w:r>
    </w:p>
    <w:p w14:paraId="094C65CA" w14:textId="77777777" w:rsidR="006C3CC4" w:rsidRPr="00103A06" w:rsidRDefault="006C3CC4" w:rsidP="006C3CC4">
      <w:pPr>
        <w:pStyle w:val="IntenseQuote"/>
        <w:jc w:val="center"/>
        <w:rPr>
          <w:color w:val="000000" w:themeColor="text1"/>
          <w:sz w:val="24"/>
          <w:szCs w:val="24"/>
        </w:rPr>
      </w:pPr>
      <w:r w:rsidRPr="00103A06">
        <w:rPr>
          <w:color w:val="000000" w:themeColor="text1"/>
          <w:sz w:val="24"/>
          <w:szCs w:val="24"/>
        </w:rPr>
        <w:t xml:space="preserve">May the sun bring you energy every day. </w:t>
      </w:r>
    </w:p>
    <w:p w14:paraId="52E9AA9B" w14:textId="77777777" w:rsidR="006C3CC4" w:rsidRPr="00103A06" w:rsidRDefault="006C3CC4" w:rsidP="006C3CC4">
      <w:pPr>
        <w:pStyle w:val="IntenseQuote"/>
        <w:jc w:val="center"/>
        <w:rPr>
          <w:color w:val="000000" w:themeColor="text1"/>
          <w:sz w:val="24"/>
          <w:szCs w:val="24"/>
        </w:rPr>
      </w:pPr>
      <w:r w:rsidRPr="00103A06">
        <w:rPr>
          <w:color w:val="000000" w:themeColor="text1"/>
          <w:sz w:val="24"/>
          <w:szCs w:val="24"/>
        </w:rPr>
        <w:t xml:space="preserve">May the moon softly restore you in the middle of the night. </w:t>
      </w:r>
    </w:p>
    <w:p w14:paraId="6942ED4C" w14:textId="77777777" w:rsidR="006C3CC4" w:rsidRPr="00103A06" w:rsidRDefault="006C3CC4" w:rsidP="006C3CC4">
      <w:pPr>
        <w:pStyle w:val="IntenseQuote"/>
        <w:jc w:val="center"/>
        <w:rPr>
          <w:color w:val="000000" w:themeColor="text1"/>
          <w:sz w:val="24"/>
          <w:szCs w:val="24"/>
        </w:rPr>
      </w:pPr>
      <w:r w:rsidRPr="00103A06">
        <w:rPr>
          <w:color w:val="000000" w:themeColor="text1"/>
          <w:sz w:val="24"/>
          <w:szCs w:val="24"/>
        </w:rPr>
        <w:t xml:space="preserve">May the rain wash away your worries. </w:t>
      </w:r>
    </w:p>
    <w:p w14:paraId="47967984" w14:textId="77777777" w:rsidR="006C3CC4" w:rsidRPr="00103A06" w:rsidRDefault="006C3CC4" w:rsidP="006C3CC4">
      <w:pPr>
        <w:pStyle w:val="IntenseQuote"/>
        <w:jc w:val="center"/>
        <w:rPr>
          <w:color w:val="000000" w:themeColor="text1"/>
          <w:sz w:val="24"/>
          <w:szCs w:val="24"/>
        </w:rPr>
      </w:pPr>
      <w:r w:rsidRPr="00103A06">
        <w:rPr>
          <w:color w:val="000000" w:themeColor="text1"/>
          <w:sz w:val="24"/>
          <w:szCs w:val="24"/>
        </w:rPr>
        <w:t xml:space="preserve">May the wind blow new strength into your being. </w:t>
      </w:r>
    </w:p>
    <w:p w14:paraId="72C08EEC" w14:textId="77777777" w:rsidR="006C3CC4" w:rsidRPr="00103A06" w:rsidRDefault="006C3CC4" w:rsidP="006C3CC4">
      <w:pPr>
        <w:pStyle w:val="IntenseQuote"/>
        <w:jc w:val="center"/>
        <w:rPr>
          <w:color w:val="000000" w:themeColor="text1"/>
          <w:sz w:val="24"/>
          <w:szCs w:val="24"/>
        </w:rPr>
      </w:pPr>
      <w:r w:rsidRPr="00103A06">
        <w:rPr>
          <w:color w:val="000000" w:themeColor="text1"/>
          <w:sz w:val="24"/>
          <w:szCs w:val="24"/>
        </w:rPr>
        <w:t>In your travels on this earth may you contemplate its beautiful peaceful stillness all of your days for ever and ever.</w:t>
      </w:r>
    </w:p>
    <w:p w14:paraId="6037E8FF" w14:textId="77777777" w:rsidR="006C3CC4" w:rsidRPr="009C0C5E" w:rsidRDefault="006C3CC4" w:rsidP="006C3CC4">
      <w:pPr>
        <w:spacing w:before="0" w:after="160" w:line="259" w:lineRule="auto"/>
        <w:rPr>
          <w:color w:val="000000" w:themeColor="text1"/>
        </w:rPr>
      </w:pPr>
      <w:r w:rsidRPr="009C0C5E">
        <w:rPr>
          <w:color w:val="000000" w:themeColor="text1"/>
        </w:rPr>
        <w:br w:type="page"/>
      </w:r>
    </w:p>
    <w:p w14:paraId="48E56172" w14:textId="58203EA3" w:rsidR="006C3CC4" w:rsidRPr="00D524A3" w:rsidRDefault="00F14BF8" w:rsidP="00D524A3">
      <w:pPr>
        <w:pStyle w:val="Heading1"/>
      </w:pPr>
      <w:bookmarkStart w:id="61" w:name="_Toc179539555"/>
      <w:bookmarkStart w:id="62" w:name="_Toc179539642"/>
      <w:bookmarkStart w:id="63" w:name="_Toc179539732"/>
      <w:bookmarkStart w:id="64" w:name="_Toc179540416"/>
      <w:bookmarkStart w:id="65" w:name="_Toc179541761"/>
      <w:bookmarkStart w:id="66" w:name="_Toc179542953"/>
      <w:bookmarkStart w:id="67" w:name="_Toc180571280"/>
      <w:bookmarkStart w:id="68" w:name="_Toc172095763"/>
      <w:bookmarkStart w:id="69" w:name="_Toc178780092"/>
      <w:bookmarkStart w:id="70" w:name="_Toc178838858"/>
      <w:bookmarkStart w:id="71" w:name="_Toc178839045"/>
      <w:bookmarkStart w:id="72" w:name="_Toc178839166"/>
      <w:bookmarkStart w:id="73" w:name="_Toc178839395"/>
      <w:bookmarkStart w:id="74" w:name="_Toc178841605"/>
      <w:bookmarkStart w:id="75" w:name="_Toc179198164"/>
      <w:bookmarkStart w:id="76" w:name="_Toc179198412"/>
      <w:bookmarkStart w:id="77" w:name="_Toc179198520"/>
      <w:bookmarkStart w:id="78" w:name="_Toc179198627"/>
      <w:bookmarkStart w:id="79" w:name="_Toc179446071"/>
      <w:bookmarkStart w:id="80" w:name="_Toc179447102"/>
      <w:bookmarkStart w:id="81" w:name="_Toc179448642"/>
      <w:bookmarkStart w:id="82" w:name="_Toc179448803"/>
      <w:bookmarkStart w:id="83" w:name="_Toc179449190"/>
      <w:bookmarkStart w:id="84" w:name="_Toc179452893"/>
      <w:bookmarkStart w:id="85" w:name="_Toc179461406"/>
      <w:bookmarkStart w:id="86" w:name="_Toc179461851"/>
      <w:bookmarkStart w:id="87" w:name="_Toc179465211"/>
      <w:bookmarkStart w:id="88" w:name="_Toc179467022"/>
      <w:bookmarkStart w:id="89" w:name="_Toc179467078"/>
      <w:bookmarkStart w:id="90" w:name="_Toc179467155"/>
      <w:bookmarkStart w:id="91" w:name="_Toc179467230"/>
      <w:bookmarkStart w:id="92" w:name="_Toc179467414"/>
      <w:bookmarkStart w:id="93" w:name="_Toc179467652"/>
      <w:bookmarkStart w:id="94" w:name="_Toc179468026"/>
      <w:bookmarkStart w:id="95" w:name="_Toc179468285"/>
      <w:bookmarkStart w:id="96" w:name="_Toc179468527"/>
      <w:bookmarkStart w:id="97" w:name="_Toc179483230"/>
      <w:bookmarkStart w:id="98" w:name="_Toc179486298"/>
      <w:bookmarkStart w:id="99" w:name="_Toc179487903"/>
      <w:bookmarkStart w:id="100" w:name="_Toc179489206"/>
      <w:bookmarkStart w:id="101" w:name="_Toc179531331"/>
      <w:bookmarkStart w:id="102" w:name="_Toc179536004"/>
      <w:bookmarkStart w:id="103" w:name="_Toc179537843"/>
      <w:bookmarkStart w:id="104" w:name="_Toc179537907"/>
      <w:bookmarkStart w:id="105" w:name="_Toc179538074"/>
      <w:bookmarkStart w:id="106" w:name="_Toc179538887"/>
      <w:bookmarkStart w:id="107" w:name="_Toc179539206"/>
      <w:bookmarkStart w:id="108" w:name="_Toc179539322"/>
      <w:bookmarkStart w:id="109" w:name="_Toc179539459"/>
      <w:r w:rsidRPr="00D524A3">
        <w:lastRenderedPageBreak/>
        <w:t>Kā mihi - Acknowledgements</w:t>
      </w:r>
      <w:bookmarkEnd w:id="61"/>
      <w:bookmarkEnd w:id="62"/>
      <w:bookmarkEnd w:id="63"/>
      <w:bookmarkEnd w:id="64"/>
      <w:bookmarkEnd w:id="65"/>
      <w:bookmarkEnd w:id="66"/>
      <w:bookmarkEnd w:id="67"/>
      <w:r w:rsidRPr="00D524A3">
        <w:t xml:space="preserve"> </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14:paraId="22D82A02" w14:textId="67BAE1B4" w:rsidR="006C3CC4" w:rsidRPr="00E4634D" w:rsidRDefault="006C3CC4" w:rsidP="00103A06">
      <w:r w:rsidRPr="00E4634D">
        <w:t>These guidelines were developed by Te Pou on behalf of Health New Zealand</w:t>
      </w:r>
      <w:r w:rsidR="000D755A">
        <w:t xml:space="preserve"> | </w:t>
      </w:r>
      <w:r w:rsidRPr="00E4634D">
        <w:t xml:space="preserve">Te Whatu Ora in partnership with experts from clinical, cultural, whānau and lived experience perspectives. </w:t>
      </w:r>
    </w:p>
    <w:p w14:paraId="59D04F2A" w14:textId="77777777" w:rsidR="006C3CC4" w:rsidRPr="00E4634D" w:rsidRDefault="006C3CC4" w:rsidP="00103A06">
      <w:r w:rsidRPr="00E4634D">
        <w:t>We thank and acknowledge everyone who provided feedback and guidance. This has been a significant opportunity to refocus and update substance use practice guidance documents, with the overall goal of reducing the harm caused by alcohol and other drugs and improving equity.</w:t>
      </w:r>
    </w:p>
    <w:p w14:paraId="2779E031" w14:textId="77777777" w:rsidR="006C3CC4" w:rsidRPr="00E4634D" w:rsidRDefault="006C3CC4" w:rsidP="00103A06">
      <w:r w:rsidRPr="00E4634D">
        <w:t xml:space="preserve">The Te Pou project team includes: </w:t>
      </w:r>
    </w:p>
    <w:p w14:paraId="099A7ACA" w14:textId="77777777" w:rsidR="006C3CC4" w:rsidRPr="00E4634D" w:rsidRDefault="006C3CC4" w:rsidP="00103A06">
      <w:pPr>
        <w:pStyle w:val="Bulletpoint"/>
      </w:pPr>
      <w:r w:rsidRPr="00E4634D">
        <w:t>Selina Elkington (programme manager, addiction)</w:t>
      </w:r>
    </w:p>
    <w:p w14:paraId="066559B3" w14:textId="77777777" w:rsidR="006C3CC4" w:rsidRPr="00E4634D" w:rsidRDefault="006C3CC4" w:rsidP="00103A06">
      <w:pPr>
        <w:pStyle w:val="Bulletpoint"/>
      </w:pPr>
      <w:r w:rsidRPr="00E4634D">
        <w:t>Jason Jones (project lead, addiction)</w:t>
      </w:r>
    </w:p>
    <w:p w14:paraId="792ED1FC" w14:textId="77777777" w:rsidR="006C3CC4" w:rsidRPr="00E4634D" w:rsidRDefault="006C3CC4" w:rsidP="00103A06">
      <w:pPr>
        <w:pStyle w:val="Bulletpoint"/>
      </w:pPr>
      <w:r w:rsidRPr="00E4634D">
        <w:t>Talya Postelnik (researcher)</w:t>
      </w:r>
    </w:p>
    <w:p w14:paraId="143AA5F6" w14:textId="77777777" w:rsidR="006C3CC4" w:rsidRPr="00E4634D" w:rsidRDefault="006C3CC4" w:rsidP="00103A06">
      <w:pPr>
        <w:pStyle w:val="Bulletpoint"/>
      </w:pPr>
      <w:r w:rsidRPr="00E4634D">
        <w:t>Dr Angela Jury (research manager)</w:t>
      </w:r>
    </w:p>
    <w:p w14:paraId="28FD9A1F" w14:textId="77777777" w:rsidR="006C3CC4" w:rsidRPr="00E4634D" w:rsidRDefault="006C3CC4" w:rsidP="00103A06">
      <w:pPr>
        <w:pStyle w:val="Bulletpoint"/>
      </w:pPr>
      <w:r w:rsidRPr="00E4634D">
        <w:t>Emma Wood (national manager – practice)</w:t>
      </w:r>
    </w:p>
    <w:p w14:paraId="240E633E" w14:textId="77777777" w:rsidR="006C3CC4" w:rsidRPr="00E4634D" w:rsidRDefault="006C3CC4" w:rsidP="00103A06">
      <w:pPr>
        <w:pStyle w:val="Bulletpoint"/>
      </w:pPr>
      <w:r w:rsidRPr="00E4634D">
        <w:t xml:space="preserve">Maria Basabas and Meghan Mappledoram (research assistants) who assisted with the background literature review.  </w:t>
      </w:r>
    </w:p>
    <w:p w14:paraId="5701FC0B" w14:textId="77777777" w:rsidR="006C3CC4" w:rsidRPr="00E4634D" w:rsidRDefault="006C3CC4" w:rsidP="00103A06">
      <w:r w:rsidRPr="00E4634D">
        <w:t xml:space="preserve">Expert technical advice and input was provided by the following members of the technical advisory group. </w:t>
      </w:r>
    </w:p>
    <w:p w14:paraId="022F0685" w14:textId="77777777" w:rsidR="006C3CC4" w:rsidRPr="00E4634D" w:rsidRDefault="006C3CC4" w:rsidP="00103A06">
      <w:pPr>
        <w:pStyle w:val="Bulletpoint"/>
      </w:pPr>
      <w:r w:rsidRPr="00E4634D">
        <w:t>Dr Jamie Berry (lead advisor: clinical associate professor, Macquarie University; senior clinical neuropsychologist, Advanced Neuropsychological Treatment Services, Australia)</w:t>
      </w:r>
    </w:p>
    <w:p w14:paraId="6119CB98" w14:textId="77777777" w:rsidR="006C3CC4" w:rsidRPr="00E4634D" w:rsidRDefault="006C3CC4" w:rsidP="00103A06">
      <w:pPr>
        <w:pStyle w:val="Bulletpoint"/>
      </w:pPr>
      <w:r w:rsidRPr="00E4634D">
        <w:t>Dr Tai Kake (lead advisor: clinical psychologist, University of Auckland and private practice)</w:t>
      </w:r>
    </w:p>
    <w:p w14:paraId="35A477AA" w14:textId="77777777" w:rsidR="006C3CC4" w:rsidRPr="00E4634D" w:rsidRDefault="006C3CC4" w:rsidP="00103A06">
      <w:pPr>
        <w:pStyle w:val="Bulletpoint"/>
      </w:pPr>
      <w:r w:rsidRPr="00E4634D">
        <w:t xml:space="preserve">Dr Jodi Field (senior clinical psychologist, Health New Zealand </w:t>
      </w:r>
      <w:r w:rsidRPr="00E4634D">
        <w:rPr>
          <w:rFonts w:cstheme="minorHAnsi"/>
        </w:rPr>
        <w:t>–</w:t>
      </w:r>
      <w:r w:rsidRPr="00E4634D">
        <w:t xml:space="preserve"> Te Whatu Ora Te Pae Hauora o Ruahine o Tararua MidCentral)</w:t>
      </w:r>
    </w:p>
    <w:p w14:paraId="018F7F64" w14:textId="77777777" w:rsidR="006C3CC4" w:rsidRPr="00E4634D" w:rsidRDefault="006C3CC4" w:rsidP="00103A06">
      <w:pPr>
        <w:pStyle w:val="Bulletpoint"/>
      </w:pPr>
      <w:r w:rsidRPr="00E4634D">
        <w:t>Eamonn Smythe (director addiction services Auckland, Salvation Army)</w:t>
      </w:r>
    </w:p>
    <w:p w14:paraId="7916CF81" w14:textId="77777777" w:rsidR="006C3CC4" w:rsidRPr="00E4634D" w:rsidRDefault="006C3CC4" w:rsidP="00103A06">
      <w:pPr>
        <w:pStyle w:val="Bulletpoint"/>
        <w:rPr>
          <w:rFonts w:eastAsia="Calibri"/>
        </w:rPr>
      </w:pPr>
      <w:r w:rsidRPr="00E4634D">
        <w:t xml:space="preserve">Andrew Raven (psychologist, Health New Zealand </w:t>
      </w:r>
      <w:r w:rsidRPr="00E4634D">
        <w:rPr>
          <w:rFonts w:cstheme="minorHAnsi"/>
        </w:rPr>
        <w:t>–</w:t>
      </w:r>
      <w:r w:rsidRPr="00E4634D">
        <w:t xml:space="preserve"> Te Whatu Ora Hawkes Bay)</w:t>
      </w:r>
    </w:p>
    <w:p w14:paraId="7B238032" w14:textId="77777777" w:rsidR="006C3CC4" w:rsidRPr="00E4634D" w:rsidRDefault="006C3CC4" w:rsidP="00103A06">
      <w:pPr>
        <w:pStyle w:val="Bulletpoint"/>
      </w:pPr>
      <w:r w:rsidRPr="00E4634D">
        <w:t>Norman Vaele (operations manager, NOVA Trust)</w:t>
      </w:r>
    </w:p>
    <w:p w14:paraId="1BF9FEF8" w14:textId="77777777" w:rsidR="006C3CC4" w:rsidRPr="00E4634D" w:rsidRDefault="006C3CC4" w:rsidP="00103A06">
      <w:pPr>
        <w:pStyle w:val="Bulletpoint"/>
      </w:pPr>
      <w:r w:rsidRPr="00E4634D">
        <w:lastRenderedPageBreak/>
        <w:t>John Vogenthaler (programme lead and principal advisor disability, Te Pou)</w:t>
      </w:r>
    </w:p>
    <w:p w14:paraId="60B72CDC" w14:textId="77777777" w:rsidR="006C3CC4" w:rsidRPr="00E4634D" w:rsidRDefault="006C3CC4" w:rsidP="00103A06">
      <w:pPr>
        <w:pStyle w:val="Bulletpoint"/>
        <w:rPr>
          <w:rFonts w:eastAsia="Calibri"/>
          <w:lang w:val="fr-FR"/>
        </w:rPr>
      </w:pPr>
      <w:r w:rsidRPr="00E4634D">
        <w:rPr>
          <w:lang w:val="fr-FR"/>
        </w:rPr>
        <w:t>Tayla Reti (clinical psychologist, ABI Rehabilitation Services)</w:t>
      </w:r>
    </w:p>
    <w:p w14:paraId="6E40D9AC" w14:textId="77777777" w:rsidR="006C3CC4" w:rsidRPr="00E4634D" w:rsidRDefault="006C3CC4" w:rsidP="00103A06">
      <w:pPr>
        <w:pStyle w:val="Bulletpoint"/>
        <w:rPr>
          <w:rFonts w:eastAsia="Calibri"/>
          <w:lang w:val="pt-BR"/>
        </w:rPr>
      </w:pPr>
      <w:r w:rsidRPr="00E4634D">
        <w:rPr>
          <w:lang w:val="pt-BR"/>
        </w:rPr>
        <w:t>Terry Huriwai (</w:t>
      </w:r>
      <w:r w:rsidRPr="00E4634D">
        <w:rPr>
          <w:rFonts w:eastAsia="Arial"/>
          <w:lang w:val="pt-BR"/>
        </w:rPr>
        <w:t>kaitohutohu matua</w:t>
      </w:r>
      <w:r w:rsidRPr="00E4634D">
        <w:rPr>
          <w:lang w:val="pt-BR"/>
        </w:rPr>
        <w:t xml:space="preserve">, Ara Poutama Aotearoa) </w:t>
      </w:r>
    </w:p>
    <w:p w14:paraId="48EB8EF3" w14:textId="77777777" w:rsidR="006C3CC4" w:rsidRPr="00E4634D" w:rsidRDefault="006C3CC4" w:rsidP="00103A06">
      <w:pPr>
        <w:pStyle w:val="Bulletpoint"/>
      </w:pPr>
      <w:r w:rsidRPr="00E4634D">
        <w:t>Steve Rossell (c</w:t>
      </w:r>
      <w:r w:rsidRPr="00E4634D">
        <w:rPr>
          <w:rFonts w:eastAsia="Calibri"/>
        </w:rPr>
        <w:t>hief executive</w:t>
      </w:r>
      <w:r w:rsidRPr="00E4634D">
        <w:t>, NOVA Trust)</w:t>
      </w:r>
    </w:p>
    <w:p w14:paraId="0FD7D6AC" w14:textId="77777777" w:rsidR="006C3CC4" w:rsidRPr="00E4634D" w:rsidRDefault="006C3CC4" w:rsidP="00103A06">
      <w:r w:rsidRPr="00E4634D">
        <w:t>Further expert advice and input was provided by:</w:t>
      </w:r>
    </w:p>
    <w:p w14:paraId="66534884" w14:textId="77777777" w:rsidR="006C3CC4" w:rsidRPr="00E4634D" w:rsidRDefault="006C3CC4" w:rsidP="00103A06">
      <w:pPr>
        <w:pStyle w:val="Bulletpoint"/>
      </w:pPr>
      <w:r w:rsidRPr="00E4634D">
        <w:t xml:space="preserve">Dr Sam McBride (psychiatrist, Health New Zealand </w:t>
      </w:r>
      <w:r w:rsidRPr="00E4634D">
        <w:rPr>
          <w:rFonts w:cstheme="minorHAnsi"/>
        </w:rPr>
        <w:t>–</w:t>
      </w:r>
      <w:r w:rsidRPr="00E4634D">
        <w:t xml:space="preserve"> Te Whatu Ora Capital, Coast and Hutt Valley)</w:t>
      </w:r>
    </w:p>
    <w:p w14:paraId="2411ED76" w14:textId="77777777" w:rsidR="006C3CC4" w:rsidRPr="00E4634D" w:rsidRDefault="006C3CC4" w:rsidP="00103A06">
      <w:pPr>
        <w:pStyle w:val="Bulletpoint"/>
      </w:pPr>
      <w:r w:rsidRPr="00E4634D">
        <w:t>Dr Gauranga (Rongo) Jeram Patel</w:t>
      </w:r>
      <w:r w:rsidRPr="00E4634D">
        <w:rPr>
          <w:rStyle w:val="cf01"/>
          <w:sz w:val="22"/>
          <w:szCs w:val="22"/>
        </w:rPr>
        <w:t xml:space="preserve"> </w:t>
      </w:r>
      <w:r w:rsidRPr="00E4634D">
        <w:t xml:space="preserve">(consultant clinical psychologist, Health New Zealand </w:t>
      </w:r>
      <w:r w:rsidRPr="00E4634D">
        <w:rPr>
          <w:rFonts w:cstheme="minorHAnsi"/>
        </w:rPr>
        <w:t>–</w:t>
      </w:r>
      <w:r w:rsidRPr="00E4634D">
        <w:t xml:space="preserve"> Te Whatu Ora Capital, Coast and Hutt Valley)</w:t>
      </w:r>
    </w:p>
    <w:p w14:paraId="5ECF84DB" w14:textId="77777777" w:rsidR="006C3CC4" w:rsidRPr="00E4634D" w:rsidRDefault="006C3CC4" w:rsidP="00103A06">
      <w:pPr>
        <w:pStyle w:val="Bulletpoint"/>
      </w:pPr>
      <w:r w:rsidRPr="00E4634D">
        <w:t>Leah Rodriquez-Palomer (social worker, Asian Family Services)</w:t>
      </w:r>
    </w:p>
    <w:p w14:paraId="5A28C037" w14:textId="77777777" w:rsidR="006C3CC4" w:rsidRPr="00E4634D" w:rsidRDefault="006C3CC4" w:rsidP="00103A06">
      <w:pPr>
        <w:pStyle w:val="Bulletpoint"/>
      </w:pPr>
      <w:r w:rsidRPr="00E4634D">
        <w:t>Melissa Roberts (family and whānau advisor/clinical supervisor, CADS Auckland)</w:t>
      </w:r>
    </w:p>
    <w:p w14:paraId="6862E514" w14:textId="77777777" w:rsidR="006C3CC4" w:rsidRPr="00E4634D" w:rsidRDefault="006C3CC4" w:rsidP="00103A06">
      <w:pPr>
        <w:pStyle w:val="Bulletpoint"/>
      </w:pPr>
      <w:r w:rsidRPr="00E4634D">
        <w:t>Philip Patston (director, Diversity New Zealand)</w:t>
      </w:r>
    </w:p>
    <w:p w14:paraId="34FB2E12" w14:textId="77777777" w:rsidR="006C3CC4" w:rsidRPr="00E4634D" w:rsidRDefault="006C3CC4" w:rsidP="00103A06">
      <w:pPr>
        <w:pStyle w:val="Bulletpoint"/>
      </w:pPr>
      <w:r w:rsidRPr="00E4634D">
        <w:t>Eileen Varley (liaison officer, Brain Injury New Zealand)</w:t>
      </w:r>
    </w:p>
    <w:p w14:paraId="23234168" w14:textId="77777777" w:rsidR="006C3CC4" w:rsidRPr="00E4634D" w:rsidRDefault="006C3CC4" w:rsidP="00103A06">
      <w:pPr>
        <w:pStyle w:val="Bulletpoint"/>
      </w:pPr>
      <w:r w:rsidRPr="00E4634D">
        <w:t>Emma-Jo Sanders (administrator, Brain Injury New Zealand)</w:t>
      </w:r>
    </w:p>
    <w:p w14:paraId="1A90F698" w14:textId="77777777" w:rsidR="006C3CC4" w:rsidRPr="00E4634D" w:rsidRDefault="006C3CC4" w:rsidP="00103A06">
      <w:pPr>
        <w:pStyle w:val="Bulletpoint"/>
      </w:pPr>
      <w:r w:rsidRPr="00E4634D">
        <w:t>Harshali Jain (senior occupational therapist and clinical lead, Habit Health)</w:t>
      </w:r>
    </w:p>
    <w:p w14:paraId="4650E775" w14:textId="77777777" w:rsidR="006C3CC4" w:rsidRPr="00E4634D" w:rsidRDefault="006C3CC4" w:rsidP="00103A06">
      <w:pPr>
        <w:pStyle w:val="Bulletpoint"/>
      </w:pPr>
      <w:r w:rsidRPr="00E4634D">
        <w:t>Pesio Ah-Honi (national director pacific services, Mapu Maia)</w:t>
      </w:r>
    </w:p>
    <w:p w14:paraId="28CC3CDC" w14:textId="77777777" w:rsidR="006C3CC4" w:rsidRPr="00E4634D" w:rsidRDefault="006C3CC4" w:rsidP="00103A06">
      <w:pPr>
        <w:pStyle w:val="Bulletpoint"/>
      </w:pPr>
      <w:r w:rsidRPr="00E4634D">
        <w:t>Philleen Dickson (ringa tohutohu matua – Māori lead, Te Pou)</w:t>
      </w:r>
    </w:p>
    <w:p w14:paraId="3E479718" w14:textId="77777777" w:rsidR="006C3CC4" w:rsidRPr="00E4634D" w:rsidRDefault="006C3CC4" w:rsidP="00103A06">
      <w:pPr>
        <w:pStyle w:val="Bulletpoint"/>
      </w:pPr>
      <w:r w:rsidRPr="00E4634D">
        <w:t>Alexia Black (project lead, Te Pou)</w:t>
      </w:r>
    </w:p>
    <w:p w14:paraId="5B7C3F05" w14:textId="77777777" w:rsidR="006C3CC4" w:rsidRPr="00E4634D" w:rsidRDefault="006C3CC4" w:rsidP="00103A06">
      <w:pPr>
        <w:pStyle w:val="Bulletpoint"/>
      </w:pPr>
      <w:r w:rsidRPr="00E4634D">
        <w:t>Kahurangi Fergusson-Tibble (waha tohutohu matua – principal advisor Māori, Te Pou).</w:t>
      </w:r>
    </w:p>
    <w:p w14:paraId="488A91B6" w14:textId="77777777" w:rsidR="006C3CC4" w:rsidRPr="00E4634D" w:rsidRDefault="006C3CC4" w:rsidP="00103A06">
      <w:r w:rsidRPr="00E4634D">
        <w:t xml:space="preserve">Feedback and expertise were also provided by the Health New Zealand </w:t>
      </w:r>
      <w:r w:rsidRPr="00E4634D">
        <w:rPr>
          <w:rFonts w:cstheme="minorHAnsi"/>
        </w:rPr>
        <w:t>–</w:t>
      </w:r>
      <w:r w:rsidRPr="00E4634D">
        <w:t xml:space="preserve"> Te Whatu Ora addiction special projects advisory group. This included Dr Sam McBride, Te Kani Kingi, Dean Rungihuna, Martin Burke, Terry Huriwai, Johnny Dow, Supriya Maharaj, Claire Aitken, Dr Mike Ngawati, Laura Tongalea-Nolan, Tangi Noomotu, Anna Christophorou and Maikali Kilioni.</w:t>
      </w:r>
    </w:p>
    <w:p w14:paraId="0704C65E" w14:textId="77777777" w:rsidR="006C3CC4" w:rsidRPr="00E4634D" w:rsidRDefault="006C3CC4" w:rsidP="00103A06">
      <w:pPr>
        <w:rPr>
          <w:rFonts w:cstheme="minorHAnsi"/>
        </w:rPr>
      </w:pPr>
      <w:r w:rsidRPr="00E4634D">
        <w:rPr>
          <w:rFonts w:cstheme="minorHAnsi"/>
        </w:rPr>
        <w:t xml:space="preserve">Dr Tai Kake gifted the te reo Māori name of these guidelines. Whakaohooho manawa ora encompasses the importance of inspiring hope when working with tāngata whai ora undertaking cognitive screening and assessment. </w:t>
      </w:r>
    </w:p>
    <w:p w14:paraId="5D3AB00E" w14:textId="77777777" w:rsidR="006C3CC4" w:rsidRPr="00E4634D" w:rsidRDefault="006C3CC4" w:rsidP="00103A06">
      <w:pPr>
        <w:rPr>
          <w:rFonts w:cstheme="minorHAnsi"/>
        </w:rPr>
      </w:pPr>
      <w:r w:rsidRPr="00E4634D">
        <w:rPr>
          <w:rFonts w:cstheme="minorHAnsi"/>
        </w:rPr>
        <w:lastRenderedPageBreak/>
        <w:t xml:space="preserve">The practice examples were developed by Ashley Koning and reviewed by Dr Tai Kake, Dr Jamie Berry, and the Te Pou team. </w:t>
      </w:r>
    </w:p>
    <w:p w14:paraId="2F80F3DC" w14:textId="77777777" w:rsidR="006C3CC4" w:rsidRPr="00E4634D" w:rsidRDefault="006C3CC4" w:rsidP="00103A06">
      <w:r w:rsidRPr="00E4634D">
        <w:rPr>
          <w:rFonts w:cstheme="minorHAnsi"/>
        </w:rPr>
        <w:t xml:space="preserve">Thanks to Whare Tukutuku who gifted the karakia and foreword for this document. </w:t>
      </w:r>
      <w:r w:rsidRPr="00E4634D">
        <w:t>Whare Tukutuku is the national addiction centre that sits within the korowai (cloak) of Te Rau Ora. </w:t>
      </w:r>
    </w:p>
    <w:p w14:paraId="426CACA4" w14:textId="4D1CA78D" w:rsidR="006C3CC4" w:rsidRDefault="006C3CC4" w:rsidP="00103A06">
      <w:pPr>
        <w:rPr>
          <w:rFonts w:cstheme="minorHAnsi"/>
        </w:rPr>
      </w:pPr>
      <w:r w:rsidRPr="00E4634D">
        <w:rPr>
          <w:rFonts w:cstheme="minorHAnsi"/>
        </w:rPr>
        <w:t xml:space="preserve">We acknowledge the Australian Turning Point Guidelines </w:t>
      </w:r>
      <w:r w:rsidRPr="00E4634D">
        <w:rPr>
          <w:rFonts w:cstheme="minorHAnsi"/>
          <w:i/>
          <w:iCs/>
        </w:rPr>
        <w:t>Managing Cognitive Impairment in AOD Treatment</w:t>
      </w:r>
      <w:r w:rsidRPr="00E4634D">
        <w:rPr>
          <w:rFonts w:cstheme="minorHAnsi"/>
        </w:rPr>
        <w:t xml:space="preserve"> which informed the development and content of these guidelines.</w:t>
      </w:r>
    </w:p>
    <w:p w14:paraId="4EB856DF" w14:textId="77777777" w:rsidR="00103A06" w:rsidRDefault="00103A06" w:rsidP="00103A06">
      <w:pPr>
        <w:rPr>
          <w:rFonts w:cstheme="minorHAnsi"/>
        </w:rPr>
      </w:pPr>
    </w:p>
    <w:p w14:paraId="687060D3" w14:textId="77777777" w:rsidR="00103A06" w:rsidRDefault="00103A06" w:rsidP="00103A06">
      <w:pPr>
        <w:rPr>
          <w:rFonts w:cstheme="minorHAnsi"/>
        </w:rPr>
      </w:pPr>
    </w:p>
    <w:p w14:paraId="3AF623A4" w14:textId="77777777" w:rsidR="00103A06" w:rsidRDefault="00103A06" w:rsidP="00103A06">
      <w:pPr>
        <w:rPr>
          <w:rFonts w:cstheme="minorHAnsi"/>
        </w:rPr>
      </w:pPr>
    </w:p>
    <w:p w14:paraId="16B2956F" w14:textId="77777777" w:rsidR="00103A06" w:rsidRDefault="00103A06" w:rsidP="00103A06">
      <w:pPr>
        <w:rPr>
          <w:rFonts w:cstheme="minorHAnsi"/>
        </w:rPr>
      </w:pPr>
    </w:p>
    <w:p w14:paraId="6AADB65D" w14:textId="77777777" w:rsidR="00103A06" w:rsidRDefault="00103A06" w:rsidP="00103A06">
      <w:pPr>
        <w:rPr>
          <w:rFonts w:cstheme="minorHAnsi"/>
        </w:rPr>
      </w:pPr>
    </w:p>
    <w:p w14:paraId="7B9ACD33" w14:textId="77777777" w:rsidR="00103A06" w:rsidRDefault="00103A06" w:rsidP="00103A06">
      <w:pPr>
        <w:rPr>
          <w:rFonts w:cstheme="minorHAnsi"/>
        </w:rPr>
      </w:pPr>
    </w:p>
    <w:p w14:paraId="5E6CC6BA" w14:textId="77777777" w:rsidR="00103A06" w:rsidRDefault="00103A06" w:rsidP="00103A06">
      <w:pPr>
        <w:rPr>
          <w:rFonts w:cstheme="minorHAnsi"/>
        </w:rPr>
      </w:pPr>
    </w:p>
    <w:p w14:paraId="455CF2DD" w14:textId="77777777" w:rsidR="00103A06" w:rsidRDefault="00103A06" w:rsidP="00103A06">
      <w:pPr>
        <w:rPr>
          <w:rFonts w:cstheme="minorHAnsi"/>
        </w:rPr>
      </w:pPr>
    </w:p>
    <w:p w14:paraId="4BA6C75B" w14:textId="77777777" w:rsidR="00103A06" w:rsidRDefault="00103A06" w:rsidP="00103A06">
      <w:pPr>
        <w:rPr>
          <w:rFonts w:cstheme="minorHAnsi"/>
        </w:rPr>
      </w:pPr>
    </w:p>
    <w:p w14:paraId="50423914" w14:textId="77777777" w:rsidR="00103A06" w:rsidRDefault="00103A06" w:rsidP="00103A06">
      <w:pPr>
        <w:rPr>
          <w:rFonts w:cstheme="minorHAnsi"/>
        </w:rPr>
      </w:pPr>
    </w:p>
    <w:p w14:paraId="5699FC86" w14:textId="77777777" w:rsidR="00103A06" w:rsidRDefault="00103A06" w:rsidP="00103A06">
      <w:pPr>
        <w:rPr>
          <w:rFonts w:cstheme="minorHAnsi"/>
        </w:rPr>
      </w:pPr>
    </w:p>
    <w:p w14:paraId="57FFB8D1" w14:textId="77777777" w:rsidR="00103A06" w:rsidRDefault="00103A06" w:rsidP="00103A06">
      <w:pPr>
        <w:rPr>
          <w:rFonts w:cstheme="minorHAnsi"/>
        </w:rPr>
      </w:pPr>
    </w:p>
    <w:p w14:paraId="02D84176" w14:textId="77777777" w:rsidR="00103A06" w:rsidRDefault="00103A06" w:rsidP="00103A06">
      <w:pPr>
        <w:rPr>
          <w:rFonts w:cstheme="minorHAnsi"/>
        </w:rPr>
      </w:pPr>
    </w:p>
    <w:p w14:paraId="5AAC08D4" w14:textId="77777777" w:rsidR="00103A06" w:rsidRDefault="00103A06" w:rsidP="00103A06">
      <w:pPr>
        <w:rPr>
          <w:rFonts w:cstheme="minorHAnsi"/>
        </w:rPr>
      </w:pPr>
    </w:p>
    <w:p w14:paraId="415F708C" w14:textId="77777777" w:rsidR="00103A06" w:rsidRDefault="00103A06" w:rsidP="00103A06">
      <w:pPr>
        <w:rPr>
          <w:rFonts w:cstheme="minorHAnsi"/>
        </w:rPr>
      </w:pPr>
    </w:p>
    <w:p w14:paraId="369B16C6" w14:textId="77777777" w:rsidR="00103A06" w:rsidRDefault="00103A06" w:rsidP="00103A06">
      <w:pPr>
        <w:rPr>
          <w:rFonts w:cstheme="minorHAnsi"/>
        </w:rPr>
      </w:pPr>
    </w:p>
    <w:p w14:paraId="2299ABD7" w14:textId="77777777" w:rsidR="00103A06" w:rsidRDefault="00103A06" w:rsidP="00103A06">
      <w:pPr>
        <w:rPr>
          <w:rFonts w:cstheme="minorHAnsi"/>
        </w:rPr>
      </w:pPr>
    </w:p>
    <w:p w14:paraId="0B57235B" w14:textId="77777777" w:rsidR="00103A06" w:rsidRDefault="00103A06" w:rsidP="00103A06">
      <w:pPr>
        <w:rPr>
          <w:rFonts w:cstheme="minorHAnsi"/>
        </w:rPr>
      </w:pPr>
    </w:p>
    <w:p w14:paraId="7988D420" w14:textId="77777777" w:rsidR="00103A06" w:rsidRPr="00103A06" w:rsidRDefault="00103A06" w:rsidP="00103A06">
      <w:pPr>
        <w:rPr>
          <w:rFonts w:cstheme="minorHAnsi"/>
        </w:rPr>
      </w:pPr>
    </w:p>
    <w:p w14:paraId="6510ED06" w14:textId="5FA5D662" w:rsidR="004D6C07" w:rsidRPr="00103A06" w:rsidRDefault="00A463A8" w:rsidP="00103A06">
      <w:pPr>
        <w:pStyle w:val="Heading1"/>
        <w:rPr>
          <w:sz w:val="40"/>
          <w:szCs w:val="40"/>
        </w:rPr>
      </w:pPr>
      <w:bookmarkStart w:id="110" w:name="_Toc172095764"/>
      <w:bookmarkStart w:id="111" w:name="_Toc178780093"/>
      <w:bookmarkStart w:id="112" w:name="_Toc178838859"/>
      <w:bookmarkStart w:id="113" w:name="_Toc178839046"/>
      <w:bookmarkStart w:id="114" w:name="_Toc178839167"/>
      <w:bookmarkStart w:id="115" w:name="_Toc178839396"/>
      <w:bookmarkStart w:id="116" w:name="_Toc178841606"/>
      <w:bookmarkStart w:id="117" w:name="_Toc179198165"/>
      <w:bookmarkStart w:id="118" w:name="_Toc179198413"/>
      <w:bookmarkStart w:id="119" w:name="_Toc179198521"/>
      <w:bookmarkStart w:id="120" w:name="_Toc179198628"/>
      <w:bookmarkStart w:id="121" w:name="_Toc179446072"/>
      <w:bookmarkStart w:id="122" w:name="_Toc179447103"/>
      <w:bookmarkStart w:id="123" w:name="_Toc179448643"/>
      <w:bookmarkStart w:id="124" w:name="_Toc179448804"/>
      <w:bookmarkStart w:id="125" w:name="_Toc179449191"/>
      <w:bookmarkStart w:id="126" w:name="_Toc179452894"/>
      <w:bookmarkStart w:id="127" w:name="_Toc179461407"/>
      <w:bookmarkStart w:id="128" w:name="_Toc179461852"/>
      <w:bookmarkStart w:id="129" w:name="_Toc179465212"/>
      <w:bookmarkStart w:id="130" w:name="_Toc179467023"/>
      <w:bookmarkStart w:id="131" w:name="_Toc179467079"/>
      <w:bookmarkStart w:id="132" w:name="_Toc179467156"/>
      <w:bookmarkStart w:id="133" w:name="_Toc179467231"/>
      <w:bookmarkStart w:id="134" w:name="_Toc179467415"/>
      <w:bookmarkStart w:id="135" w:name="_Toc179467653"/>
      <w:bookmarkStart w:id="136" w:name="_Toc179468027"/>
      <w:bookmarkStart w:id="137" w:name="_Toc179468286"/>
      <w:bookmarkStart w:id="138" w:name="_Toc179468528"/>
      <w:bookmarkStart w:id="139" w:name="_Toc179483231"/>
      <w:bookmarkStart w:id="140" w:name="_Toc179486299"/>
      <w:bookmarkStart w:id="141" w:name="_Toc179487904"/>
      <w:bookmarkStart w:id="142" w:name="_Toc179489207"/>
      <w:bookmarkStart w:id="143" w:name="_Toc179531332"/>
      <w:bookmarkStart w:id="144" w:name="_Toc179536005"/>
      <w:bookmarkStart w:id="145" w:name="_Toc179537844"/>
      <w:bookmarkStart w:id="146" w:name="_Toc179537908"/>
      <w:bookmarkStart w:id="147" w:name="_Toc179538075"/>
      <w:bookmarkStart w:id="148" w:name="_Toc179538888"/>
      <w:bookmarkStart w:id="149" w:name="_Toc179539207"/>
      <w:bookmarkStart w:id="150" w:name="_Toc179539323"/>
      <w:bookmarkStart w:id="151" w:name="_Toc179539461"/>
      <w:bookmarkStart w:id="152" w:name="_Toc179539557"/>
      <w:bookmarkStart w:id="153" w:name="_Toc179539643"/>
      <w:bookmarkStart w:id="154" w:name="_Toc179539733"/>
      <w:bookmarkStart w:id="155" w:name="_Toc179540417"/>
      <w:bookmarkStart w:id="156" w:name="_Toc179541762"/>
      <w:bookmarkStart w:id="157" w:name="_Toc179542954"/>
      <w:bookmarkStart w:id="158" w:name="_Toc180571281"/>
      <w:r w:rsidRPr="00540CED">
        <w:rPr>
          <w:sz w:val="40"/>
          <w:szCs w:val="40"/>
        </w:rPr>
        <w:lastRenderedPageBreak/>
        <w:t>He Kupu wha</w:t>
      </w:r>
      <w:r w:rsidR="004D6C07" w:rsidRPr="00540CED">
        <w:rPr>
          <w:sz w:val="40"/>
          <w:szCs w:val="40"/>
        </w:rPr>
        <w:t>kataki – Forward</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14:paraId="0BB36F0D" w14:textId="781E578C" w:rsidR="006C3CC4" w:rsidRPr="00E4634D" w:rsidRDefault="006C3CC4" w:rsidP="00903743">
      <w:pPr>
        <w:spacing w:before="0" w:after="60" w:line="240" w:lineRule="auto"/>
        <w:jc w:val="center"/>
        <w:rPr>
          <w:lang w:val="pt-BR"/>
        </w:rPr>
      </w:pPr>
      <w:r w:rsidRPr="00E4634D">
        <w:t xml:space="preserve">E </w:t>
      </w:r>
      <w:r w:rsidRPr="00E4634D">
        <w:rPr>
          <w:u w:val="single"/>
        </w:rPr>
        <w:t>k</w:t>
      </w:r>
      <w:r w:rsidRPr="00E4634D">
        <w:t xml:space="preserve">ā mana e </w:t>
      </w:r>
      <w:r w:rsidRPr="00E4634D">
        <w:rPr>
          <w:u w:val="single"/>
        </w:rPr>
        <w:t>k</w:t>
      </w:r>
      <w:r w:rsidRPr="00E4634D">
        <w:t>ā reo rau ra</w:t>
      </w:r>
      <w:r w:rsidRPr="00E4634D">
        <w:rPr>
          <w:u w:val="single"/>
        </w:rPr>
        <w:t>k</w:t>
      </w:r>
      <w:r w:rsidRPr="00E4634D">
        <w:t xml:space="preserve">atira ma. </w:t>
      </w:r>
      <w:r w:rsidRPr="00E4634D">
        <w:rPr>
          <w:u w:val="single"/>
        </w:rPr>
        <w:t>K</w:t>
      </w:r>
      <w:r w:rsidRPr="00E4634D">
        <w:t>ā mihi kia ra</w:t>
      </w:r>
      <w:r w:rsidRPr="00E4634D">
        <w:rPr>
          <w:u w:val="single"/>
        </w:rPr>
        <w:t>k</w:t>
      </w:r>
      <w:r w:rsidRPr="00E4634D">
        <w:t xml:space="preserve">inui me papatūānuku, </w:t>
      </w:r>
      <w:r w:rsidRPr="00E4634D">
        <w:rPr>
          <w:u w:val="single"/>
        </w:rPr>
        <w:t>K</w:t>
      </w:r>
      <w:r w:rsidRPr="00E4634D">
        <w:t>ā mihi kia Tāne mahuta, ta</w:t>
      </w:r>
      <w:r w:rsidRPr="00E4634D">
        <w:rPr>
          <w:u w:val="single"/>
        </w:rPr>
        <w:t>k</w:t>
      </w:r>
      <w:r w:rsidRPr="00E4634D">
        <w:t xml:space="preserve">aroa, me </w:t>
      </w:r>
      <w:r w:rsidRPr="00E4634D">
        <w:rPr>
          <w:u w:val="single"/>
        </w:rPr>
        <w:t>k</w:t>
      </w:r>
      <w:r w:rsidRPr="00E4634D">
        <w:t xml:space="preserve">ā atua katoa.  </w:t>
      </w:r>
      <w:r w:rsidRPr="00E4634D">
        <w:rPr>
          <w:lang w:val="pt-BR"/>
        </w:rPr>
        <w:t>E ka hu</w:t>
      </w:r>
      <w:r w:rsidRPr="00E4634D">
        <w:rPr>
          <w:u w:val="single"/>
          <w:lang w:val="pt-BR"/>
        </w:rPr>
        <w:t>k</w:t>
      </w:r>
      <w:r w:rsidRPr="00E4634D">
        <w:rPr>
          <w:lang w:val="pt-BR"/>
        </w:rPr>
        <w:t>a mate kua whetura</w:t>
      </w:r>
      <w:r w:rsidRPr="00E4634D">
        <w:rPr>
          <w:u w:val="single"/>
          <w:lang w:val="pt-BR"/>
        </w:rPr>
        <w:t>k</w:t>
      </w:r>
      <w:r w:rsidRPr="00E4634D">
        <w:rPr>
          <w:lang w:val="pt-BR"/>
        </w:rPr>
        <w:t>itia, moe mai rā.  E ki ana te Whakataukī.</w:t>
      </w:r>
    </w:p>
    <w:p w14:paraId="7DB7F7FF" w14:textId="77777777" w:rsidR="006C3CC4" w:rsidRPr="00E4634D" w:rsidRDefault="006C3CC4" w:rsidP="00903743">
      <w:pPr>
        <w:spacing w:before="0" w:after="60" w:line="240" w:lineRule="auto"/>
        <w:jc w:val="center"/>
      </w:pPr>
      <w:r w:rsidRPr="00E4634D">
        <w:t>Toitū te marae a Tāne-Mahuta, toitū te marae a Tangaroa, toitū te takata</w:t>
      </w:r>
    </w:p>
    <w:p w14:paraId="15B1ED45" w14:textId="77777777" w:rsidR="006C3CC4" w:rsidRPr="00E4634D" w:rsidRDefault="006C3CC4" w:rsidP="00903743">
      <w:pPr>
        <w:spacing w:before="0" w:after="60" w:line="240" w:lineRule="auto"/>
        <w:jc w:val="center"/>
      </w:pPr>
      <w:r w:rsidRPr="00E4634D">
        <w:t>If the land is well and the sea is well, the people will thrive.</w:t>
      </w:r>
    </w:p>
    <w:p w14:paraId="074CE96B" w14:textId="3AAFB51A" w:rsidR="00903743" w:rsidRPr="00903743" w:rsidRDefault="006C3CC4" w:rsidP="00903743">
      <w:pPr>
        <w:spacing w:before="0" w:after="60" w:line="240" w:lineRule="auto"/>
        <w:jc w:val="center"/>
        <w:rPr>
          <w:lang w:val="pt-BR"/>
        </w:rPr>
      </w:pPr>
      <w:r w:rsidRPr="00E4634D">
        <w:rPr>
          <w:lang w:val="pt-BR"/>
        </w:rPr>
        <w:t>No reira tēna koutou tēna koutou tēna tātou katoa.</w:t>
      </w:r>
    </w:p>
    <w:p w14:paraId="5D505E68" w14:textId="77777777" w:rsidR="00903743" w:rsidRDefault="00903743" w:rsidP="00103A06"/>
    <w:p w14:paraId="19BEAE19" w14:textId="459E19CB" w:rsidR="006C3CC4" w:rsidRPr="00E4634D" w:rsidRDefault="006C3CC4" w:rsidP="00103A06">
      <w:r w:rsidRPr="00E4634D">
        <w:t>This work is part of a suite of special projects commissioned by Te Whatu Ora and Te Aka Whai Ora from a range of providers, aimed at enabling improvements in the consistency, quality, cultural safety, and evidence-base of alcohol and drug services in Aotearoa. These projects serve as a wayfaring point (guiding compass) for national-level changes, aimed at promoting, protecting, and strengthening the wellbeing of people who use alcohol and other drugs - and the people who walk alongside them. Our overarching aspiration is to ensure that all people who use alcohol and other drugs have timely and equitable access to comprehensive care and treatment, including harm reduction services.</w:t>
      </w:r>
    </w:p>
    <w:p w14:paraId="4329A436" w14:textId="77777777" w:rsidR="006C3CC4" w:rsidRPr="00E4634D" w:rsidRDefault="006C3CC4" w:rsidP="00103A06">
      <w:r w:rsidRPr="00E4634D">
        <w:t>We need to go beyond providing isolated clinical support alone; we need to be inclusive of culture and cultural practices and be mindful of the connection between culture and wellbeing. Whānau seeking help deserve safe environments and opportunities for meaningful connection, the ability to determine their own aspirations for oranga (wellbeing), and the fundamental right to live free from racism, stigma, and discrimination.</w:t>
      </w:r>
    </w:p>
    <w:p w14:paraId="1A540800" w14:textId="77777777" w:rsidR="00903743" w:rsidRDefault="006C3CC4" w:rsidP="00103A06">
      <w:r w:rsidRPr="00E4634D">
        <w:t>The addiction sector, often referred to as a close-knit family, is committed to making a tangible difference in the lives of whānau presenting with alcohol and other drug challenges. These special projects stand as a testament to the unwavering dedication, compassion, and tireless efforts of the alcohol and other drug workforce in uplifting and supporting those dealing with addiction. Together, let us work towards the realisation of a society where every person, regardless of their circumstances, can access the care and support needed to overcome the challenges posed by addiction.</w:t>
      </w:r>
    </w:p>
    <w:p w14:paraId="64B87A7E" w14:textId="578166DD" w:rsidR="006C3CC4" w:rsidRPr="00E4634D" w:rsidRDefault="006C3CC4" w:rsidP="00103A06">
      <w:r w:rsidRPr="00E4634D">
        <w:t>We extend our deepest appreciation to all those who have contributed to these special projects. Your feedback, insights, and contribution have not only guided this report, but will also lead to a deeper understanding of opioid substance treatment (OST), treatment in residential settings, approaches to continuing care, harm reduction in practice, and managing cognitive impairment. Together, let us continue to forge a path of compassion, understanding, and progress.</w:t>
      </w:r>
    </w:p>
    <w:p w14:paraId="6F31A151" w14:textId="77777777" w:rsidR="00903743" w:rsidRDefault="006C3CC4" w:rsidP="00103A06">
      <w:r w:rsidRPr="00E4634D">
        <w:t>Nā Whare Tukutuku</w:t>
      </w:r>
    </w:p>
    <w:p w14:paraId="3A5B14C1" w14:textId="495A2ADF" w:rsidR="006C3CC4" w:rsidRDefault="006C3CC4" w:rsidP="006C3CC4">
      <w:r w:rsidRPr="00E4634D">
        <w:t>Ōtepoti, 2023</w:t>
      </w:r>
    </w:p>
    <w:p w14:paraId="4A444003" w14:textId="77777777" w:rsidR="006C3CC4" w:rsidRPr="00903743" w:rsidRDefault="006C3CC4" w:rsidP="00903743">
      <w:pPr>
        <w:pStyle w:val="Heading1"/>
      </w:pPr>
      <w:bookmarkStart w:id="159" w:name="_Toc172095765"/>
      <w:bookmarkStart w:id="160" w:name="_Toc178780094"/>
      <w:bookmarkStart w:id="161" w:name="_Toc178838860"/>
      <w:bookmarkStart w:id="162" w:name="_Toc178839047"/>
      <w:bookmarkStart w:id="163" w:name="_Toc178839168"/>
      <w:bookmarkStart w:id="164" w:name="_Toc178839397"/>
      <w:bookmarkStart w:id="165" w:name="_Toc178841607"/>
      <w:bookmarkStart w:id="166" w:name="_Toc179198166"/>
      <w:bookmarkStart w:id="167" w:name="_Toc179198414"/>
      <w:bookmarkStart w:id="168" w:name="_Toc179198522"/>
      <w:bookmarkStart w:id="169" w:name="_Toc179198629"/>
      <w:bookmarkStart w:id="170" w:name="_Toc179446073"/>
      <w:bookmarkStart w:id="171" w:name="_Toc179447104"/>
      <w:bookmarkStart w:id="172" w:name="_Toc179448644"/>
      <w:bookmarkStart w:id="173" w:name="_Toc179448805"/>
      <w:bookmarkStart w:id="174" w:name="_Toc179449192"/>
      <w:bookmarkStart w:id="175" w:name="_Toc179452895"/>
      <w:bookmarkStart w:id="176" w:name="_Toc179461408"/>
      <w:bookmarkStart w:id="177" w:name="_Toc179461853"/>
      <w:bookmarkStart w:id="178" w:name="_Toc179465213"/>
      <w:bookmarkStart w:id="179" w:name="_Toc179467024"/>
      <w:bookmarkStart w:id="180" w:name="_Toc179467080"/>
      <w:bookmarkStart w:id="181" w:name="_Toc179467157"/>
      <w:bookmarkStart w:id="182" w:name="_Toc179467232"/>
      <w:bookmarkStart w:id="183" w:name="_Toc179467416"/>
      <w:bookmarkStart w:id="184" w:name="_Toc179467654"/>
      <w:bookmarkStart w:id="185" w:name="_Toc179468028"/>
      <w:bookmarkStart w:id="186" w:name="_Toc179468287"/>
      <w:bookmarkStart w:id="187" w:name="_Toc179468529"/>
      <w:bookmarkStart w:id="188" w:name="_Toc179483232"/>
      <w:bookmarkStart w:id="189" w:name="_Toc179486300"/>
      <w:bookmarkStart w:id="190" w:name="_Toc179487905"/>
      <w:bookmarkStart w:id="191" w:name="_Toc179489208"/>
      <w:bookmarkStart w:id="192" w:name="_Toc179531333"/>
      <w:bookmarkStart w:id="193" w:name="_Toc179536006"/>
      <w:bookmarkStart w:id="194" w:name="_Toc179537845"/>
      <w:bookmarkStart w:id="195" w:name="_Toc179537909"/>
      <w:bookmarkStart w:id="196" w:name="_Toc179538076"/>
      <w:bookmarkStart w:id="197" w:name="_Toc179538889"/>
      <w:bookmarkStart w:id="198" w:name="_Toc179539208"/>
      <w:bookmarkStart w:id="199" w:name="_Toc179539324"/>
      <w:bookmarkStart w:id="200" w:name="_Toc179539462"/>
      <w:bookmarkStart w:id="201" w:name="_Toc179539559"/>
      <w:bookmarkStart w:id="202" w:name="_Toc179539644"/>
      <w:bookmarkStart w:id="203" w:name="_Toc179539734"/>
      <w:bookmarkStart w:id="204" w:name="_Toc179540418"/>
      <w:bookmarkStart w:id="205" w:name="_Toc179541763"/>
      <w:bookmarkStart w:id="206" w:name="_Toc179542955"/>
      <w:bookmarkStart w:id="207" w:name="_Toc180571282"/>
      <w:r w:rsidRPr="00903743">
        <w:lastRenderedPageBreak/>
        <w:t>Background</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p w14:paraId="37587F98" w14:textId="77777777" w:rsidR="006C3CC4" w:rsidRPr="00903743" w:rsidRDefault="006C3CC4" w:rsidP="00903743">
      <w:pPr>
        <w:pStyle w:val="Heading2"/>
      </w:pPr>
      <w:bookmarkStart w:id="208" w:name="_Toc172095766"/>
      <w:bookmarkStart w:id="209" w:name="_Toc178780095"/>
      <w:bookmarkStart w:id="210" w:name="_Toc178838861"/>
      <w:bookmarkStart w:id="211" w:name="_Toc178839048"/>
      <w:bookmarkStart w:id="212" w:name="_Toc178839169"/>
      <w:bookmarkStart w:id="213" w:name="_Toc178839398"/>
      <w:bookmarkStart w:id="214" w:name="_Toc178841608"/>
      <w:bookmarkStart w:id="215" w:name="_Toc179198167"/>
      <w:bookmarkStart w:id="216" w:name="_Toc179198415"/>
      <w:bookmarkStart w:id="217" w:name="_Toc179198523"/>
      <w:bookmarkStart w:id="218" w:name="_Toc179198630"/>
      <w:bookmarkStart w:id="219" w:name="_Toc179446074"/>
      <w:bookmarkStart w:id="220" w:name="_Toc179447105"/>
      <w:bookmarkStart w:id="221" w:name="_Toc179448645"/>
      <w:bookmarkStart w:id="222" w:name="_Toc179448806"/>
      <w:bookmarkStart w:id="223" w:name="_Toc179449193"/>
      <w:bookmarkStart w:id="224" w:name="_Toc179452896"/>
      <w:bookmarkStart w:id="225" w:name="_Toc179461409"/>
      <w:bookmarkStart w:id="226" w:name="_Toc179461854"/>
      <w:bookmarkStart w:id="227" w:name="_Toc179465214"/>
      <w:bookmarkStart w:id="228" w:name="_Toc179467025"/>
      <w:bookmarkStart w:id="229" w:name="_Toc179467081"/>
      <w:bookmarkStart w:id="230" w:name="_Toc179467158"/>
      <w:bookmarkStart w:id="231" w:name="_Toc179467233"/>
      <w:bookmarkStart w:id="232" w:name="_Toc179467417"/>
      <w:bookmarkStart w:id="233" w:name="_Toc179467655"/>
      <w:bookmarkStart w:id="234" w:name="_Toc179468029"/>
      <w:bookmarkStart w:id="235" w:name="_Toc179468288"/>
      <w:bookmarkStart w:id="236" w:name="_Toc179468530"/>
      <w:bookmarkStart w:id="237" w:name="_Toc179483233"/>
      <w:bookmarkStart w:id="238" w:name="_Toc179486301"/>
      <w:bookmarkStart w:id="239" w:name="_Toc179487906"/>
      <w:bookmarkStart w:id="240" w:name="_Toc179489209"/>
      <w:bookmarkStart w:id="241" w:name="_Toc179531334"/>
      <w:bookmarkStart w:id="242" w:name="_Toc179536007"/>
      <w:bookmarkStart w:id="243" w:name="_Toc179537846"/>
      <w:bookmarkStart w:id="244" w:name="_Toc179537910"/>
      <w:bookmarkStart w:id="245" w:name="_Toc179538077"/>
      <w:bookmarkStart w:id="246" w:name="_Toc179538890"/>
      <w:bookmarkStart w:id="247" w:name="_Toc179539209"/>
      <w:bookmarkStart w:id="248" w:name="_Toc179539325"/>
      <w:bookmarkStart w:id="249" w:name="_Toc179539463"/>
      <w:bookmarkStart w:id="250" w:name="_Toc179539560"/>
      <w:bookmarkStart w:id="251" w:name="_Toc179539645"/>
      <w:bookmarkStart w:id="252" w:name="_Toc179539735"/>
      <w:bookmarkStart w:id="253" w:name="_Toc179540419"/>
      <w:bookmarkStart w:id="254" w:name="_Toc179541764"/>
      <w:bookmarkStart w:id="255" w:name="_Toc179542956"/>
      <w:bookmarkStart w:id="256" w:name="_Toc180571283"/>
      <w:r w:rsidRPr="00903743">
        <w:t>Aim, purpose and scope</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14:paraId="5923AF27" w14:textId="77777777" w:rsidR="006C3CC4" w:rsidRPr="00134705" w:rsidRDefault="006C3CC4" w:rsidP="007B2413">
      <w:r w:rsidRPr="00134705">
        <w:t xml:space="preserve">These cognitive screening and support guidelines are for the alcohol and other drug (AOD) treatment workforce in Aotearoa. They are designed to help workers without previous training in the delivery of cognitive screening. The concepts will be useful across different settings. </w:t>
      </w:r>
    </w:p>
    <w:p w14:paraId="49034934" w14:textId="77777777" w:rsidR="006C3CC4" w:rsidRPr="00134705" w:rsidRDefault="006C3CC4" w:rsidP="007B2413">
      <w:r w:rsidRPr="00134705">
        <w:rPr>
          <w:lang w:eastAsia="en-NZ"/>
        </w:rPr>
        <w:t xml:space="preserve">These are the first guidelines developed in Aotearoa focused on screening and support for cognitive impairment in AOD settings. </w:t>
      </w:r>
      <w:r w:rsidRPr="00134705">
        <w:t xml:space="preserve">They aim to provide guidance to effectively recognise and support responding to tāngata whai ora and whānau experiencing cognitive impairment when accessing or seeking to access AOD services. They are intended to support culturally responsive engagement and positive outcomes by utilising tāngata whai ora and whānau strengths and supporting their values and aspirations. </w:t>
      </w:r>
    </w:p>
    <w:p w14:paraId="1E1C2829" w14:textId="77777777" w:rsidR="006C3CC4" w:rsidRPr="00134705" w:rsidRDefault="006C3CC4" w:rsidP="007B2413">
      <w:r w:rsidRPr="00134705">
        <w:t>The content includes an overview of screening for cognitive impairment and some insights into capacity assessment. It introduces</w:t>
      </w:r>
      <w:r w:rsidRPr="00134705" w:rsidDel="00103512">
        <w:t xml:space="preserve"> </w:t>
      </w:r>
      <w:r w:rsidRPr="00134705">
        <w:t>the different cognitive domains and some practical ways to support tāngata, whānau and service delivery, while also being sensitive and responsive to the diverse needs of individuals within the community. Outside the scope of these guidelines is wider systemic and service implementation which requires consideration of broader issues. This includes resourcing for services (including kaupapa Māori</w:t>
      </w:r>
      <w:r w:rsidRPr="00134705">
        <w:rPr>
          <w:rStyle w:val="FootnoteReference"/>
          <w:sz w:val="22"/>
        </w:rPr>
        <w:footnoteReference w:id="1"/>
      </w:r>
      <w:r w:rsidRPr="00134705">
        <w:t xml:space="preserve"> services) to enable effective cognitive screening, neuropsychological assessment, and support; adaptations to how substance use treatment and support is delivered; and workforce development. The guidelines also do not provide in-depth understanding or response to specific areas of practice, such as capacity assessment as required under the </w:t>
      </w:r>
      <w:r w:rsidRPr="00134705">
        <w:rPr>
          <w:i/>
          <w:iCs/>
        </w:rPr>
        <w:t>Substance Addiction (Compulsory Assessment and Treatment) Act 2017</w:t>
      </w:r>
      <w:r w:rsidRPr="00134705">
        <w:t xml:space="preserve"> (SACAT Act), Fetal Alcohol Spectrum Disorder (FASD) or other neurodivergent conditions, and alcohol related brain injury (prevention or treatment). Other guidelines, or resources, can provide more specific information on these areas of practice.</w:t>
      </w:r>
    </w:p>
    <w:p w14:paraId="393D5F52" w14:textId="77777777" w:rsidR="006C3CC4" w:rsidRPr="007B2413" w:rsidRDefault="006C3CC4" w:rsidP="007B2413">
      <w:pPr>
        <w:rPr>
          <w:b/>
          <w:bCs/>
        </w:rPr>
      </w:pPr>
      <w:r w:rsidRPr="007B2413">
        <w:rPr>
          <w:b/>
          <w:bCs/>
        </w:rPr>
        <w:t xml:space="preserve">These guidelines aim to guide practice but are not prescriptive. They should be used in conjunction with workplace policies. They should not replace sound clinical judgement or override the needs and preferences of tāngata whai ora. </w:t>
      </w:r>
    </w:p>
    <w:p w14:paraId="027EB000" w14:textId="77777777" w:rsidR="006C3CC4" w:rsidRPr="00903743" w:rsidRDefault="006C3CC4" w:rsidP="00903743">
      <w:pPr>
        <w:pStyle w:val="Heading2"/>
      </w:pPr>
      <w:bookmarkStart w:id="257" w:name="_Toc142047671"/>
      <w:bookmarkStart w:id="258" w:name="_Toc142288673"/>
      <w:bookmarkStart w:id="259" w:name="_Toc142309898"/>
      <w:bookmarkStart w:id="260" w:name="_Toc142562290"/>
      <w:bookmarkStart w:id="261" w:name="_Toc172095767"/>
      <w:bookmarkStart w:id="262" w:name="_Toc178780096"/>
      <w:bookmarkStart w:id="263" w:name="_Toc178838862"/>
      <w:bookmarkStart w:id="264" w:name="_Toc178839049"/>
      <w:bookmarkStart w:id="265" w:name="_Toc178839170"/>
      <w:bookmarkStart w:id="266" w:name="_Toc178839399"/>
      <w:bookmarkStart w:id="267" w:name="_Toc178841609"/>
      <w:bookmarkStart w:id="268" w:name="_Toc179198168"/>
      <w:bookmarkStart w:id="269" w:name="_Toc179198416"/>
      <w:bookmarkStart w:id="270" w:name="_Toc179198524"/>
      <w:bookmarkStart w:id="271" w:name="_Toc179198631"/>
      <w:bookmarkStart w:id="272" w:name="_Toc179446075"/>
      <w:bookmarkStart w:id="273" w:name="_Toc179447106"/>
      <w:bookmarkStart w:id="274" w:name="_Toc179448646"/>
      <w:bookmarkStart w:id="275" w:name="_Toc179448807"/>
      <w:bookmarkStart w:id="276" w:name="_Toc179449194"/>
      <w:bookmarkStart w:id="277" w:name="_Toc179452897"/>
      <w:bookmarkStart w:id="278" w:name="_Toc179461410"/>
      <w:bookmarkStart w:id="279" w:name="_Toc179461855"/>
      <w:bookmarkStart w:id="280" w:name="_Toc179465215"/>
      <w:bookmarkStart w:id="281" w:name="_Toc179467026"/>
      <w:bookmarkStart w:id="282" w:name="_Toc179467082"/>
      <w:bookmarkStart w:id="283" w:name="_Toc179467159"/>
      <w:bookmarkStart w:id="284" w:name="_Toc179467234"/>
      <w:bookmarkStart w:id="285" w:name="_Toc179467418"/>
      <w:bookmarkStart w:id="286" w:name="_Toc179467656"/>
      <w:bookmarkStart w:id="287" w:name="_Toc179468030"/>
      <w:bookmarkStart w:id="288" w:name="_Toc179468289"/>
      <w:bookmarkStart w:id="289" w:name="_Toc179468531"/>
      <w:bookmarkStart w:id="290" w:name="_Toc179483234"/>
      <w:bookmarkStart w:id="291" w:name="_Toc179486302"/>
      <w:bookmarkStart w:id="292" w:name="_Toc179487907"/>
      <w:bookmarkStart w:id="293" w:name="_Toc179489210"/>
      <w:bookmarkStart w:id="294" w:name="_Toc179531335"/>
      <w:bookmarkStart w:id="295" w:name="_Toc179536008"/>
      <w:bookmarkStart w:id="296" w:name="_Toc179537847"/>
      <w:bookmarkStart w:id="297" w:name="_Toc179537911"/>
      <w:bookmarkStart w:id="298" w:name="_Toc179538078"/>
      <w:bookmarkStart w:id="299" w:name="_Toc179538891"/>
      <w:bookmarkStart w:id="300" w:name="_Toc179539210"/>
      <w:bookmarkStart w:id="301" w:name="_Toc179539326"/>
      <w:bookmarkStart w:id="302" w:name="_Toc179539464"/>
      <w:bookmarkStart w:id="303" w:name="_Toc179539561"/>
      <w:bookmarkStart w:id="304" w:name="_Toc179539646"/>
      <w:bookmarkStart w:id="305" w:name="_Toc179539736"/>
      <w:bookmarkStart w:id="306" w:name="_Toc179540420"/>
      <w:bookmarkStart w:id="307" w:name="_Toc179541765"/>
      <w:bookmarkStart w:id="308" w:name="_Toc179542957"/>
      <w:bookmarkStart w:id="309" w:name="_Toc180571284"/>
      <w:r w:rsidRPr="00903743">
        <w:lastRenderedPageBreak/>
        <w:t>Why these guidelines are needed</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p w14:paraId="51328FFE" w14:textId="77777777" w:rsidR="006C3CC4" w:rsidRPr="00134705" w:rsidRDefault="006C3CC4" w:rsidP="007B2413">
      <w:pPr>
        <w:pStyle w:val="Bulletpoint"/>
      </w:pPr>
      <w:r w:rsidRPr="00134705">
        <w:t>Between 30 and 80 percent of tāngata whai ora accessing AOD services are estimated to experience cognitive impairment.</w:t>
      </w:r>
      <w:r w:rsidRPr="00134705">
        <w:rPr>
          <w:vertAlign w:val="superscript"/>
        </w:rPr>
        <w:fldChar w:fldCharType="begin"/>
      </w:r>
      <w:r w:rsidRPr="00134705">
        <w:rPr>
          <w:vertAlign w:val="superscript"/>
        </w:rPr>
        <w:instrText xml:space="preserve"> ADDIN ZOTERO_ITEM CSL_CITATION {"citationID":"B41iOnYb","properties":{"formattedCitation":"\\super 1\\uc0\\u8211{}3\\nosupersub{}","plainCitation":"1–3","noteIndex":0},"citationItems":[{"id":12881,"uris":["http://zotero.org/groups/4745233/items/AL69YR82"],"itemData":{"id":12881,"type":"article-journal","container-title":"Drug and Alcohol Review","DOI":"10.1111/dar.12922","ISSN":"0959-5236, 1465-3362","issue":"4","journalAbbreviation":"Drug Alcohol Rev.","language":"en","page":"435-442","source":"DOI.org (Crossref)","title":"Prevalence of cognitive impairment in patients with substance use disorder","volume":"38","author":[{"family":"Bruijnen","given":"Carolien J. W. H."},{"family":"Dijkstra","given":"Boukje A. G."},{"family":"Walvoort","given":"Serge J. W."},{"family":"Markus","given":"Wiebren"},{"family":"VanDerNagel","given":"Joanne E. L."},{"family":"Kessels","given":"Roy P. C."},{"family":"DE Jong","given":"Cornelis A. J."}],"issued":{"date-parts":[["2019",5]]}}},{"id":14006,"uris":["http://zotero.org/groups/4745233/items/TW3KE9KV"],"itemData":{"id":14006,"type":"article-journal","abstract":"Objectives:Cognitive impairment is common in individuals with substance use disorders (SUDs), yet no evidence-based guidelines exist regarding the most appropriate screening measure for use in this population. This systematic review aimed to (1) describe different cognitive screening measures used in adults with SUDs, (2) identify substance use populations and contexts these tools are utilised in, (3) review diagnostic accuracy of these screening measures versus an accepted objective reference standard, and (4) evaluate methodology of included studies for risk of bias.Methods:Online databases (PsycINFO, MEDLINE, Embase, and CINAHL) were searched for relevant studies according to pre-determined criteria, and risk of bias and applicability was assessed using the Quality Assessment of Diagnostic Accuracy Studies–2 (QUADAS–2). At each review phase, dual screening, extraction, and quality ratings were performed.Results:Fourteen studies met inclusion, identifying 10 unique cognitive screening tools. The Montreal Cognitive Assessment (MoCA) was the most common, and two novel screening tools (Brief Evaluation of Alcohol-Related Neuropsychological Impairments [BEARNI] and Brief Executive Function Assessment Tool [BEAT]) were specifically developed for use within SUD populations. Twelve studies reported on classification accuracy and relevant psychometric parameters (e.g., sensitivity and specificity). While several tools yielded acceptable to outstanding classification accuracy, there was poor adherence to the Standards for Reporting Diagnostic Accuracy Studies (STARD) across all studies, with high or unclear risk of methodological bias.Conclusions:While some screening tools exhibit promise for use within SUD populations, further evaluation with stronger methodological design and reporting is required. Clinical recommendations and future directions for research are discussed.","container-title":"Journal of the International Neuropsychological Society","DOI":"10.1017/S135561772100103X","ISSN":"1355-6177, 1469-7661","language":"en","note":"publisher: Cambridge University Press","page":"1-24","source":"Cambridge University Press","title":"Screening tools for cognitive impairment in adults with substance use disorders: A systematic review","title-short":"Screening Tools for Cognitive Impairment in Adults with Substance Use Disorders","author":[{"family":"Ko","given":"Katherine Y."},{"family":"Ridley","given":"Nicole"},{"family":"Bryce","given":"Shayden D."},{"family":"Allott","given":"Kelly"},{"family":"Smith","given":"Angela"},{"family":"Kamminga","given":"Jody"}],"issued":{"date-parts":[["2022"]]}}},{"id":14007,"uris":["http://zotero.org/groups/4745233/items/U3GGYCKU"],"itemData":{"id":14007,"type":"report","event-place":"Richmond, Victoria","language":"en","publisher":"Turning Point","publisher-place":"Richmond, Victoria","source":"Zotero","title":"Managing Cognitive Impairment in AOD Treatment: Practice Guidelines for Healthcare Professionals","URL":"https://www.turningpoint.org.au/treatment/clinicians/Managing-Cognitive-Impairment-in-AOD-Treatment-Guidelines","author":[{"family":"Manning","given":"Victoria"},{"family":"Gooden","given":"James"},{"family":"Cox","given":"Catherine"},{"family":"Whelan","given":"Danielle"},{"family":"Miroz","given":"Katherine"}],"issued":{"date-parts":[["2021"]]}}}],"schema":"https://github.com/citation-style-language/schema/raw/master/csl-citation.json"} </w:instrText>
      </w:r>
      <w:r w:rsidRPr="00134705">
        <w:rPr>
          <w:vertAlign w:val="superscript"/>
        </w:rPr>
        <w:fldChar w:fldCharType="separate"/>
      </w:r>
      <w:r w:rsidRPr="00134705">
        <w:rPr>
          <w:vertAlign w:val="superscript"/>
        </w:rPr>
        <w:t>1–3</w:t>
      </w:r>
      <w:r w:rsidRPr="00134705">
        <w:rPr>
          <w:vertAlign w:val="superscript"/>
        </w:rPr>
        <w:fldChar w:fldCharType="end"/>
      </w:r>
    </w:p>
    <w:p w14:paraId="1BCAF29F" w14:textId="77777777" w:rsidR="006C3CC4" w:rsidRPr="00134705" w:rsidRDefault="006C3CC4" w:rsidP="007B2413">
      <w:pPr>
        <w:pStyle w:val="Bulletpoint"/>
      </w:pPr>
      <w:r w:rsidRPr="00134705">
        <w:t>When someone experiences cognitive impairment, treatment needs to be adjusted and tailored to support engagement and recovery. Therefore, understanding and identifying cognitive impairment in AOD settings is important to support best outcomes.</w:t>
      </w:r>
    </w:p>
    <w:p w14:paraId="53CA8518" w14:textId="77777777" w:rsidR="006C3CC4" w:rsidRPr="00134705" w:rsidRDefault="006C3CC4" w:rsidP="007B2413">
      <w:pPr>
        <w:pStyle w:val="Bulletpoint"/>
      </w:pPr>
      <w:r w:rsidRPr="00134705">
        <w:t xml:space="preserve">Guidance is needed to ensure that identifying cognitive impairment is done in a way that avoids unnecessary harm and trauma and upholds people’s mana. </w:t>
      </w:r>
    </w:p>
    <w:p w14:paraId="1B60C090" w14:textId="77777777" w:rsidR="006C3CC4" w:rsidRPr="00134705" w:rsidRDefault="006C3CC4" w:rsidP="007B2413">
      <w:pPr>
        <w:pStyle w:val="Bulletpoint"/>
        <w:rPr>
          <w:rFonts w:cstheme="minorHAnsi"/>
          <w:lang w:eastAsia="en-NZ"/>
        </w:rPr>
      </w:pPr>
      <w:r w:rsidRPr="00134705">
        <w:rPr>
          <w:rFonts w:cstheme="minorHAnsi"/>
          <w:lang w:eastAsia="en-NZ"/>
        </w:rPr>
        <w:t xml:space="preserve">Failing to recognise cognitive impairment perpetuates and compounds stigma, discrimination, and inequities against tāngata whai ora accessing AOD services. </w:t>
      </w:r>
    </w:p>
    <w:p w14:paraId="69C81BCB" w14:textId="77777777" w:rsidR="006C3CC4" w:rsidRPr="00134705" w:rsidRDefault="006C3CC4" w:rsidP="007B2413">
      <w:pPr>
        <w:pStyle w:val="Bulletpoint"/>
        <w:rPr>
          <w:rFonts w:cstheme="minorHAnsi"/>
          <w:lang w:eastAsia="en-NZ"/>
        </w:rPr>
      </w:pPr>
      <w:r w:rsidRPr="00134705">
        <w:rPr>
          <w:rFonts w:cstheme="minorHAnsi"/>
          <w:lang w:eastAsia="en-NZ"/>
        </w:rPr>
        <w:t xml:space="preserve">Access to high quality health care is a human right in accordance with the </w:t>
      </w:r>
      <w:r w:rsidRPr="00134705">
        <w:rPr>
          <w:rFonts w:cstheme="minorHAnsi"/>
          <w:i/>
          <w:iCs/>
          <w:lang w:eastAsia="en-NZ"/>
        </w:rPr>
        <w:t>United Nations Convention on the Rights of Persons with Disabilities</w:t>
      </w:r>
      <w:r w:rsidRPr="00134705">
        <w:rPr>
          <w:rFonts w:cstheme="minorHAnsi"/>
          <w:lang w:eastAsia="en-NZ"/>
        </w:rPr>
        <w:t>.</w:t>
      </w:r>
      <w:r w:rsidRPr="00134705">
        <w:rPr>
          <w:rFonts w:cstheme="minorHAnsi"/>
          <w:lang w:eastAsia="en-NZ"/>
        </w:rPr>
        <w:fldChar w:fldCharType="begin"/>
      </w:r>
      <w:r w:rsidRPr="00134705">
        <w:rPr>
          <w:rFonts w:cstheme="minorHAnsi"/>
          <w:lang w:eastAsia="en-NZ"/>
        </w:rPr>
        <w:instrText xml:space="preserve"> ADDIN ZOTERO_ITEM CSL_CITATION {"citationID":"aaua2242ds","properties":{"formattedCitation":"\\super 4\\nosupersub{}","plainCitation":"4","noteIndex":0},"citationItems":[{"id":11611,"uris":["http://zotero.org/groups/4745232/items/PGZAIX3Z"],"itemData":{"id":11611,"type":"webpage","title":"Convention on the Rights of Persons with Disabilities","author":[{"family":"United Nations","given":""}],"issued":{"date-parts":[["2006"]]}}}],"schema":"https://github.com/citation-style-language/schema/raw/master/csl-citation.json"} </w:instrText>
      </w:r>
      <w:r w:rsidRPr="00134705">
        <w:rPr>
          <w:rFonts w:cstheme="minorHAnsi"/>
          <w:lang w:eastAsia="en-NZ"/>
        </w:rPr>
        <w:fldChar w:fldCharType="separate"/>
      </w:r>
      <w:r w:rsidRPr="00134705">
        <w:rPr>
          <w:rFonts w:cstheme="minorHAnsi"/>
          <w:vertAlign w:val="superscript"/>
        </w:rPr>
        <w:t>4</w:t>
      </w:r>
      <w:r w:rsidRPr="00134705">
        <w:rPr>
          <w:rFonts w:cstheme="minorHAnsi"/>
          <w:lang w:eastAsia="en-NZ"/>
        </w:rPr>
        <w:fldChar w:fldCharType="end"/>
      </w:r>
      <w:r w:rsidRPr="00134705">
        <w:rPr>
          <w:rFonts w:cstheme="minorHAnsi"/>
          <w:lang w:eastAsia="en-NZ"/>
        </w:rPr>
        <w:t xml:space="preserve"> </w:t>
      </w:r>
      <w:r w:rsidRPr="00134705">
        <w:rPr>
          <w:rFonts w:cstheme="minorHAnsi"/>
        </w:rPr>
        <w:t xml:space="preserve">Proper application of the guidelines should result in more people who experience cognitive impairment receiving better support from AOD services. </w:t>
      </w:r>
      <w:r w:rsidRPr="00134705">
        <w:rPr>
          <w:rFonts w:cstheme="minorHAnsi"/>
          <w:lang w:eastAsia="en-NZ"/>
        </w:rPr>
        <w:t xml:space="preserve">These guidelines should be applied in a way that does not present further barriers to tāngata whaikaha accessing mainstream AOD services. </w:t>
      </w:r>
    </w:p>
    <w:p w14:paraId="3CDF1F86" w14:textId="77777777" w:rsidR="006C3CC4" w:rsidRPr="00134705" w:rsidRDefault="006C3CC4" w:rsidP="007B2413">
      <w:pPr>
        <w:pStyle w:val="Bulletpoint"/>
        <w:rPr>
          <w:rFonts w:cstheme="minorHAnsi"/>
          <w:lang w:eastAsia="en-NZ"/>
        </w:rPr>
      </w:pPr>
      <w:r w:rsidRPr="00134705">
        <w:rPr>
          <w:rFonts w:cstheme="minorHAnsi"/>
          <w:lang w:eastAsia="en-NZ"/>
        </w:rPr>
        <w:t xml:space="preserve">Cognitive impairment can impact anyone. It can often get missed in AOD services. </w:t>
      </w:r>
      <w:r w:rsidRPr="00134705">
        <w:rPr>
          <w:rFonts w:cstheme="minorHAnsi"/>
        </w:rPr>
        <w:t>Some groups of people appear more likely to experience cognitive impairment and/or problematic substance use.</w:t>
      </w:r>
      <w:r w:rsidRPr="00134705">
        <w:rPr>
          <w:rFonts w:cstheme="minorHAnsi"/>
        </w:rPr>
        <w:fldChar w:fldCharType="begin"/>
      </w:r>
      <w:r w:rsidRPr="00134705">
        <w:rPr>
          <w:rFonts w:cstheme="minorHAnsi"/>
        </w:rPr>
        <w:instrText xml:space="preserve"> ADDIN ZOTERO_ITEM CSL_CITATION {"citationID":"a1u7ui5ecn0","properties":{"formattedCitation":"\\super 3,5\\uc0\\u8211{}26\\nosupersub{}","plainCitation":"3,5–26","noteIndex":0},"citationItems":[{"id":13156,"uris":["http://zotero.org/groups/4745233/items/6665C8E5"],"itemData":{"id":13156,"type":"article-journal","container-title":"Journal of Adolescence","DOI":"10.1016/j.adolescence.2019.02.011","language":"en","note":"DOI: 10.1016/j.adolescence.2019.02.011","page":"64-69","title":"Examining patterns of cognitive impairment among homeless and precariously housed urban youth","volume":"72","author":[{"family":"Barone","given":"Carmelina"},{"family":"Yamamoto","given":"Aiko"},{"family":"Richardson","given":"Chris G"},{"family":"Zivanovic","given":"Rebecca"},{"family":"Lin","given":"Daniel"},{"family":"Mathias","given":"Steve"}],"issued":{"date-parts":[["2019"]]}}},{"id":13111,"uris":["http://zotero.org/groups/4745233/items/BPEACPEA"],"itemData":{"id":13111,"type":"article-journal","abstract":"Objective Ethnicity may affect presentation to clinical services in people with dementia; however, no studies have examined this in Māori or Pacific peoples in New Zealand (NZ). Our objective was to examine the routinely collected clinical data from a memory assessment service in South Auckland to examine the presentation of dementia in the major NZ ethnic groups. Methods A total of 360 patients presenting to a memory service with a new diagnosis of dementia were included in this study. Demographic data (age, sex, and ethnicity) and dementia sub-type and severity were analyzed. Results There were 142 NZ European (mean age: 79.2, SD 7.4), 43 Māori (mean age: 70.2, SD 7.6), 126 Pacific (mean age: 74.3, SD 7.6), and 49 other ethnicities (mean age: 78.0, SD 8.5) presenting with a new diagnosis of dementia. After adjustment for gender and dementia subtype, Māori and Pacific patients were 8.5 and 5.3 years younger than NZ European patients (P &lt; 0.0001). Pacific peoples tended to present with more advanced dementia (OR = 1.63, 95% CI: 0.98–2.70, P = 0.06) after adjustment for age and gender. There was little difference in the subtypes of dementia between ethnic groups. Conclusions Māori and Pacific peoples with dementia presented to an NZ memory service at a younger age than NZ Europeans, and Pacific peoples presented with more advanced dementia. A population-based epidemiological study is critical to determine whether Māori and Pacific peoples have indeed a higher risk of developing dementia at a younger age.","container-title":"International Journal of Geriatric Psychiatry","DOI":"10.1002/gps.4898","ISSN":"1099-1166","issue":"8","language":"en","note":"_eprint: https://onlinelibrary.wiley.com/doi/pdf/10.1002/gps.4898","page":"1098-1104","source":"Wiley Online Library","title":"Do community-dwelling Māori and Pacific peoples present with dementia at a younger age and at a later stage compared with NZ Europeans?","volume":"33","author":[{"family":"Cullum","given":"Sarah"},{"family":"Mullin","given":"Katherine"},{"family":"Zeng","given":"Irene"},{"family":"Yates","given":"Susan"},{"family":"Payman","given":"Vahid"},{"family":"Fisher","given":"Mark"},{"family":"Cheung","given":"Gary"}],"issued":{"date-parts":[["2018"]]}},"label":"page"},{"id":13537,"uris":["http://zotero.org/groups/4745233/items/WNA5GS3I"],"itemData":{"id":13537,"type":"article-journal","abstract":"Purpose of review \n        To provide an overview of studies on substance use and substance use disorder (SUD) in individuals with mild intellectual disability or borderline intellectual functioning (MID–BIF).\n        Recent findings \n        Many individuals with MID–BIF use tobacco, alcohol, and drugs. On average, rates of substance use and SUD are similar to or even higher than those in peers with average intelligence. Individuals with MID–BIF are overrepresented in (forensic) addiction care. Several instruments are now available for the assessment of SUD and its risk factors in this target group. Prevention and intervention programs have been shown feasible and with promising outcomes, although the evidence base is still small. Professionals in addiction care and intellectual disability care facilities show deficiencies in skills in addressing SUD in clients with MID–BIF.\n        Summary \n        Research in this area is still in its infancy, though an increasing number of studies show promising outcomes regarding case identification, assessment, and treatment of SUD in intellectual disability. Policy and practice should be adapted to the characteristics of individuals with MID–BIF.","container-title":"Current Opinion in Psychiatry","DOI":"10.1097/YCO.0000000000000569","ISSN":"0951-7367","issue":"2","language":"en-US","page":"124","source":"journals.lww.com","title":"Substance use disorders in people with intellectual disability","volume":"33","author":[{"family":"Didden","given":"Robert"},{"family":"VanDerNagel","given":"Joanne"},{"family":"Delforterie","given":"Monique"},{"family":"Duijvenbode","given":"Neomi","non-dropping-particle":"van"}],"issued":{"date-parts":[["2020",3]]}}},{"id":8497,"uris":["http://zotero.org/groups/4406622/items/D22XJRY6"],"itemData":{"id":8497,"type":"article-journal","language":"en","page":"93","source":"Zotero","title":"Comorbid substance use disorders and mental health disorders among New Zealand prisoners","author":[{"family":"Indig","given":"Devon"},{"family":"Gear","given":"Craig"},{"family":"Wilhelm","given":"Kay"}],"issued":{"date-parts":[["2016"]]}}},{"id":13110,"uris":["http://zotero.org/groups/4745233/items/MHSQSRKY"],"itemData":{"id":13110,"type":"report","event-place":"Auckland","language":"en","page":"29","publisher":"School of Population Health, The University of Auckland","publisher-place":"Auckland","source":"Zotero","title":"Intervals of care need: need for care and support in advanced age: LiLACS NZ","author":[{"family":"Kerse","given":"Ngaire"},{"family":"Lapsley","given":"Hilary"},{"family":"Moyes","given":"Simon"},{"family":"Mules","given":"Rangimarie"}],"issued":{"date-parts":[["2017"]]}}},{"id":12595,"uris":["http://zotero.org/groups/4745233/items/LMDM6QCN"],"itemData":{"id":12595,"type":"report","language":"en","publisher":"La Trobe University","source":"Zotero","title":"The everyday experiences of lesbian, gay, bisexual, transgender and intersex (LGBTI) people living with disability","author":[{"family":"Leonard","given":"William"},{"family":"Mann","given":"Dr Rosemary"}],"issued":{"date-parts":[["2018"]]}}},{"id":14007,"uris":["http://zotero.org/groups/4745233/items/U3GGYCKU"],"itemData":{"id":14007,"type":"report","event-place":"Richmond, Victoria","language":"en","publisher":"Turning Point","publisher-place":"Richmond, Victoria","source":"Zotero","title":"Managing Cognitive Impairment in AOD Treatment: Practice Guidelines for Healthcare Professionals","URL":"https://www.turningpoint.org.au/treatment/clinicians/Managing-Cognitive-Impairment-in-AOD-Treatment-Guidelines","author":[{"family":"Manning","given":"Victoria"},{"family":"Gooden","given":"James"},{"family":"Cox","given":"Catherine"},{"family":"Whelan","given":"Danielle"},{"family":"Miroz","given":"Katherine"}],"issued":{"date-parts":[["2021"]]}}},{"id":13183,"uris":["http://zotero.org/groups/4745233/items/GJS69DS5"],"itemData":{"id":13183,"type":"article-journal","language":"en","page":"10","source":"Zotero","title":"Disabilities Reported by Prisoners","author":[{"family":"Maruschak","given":"Laura M"},{"family":"Statistician","given":"BJS"},{"family":"Bronson","given":"Jennifer"}],"issued":{"date-parts":[["2021"]]}}},{"id":13161,"uris":["http://zotero.org/groups/4745233/items/U8C2GIBH"],"itemData":{"id":13161,"type":"article-journal","abstract":"Few reports have aimed to describe the mediational effect of cognitive deficits on functional outcomes in major depressive disorder (MDD), and relatively few interventions are demonstrated to mitigate cognitive deficits in MDD.\nStudies enrolling subjects between the ages of 18–65 were selected for review. Bibliographies from identified articles were reviewed to identify additional original reports aligned with our objectives.\nCognitive deficits in MDD are consistent, replicable, nonspecific, and clinically significant. The aggregated estimated effect size of cognitive deficits in MDD is small to medium. Pronounced deficits in executive function (≥1 SD below the normative mean) are evident in </w:instrText>
      </w:r>
      <w:r w:rsidRPr="00134705">
        <w:rPr>
          <w:rFonts w:ascii="Cambria Math" w:hAnsi="Cambria Math" w:cs="Cambria Math"/>
        </w:rPr>
        <w:instrText>∼</w:instrText>
      </w:r>
      <w:r w:rsidRPr="00134705">
        <w:rPr>
          <w:rFonts w:cstheme="minorHAnsi"/>
        </w:rPr>
        <w:instrText xml:space="preserve">20–30% of individuals with MDD). Other replicated abnormalities are in the domains of working memory, attention, and psychomotor processing speed. Mediational studies indicate that cognitive deficits may account for the largest percentage of variance with respect to the link between psychosocial dysfunction (notably workforce performance) and MDD. No conventional antidepressant has been sufficiently studied and/or demonstrated robust procognitive effects in MDD.\nCognitive deficits in MDD are a principal mediator of psychosocial impairment, notably workforce performance. The hazards posed by cognitive deficits in MDD underscore the need to identify a consensus-based neurocognitive battery for research and clinical purposes. Interventions (pharmacological, behavioral, neuromodulatory) that engage multiple physiological systems implicated in cognitive deficits hold promise to reduce, reverse, and prevent cognitive deficits.","container-title":"Depression and anxiety","DOI":"10.1002/da.22063","journalAbbreviation":"Depression and anxiety","source":"ResearchGate","title":"Cognitive deficits and functional outcomes in major depressive disorder: Determinants, substrates, and treatment interventions","title-short":"Cognitive deficits and functional outcomes in major depressive disorder","URL":"https://onlinelibrary.wiley.com/doi/epdf/10.1002/da.22063","volume":"30","author":[{"family":"McIntyre","given":"Roger"},{"family":"Cha","given":"Danielle"},{"family":"Soczynska","given":"Joanna"},{"family":"Woldeyohannes","given":"Hanna"},{"family":"Gallaugher","given":"Laura"},{"family":"Kudlow","given":"Paul"},{"family":"Alsuwaidan","given":"Mohammad"},{"family":"Baskaran","given":"Anusha"}],"issued":{"date-parts":[["2013",6,1]]}}},{"id":13542,"uris":["http://zotero.org/groups/4745233/items/T3J4NKUX"],"itemData":{"id":13542,"type":"article-journal","abstract":"Many young people in the criminal justice systems of both Australia and Aotearoa New Zealand will have cognitive disabilities and neurodiversity, and substantial challenges arise in efforts to provide services that will adequately meet their needs. This is despite the introduction of funding models based on an assessment of individual needs (rather than block funding to organisations). In this narrative scoping review, we argue that justice agencies will need to partner with specialist disability support services if they are to meet the needs of those in both custodial and community settings. This requires knowledge of the nature and prevalence of disability in the youth justice population, awareness of available service responses and the development of skills to engage young people in services and programmes that will support rehabilitation and community inclusion.","container-title":"Psychiatry, Psychology and Law","DOI":"10.1080/13218719.2022.2124548","ISSN":"1321-8719","issue":"0","note":"publisher: Routledge\n_eprint: https://doi.org/10.1080/13218719.2022.2124548","page":"1-23","source":"Taylor and Francis+NEJM","title":"Identifying and responding to young people with cognitive disability and neurodiversity in Australian and Aotearoa New Zealand youth justice systems","volume":"0","author":[{"family":"McVilly","given":"Keith"},{"family":"McCarthy","given":"Molly"},{"family":"Day","given":"Andrew"},{"family":"Birgden","given":"Astrid"},{"family":"Malvaso","given":"Catia"}],"issued":{"date-parts":[["2022",11,1]]}}},{"id":8201,"uris":["http://zotero.org/groups/4406622/items/6NBP4W27"],"itemData":{"id":8201,"type":"report","event-place":"Wellington","publisher":"Ministry of Health","publisher-place":"Wellington","title":"Te Rau Hinengaro: The New Zealand Mental Health Survey","URL":"https://www.health.govt.nz/system/files/documents/publications/mental-health-survey.pdf","author":[{"family":"Oakley Browne","given":"M A"},{"family":"Wells","given":"J E"},{"family":"Scott","given":"K M"}],"issued":{"date-parts":[["2006"]]}}},{"id":13089,"uris":["http://zotero.org/groups/4745233/items/3VXSTFUK"],"itemData":{"id":13089,"type":"article-journal","abstract":"Aims To synthesize research findings about Indigenous perspectives on cognitive impairment and dementia. Design Whittemore and Knafl's updated approach to integrative review and PRISMA guidelines for narrative analysis was followed. Data Sources A systematic search of the published literature from 2010–June 2020 was undertaken in four databases and complemented by supplementary searches. Review Methods Thirty-four studies met the research question and inclusion criteria. Results Four themes describe the findings. Most of the studies were conducted by non-Indigenous researchers and may reflect Western perspectives on dementia rather than Indigenous views. A majority of the studies report epidemiological data or the testing of clinical tools. Conclusion The review indicates a dearth of knowledge about Indigenous perspectives on ageing and understanding of cognitive impairment and dementia. Researchers need to draw on Indigenous traditional knowledge, culture, and traditions through a meaningful engagement with Indigenous communities and Elders to indigenize and decolonize dementia care. Impact This integrative review highlights the need for community-led discussions and community engagement around Indigenous perspectives, needs, and understandings of ageing, cognitive impairment, and dementia care.","container-title":"Journal of Advanced Nursing","DOI":"10.1111/jan.14665","ISSN":"1365-2648","issue":"3","language":"en","note":"_eprint: https://onlinelibrary.wiley.com/doi/pdf/10.1111/jan.14665","page":"1155-1171","source":"Wiley Online Library","title":"An integrative review of empirical literature on indigenous cognitive impairment and dementia","volume":"77","author":[{"family":"Racine","given":"Louise"},{"family":"Johnson","given":"Letitia"},{"family":"Fowler-Kerry","given":"Susan"}],"issued":{"date-parts":[["2021"]]}}},{"id":12598,"uris":["http://zotero.org/groups/4745233/items/5WDTACK2"],"itemData":{"id":12598,"type":"article-journal","abstract":"Dementia, a global health priority, poses a disproportionately high risk to lesbian, gay, bisexual and trans plus (LGBT+)/gender and sexuality diverse people. Despite this, little research has explored the lived experience of LGBT+ people with dementia or their care partners. This scoping review aims to understand what the literature reveals about their experiences, the ways in which their lives have been investigated, to inform future research, policy and practice. Using an established scoping review methodology, we identified seven papers that reported empirical research on the lived experience of LGBT+ people with dementia and their care partners. Only a single study reported on in two of the papers included people who were trans. This in itself reveals how rarely LGBT+ people are asked to speak about how dementia has shaped their lives in academic research. Our reflexive thematic analysis indicates that LGBT+ people with dementia and their care partners endure overlapping forms of disadvantage. This results in heightened experiences of fear and discrimination, lack of services and compounded social isolation. Importantly, while dementia was embodied as interference and loss by LGBT+ people, it was their gender and sexuality differences that provided solace, even in the face of disadvantage. Importantly, people’s relationships with LGBT+ identities were framed as fundamental for safety, resilience and wellbeing, rather than a complicating or confounding factor in living with dementia.","container-title":"Ageing and Society","DOI":"10.1017/S0144686X22000538","ISSN":"0144-686X, 1469-1779","journalAbbreviation":"Ageing and Society","language":"en","page":"1-24","source":"DOI.org (Crossref)","title":"Investigating the lived experience of LGBT+ people with dementia and their care partners: a scoping review","title-short":"Investigating the lived experience of LGBT+ people with dementia and their care partners","author":[{"family":"Smith","given":"Louisa"},{"family":"Chesher","given":"Isabelle"},{"family":"Fredriksen-Goldsen","given":"Karen"},{"family":"Ward","given":"Richard"},{"family":"Phillipson","given":"Lyn"},{"family":"Newman","given":"Christy E."},{"family":"Delhomme","given":"Felix"}],"issued":{"date-parts":[["2022",5,30]]}}},{"id":14243,"uris":["http://zotero.org/groups/4745233/items/Y4IREXDB"],"itemData":{"id":14243,"type":"article-journal","container-title":"International Journal of Law and Psychiatry","DOI":"10.1016/j.ijlp.2015.08.026","language":"en","note":"DOI: 10.1016/j.ijlp.2015.08.026","page":"7-14","title":"Offenders with cognitive deficits in a Canadian prison population: Prevalence, profile, and outcomes","title-short":"Offenders with Cognitive Deficits in a Canadian Prison Population","volume":"44","author":[{"family":"Stewart","given":"Lynn A"},{"family":"Wilton","given":"Geoff"},{"family":"Sapers","given":"Jeremy"}],"issued":{"date-parts":[["2016"]]}}},{"id":13165,"uris":["http://zotero.org/groups/4745233/items/CY93T3GD"],"itemData":{"id":13165,"type":"article-journal","abstract":"This paper reports the findings of a scoping review designed to identify research which has explored the relationship between cognitive impairment and homelessness. A systematic search of databases for articles published between 2007 and 2017 was conducted using keywords relating to cognitive impairments and homelessness. Sources were expanded using manual searches of citations and grey literature. Forty studies represented in 45 papers were selected for review using predefined inclusion criteria. Sources were subject to quality appraisal and data were extracted in line with review questions. Prevalence studies were over-represented in the review, while qualitative data were lacking. Aetiology of impairments was delineated by acquired and developmental causes. A variety of measures were employed by studies which were not validated in homeless populations. Studies did not give sufficient consideration to co-occurring disorders and overlapping symptoms between aetiologies. Because of these factors, it was difficult to conclude that all studies had accurately measured what they set out to; however, the evidence suggested that cognitive impairment was disproportionately over-represented in homeless populations. Cognitive impairment was found to be both a risk factor to and perpetuator of homelessness. Risk factors for homelessness were similar to those of the general population, though exaggerated by sequelae of certain cognitive impairments. The results of this review suggest that more attention needs to be paid to the underlying socioeconomic disadvantages, persons with cognitive impairments face which may lead to homelessness. Further research should prioritise the voice of homeless persons with cognitive impairments, to better understand both causes of homelessness and effective methods of rehabilitation.","container-title":"Health &amp; Social Care in the Community","DOI":"10.1111/hsc.12682","ISSN":"1365-2524","issue":"4","language":"en","note":"_eprint: https://onlinelibrary.wiley.com/doi/pdf/10.1111/hsc.12682","page":"e125-e142","source":"Wiley Online Library","title":"Cognitive impairment and homelessness: A scoping review","title-short":"Cognitive impairment and homelessness","volume":"27","author":[{"family":"Stone","given":"Beth"},{"family":"Dowling","given":"Sandra"},{"family":"Cameron","given":"Ailsa"}],"issued":{"date-parts":[["2019"]]}}},{"id":14242,"uris":["http://zotero.org/groups/4745233/items/TD69W48N"],"itemData":{"id":14242,"type":"article-journal","abstract":"Method LiLACS NZ is a longitudinal study. A total of 421 M ori aged 80–90 years and 516 non-M ori aged 85 years living in the Bay of Plenty and Rotorua district were recruited at baseline (2010). Socioeconomic-demographic characteristics and health-related behaviours were established using interviewer administered questionnaire. Self-rated health was obtained from the SF-12. Medical conditions were established from a combination of self-report, review of general practitioner and hospital discharge records, and analyses of fasting blood samples.\nResults 61% M ori and 59% non-M ori rated their health from good to excellent. Eleven percent of M ori and 5% of non-M ori smoked; 23% M ori and 47% nonM ori had alcohol on 2 occasions per week. Physical activity was higher in M ori than non-M ori (p=0.035) and the relationship was attenuated when adjusted for age. More M ori (49%) than non-M ori (38%) were at high nutrition risk (p=0.005); and more non-M ori (73%) than M ori (59%) were driving (p&lt;0.01). The three most common health conditions were hypertension (83%), eye diseases (58%) and coronary artery disease (44%). The health profile differed by gender and ethnicity. Overall, participants had a median of five health conditions.\nConclusion Self-rated health is high in this sample considering the number of comorbidities. There are differences in health behaviours and health conditions between genders and by ethnicity in advanced age. The significance of health conditions in men and women, M ori and non-M ori in advanced age will be examined longitudinally.","container-title":"New Zealand Medical Journal","issue":"1397","language":"en","page":"18","source":"Zotero","title":"Self-rated health, health-related behaviours and medical conditions of Māori and non-Māori in advanced age: LiLACS NZ","volume":"127","author":[{"family":"Teh","given":"Ruth"},{"family":"Kerse","given":"Ngaire"},{"family":"Kepa","given":"Mere"},{"family":"Doughty","given":"Rob N"},{"family":"Moyes","given":"Simon"},{"family":"Wiles","given":"Janine"},{"family":"Wham","given":"Carol"},{"family":"Hayman","given":"Karen"},{"family":"Wilkinson","given":"Tim"},{"family":"Connolly","given":"Martin"},{"family":"Mace","given":"Casey"},{"family":"Dyall","given":"Lorna"}],"issued":{"date-parts":[["2014"]]}}},{"id":14240,"uris":["http://zotero.org/groups/4745233/items/G8Q23FJZ"],"itemData":{"id":14240,"type":"article-journal","abstract":"Cognitive deficits are one of the core symptoms of schizophrenia that evolve during the course of schizophrenia, after being originated even before the onset of illness. Existing pharmacological and biological treatment modalities fall short to meet the needs to improve the cognitive symptoms; hence, various cognitive remediation strategies have been adopted to address these deficits. Research evidences suggest that cognitive remediation measures improve the functioning, limit disability bettering the quality of life. The functional outcomes of cognitive remediation in schizophrenia are resultant of neurobiological changes in specific brain areas. Recent years witnessed significant innovations in cognitive remediation strategies in schizophrenia. This comprehensive review highlights the biological correlates of cognitive deficits in schizophrenia and the remedial measures with evidence base.","container-title":"Clinical Psychopharmacology and Neuroscience","DOI":"10.9758/cpn.2018.16.1.7","ISSN":"1738-1088","issue":"1","journalAbbreviation":"Clin Psychopharmacol Neurosci","note":"PMID: 29397662\nPMCID: PMC5810454","page":"7-17","source":"PubMed Central","title":"Cognitive deficits in schizophrenia: Understanding the biological correlates and remediation strategies","title-short":"Cognitive Deficits in Schizophrenia","volume":"16","author":[{"family":"Tripathi","given":"Adarsh"},{"family":"Kar","given":"Sujita Kumar"},{"family":"Shukla","given":"Rashmi"}],"issued":{"date-parts":[["2018",2]]}}},{"id":14241,"uris":["http://zotero.org/groups/4745233/items/85YD6GBN"],"itemData":{"id":14241,"type":"article-journal","abstract":"Objective: Homeless and marginally housed youth are particularly vulnerable members of society, and are known to experience numerous health problems, including psychiatric illness, substance use, and viral infection. Despite the presence of these risk factors for cognitive compromise, there is limited research on the cognitive functioning of homeless and marginally housed youth. The present study examines the degree and pattern of cognitive impairment and associations with key risk factors in a sample of marginally housed young adults.Method: Participants (N = 101) aged 20–29 years old were recruited from single-room occupancy hotels, and underwent cognitive, psychiatric, neurological, and serological assessments.Results: Forty percent of participants were identified as mildly cognitively impaired across multiple domains, and 16% were moderately-severely impaired. Deficits in memory and attention were most prevalent, while impairments in inhibitory control/processing speed and cognitive flexibility were also present but tended to be less severe. Developmental and historical factors (premorbid intellectual functioning, neurological soft signs, earlier exposure to and longer duration of homelessness or marginal housing), as well as current health risks (stimulant dependence and hepatitis C exposure), were associated with cognitive impairment.Conclusions: The strikingly high rate of cognitive impairment in marginally housed young adults represents a major public health concern and is likely to pose a significant barrier to treatment and rehabilitation. These results suggest that the pathway to cognitive impairment involves both developmental vulnerability and modifiable risk factors. This study highlights the need for early interventions that address cognitive impairment and risk factors in marginalized young people.","container-title":"Frontiers in Public Health","ISSN":"2296-2565","source":"Frontiers","title":"Cognitive impairment in marginally housed youth: Prevalence and risk factors","title-short":"Cognitive Impairment in Marginally Housed Youth","URL":"https://www.frontiersin.org/articles/10.3389/fpubh.2019.00270","volume":"7","author":[{"family":"Waclawik","given":"Kristina"},{"family":"Jones","given":"Andrea A."},{"family":"Barbic","given":"Skye P."},{"family":"Gicas","given":"Kristina M."},{"family":"O'Connor","given":"Tiffany A."},{"family":"Smith","given":"Geoffrey N."},{"family":"Leonova","given":"Olga"},{"family":"Mathias","given":"Steve"},{"family":"Barr","given":"Alasdair M."},{"family":"Procyshyn","given":"Ric M."},{"family":"Lang","given":"Donna J."},{"family":"Woodward","given":"Melissa L."},{"family":"MacEwan","given":"G. William"},{"family":"Panenka","given":"William J."},{"family":"Yamamoto","given":"Aiko"},{"family":"Honer","given":"William G."},{"family":"Thornton","given":"Allen E."}],"accessed":{"date-parts":[["2022",9,28]]},"issued":{"date-parts":[["2019"]]}}},{"id":12771,"uris":["http://zotero.org/groups/4745233/items/PRJHJHS3"],"itemData":{"id":12771,"type":"article-journal","abstract":"Objectives There are no national dementia epidemiological studies using New Zealand (NZ) data. NZ routinely collects health-care data within the Integrated Data Infrastructure (IDI). The study objectives were to 1) investigate late-onset dementia estimates using the IDI between 2012-2015 and compare these with 2) published estimates, and 3) variations between North and South Islands and ethnicity. Methods A population-based, retrospective cohort design was applied to routinely collected de-identified health/administrative IDI data. Dementia was defined by ICD-10-AM dementia codes or anti-dementia drugs. Results Approximately 2% of those aged ≥60 years had dementia, lower than published estimates. Dementia was higher in North Island; in 80- to 89-year-olds; among the Māori population when age-standardised, and 9% of all dementia cases had &gt;1 dementia sub-type. Conclusions To our knowledge, this is the first study ascertaining dementia estimates using NZ’s whole-of-population IDI data. Estimates were lower than existing NZ estimates, for several reasons. Further work is required, including expanding IDI data sets, to develop future estimates that better reflect NZ’s diverse population.","container-title":"Australasian Journal on Ageing","DOI":"10.1111/ajag.12790","ISSN":"1741-6612","issue":"3","language":"en","note":"_eprint: https://onlinelibrary.wiley.com/doi/pdf/10.1111/ajag.12790","page":"297-304","source":"Wiley Online Library","title":"Prevalence and geographical variation of dementia in New Zealand from 2012 to 2015: Brief report utilising routinely collected data within the Integrated Data Infrastructure","title-short":"Prevalence and geographical variation of dementia in New Zealand from 2012 to 2015","volume":"39","author":[{"family":"Walesby","given":"Katherine Elizabeth"},{"family":"Exeter","given":"Daniel John"},{"family":"Gibb","given":"Sheree"},{"family":"Wood","given":"Philip Clive"},{"family":"Starr","given":"John Michael"},{"family":"Russ","given":"Tom Charles"}],"issued":{"date-parts":[["2020"]]}}},{"id":13893,"uris":["http://zotero.org/groups/4745233/items/KXHJW36E"],"itemData":{"id":13893,"type":"article-journal","abstract":"AIMS: Recent research has revealed that early life trauma (ELS), including abuse (sexual and/or physical) and neglect, produce lasting changes in the CNS. We posited that cognitive deficits, often observed in psychiatric patients, result, in part, due to the neurobiological consequences of ELS. Additionally, we hypothesized that the nature and magnitude of cognitive deficits would differ according to the subtype of ELS experienced.\nMETHOD: The Cambridge Neuropsychological Test Automated Battery (CANTAB) was used to assess neurocognitive functioning in 93 subjects (60 with ELS and 33 without). In the patients with a history of ELS, 35% and 16.7%, respectively, met criteria for current major depression and PTSD.\nRESULTS: Significant associations between ELS status and CANTAB measures of memory and executive and emotional functioning were found.\nCONCLUSIONS: These data suggest that exposure to ELS results in a cascade of neurobiological changes associated with cognitive deficits in adulthood that vary according to the type of trauma experienced.","container-title":"Journal of Psychiatric Research","DOI":"10.1016/j.jpsychires.2012.01.005","ISSN":"1879-1379","issue":"4","journalAbbreviation":"J Psychiatr Res","language":"eng","note":"PMID: 22336639\nPMCID: PMC3307950","page":"500-506","source":"PubMed","title":"The effects of child abuse and neglect on cognitive functioning in adulthood","volume":"46","author":[{"family":"Gould","given":"Felicia"},{"family":"Clarke","given":"Jennifer"},{"family":"Heim","given":"Christine"},{"family":"Harvey","given":"Philip D."},{"family":"Majer","given":"Matthias"},{"family":"Nemeroff","given":"Charles B."}],"issued":{"date-parts":[["2012",4]]}}},{"id":14239,"uris":["http://zotero.org/groups/4745233/items/KBU8ZSYY"],"itemData":{"id":14239,"type":"article-journal","abstract":"OBJECTIVE: Childhood trauma is common and associated with both worse cognitive performance and disruption to the hypothalamic-pituitary-adrenal axis in younger adults. The extent to which these associations persist into older adulthood remains unknown. The aim of this study was to investigate self-reported childhood trauma in relation to cognitive performance, and the extent to which cortisol explained this association, in 2 independent samples of older adults.\nMETHODS: In this cross-sectional study, participants in the discovery sample (N = 76) consisted of older adults with a DSM-IV diagnosis of generalized anxiety disorder (N = 57) and age-equated psychiatrically healthy comparison subjects (N = 19) who were referred largely through primary care clinics between 2004-2006. The replication sample (N = 48) consisted of older adults with DSM-IV anxiety or depressive disorders recruited between 2012-2013. Participants were administered the Early Trauma Inventory Self-Report-Short Form and a neuropsychological assessment (primary outcome).\nRESULTS: Across both samples, childhood trauma was significantly associated with worse performance on measures of processing speed, attention, and executive functioning. The effect of trauma exposure was stronger when general, physical, and sexual traumatic events were examined specifically (all P &lt; .05). Childhood trauma was not associated with cortisol levels, and cortisol did not explain the association between trauma and cognitive functioning.\nCONCLUSIONS: Self-reported traumatic events experienced in childhood are associated with poorer cognitive performance in anxious and depressed older adults. Findings demonstrate a deleterious impact of childhood trauma on brain health in old age.","container-title":"The Journal of Clinical Psychiatry","DOI":"10.4088/JCP.16m11021","ISSN":"1555-2101","issue":"1","journalAbbreviation":"J Clin Psychiatry","language":"eng","note":"PMID: 29228518\nPMCID: PMC6959209","page":"16m11021","source":"PubMed","title":"Childhood trauma is associated with poorer cognitive performance in older adults","volume":"79","author":[{"family":"Petkus","given":"Andrew J."},{"family":"Lenze","given":"Eric J."},{"family":"Butters","given":"Meryl A."},{"family":"Twamley","given":"Elizabeth W."},{"family":"Wetherell","given":"Julie Loebach"}],"issued":{"date-parts":[["2018"]]}}},{"id":13892,"uris":["http://zotero.org/groups/4745233/items/ZY2FA5H8"],"itemData":{"id":13892,"type":"article-journal","abstract":"OBJECTIVE: Clinical studies suggest that childhood maltreatment may cause nervous system changes and consequent cognitive disorder. The persistence of this association in late-life is examined.\nMETHODS: Cognitive functioning and childhood events were examined in 1282 persons over 65 years, taking into account proximal competing causes of poor cognitive performance.\nRESULTS: Ninety one per cent experienced at least one adverse childhood event, of these 14.7% severe events. Sharing of parental problems and, for women, loss of a parent were associated with poorer verbal retrieval whereas being sent to a foster home or mistreatment by schoolmates was associated with poorer visuospatial memory. Severe abuse was associated with a lower risk of cognitive impairment on some tests suggesting a resilience factor. Positive childhood environment was protective although only for non-carriers of the ApoE ε4 allele on the central executive task.\nCONCLUSIONS: Some adverse childhood events continue to have a negative effect on later-life cognitive performance, while some more severe acute events may have the opposite effect, underlying the necessity to consider events individually and not as global test scores.","container-title":"International Journal of Geriatric Psychiatry","DOI":"10.1002/gps.2553","ISSN":"1099-1166","issue":"5","journalAbbreviation":"Int J Geriatr Psychiatry","language":"eng","note":"PMID: 21445999","page":"503-510","source":"PubMed","title":"Adverse childhood environment and late-life cognitive functioning","volume":"26","author":[{"family":"Ritchie","given":"Karen"},{"family":"Jaussent","given":"Isabelle"},{"family":"Stewart","given":"Robert"},{"family":"Dupuy","given":"Anne-Marie"},{"family":"Courtet","given":"Philippe"},{"family":"Malafosse","given":"Alain"},{"family":"Ancelin","given":"Marie-Laure"}],"issued":{"date-parts":[["2011",5]]}}},{"id":7462,"uris":["http://zotero.org/groups/4370511/items/TFYREHNR"],"itemData":{"id":7462,"type":"document","abstract":"Weaving together knowledge for wellbeing helps you recognise, understand and respond in a trauma-informed way for people with mental health and addiction needs","language":"en","title":"Weaving together knowledge for wellbeing | Trauma informed approaches","URL":"https://www.tepou.co.nz/resources/weaving-together-knowledge-for-wellbeing-trauma-informed-approaches","author":[{"literal":"Te Pou"}],"accessed":{"date-parts":[["2021",7,15]]},"issued":{"date-parts":[["2021"]]}}}],"schema":"https://github.com/citation-style-language/schema/raw/master/csl-citation.json"} </w:instrText>
      </w:r>
      <w:r w:rsidRPr="00134705">
        <w:rPr>
          <w:rFonts w:cstheme="minorHAnsi"/>
        </w:rPr>
        <w:fldChar w:fldCharType="separate"/>
      </w:r>
      <w:r w:rsidRPr="00134705">
        <w:rPr>
          <w:rFonts w:cstheme="minorHAnsi"/>
          <w:vertAlign w:val="superscript"/>
        </w:rPr>
        <w:t>3,5–26</w:t>
      </w:r>
      <w:r w:rsidRPr="00134705">
        <w:rPr>
          <w:rFonts w:cstheme="minorHAnsi"/>
        </w:rPr>
        <w:fldChar w:fldCharType="end"/>
      </w:r>
      <w:r w:rsidRPr="00134705">
        <w:rPr>
          <w:rFonts w:cstheme="minorHAnsi"/>
        </w:rPr>
        <w:t xml:space="preserve"> This includes:</w:t>
      </w:r>
    </w:p>
    <w:p w14:paraId="56C93D48" w14:textId="77777777" w:rsidR="006C3CC4" w:rsidRPr="00134705" w:rsidRDefault="006C3CC4" w:rsidP="00D524A3">
      <w:pPr>
        <w:pStyle w:val="Bulletpoint"/>
        <w:numPr>
          <w:ilvl w:val="1"/>
          <w:numId w:val="8"/>
        </w:numPr>
        <w:spacing w:after="120"/>
        <w:ind w:left="1077" w:hanging="357"/>
      </w:pPr>
      <w:r w:rsidRPr="00134705">
        <w:t>Māori</w:t>
      </w:r>
    </w:p>
    <w:p w14:paraId="0140D8B0" w14:textId="77777777" w:rsidR="006C3CC4" w:rsidRPr="00134705" w:rsidRDefault="006C3CC4" w:rsidP="00D524A3">
      <w:pPr>
        <w:pStyle w:val="Bulletpoint"/>
        <w:numPr>
          <w:ilvl w:val="1"/>
          <w:numId w:val="8"/>
        </w:numPr>
        <w:spacing w:after="120"/>
        <w:ind w:left="1077" w:hanging="357"/>
      </w:pPr>
      <w:r w:rsidRPr="00134705">
        <w:t>Pacific peoples, and international Indigenous peoples</w:t>
      </w:r>
    </w:p>
    <w:p w14:paraId="2FC59023" w14:textId="77777777" w:rsidR="006C3CC4" w:rsidRPr="00134705" w:rsidRDefault="006C3CC4" w:rsidP="00D524A3">
      <w:pPr>
        <w:pStyle w:val="Bulletpoint"/>
        <w:numPr>
          <w:ilvl w:val="1"/>
          <w:numId w:val="8"/>
        </w:numPr>
        <w:spacing w:after="120"/>
        <w:ind w:left="1077" w:hanging="357"/>
      </w:pPr>
      <w:r w:rsidRPr="00134705">
        <w:t>older people</w:t>
      </w:r>
    </w:p>
    <w:p w14:paraId="49374B08" w14:textId="77777777" w:rsidR="006C3CC4" w:rsidRPr="00134705" w:rsidRDefault="006C3CC4" w:rsidP="00D524A3">
      <w:pPr>
        <w:pStyle w:val="Bulletpoint"/>
        <w:numPr>
          <w:ilvl w:val="1"/>
          <w:numId w:val="8"/>
        </w:numPr>
        <w:spacing w:after="120"/>
        <w:ind w:left="1077" w:hanging="357"/>
      </w:pPr>
      <w:r w:rsidRPr="00134705">
        <w:t>people experiencing higher levels of socioeconomic deprivation</w:t>
      </w:r>
    </w:p>
    <w:p w14:paraId="69465FB6" w14:textId="77777777" w:rsidR="006C3CC4" w:rsidRPr="00134705" w:rsidRDefault="006C3CC4" w:rsidP="00D524A3">
      <w:pPr>
        <w:pStyle w:val="Bulletpoint"/>
        <w:numPr>
          <w:ilvl w:val="1"/>
          <w:numId w:val="8"/>
        </w:numPr>
        <w:spacing w:after="120"/>
        <w:ind w:left="1077" w:hanging="357"/>
      </w:pPr>
      <w:r w:rsidRPr="00134705">
        <w:t>rainbow communities</w:t>
      </w:r>
      <w:r w:rsidRPr="00134705">
        <w:rPr>
          <w:rStyle w:val="FootnoteReference"/>
          <w:rFonts w:cstheme="minorHAnsi"/>
          <w:sz w:val="22"/>
        </w:rPr>
        <w:footnoteReference w:id="2"/>
      </w:r>
    </w:p>
    <w:p w14:paraId="4BD2BD8E" w14:textId="77777777" w:rsidR="006C3CC4" w:rsidRPr="00134705" w:rsidRDefault="006C3CC4" w:rsidP="00D524A3">
      <w:pPr>
        <w:pStyle w:val="Bulletpoint"/>
        <w:numPr>
          <w:ilvl w:val="1"/>
          <w:numId w:val="8"/>
        </w:numPr>
        <w:spacing w:after="120"/>
        <w:ind w:left="1077" w:hanging="357"/>
      </w:pPr>
      <w:r w:rsidRPr="00134705">
        <w:t>people who meet diagnostic criteria for a mental health condition, and/or with a history of psychological trauma</w:t>
      </w:r>
    </w:p>
    <w:p w14:paraId="0BB53321" w14:textId="77777777" w:rsidR="00D524A3" w:rsidRDefault="006C3CC4" w:rsidP="00903743">
      <w:pPr>
        <w:pStyle w:val="Bulletpoint"/>
        <w:numPr>
          <w:ilvl w:val="1"/>
          <w:numId w:val="8"/>
        </w:numPr>
      </w:pPr>
      <w:r w:rsidRPr="00134705">
        <w:t>people experiencing homelessness, or in contact with the justice system (particularly younger people).</w:t>
      </w:r>
      <w:bookmarkStart w:id="310" w:name="_Toc142047667"/>
      <w:bookmarkStart w:id="311" w:name="_Toc172095768"/>
      <w:bookmarkStart w:id="312" w:name="_Toc178780097"/>
      <w:bookmarkStart w:id="313" w:name="_Toc178838863"/>
      <w:bookmarkStart w:id="314" w:name="_Toc178839050"/>
      <w:bookmarkStart w:id="315" w:name="_Toc178839171"/>
      <w:bookmarkStart w:id="316" w:name="_Toc178839400"/>
      <w:bookmarkStart w:id="317" w:name="_Toc178841610"/>
      <w:bookmarkStart w:id="318" w:name="_Toc179198169"/>
      <w:bookmarkStart w:id="319" w:name="_Toc179198417"/>
      <w:bookmarkStart w:id="320" w:name="_Toc179198525"/>
      <w:bookmarkStart w:id="321" w:name="_Toc179198632"/>
      <w:bookmarkStart w:id="322" w:name="_Toc179446076"/>
      <w:bookmarkStart w:id="323" w:name="_Toc179447107"/>
      <w:bookmarkStart w:id="324" w:name="_Toc179448647"/>
      <w:bookmarkStart w:id="325" w:name="_Toc179448808"/>
      <w:bookmarkStart w:id="326" w:name="_Toc179449195"/>
      <w:bookmarkStart w:id="327" w:name="_Toc179452898"/>
      <w:bookmarkStart w:id="328" w:name="_Toc179461411"/>
      <w:bookmarkStart w:id="329" w:name="_Toc179461856"/>
      <w:bookmarkStart w:id="330" w:name="_Toc179465216"/>
      <w:bookmarkStart w:id="331" w:name="_Toc179467027"/>
      <w:bookmarkStart w:id="332" w:name="_Toc179467083"/>
      <w:bookmarkStart w:id="333" w:name="_Toc179467160"/>
      <w:bookmarkStart w:id="334" w:name="_Toc179467235"/>
      <w:bookmarkStart w:id="335" w:name="_Toc179467419"/>
      <w:bookmarkStart w:id="336" w:name="_Toc179467657"/>
      <w:bookmarkStart w:id="337" w:name="_Toc179468031"/>
      <w:bookmarkStart w:id="338" w:name="_Toc179468290"/>
      <w:bookmarkStart w:id="339" w:name="_Toc179468532"/>
      <w:bookmarkStart w:id="340" w:name="_Toc179483235"/>
      <w:bookmarkStart w:id="341" w:name="_Toc179486303"/>
      <w:bookmarkStart w:id="342" w:name="_Toc179487908"/>
      <w:bookmarkStart w:id="343" w:name="_Toc179489211"/>
      <w:bookmarkStart w:id="344" w:name="_Toc179531336"/>
      <w:bookmarkStart w:id="345" w:name="_Toc179536009"/>
      <w:bookmarkStart w:id="346" w:name="_Toc179537848"/>
      <w:bookmarkStart w:id="347" w:name="_Toc179537912"/>
      <w:bookmarkStart w:id="348" w:name="_Toc179538079"/>
      <w:bookmarkStart w:id="349" w:name="_Toc179538892"/>
      <w:bookmarkStart w:id="350" w:name="_Toc179539211"/>
      <w:bookmarkStart w:id="351" w:name="_Toc179539327"/>
      <w:bookmarkStart w:id="352" w:name="_Toc179539465"/>
      <w:bookmarkStart w:id="353" w:name="_Toc179539562"/>
      <w:bookmarkStart w:id="354" w:name="_Toc179539647"/>
      <w:bookmarkStart w:id="355" w:name="_Toc179539737"/>
      <w:bookmarkStart w:id="356" w:name="_Toc179540421"/>
      <w:bookmarkStart w:id="357" w:name="_Toc179541766"/>
      <w:bookmarkStart w:id="358" w:name="_Toc179542958"/>
    </w:p>
    <w:p w14:paraId="122B7757" w14:textId="77777777" w:rsidR="00D524A3" w:rsidRDefault="00D524A3" w:rsidP="00D524A3">
      <w:pPr>
        <w:pStyle w:val="Bulletpoint"/>
        <w:numPr>
          <w:ilvl w:val="0"/>
          <w:numId w:val="0"/>
        </w:numPr>
        <w:ind w:left="360" w:hanging="360"/>
      </w:pPr>
    </w:p>
    <w:p w14:paraId="29F5376D" w14:textId="417720A0" w:rsidR="006C3CC4" w:rsidRPr="00D524A3" w:rsidRDefault="006C3CC4" w:rsidP="00D524A3">
      <w:pPr>
        <w:pStyle w:val="Heading2"/>
      </w:pPr>
      <w:bookmarkStart w:id="359" w:name="_Toc180571285"/>
      <w:r w:rsidRPr="00D524A3">
        <w:lastRenderedPageBreak/>
        <w:t>Development of the guidelines</w:t>
      </w:r>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p>
    <w:p w14:paraId="3F5C0A5E" w14:textId="77777777" w:rsidR="006C3CC4" w:rsidRPr="00134705" w:rsidRDefault="006C3CC4" w:rsidP="007B2413">
      <w:r w:rsidRPr="00134705">
        <w:t xml:space="preserve">These guidelines are informed by evidence, and cultural and clinical practice in Aotearoa. Te Pou completed a literature review in March 2023 then consulted with key technical advisors and wider sector representatives. </w:t>
      </w:r>
    </w:p>
    <w:p w14:paraId="490693B6" w14:textId="77777777" w:rsidR="006C3CC4" w:rsidRPr="00134705" w:rsidRDefault="006C3CC4" w:rsidP="007B2413">
      <w:r w:rsidRPr="00134705">
        <w:t>The rapid integrative literature review included journal publications, grey literature, and institutional websites.</w:t>
      </w:r>
      <w:r w:rsidRPr="00134705">
        <w:fldChar w:fldCharType="begin"/>
      </w:r>
      <w:r w:rsidRPr="00134705">
        <w:instrText xml:space="preserve"> ADDIN ZOTERO_ITEM CSL_CITATION {"citationID":"a17ut2b1b8f","properties":{"formattedCitation":"\\super 27\\nosupersub{}","plainCitation":"27","noteIndex":0},"citationItems":[{"id":16773,"uris":["http://zotero.org/groups/4745233/items/QH2WQ78M"],"itemData":{"id":16773,"type":"document","title":"Whakaohooho manawa ora – inspiring hope. Identifying cognitive strengths and supporting cognitive challenges for tāngata whai ora in addiction settings: Literature review, March 2023","author":[{"literal":"Te Pou"}],"issued":{"date-parts":[["2023"]]}}}],"schema":"https://github.com/citation-style-language/schema/raw/master/csl-citation.json"} </w:instrText>
      </w:r>
      <w:r w:rsidRPr="00134705">
        <w:fldChar w:fldCharType="separate"/>
      </w:r>
      <w:r w:rsidRPr="00134705">
        <w:rPr>
          <w:vertAlign w:val="superscript"/>
        </w:rPr>
        <w:t>27</w:t>
      </w:r>
      <w:r w:rsidRPr="00134705">
        <w:fldChar w:fldCharType="end"/>
      </w:r>
      <w:r w:rsidRPr="00134705">
        <w:t xml:space="preserve"> Information from Aotearoa, review articles, and guidelines were prioritised. A range of literature gaps were identified. </w:t>
      </w:r>
    </w:p>
    <w:p w14:paraId="1C5D859C" w14:textId="77777777" w:rsidR="006C3CC4" w:rsidRPr="00134705" w:rsidRDefault="006C3CC4" w:rsidP="007B2413">
      <w:r w:rsidRPr="00134705">
        <w:t xml:space="preserve">In April 2023, a technical advisory group was set up to inform the development of the guidelines. The group guided and inputted into three guideline drafts. Wider sector input was sought from a range of perspectives including lived experience, whānau, disability, and cultural (including Māori, Pasifika, and Asian) perspectives.  </w:t>
      </w:r>
    </w:p>
    <w:p w14:paraId="4ADB7901" w14:textId="77777777" w:rsidR="006C3CC4" w:rsidRPr="00134705" w:rsidRDefault="006C3CC4" w:rsidP="007B2413">
      <w:r w:rsidRPr="00134705">
        <w:t xml:space="preserve">Caseworker experiences informed the development of the practice examples. Situations and contexts have been changed for the purpose of these guidelines. </w:t>
      </w:r>
    </w:p>
    <w:p w14:paraId="1AF9A01D" w14:textId="77777777" w:rsidR="006C3CC4" w:rsidRDefault="006C3CC4" w:rsidP="006C3CC4"/>
    <w:p w14:paraId="3A06C39C" w14:textId="77777777" w:rsidR="00877DEE" w:rsidRPr="00903743" w:rsidRDefault="00877DEE" w:rsidP="00903743">
      <w:pPr>
        <w:pStyle w:val="Heading2"/>
      </w:pPr>
      <w:bookmarkStart w:id="360" w:name="_Toc142047664"/>
      <w:bookmarkStart w:id="361" w:name="_Toc142309893"/>
      <w:bookmarkStart w:id="362" w:name="_Toc145670685"/>
      <w:bookmarkStart w:id="363" w:name="_Toc172095769"/>
      <w:bookmarkStart w:id="364" w:name="_Toc178780098"/>
      <w:bookmarkStart w:id="365" w:name="_Toc178838864"/>
      <w:bookmarkStart w:id="366" w:name="_Toc178839051"/>
      <w:bookmarkStart w:id="367" w:name="_Toc178839172"/>
      <w:bookmarkStart w:id="368" w:name="_Toc178839401"/>
      <w:bookmarkStart w:id="369" w:name="_Toc178841611"/>
      <w:bookmarkStart w:id="370" w:name="_Toc179198170"/>
      <w:bookmarkStart w:id="371" w:name="_Toc179198418"/>
      <w:bookmarkStart w:id="372" w:name="_Toc179198526"/>
      <w:bookmarkStart w:id="373" w:name="_Toc179198633"/>
      <w:bookmarkStart w:id="374" w:name="_Toc179446077"/>
      <w:bookmarkStart w:id="375" w:name="_Toc179447108"/>
      <w:bookmarkStart w:id="376" w:name="_Toc179448648"/>
      <w:bookmarkStart w:id="377" w:name="_Toc179448809"/>
      <w:bookmarkStart w:id="378" w:name="_Toc179449196"/>
      <w:bookmarkStart w:id="379" w:name="_Toc179452899"/>
      <w:bookmarkStart w:id="380" w:name="_Toc179461412"/>
      <w:bookmarkStart w:id="381" w:name="_Toc179461857"/>
      <w:bookmarkStart w:id="382" w:name="_Toc179465217"/>
      <w:bookmarkStart w:id="383" w:name="_Toc179467028"/>
      <w:bookmarkStart w:id="384" w:name="_Toc179467084"/>
      <w:bookmarkStart w:id="385" w:name="_Toc179467161"/>
      <w:bookmarkStart w:id="386" w:name="_Toc179467236"/>
      <w:bookmarkStart w:id="387" w:name="_Toc179467420"/>
      <w:bookmarkStart w:id="388" w:name="_Toc179467658"/>
      <w:bookmarkStart w:id="389" w:name="_Toc179468032"/>
      <w:bookmarkStart w:id="390" w:name="_Toc179468291"/>
      <w:bookmarkStart w:id="391" w:name="_Toc179468533"/>
      <w:bookmarkStart w:id="392" w:name="_Toc179483236"/>
      <w:bookmarkStart w:id="393" w:name="_Toc179486304"/>
      <w:bookmarkStart w:id="394" w:name="_Toc179487909"/>
      <w:bookmarkStart w:id="395" w:name="_Toc179489212"/>
      <w:bookmarkStart w:id="396" w:name="_Toc179531337"/>
      <w:bookmarkStart w:id="397" w:name="_Toc179536010"/>
      <w:bookmarkStart w:id="398" w:name="_Toc179537849"/>
      <w:bookmarkStart w:id="399" w:name="_Toc179537913"/>
      <w:bookmarkStart w:id="400" w:name="_Toc179538080"/>
      <w:bookmarkStart w:id="401" w:name="_Toc179538893"/>
      <w:bookmarkStart w:id="402" w:name="_Toc179539212"/>
      <w:bookmarkStart w:id="403" w:name="_Toc179539328"/>
      <w:bookmarkStart w:id="404" w:name="_Toc179539466"/>
      <w:bookmarkStart w:id="405" w:name="_Toc179539563"/>
      <w:bookmarkStart w:id="406" w:name="_Toc179539648"/>
      <w:bookmarkStart w:id="407" w:name="_Toc179539738"/>
      <w:bookmarkStart w:id="408" w:name="_Toc179540422"/>
      <w:bookmarkStart w:id="409" w:name="_Toc179541767"/>
      <w:bookmarkStart w:id="410" w:name="_Toc179542959"/>
      <w:bookmarkStart w:id="411" w:name="_Toc180571286"/>
      <w:r w:rsidRPr="00903743">
        <w:t>Aotearoa New Zealand context</w:t>
      </w:r>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p>
    <w:p w14:paraId="22BB292A" w14:textId="77777777" w:rsidR="003A2F63" w:rsidRDefault="00877DEE" w:rsidP="00877DEE">
      <w:pPr>
        <w:rPr>
          <w:rFonts w:cs="Arial"/>
          <w:sz w:val="22"/>
        </w:rPr>
      </w:pPr>
      <w:r>
        <w:rPr>
          <w:noProof/>
        </w:rPr>
        <mc:AlternateContent>
          <mc:Choice Requires="wps">
            <w:drawing>
              <wp:inline distT="0" distB="0" distL="0" distR="0" wp14:anchorId="10ED847F" wp14:editId="7E02C870">
                <wp:extent cx="5943600" cy="3492500"/>
                <wp:effectExtent l="0" t="0" r="19050" b="1270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492500"/>
                        </a:xfrm>
                        <a:prstGeom prst="rect">
                          <a:avLst/>
                        </a:prstGeom>
                        <a:solidFill>
                          <a:schemeClr val="accent5">
                            <a:lumMod val="10000"/>
                            <a:lumOff val="90000"/>
                          </a:schemeClr>
                        </a:solidFill>
                        <a:ln w="9525">
                          <a:solidFill>
                            <a:srgbClr val="000000"/>
                          </a:solidFill>
                          <a:miter lim="800000"/>
                          <a:headEnd/>
                          <a:tailEnd/>
                        </a:ln>
                      </wps:spPr>
                      <wps:txbx>
                        <w:txbxContent>
                          <w:p w14:paraId="34FD4A29" w14:textId="77777777" w:rsidR="00877DEE" w:rsidRPr="00554152" w:rsidRDefault="00877DEE" w:rsidP="00877DEE">
                            <w:bookmarkStart w:id="412" w:name="_Hlk178338621"/>
                            <w:r w:rsidRPr="00554152">
                              <w:t>AOD services should be guided by and demonstrate commitment to:</w:t>
                            </w:r>
                          </w:p>
                          <w:p w14:paraId="7412D9C3" w14:textId="77777777" w:rsidR="00877DEE" w:rsidRPr="00554152" w:rsidRDefault="00877DEE" w:rsidP="00D524A3">
                            <w:pPr>
                              <w:pStyle w:val="Bulletpoint"/>
                            </w:pPr>
                            <w:r w:rsidRPr="00554152">
                              <w:rPr>
                                <w:rFonts w:cs="Arial"/>
                              </w:rPr>
                              <w:t>tino</w:t>
                            </w:r>
                            <w:r w:rsidRPr="00554152">
                              <w:t xml:space="preserve"> rangatiratanga (self-determination) – providing for M</w:t>
                            </w:r>
                            <w:r w:rsidRPr="00554152">
                              <w:rPr>
                                <w:rFonts w:cs="Arial"/>
                              </w:rPr>
                              <w:t>ā</w:t>
                            </w:r>
                            <w:r w:rsidRPr="00554152">
                              <w:t>ori self-determination and mana motuhake in the design, delivery, and monitoring of health and disability services</w:t>
                            </w:r>
                          </w:p>
                          <w:p w14:paraId="12390A00" w14:textId="77777777" w:rsidR="00877DEE" w:rsidRPr="00554152" w:rsidRDefault="00877DEE" w:rsidP="00D524A3">
                            <w:pPr>
                              <w:pStyle w:val="Bulletpoint"/>
                            </w:pPr>
                            <w:r w:rsidRPr="00554152">
                              <w:rPr>
                                <w:rFonts w:cs="Arial"/>
                              </w:rPr>
                              <w:t>mana taurite (e</w:t>
                            </w:r>
                            <w:r w:rsidRPr="00554152">
                              <w:t>quity) – achieving equitable health outcomes for M</w:t>
                            </w:r>
                            <w:r w:rsidRPr="00554152">
                              <w:rPr>
                                <w:rFonts w:cs="Arial"/>
                              </w:rPr>
                              <w:t>ā</w:t>
                            </w:r>
                            <w:r w:rsidRPr="00554152">
                              <w:t>ori</w:t>
                            </w:r>
                          </w:p>
                          <w:p w14:paraId="314154BA" w14:textId="77777777" w:rsidR="00877DEE" w:rsidRPr="00554152" w:rsidRDefault="00877DEE" w:rsidP="00D524A3">
                            <w:pPr>
                              <w:pStyle w:val="Bulletpoint"/>
                            </w:pPr>
                            <w:r w:rsidRPr="00554152">
                              <w:rPr>
                                <w:rFonts w:cs="Arial"/>
                              </w:rPr>
                              <w:t>whakamarumarutia</w:t>
                            </w:r>
                            <w:r w:rsidRPr="00554152">
                              <w:t xml:space="preserve"> (active protection) – a</w:t>
                            </w:r>
                            <w:r w:rsidRPr="00554152">
                              <w:rPr>
                                <w:rFonts w:cs="Arial"/>
                              </w:rPr>
                              <w:t>cting to the fullest extent practicable to achieve equitable health outcomes for Māori and being well informed of the extent and nature of both</w:t>
                            </w:r>
                            <w:r w:rsidRPr="00554152">
                              <w:t xml:space="preserve"> Māori</w:t>
                            </w:r>
                            <w:r w:rsidRPr="00554152">
                              <w:rPr>
                                <w:rFonts w:cs="Arial"/>
                              </w:rPr>
                              <w:t xml:space="preserve"> health outcomes and efforts to achieve </w:t>
                            </w:r>
                            <w:r w:rsidRPr="00554152">
                              <w:t>M</w:t>
                            </w:r>
                            <w:r w:rsidRPr="00554152">
                              <w:rPr>
                                <w:rFonts w:cs="Arial"/>
                              </w:rPr>
                              <w:t>ā</w:t>
                            </w:r>
                            <w:r w:rsidRPr="00554152">
                              <w:t>ori</w:t>
                            </w:r>
                            <w:r w:rsidRPr="00554152">
                              <w:rPr>
                                <w:rFonts w:cs="Arial"/>
                              </w:rPr>
                              <w:t xml:space="preserve"> health equity</w:t>
                            </w:r>
                          </w:p>
                          <w:p w14:paraId="325C3C49" w14:textId="77777777" w:rsidR="00877DEE" w:rsidRPr="00554152" w:rsidRDefault="00877DEE" w:rsidP="00D524A3">
                            <w:pPr>
                              <w:pStyle w:val="Bulletpoint"/>
                            </w:pPr>
                            <w:r w:rsidRPr="00554152">
                              <w:rPr>
                                <w:rFonts w:cs="Arial"/>
                              </w:rPr>
                              <w:t>kōwhiringa</w:t>
                            </w:r>
                            <w:r w:rsidRPr="00554152">
                              <w:t xml:space="preserve"> (options) – providing for and properly resourcing kaupapa M</w:t>
                            </w:r>
                            <w:r w:rsidRPr="00554152">
                              <w:rPr>
                                <w:rFonts w:cs="Arial"/>
                              </w:rPr>
                              <w:t>ā</w:t>
                            </w:r>
                            <w:r w:rsidRPr="00554152">
                              <w:t>ori</w:t>
                            </w:r>
                            <w:r w:rsidRPr="00554152" w:rsidDel="007D37B5">
                              <w:t xml:space="preserve"> </w:t>
                            </w:r>
                            <w:r w:rsidRPr="00554152">
                              <w:t>health services and ensuring all services are provided in a culturally appropriate way that recognises and supports the expression of hauora M</w:t>
                            </w:r>
                            <w:r w:rsidRPr="00554152">
                              <w:rPr>
                                <w:rFonts w:cs="Arial"/>
                              </w:rPr>
                              <w:t>ā</w:t>
                            </w:r>
                            <w:r w:rsidRPr="00554152">
                              <w:t>ori models of care</w:t>
                            </w:r>
                          </w:p>
                          <w:p w14:paraId="178198C2" w14:textId="77777777" w:rsidR="00877DEE" w:rsidRDefault="00877DEE" w:rsidP="00D524A3">
                            <w:pPr>
                              <w:pStyle w:val="Bulletpoint"/>
                            </w:pPr>
                            <w:r w:rsidRPr="00332B12">
                              <w:rPr>
                                <w:rFonts w:cs="Arial"/>
                              </w:rPr>
                              <w:t>pātuitanga</w:t>
                            </w:r>
                            <w:r w:rsidRPr="00554152">
                              <w:t xml:space="preserve"> (partnership) – partnering with M</w:t>
                            </w:r>
                            <w:r w:rsidRPr="00332B12">
                              <w:rPr>
                                <w:rFonts w:cs="Arial"/>
                              </w:rPr>
                              <w:t>ā</w:t>
                            </w:r>
                            <w:r w:rsidRPr="00554152">
                              <w:t>ori</w:t>
                            </w:r>
                            <w:r w:rsidRPr="00554152" w:rsidDel="007D37B5">
                              <w:t xml:space="preserve"> </w:t>
                            </w:r>
                            <w:r w:rsidRPr="00554152">
                              <w:t>in the design, delivery, and monitoring of</w:t>
                            </w:r>
                            <w:r w:rsidRPr="00554152" w:rsidDel="007E3C24">
                              <w:t xml:space="preserve"> </w:t>
                            </w:r>
                            <w:r w:rsidRPr="00554152">
                              <w:t>mahi.</w:t>
                            </w:r>
                            <w:bookmarkEnd w:id="412"/>
                          </w:p>
                        </w:txbxContent>
                      </wps:txbx>
                      <wps:bodyPr rot="0" vert="horz" wrap="square" lIns="91440" tIns="45720" rIns="91440" bIns="45720" anchor="t" anchorCtr="0">
                        <a:noAutofit/>
                      </wps:bodyPr>
                    </wps:wsp>
                  </a:graphicData>
                </a:graphic>
              </wp:inline>
            </w:drawing>
          </mc:Choice>
          <mc:Fallback>
            <w:pict>
              <v:shapetype w14:anchorId="10ED847F" id="_x0000_t202" coordsize="21600,21600" o:spt="202" path="m,l,21600r21600,l21600,xe">
                <v:stroke joinstyle="miter"/>
                <v:path gradientshapeok="t" o:connecttype="rect"/>
              </v:shapetype>
              <v:shape id="Text Box 2" o:spid="_x0000_s1026" type="#_x0000_t202" style="width:468pt;height: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" fillcolor="#d6ffff [344]">
                <v:textbox>
                  <w:txbxContent>
                    <w:p w14:paraId="34FD4A29" w14:textId="77777777" w:rsidR="00877DEE" w:rsidRPr="00554152" w:rsidRDefault="00877DEE" w:rsidP="00877DEE">
                      <w:bookmarkStart w:id="413" w:name="_Hlk178338621"/>
                      <w:r w:rsidRPr="00554152">
                        <w:t>AOD services should be guided by and demonstrate commitment to:</w:t>
                      </w:r>
                    </w:p>
                    <w:p w14:paraId="7412D9C3" w14:textId="77777777" w:rsidR="00877DEE" w:rsidRPr="00554152" w:rsidRDefault="00877DEE" w:rsidP="00D524A3">
                      <w:pPr>
                        <w:pStyle w:val="Bulletpoint"/>
                      </w:pPr>
                      <w:r w:rsidRPr="00554152">
                        <w:rPr>
                          <w:rFonts w:cs="Arial"/>
                        </w:rPr>
                        <w:t>tino</w:t>
                      </w:r>
                      <w:r w:rsidRPr="00554152">
                        <w:t xml:space="preserve"> rangatiratanga (self-determination) – providing for M</w:t>
                      </w:r>
                      <w:r w:rsidRPr="00554152">
                        <w:rPr>
                          <w:rFonts w:cs="Arial"/>
                        </w:rPr>
                        <w:t>ā</w:t>
                      </w:r>
                      <w:r w:rsidRPr="00554152">
                        <w:t>ori self-determination and mana motuhake in the design, delivery, and monitoring of health and disability services</w:t>
                      </w:r>
                    </w:p>
                    <w:p w14:paraId="12390A00" w14:textId="77777777" w:rsidR="00877DEE" w:rsidRPr="00554152" w:rsidRDefault="00877DEE" w:rsidP="00D524A3">
                      <w:pPr>
                        <w:pStyle w:val="Bulletpoint"/>
                      </w:pPr>
                      <w:r w:rsidRPr="00554152">
                        <w:rPr>
                          <w:rFonts w:cs="Arial"/>
                        </w:rPr>
                        <w:t>mana taurite (e</w:t>
                      </w:r>
                      <w:r w:rsidRPr="00554152">
                        <w:t>quity) – achieving equitable health outcomes for M</w:t>
                      </w:r>
                      <w:r w:rsidRPr="00554152">
                        <w:rPr>
                          <w:rFonts w:cs="Arial"/>
                        </w:rPr>
                        <w:t>ā</w:t>
                      </w:r>
                      <w:r w:rsidRPr="00554152">
                        <w:t>ori</w:t>
                      </w:r>
                    </w:p>
                    <w:p w14:paraId="314154BA" w14:textId="77777777" w:rsidR="00877DEE" w:rsidRPr="00554152" w:rsidRDefault="00877DEE" w:rsidP="00D524A3">
                      <w:pPr>
                        <w:pStyle w:val="Bulletpoint"/>
                      </w:pPr>
                      <w:r w:rsidRPr="00554152">
                        <w:rPr>
                          <w:rFonts w:cs="Arial"/>
                        </w:rPr>
                        <w:t>whakamarumarutia</w:t>
                      </w:r>
                      <w:r w:rsidRPr="00554152">
                        <w:t xml:space="preserve"> (active protection) – a</w:t>
                      </w:r>
                      <w:r w:rsidRPr="00554152">
                        <w:rPr>
                          <w:rFonts w:cs="Arial"/>
                        </w:rPr>
                        <w:t>cting to the fullest extent practicable to achieve equitable health outcomes for Māori and being well informed of the extent and nature of both</w:t>
                      </w:r>
                      <w:r w:rsidRPr="00554152">
                        <w:t xml:space="preserve"> Māori</w:t>
                      </w:r>
                      <w:r w:rsidRPr="00554152">
                        <w:rPr>
                          <w:rFonts w:cs="Arial"/>
                        </w:rPr>
                        <w:t xml:space="preserve"> health outcomes and efforts to achieve </w:t>
                      </w:r>
                      <w:r w:rsidRPr="00554152">
                        <w:t>M</w:t>
                      </w:r>
                      <w:r w:rsidRPr="00554152">
                        <w:rPr>
                          <w:rFonts w:cs="Arial"/>
                        </w:rPr>
                        <w:t>ā</w:t>
                      </w:r>
                      <w:r w:rsidRPr="00554152">
                        <w:t>ori</w:t>
                      </w:r>
                      <w:r w:rsidRPr="00554152">
                        <w:rPr>
                          <w:rFonts w:cs="Arial"/>
                        </w:rPr>
                        <w:t xml:space="preserve"> health equity</w:t>
                      </w:r>
                    </w:p>
                    <w:p w14:paraId="325C3C49" w14:textId="77777777" w:rsidR="00877DEE" w:rsidRPr="00554152" w:rsidRDefault="00877DEE" w:rsidP="00D524A3">
                      <w:pPr>
                        <w:pStyle w:val="Bulletpoint"/>
                      </w:pPr>
                      <w:r w:rsidRPr="00554152">
                        <w:rPr>
                          <w:rFonts w:cs="Arial"/>
                        </w:rPr>
                        <w:t>kōwhiringa</w:t>
                      </w:r>
                      <w:r w:rsidRPr="00554152">
                        <w:t xml:space="preserve"> (options) – providing for and properly resourcing kaupapa M</w:t>
                      </w:r>
                      <w:r w:rsidRPr="00554152">
                        <w:rPr>
                          <w:rFonts w:cs="Arial"/>
                        </w:rPr>
                        <w:t>ā</w:t>
                      </w:r>
                      <w:r w:rsidRPr="00554152">
                        <w:t>ori</w:t>
                      </w:r>
                      <w:r w:rsidRPr="00554152" w:rsidDel="007D37B5">
                        <w:t xml:space="preserve"> </w:t>
                      </w:r>
                      <w:r w:rsidRPr="00554152">
                        <w:t>health services and ensuring all services are provided in a culturally appropriate way that recognises and supports the expression of hauora M</w:t>
                      </w:r>
                      <w:r w:rsidRPr="00554152">
                        <w:rPr>
                          <w:rFonts w:cs="Arial"/>
                        </w:rPr>
                        <w:t>ā</w:t>
                      </w:r>
                      <w:r w:rsidRPr="00554152">
                        <w:t>ori models of care</w:t>
                      </w:r>
                    </w:p>
                    <w:p w14:paraId="178198C2" w14:textId="77777777" w:rsidR="00877DEE" w:rsidRDefault="00877DEE" w:rsidP="00D524A3">
                      <w:pPr>
                        <w:pStyle w:val="Bulletpoint"/>
                      </w:pPr>
                      <w:r w:rsidRPr="00332B12">
                        <w:rPr>
                          <w:rFonts w:cs="Arial"/>
                        </w:rPr>
                        <w:t>pātuitanga</w:t>
                      </w:r>
                      <w:r w:rsidRPr="00554152">
                        <w:t xml:space="preserve"> (partnership) – partnering with M</w:t>
                      </w:r>
                      <w:r w:rsidRPr="00332B12">
                        <w:rPr>
                          <w:rFonts w:cs="Arial"/>
                        </w:rPr>
                        <w:t>ā</w:t>
                      </w:r>
                      <w:r w:rsidRPr="00554152">
                        <w:t>ori</w:t>
                      </w:r>
                      <w:r w:rsidRPr="00554152" w:rsidDel="007D37B5">
                        <w:t xml:space="preserve"> </w:t>
                      </w:r>
                      <w:r w:rsidRPr="00554152">
                        <w:t>in the design, delivery, and monitoring of</w:t>
                      </w:r>
                      <w:r w:rsidRPr="00554152" w:rsidDel="007E3C24">
                        <w:t xml:space="preserve"> </w:t>
                      </w:r>
                      <w:r w:rsidRPr="00554152">
                        <w:t>mahi.</w:t>
                      </w:r>
                      <w:bookmarkEnd w:id="413"/>
                    </w:p>
                  </w:txbxContent>
                </v:textbox>
                <w10:anchorlock/>
              </v:shape>
            </w:pict>
          </mc:Fallback>
        </mc:AlternateContent>
      </w:r>
    </w:p>
    <w:p w14:paraId="308B11E3" w14:textId="7F029FD8" w:rsidR="00877DEE" w:rsidRDefault="00877DEE" w:rsidP="007B2413">
      <w:r w:rsidRPr="00134705">
        <w:rPr>
          <w:rFonts w:cs="Arial"/>
        </w:rPr>
        <w:t>All publicly funded AOD</w:t>
      </w:r>
      <w:r w:rsidRPr="00134705">
        <w:t xml:space="preserve"> services are obliged to embed Te Tiriti o Waitangi (Te Tiriti) throughout all aspects of service delivery, to achieve and improve outcomes for and with M</w:t>
      </w:r>
      <w:r w:rsidRPr="00134705">
        <w:rPr>
          <w:rFonts w:cs="Arial"/>
        </w:rPr>
        <w:t>ā</w:t>
      </w:r>
      <w:r w:rsidRPr="00134705">
        <w:t xml:space="preserve">ori. Te Tiriti recognises health as a taonga to be protected. Te Tiriti has three articles which are expressed through principles articulated by the courts and the Waitangi </w:t>
      </w:r>
      <w:r w:rsidRPr="00134705">
        <w:lastRenderedPageBreak/>
        <w:t xml:space="preserve">Tribunal. Te Tiriti principles apply across the health and disability system as a whole and are reflected in </w:t>
      </w:r>
      <w:r w:rsidRPr="00134705">
        <w:rPr>
          <w:i/>
        </w:rPr>
        <w:t>He Korowai Oranga: Māori Health Strategy</w:t>
      </w:r>
      <w:r w:rsidRPr="00134705">
        <w:t xml:space="preserve"> and </w:t>
      </w:r>
      <w:r w:rsidRPr="00134705">
        <w:rPr>
          <w:i/>
        </w:rPr>
        <w:t>Whakamaua: Māori Health Action Plan 2020-2025.</w:t>
      </w:r>
      <w:r w:rsidRPr="00134705">
        <w:fldChar w:fldCharType="begin"/>
      </w:r>
      <w:r w:rsidRPr="00134705">
        <w:instrText xml:space="preserve"> ADDIN ZOTERO_ITEM CSL_CITATION {"citationID":"a2j7v9idopl","properties":{"formattedCitation":"\\super 28,29\\nosupersub{}","plainCitation":"28,29","noteIndex":0},"citationItems":[{"id":8383,"uris":["http://zotero.org/groups/4406622/items/HYCJTBCQ"],"itemData":{"id":8383,"type":"webpage","abstract":"Information on He Korowai Oranga: Māori Health Strategy, which sets out Māori health objectives, and how these objectives are being implemented.","container-title":"Ministry of Health NZ","language":"en","title":"He Korowai Oranga","URL":"https://www.health.govt.nz/our-work/populations/maori-health/he-korowai-oranga","author":[{"literal":"Manatū Hauora Ministry of Health"}],"accessed":{"date-parts":[["2022",11,16]]},"issued":{"date-parts":[["2020"]]}}},{"id":16436,"uris":["http://zotero.org/groups/4768959/items/WUKDDAU8"],"itemData":{"id":16436,"type":"report","abstract":"Whakamaua: Māori Health Action Plan 2020-2025 is the implementation plan for He Korowai Oranga, the Māori Health Strategy. It sets the government’s direction for Māori health advancement over the next five years.","event-place":"Wellington","language":"en","publisher":"Ministry of Health","publisher-place":"Wellington","title":"Whakamaua: Māori Health Action Plan 2020-2025","title-short":"Whakamaua","URL":"https://www.health.govt.nz/publication/whakamaua-maori-health-action-plan-2020-2025","author":[{"family":"Ministry of Health","given":""}],"accessed":{"date-parts":[["2021",4,22]]},"issued":{"date-parts":[["2020"]]}}}],"schema":"https://github.com/citation-style-language/schema/raw/master/csl-citation.json"} </w:instrText>
      </w:r>
      <w:r w:rsidRPr="00134705">
        <w:fldChar w:fldCharType="separate"/>
      </w:r>
      <w:r w:rsidRPr="00134705">
        <w:rPr>
          <w:rFonts w:cs="Arial"/>
          <w:vertAlign w:val="superscript"/>
        </w:rPr>
        <w:t>28,29</w:t>
      </w:r>
      <w:r w:rsidRPr="00134705">
        <w:fldChar w:fldCharType="end"/>
      </w:r>
    </w:p>
    <w:p w14:paraId="30FA8F7F" w14:textId="77777777" w:rsidR="006A14E1" w:rsidRPr="00134705" w:rsidRDefault="006A14E1" w:rsidP="007B2413"/>
    <w:p w14:paraId="6610152E" w14:textId="797F97D6" w:rsidR="00877DEE" w:rsidRPr="00134705" w:rsidRDefault="00877DEE" w:rsidP="007B2413">
      <w:r>
        <w:rPr>
          <w:noProof/>
        </w:rPr>
        <w:drawing>
          <wp:anchor distT="0" distB="0" distL="114300" distR="114300" simplePos="0" relativeHeight="251760640" behindDoc="0" locked="0" layoutInCell="1" allowOverlap="1" wp14:anchorId="4C18EECF" wp14:editId="7B8B5773">
            <wp:simplePos x="0" y="0"/>
            <wp:positionH relativeFrom="margin">
              <wp:align>left</wp:align>
            </wp:positionH>
            <wp:positionV relativeFrom="paragraph">
              <wp:posOffset>53267</wp:posOffset>
            </wp:positionV>
            <wp:extent cx="799465" cy="3381375"/>
            <wp:effectExtent l="0" t="0" r="635" b="9525"/>
            <wp:wrapSquare wrapText="bothSides"/>
            <wp:docPr id="1481671536" name="Picture 14816715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671536" name="Picture 1">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803732" cy="3399423"/>
                    </a:xfrm>
                    <a:prstGeom prst="rect">
                      <a:avLst/>
                    </a:prstGeom>
                  </pic:spPr>
                </pic:pic>
              </a:graphicData>
            </a:graphic>
            <wp14:sizeRelH relativeFrom="page">
              <wp14:pctWidth>0</wp14:pctWidth>
            </wp14:sizeRelH>
            <wp14:sizeRelV relativeFrom="page">
              <wp14:pctHeight>0</wp14:pctHeight>
            </wp14:sizeRelV>
          </wp:anchor>
        </w:drawing>
      </w:r>
      <w:bookmarkStart w:id="413" w:name="_Hlk178338892"/>
      <w:r w:rsidRPr="00134705">
        <w:t>Te Tiriti underscores the importance of kaupapa Māori approaches and equitable funding, growing the Māori workforce and leadership throughout AOD services, ensuring the workforce is equipped to deliver culturally safe support, and monitoring outcomes to ensure equity for M</w:t>
      </w:r>
      <w:r w:rsidRPr="00134705">
        <w:rPr>
          <w:rFonts w:cs="Arial"/>
        </w:rPr>
        <w:t>ā</w:t>
      </w:r>
      <w:r w:rsidRPr="00134705">
        <w:t xml:space="preserve">ori. </w:t>
      </w:r>
    </w:p>
    <w:p w14:paraId="12097C2D" w14:textId="77777777" w:rsidR="00877DEE" w:rsidRPr="00134705" w:rsidRDefault="00877DEE" w:rsidP="007B2413">
      <w:pPr>
        <w:rPr>
          <w:rFonts w:eastAsiaTheme="majorEastAsia" w:cstheme="majorBidi"/>
          <w:b/>
          <w:color w:val="28A1AC" w:themeColor="accent2"/>
        </w:rPr>
      </w:pPr>
      <w:r w:rsidRPr="00134705">
        <w:rPr>
          <w:lang w:eastAsia="en-NZ"/>
        </w:rPr>
        <w:t>While there is a lack of local prevalence data, older Māori appear to have higher rates of dementia</w:t>
      </w:r>
      <w:r w:rsidRPr="00134705">
        <w:rPr>
          <w:lang w:eastAsia="en-NZ"/>
        </w:rPr>
        <w:fldChar w:fldCharType="begin"/>
      </w:r>
      <w:r w:rsidRPr="00134705">
        <w:rPr>
          <w:lang w:eastAsia="en-NZ"/>
        </w:rPr>
        <w:instrText xml:space="preserve"> ADDIN ZOTERO_ITEM CSL_CITATION {"citationID":"a2jt43um3el","properties":{"formattedCitation":"\\super 30\\nosupersub{}","plainCitation":"30","noteIndex":0},"citationItems":[{"id":13992,"uris":["http://zotero.org/groups/4745233/items/PTYD677Y"],"itemData":{"id":13992,"type":"article-journal","abstract":"Objective\nEstimates of dementia prevalence in New Zealand (NZ) have previously been extrapolated from limited Australasian studies, which may be neither accurate nor reflect NZ’s unique population and diverse ethnic groups. This study used routinely collected health data to estimate the 1-year period prevalence for diagnosed dementia for each of the 4 years between July 2016 and June 2020 in the age 60+ and age 80+ populations and for the four main ethnic groups.\n\nDesign\nA population-based descriptive study.\n\nSetting\nSeven national health data sets within the NZ Integrated Data Infrastructure (IDI) were linked. Diagnosed dementia prevalence for each year was calculated using the IDI age 60+ and age 80+ populations as the denominator and also age–sex standardised to allow comparison across ethnic groups.\n\nParticipants\nDiagnosed dementia individuals in the health datasets were identified by diagnostic or medication codes used in each of the data sets with deduplication of those who appeared in more than one data set.\n\nResults\nThe crude diagnosed dementia prevalence was 3.8%–4.0% in the age 60+ population and 13.7%–14.4% in the age 80+ population across the four study years. Dementia prevalence age–sex standardised to the IDI population in the last study period of 2019–2020 was 5.4% for Māori, 6.3% for Pacific Islander, 3.7% for European and 3.4% for Asian in the age 60+ population, and 17.5% for Māori, 22.2% for Pacific Islander, 13.6% for European and 13.5% for Asian in the age 80+ population.\n\nConclusions\nThis study provides the best estimate to date for dementia prevalence in NZ but is limited to those people who were identified as having dementia based on data from the seven included data sets. The findings suggest that diagnosed dementia prevalence is higher in Māori and Pacific Islanders. A nationwide NZ community-based dementia prevalence study is much needed to confirm the findings of this study.","container-title":"BMJ Open","DOI":"10.1136/bmjopen-2022-062304","ISSN":"2044-6055","issue":"9","journalAbbreviation":"BMJ Open","note":"PMID: 36691174\nPMCID: PMC9454053","page":"e062304","source":"PubMed Central","title":"Dementia prevalence estimation among the main ethnic groups in New Zealand: a population-based descriptive study of routinely collected health data","title-short":"Dementia prevalence estimation among the main ethnic groups in New Zealand","volume":"12","author":[{"family":"Cheung","given":"Gary"},{"family":"To","given":"Edith"},{"family":"Rivera-Rodriguez","given":"Claudia"},{"family":"Ma’u","given":"Etuini"},{"family":"Chan","given":"Amy Hai Yan"},{"family":"Ryan","given":"Brigid"},{"family":"Cullum","given":"Sarah"}],"issued":{"date-parts":[["2022",9,7]]}}}],"schema":"https://github.com/citation-style-language/schema/raw/master/csl-citation.json"} </w:instrText>
      </w:r>
      <w:r w:rsidRPr="00134705">
        <w:rPr>
          <w:lang w:eastAsia="en-NZ"/>
        </w:rPr>
        <w:fldChar w:fldCharType="separate"/>
      </w:r>
      <w:r w:rsidRPr="00134705">
        <w:rPr>
          <w:rFonts w:cs="Arial"/>
          <w:vertAlign w:val="superscript"/>
        </w:rPr>
        <w:t>30</w:t>
      </w:r>
      <w:r w:rsidRPr="00134705">
        <w:rPr>
          <w:lang w:eastAsia="en-NZ"/>
        </w:rPr>
        <w:fldChar w:fldCharType="end"/>
      </w:r>
      <w:r w:rsidRPr="00134705">
        <w:rPr>
          <w:lang w:eastAsia="en-NZ"/>
        </w:rPr>
        <w:t xml:space="preserve"> and Māori are exposed to more risk factors for cognitive impairment and problematic substance use.</w:t>
      </w:r>
      <w:r w:rsidRPr="00134705">
        <w:rPr>
          <w:lang w:eastAsia="en-NZ"/>
        </w:rPr>
        <w:fldChar w:fldCharType="begin"/>
      </w:r>
      <w:r w:rsidRPr="00134705">
        <w:rPr>
          <w:lang w:eastAsia="en-NZ"/>
        </w:rPr>
        <w:instrText xml:space="preserve"> ADDIN ZOTERO_ITEM CSL_CITATION {"citationID":"ao8kucc3ak","properties":{"formattedCitation":"\\super 31\\nosupersub{}","plainCitation":"31","noteIndex":0},"citationItems":[{"id":13483,"uris":["http://zotero.org/groups/4745233/items/A9MM39W6"],"itemData":{"id":13483,"type":"report","event-place":"Wellington, New Zealand","language":"en","page":"149","publisher":"Ministry of Justice","publisher-place":"Wellington, New Zealand","source":"Zotero","title":"Issues of tobacco, alcohol and other substance abuse for Māori","author":[{"family":"Walker","given":"Kesaia"}],"issued":{"date-parts":[["2019"]]}}}],"schema":"https://github.com/citation-style-language/schema/raw/master/csl-citation.json"} </w:instrText>
      </w:r>
      <w:r w:rsidRPr="00134705">
        <w:rPr>
          <w:lang w:eastAsia="en-NZ"/>
        </w:rPr>
        <w:fldChar w:fldCharType="separate"/>
      </w:r>
      <w:r w:rsidRPr="00134705">
        <w:rPr>
          <w:rFonts w:cs="Arial"/>
          <w:vertAlign w:val="superscript"/>
        </w:rPr>
        <w:t>31</w:t>
      </w:r>
      <w:r w:rsidRPr="00134705">
        <w:rPr>
          <w:lang w:eastAsia="en-NZ"/>
        </w:rPr>
        <w:fldChar w:fldCharType="end"/>
      </w:r>
      <w:r w:rsidRPr="00134705">
        <w:rPr>
          <w:lang w:eastAsia="en-NZ"/>
        </w:rPr>
        <w:t xml:space="preserve"> </w:t>
      </w:r>
      <w:r w:rsidRPr="00134705">
        <w:rPr>
          <w:rFonts w:cs="Arial"/>
        </w:rPr>
        <w:t>This is a result of Crown failure to provide equitable health services and successfully address the broader political, socioeconomic, and health conditions that contribute to problematic substance use among Māori.</w:t>
      </w:r>
      <w:r w:rsidRPr="00134705">
        <w:rPr>
          <w:rFonts w:cs="Arial"/>
        </w:rPr>
        <w:fldChar w:fldCharType="begin"/>
      </w:r>
      <w:r w:rsidRPr="00134705">
        <w:rPr>
          <w:rFonts w:cs="Arial"/>
        </w:rPr>
        <w:instrText xml:space="preserve"> ADDIN ZOTERO_ITEM CSL_CITATION {"citationID":"a2dfhj88sb2","properties":{"formattedCitation":"\\super 31\\nosupersub{}","plainCitation":"31","noteIndex":0},"citationItems":[{"id":13483,"uris":["http://zotero.org/groups/4745233/items/A9MM39W6"],"itemData":{"id":13483,"type":"report","event-place":"Wellington, New Zealand","language":"en","page":"149","publisher":"Ministry of Justice","publisher-place":"Wellington, New Zealand","source":"Zotero","title":"Issues of tobacco, alcohol and other substance abuse for Māori","author":[{"family":"Walker","given":"Kesaia"}],"issued":{"date-parts":[["2019"]]}}}],"schema":"https://github.com/citation-style-language/schema/raw/master/csl-citation.json"} </w:instrText>
      </w:r>
      <w:r w:rsidRPr="00134705">
        <w:rPr>
          <w:rFonts w:cs="Arial"/>
        </w:rPr>
        <w:fldChar w:fldCharType="separate"/>
      </w:r>
      <w:r w:rsidRPr="00134705">
        <w:rPr>
          <w:rFonts w:cs="Arial"/>
          <w:vertAlign w:val="superscript"/>
        </w:rPr>
        <w:t>31</w:t>
      </w:r>
      <w:r w:rsidRPr="00134705">
        <w:rPr>
          <w:rFonts w:cs="Arial"/>
        </w:rPr>
        <w:fldChar w:fldCharType="end"/>
      </w:r>
      <w:r w:rsidRPr="00134705">
        <w:rPr>
          <w:rFonts w:cs="Arial"/>
        </w:rPr>
        <w:t xml:space="preserve"> This includes colonisation, land loss, criminalisation, urbanisation, discrimination and racism, and trauma. It is imperative to work in a trauma-informed, strengths-based, and culturally safe manner to support tāngata whai ora Māori towards their vision of pae ora (healthy futures). This includes integrating into practice Māori concepts like wairuatanga (spirituality), whānau, te reo Māori, and considering common values, customs, and beliefs that underpin Te Ao Māori. </w:t>
      </w:r>
    </w:p>
    <w:bookmarkEnd w:id="413"/>
    <w:p w14:paraId="52E2CCB7" w14:textId="77777777" w:rsidR="006C3CC4" w:rsidRDefault="006C3CC4" w:rsidP="006C3CC4"/>
    <w:p w14:paraId="3AE3C638" w14:textId="77777777" w:rsidR="00D524A3" w:rsidRDefault="00D524A3" w:rsidP="006C3CC4"/>
    <w:p w14:paraId="354983AF" w14:textId="77777777" w:rsidR="00D524A3" w:rsidRDefault="00D524A3" w:rsidP="006C3CC4"/>
    <w:p w14:paraId="1C8FCD34" w14:textId="77777777" w:rsidR="00D524A3" w:rsidRDefault="00D524A3" w:rsidP="006C3CC4"/>
    <w:p w14:paraId="07229B95" w14:textId="77777777" w:rsidR="00D524A3" w:rsidRDefault="00D524A3" w:rsidP="006C3CC4"/>
    <w:p w14:paraId="755A0BCA" w14:textId="77777777" w:rsidR="00D524A3" w:rsidRDefault="00D524A3" w:rsidP="006C3CC4"/>
    <w:p w14:paraId="35FFA1DD" w14:textId="77777777" w:rsidR="00D524A3" w:rsidRDefault="00D524A3" w:rsidP="006C3CC4"/>
    <w:p w14:paraId="0CB9B7B4" w14:textId="77777777" w:rsidR="00D524A3" w:rsidRDefault="00D524A3" w:rsidP="006C3CC4"/>
    <w:p w14:paraId="4A83B051" w14:textId="77777777" w:rsidR="00D524A3" w:rsidRDefault="00D524A3" w:rsidP="006C3CC4"/>
    <w:p w14:paraId="360AB8FA" w14:textId="77777777" w:rsidR="00D524A3" w:rsidRDefault="00D524A3" w:rsidP="006C3CC4"/>
    <w:p w14:paraId="3D5D7727" w14:textId="77777777" w:rsidR="00542E8E" w:rsidRPr="00A666D1" w:rsidRDefault="00542E8E" w:rsidP="00903743">
      <w:pPr>
        <w:pStyle w:val="Heading2"/>
      </w:pPr>
      <w:bookmarkStart w:id="414" w:name="_Toc180571287"/>
      <w:r w:rsidRPr="00A666D1">
        <w:lastRenderedPageBreak/>
        <w:t>Workforce values and attitudes</w:t>
      </w:r>
      <w:bookmarkEnd w:id="414"/>
    </w:p>
    <w:p w14:paraId="45B0F82C" w14:textId="07B1ABC1" w:rsidR="00542E8E" w:rsidRPr="00134705" w:rsidRDefault="00542E8E" w:rsidP="007B2413">
      <w:pPr>
        <w:rPr>
          <w:i/>
          <w:iCs/>
        </w:rPr>
      </w:pPr>
      <w:r w:rsidRPr="00134705">
        <w:t xml:space="preserve">The right values and attitudes are important to avoid harm when screening and providing support for cognitive impairment. The </w:t>
      </w:r>
      <w:r w:rsidRPr="00134705">
        <w:rPr>
          <w:i/>
          <w:iCs/>
        </w:rPr>
        <w:t xml:space="preserve">Let’s get real </w:t>
      </w:r>
      <w:r w:rsidRPr="00134705">
        <w:t>values, attitudes, and Real Skills (</w:t>
      </w:r>
      <w:r w:rsidRPr="00134705">
        <w:fldChar w:fldCharType="begin"/>
      </w:r>
      <w:r w:rsidRPr="00134705">
        <w:instrText xml:space="preserve"> REF _Ref146296009 \h </w:instrText>
      </w:r>
      <w:r>
        <w:instrText xml:space="preserve"> \* MERGEFORMAT </w:instrText>
      </w:r>
      <w:r w:rsidRPr="00134705">
        <w:fldChar w:fldCharType="separate"/>
      </w:r>
      <w:r w:rsidR="007F1966" w:rsidRPr="0055211E">
        <w:t xml:space="preserve">Figure </w:t>
      </w:r>
      <w:r w:rsidR="007F1966">
        <w:rPr>
          <w:noProof/>
        </w:rPr>
        <w:t>1</w:t>
      </w:r>
      <w:r w:rsidRPr="00134705">
        <w:fldChar w:fldCharType="end"/>
      </w:r>
      <w:r w:rsidRPr="00134705">
        <w:t xml:space="preserve">) apply across the health system and form the backbone of the dapaanz </w:t>
      </w:r>
      <w:r w:rsidRPr="00134705">
        <w:rPr>
          <w:i/>
          <w:iCs/>
        </w:rPr>
        <w:t>Addiction Intervention Competency Framework</w:t>
      </w:r>
      <w:r w:rsidRPr="00134705">
        <w:t xml:space="preserve"> for AOD workers</w:t>
      </w:r>
      <w:r w:rsidRPr="00134705">
        <w:rPr>
          <w:i/>
          <w:iCs/>
        </w:rPr>
        <w:t>.</w:t>
      </w:r>
      <w:r w:rsidRPr="00134705">
        <w:rPr>
          <w:i/>
          <w:iCs/>
        </w:rPr>
        <w:fldChar w:fldCharType="begin"/>
      </w:r>
      <w:r w:rsidRPr="00134705">
        <w:rPr>
          <w:i/>
          <w:iCs/>
        </w:rPr>
        <w:instrText xml:space="preserve"> ADDIN ZOTERO_ITEM CSL_CITATION {"citationID":"a1vrk97bn74","properties":{"formattedCitation":"\\super 32,33\\nosupersub{}","plainCitation":"32,33","noteIndex":0},"citationItems":[{"id":12635,"uris":["http://zotero.org/groups/4745233/items/592F8UPS"],"itemData":{"id":12635,"type":"document","publisher":"Te Pou","title":"Let's get real: Real skills for working with people and whānau with mental health and addiction needs","URL":"https://d2ew8vb2gktr0m.cloudfront.net/files/resources/TP-201216-Lets-get-real-framework-book-redesign-and-reprint_4_high-res.pdf","author":[{"family":"Te Pou","given":""},{"family":"Ministry of Health","given":""}],"accessed":{"date-parts":[["2023",1,25]]},"issued":{"date-parts":[["2021"]]}}},{"id":13904,"uris":["http://zotero.org/groups/4745233/items/7SKZZ6S9"],"itemData":{"id":13904,"type":"document","title":"Addiction Intervention Competency Framework","URL":"https://dapaanz.org.nz/wp-content/uploads/dapaanz_addiction_intervention_competency_framework.pdf","author":[{"family":"dapaanz","given":""}],"issued":{"date-parts":[["2011"]]}}}],"schema":"https://github.com/citation-style-language/schema/raw/master/csl-citation.json"} </w:instrText>
      </w:r>
      <w:r w:rsidRPr="00134705">
        <w:rPr>
          <w:i/>
          <w:iCs/>
        </w:rPr>
        <w:fldChar w:fldCharType="separate"/>
      </w:r>
      <w:r w:rsidRPr="00134705">
        <w:rPr>
          <w:rFonts w:cs="Arial"/>
          <w:vertAlign w:val="superscript"/>
        </w:rPr>
        <w:t>32,33</w:t>
      </w:r>
      <w:r w:rsidRPr="00134705">
        <w:rPr>
          <w:i/>
          <w:iCs/>
        </w:rPr>
        <w:fldChar w:fldCharType="end"/>
      </w:r>
      <w:r w:rsidRPr="00134705">
        <w:rPr>
          <w:i/>
          <w:iCs/>
        </w:rPr>
        <w:t xml:space="preserve"> </w:t>
      </w:r>
    </w:p>
    <w:p w14:paraId="312D8421" w14:textId="08C2E78B" w:rsidR="00542E8E" w:rsidRPr="0055211E" w:rsidRDefault="00542E8E" w:rsidP="00D524A3">
      <w:pPr>
        <w:pStyle w:val="Figure"/>
      </w:pPr>
      <w:bookmarkStart w:id="415" w:name="_Ref146296009"/>
      <w:bookmarkStart w:id="416" w:name="_Toc179461350"/>
      <w:r w:rsidRPr="0055211E">
        <w:t xml:space="preserve">Figure </w:t>
      </w:r>
      <w:r w:rsidRPr="0055211E">
        <w:fldChar w:fldCharType="begin"/>
      </w:r>
      <w:r w:rsidRPr="0055211E">
        <w:instrText xml:space="preserve"> SEQ Figure \* ARABIC </w:instrText>
      </w:r>
      <w:r w:rsidRPr="0055211E">
        <w:fldChar w:fldCharType="separate"/>
      </w:r>
      <w:r w:rsidR="007F1966">
        <w:rPr>
          <w:noProof/>
        </w:rPr>
        <w:t>1</w:t>
      </w:r>
      <w:r w:rsidRPr="0055211E">
        <w:fldChar w:fldCharType="end"/>
      </w:r>
      <w:bookmarkEnd w:id="415"/>
      <w:r w:rsidRPr="0055211E">
        <w:t xml:space="preserve">. </w:t>
      </w:r>
      <w:r w:rsidRPr="0055211E">
        <w:rPr>
          <w:i/>
          <w:iCs/>
        </w:rPr>
        <w:t>Let's get real</w:t>
      </w:r>
      <w:r w:rsidRPr="0055211E">
        <w:t xml:space="preserve"> values, attitudes, and Real Skills</w:t>
      </w:r>
      <w:bookmarkEnd w:id="416"/>
    </w:p>
    <w:p w14:paraId="3A32BF27" w14:textId="77777777" w:rsidR="00542E8E" w:rsidRPr="00332B12" w:rsidRDefault="00542E8E" w:rsidP="00542E8E">
      <w:pPr>
        <w:pStyle w:val="Dividerheading"/>
        <w:ind w:left="0"/>
        <w:rPr>
          <w:rFonts w:asciiTheme="minorHAnsi" w:hAnsiTheme="minorHAnsi" w:cstheme="minorHAnsi"/>
          <w:sz w:val="22"/>
          <w:szCs w:val="22"/>
        </w:rPr>
      </w:pPr>
      <w:r>
        <w:rPr>
          <w:rFonts w:cs="Arial"/>
          <w:noProof/>
          <w:color w:val="000000" w:themeColor="text1"/>
          <w:sz w:val="20"/>
        </w:rPr>
        <w:t xml:space="preserve">                       </w:t>
      </w:r>
      <w:r w:rsidRPr="00293129">
        <w:rPr>
          <w:rFonts w:cs="Arial"/>
          <w:noProof/>
          <w:color w:val="000000" w:themeColor="text1"/>
          <w:sz w:val="20"/>
        </w:rPr>
        <w:drawing>
          <wp:inline distT="0" distB="0" distL="0" distR="0" wp14:anchorId="0D15C8EB" wp14:editId="17C9A475">
            <wp:extent cx="5404861" cy="3913862"/>
            <wp:effectExtent l="0" t="0" r="5715" b="0"/>
            <wp:docPr id="414447706" name="Picture 414447706" descr="Three leaves representing the values, attitudes, and real skills for people working with those experiencing problematic substance use and mental health challe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571074" name="Picture 1494571074" descr="Three leaves representing the values, attitudes, and real skills for people working with those experiencing problematic substance use and mental health challenges."/>
                    <pic:cNvPicPr/>
                  </pic:nvPicPr>
                  <pic:blipFill>
                    <a:blip r:embed="rId13">
                      <a:extLst>
                        <a:ext uri="{28A0092B-C50C-407E-A947-70E740481C1C}">
                          <a14:useLocalDpi xmlns:a14="http://schemas.microsoft.com/office/drawing/2010/main" val="0"/>
                        </a:ext>
                      </a:extLst>
                    </a:blip>
                    <a:stretch>
                      <a:fillRect/>
                    </a:stretch>
                  </pic:blipFill>
                  <pic:spPr>
                    <a:xfrm>
                      <a:off x="0" y="0"/>
                      <a:ext cx="5460246" cy="3953969"/>
                    </a:xfrm>
                    <a:prstGeom prst="rect">
                      <a:avLst/>
                    </a:prstGeom>
                  </pic:spPr>
                </pic:pic>
              </a:graphicData>
            </a:graphic>
          </wp:inline>
        </w:drawing>
      </w:r>
    </w:p>
    <w:p w14:paraId="1D432F8A" w14:textId="77777777" w:rsidR="00D524A3" w:rsidRDefault="00D524A3" w:rsidP="00D524A3">
      <w:pPr>
        <w:pStyle w:val="Heading2"/>
      </w:pPr>
      <w:bookmarkStart w:id="417" w:name="_Toc172095770"/>
      <w:bookmarkStart w:id="418" w:name="_Toc178780100"/>
      <w:bookmarkStart w:id="419" w:name="_Toc178838866"/>
      <w:bookmarkStart w:id="420" w:name="_Toc178839053"/>
      <w:bookmarkStart w:id="421" w:name="_Toc178839174"/>
      <w:bookmarkStart w:id="422" w:name="_Toc178839403"/>
      <w:bookmarkStart w:id="423" w:name="_Toc178841613"/>
      <w:bookmarkStart w:id="424" w:name="_Toc179198172"/>
      <w:bookmarkStart w:id="425" w:name="_Toc179198420"/>
      <w:bookmarkStart w:id="426" w:name="_Toc179198528"/>
      <w:bookmarkStart w:id="427" w:name="_Toc179198635"/>
      <w:bookmarkStart w:id="428" w:name="_Toc179446079"/>
      <w:bookmarkStart w:id="429" w:name="_Toc179447110"/>
      <w:bookmarkStart w:id="430" w:name="_Toc179448650"/>
      <w:bookmarkStart w:id="431" w:name="_Toc179448811"/>
      <w:bookmarkStart w:id="432" w:name="_Toc179449198"/>
      <w:bookmarkStart w:id="433" w:name="_Toc179452901"/>
      <w:bookmarkStart w:id="434" w:name="_Toc179461414"/>
      <w:bookmarkStart w:id="435" w:name="_Toc179461858"/>
      <w:bookmarkStart w:id="436" w:name="_Toc179465218"/>
      <w:bookmarkStart w:id="437" w:name="_Toc179467029"/>
      <w:bookmarkStart w:id="438" w:name="_Toc179467085"/>
      <w:bookmarkStart w:id="439" w:name="_Toc179467162"/>
      <w:bookmarkStart w:id="440" w:name="_Toc179467237"/>
      <w:bookmarkStart w:id="441" w:name="_Toc179467421"/>
      <w:bookmarkStart w:id="442" w:name="_Toc179467659"/>
      <w:bookmarkStart w:id="443" w:name="_Toc179468033"/>
      <w:bookmarkStart w:id="444" w:name="_Toc179468292"/>
      <w:bookmarkStart w:id="445" w:name="_Toc179468534"/>
      <w:bookmarkStart w:id="446" w:name="_Toc179483237"/>
      <w:bookmarkStart w:id="447" w:name="_Toc179486305"/>
      <w:bookmarkStart w:id="448" w:name="_Toc179487910"/>
      <w:bookmarkStart w:id="449" w:name="_Toc179489213"/>
      <w:bookmarkStart w:id="450" w:name="_Toc179531338"/>
      <w:bookmarkStart w:id="451" w:name="_Toc179536011"/>
      <w:bookmarkStart w:id="452" w:name="_Toc179537850"/>
      <w:bookmarkStart w:id="453" w:name="_Toc179537914"/>
      <w:bookmarkStart w:id="454" w:name="_Toc179538081"/>
      <w:bookmarkStart w:id="455" w:name="_Toc179538894"/>
      <w:bookmarkStart w:id="456" w:name="_Toc179539213"/>
      <w:bookmarkStart w:id="457" w:name="_Toc179539329"/>
      <w:bookmarkStart w:id="458" w:name="_Toc179539467"/>
      <w:bookmarkStart w:id="459" w:name="_Toc179539564"/>
      <w:bookmarkStart w:id="460" w:name="_Toc179539649"/>
      <w:bookmarkStart w:id="461" w:name="_Toc179539739"/>
      <w:bookmarkStart w:id="462" w:name="_Toc179540423"/>
      <w:bookmarkStart w:id="463" w:name="_Toc179541768"/>
      <w:bookmarkStart w:id="464" w:name="_Toc179542960"/>
    </w:p>
    <w:p w14:paraId="47DC1ADA" w14:textId="5BCB31D2" w:rsidR="00542E8E" w:rsidRPr="00D524A3" w:rsidRDefault="00542E8E" w:rsidP="00D524A3">
      <w:pPr>
        <w:pStyle w:val="Heading2"/>
      </w:pPr>
      <w:bookmarkStart w:id="465" w:name="_Toc180571288"/>
      <w:r w:rsidRPr="00D524A3">
        <w:t>Language</w:t>
      </w:r>
      <w:bookmarkStart w:id="466" w:name="_Hlk178338980"/>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p>
    <w:p w14:paraId="2DC0DEF6" w14:textId="5F4A3BA6" w:rsidR="006C3CC4" w:rsidRDefault="00542E8E" w:rsidP="006C3CC4">
      <w:r w:rsidRPr="00134705">
        <w:t>People experiencing cognitive impairment and using substances problematically have a diverse range of strengths, not defined or limited by their symptoms, diagnosis, or public perception. Where possible, we use and encourage strengths-based language which focuses on people’s strengths and support to live well. The right language (including words and imagery from diverse cultures) helps give hope to people, whānau, and workers. Key terms are included in the glossary on page 9</w:t>
      </w:r>
      <w:r w:rsidR="005B44D9">
        <w:t>1</w:t>
      </w:r>
      <w:r w:rsidRPr="00134705">
        <w:t>.</w:t>
      </w:r>
      <w:bookmarkEnd w:id="466"/>
    </w:p>
    <w:p w14:paraId="307471D7" w14:textId="77777777" w:rsidR="007C3CC5" w:rsidRDefault="007C3CC5" w:rsidP="006C3CC4"/>
    <w:p w14:paraId="19C5BAE8" w14:textId="77777777" w:rsidR="007C3CC5" w:rsidRPr="00D524A3" w:rsidRDefault="007C3CC5" w:rsidP="00D524A3">
      <w:pPr>
        <w:pStyle w:val="Heading2"/>
      </w:pPr>
      <w:bookmarkStart w:id="467" w:name="_Toc178780101"/>
      <w:bookmarkStart w:id="468" w:name="_Toc178838867"/>
      <w:bookmarkStart w:id="469" w:name="_Toc178839054"/>
      <w:bookmarkStart w:id="470" w:name="_Toc178839175"/>
      <w:bookmarkStart w:id="471" w:name="_Toc178839404"/>
      <w:bookmarkStart w:id="472" w:name="_Toc178841614"/>
      <w:bookmarkStart w:id="473" w:name="_Toc179198173"/>
      <w:bookmarkStart w:id="474" w:name="_Toc179198421"/>
      <w:bookmarkStart w:id="475" w:name="_Toc179198529"/>
      <w:bookmarkStart w:id="476" w:name="_Toc179198636"/>
      <w:bookmarkStart w:id="477" w:name="_Toc179446080"/>
      <w:bookmarkStart w:id="478" w:name="_Toc179447111"/>
      <w:bookmarkStart w:id="479" w:name="_Toc179448651"/>
      <w:bookmarkStart w:id="480" w:name="_Toc179448812"/>
      <w:bookmarkStart w:id="481" w:name="_Toc179449199"/>
      <w:bookmarkStart w:id="482" w:name="_Toc179452902"/>
      <w:bookmarkStart w:id="483" w:name="_Toc179461415"/>
      <w:bookmarkStart w:id="484" w:name="_Toc179461859"/>
      <w:bookmarkStart w:id="485" w:name="_Toc179465219"/>
      <w:bookmarkStart w:id="486" w:name="_Toc179467030"/>
      <w:bookmarkStart w:id="487" w:name="_Toc179467086"/>
      <w:bookmarkStart w:id="488" w:name="_Toc179467163"/>
      <w:bookmarkStart w:id="489" w:name="_Toc179467238"/>
      <w:bookmarkStart w:id="490" w:name="_Toc179467422"/>
      <w:bookmarkStart w:id="491" w:name="_Toc179467660"/>
      <w:bookmarkStart w:id="492" w:name="_Toc179468034"/>
      <w:bookmarkStart w:id="493" w:name="_Toc179468293"/>
      <w:bookmarkStart w:id="494" w:name="_Toc179468535"/>
      <w:bookmarkStart w:id="495" w:name="_Toc179483238"/>
      <w:bookmarkStart w:id="496" w:name="_Toc179486306"/>
      <w:bookmarkStart w:id="497" w:name="_Toc179487911"/>
      <w:bookmarkStart w:id="498" w:name="_Toc179489214"/>
      <w:bookmarkStart w:id="499" w:name="_Toc179531339"/>
      <w:bookmarkStart w:id="500" w:name="_Toc179536012"/>
      <w:bookmarkStart w:id="501" w:name="_Toc179537851"/>
      <w:bookmarkStart w:id="502" w:name="_Toc179537915"/>
      <w:bookmarkStart w:id="503" w:name="_Toc179538082"/>
      <w:bookmarkStart w:id="504" w:name="_Toc179538895"/>
      <w:bookmarkStart w:id="505" w:name="_Toc179539214"/>
      <w:bookmarkStart w:id="506" w:name="_Toc179539330"/>
      <w:bookmarkStart w:id="507" w:name="_Toc179539468"/>
      <w:bookmarkStart w:id="508" w:name="_Toc179539565"/>
      <w:bookmarkStart w:id="509" w:name="_Toc179539650"/>
      <w:bookmarkStart w:id="510" w:name="_Toc179539740"/>
      <w:bookmarkStart w:id="511" w:name="_Toc179540424"/>
      <w:bookmarkStart w:id="512" w:name="_Toc179541769"/>
      <w:bookmarkStart w:id="513" w:name="_Toc179542961"/>
      <w:bookmarkStart w:id="514" w:name="_Toc180571289"/>
      <w:r w:rsidRPr="00D524A3">
        <w:lastRenderedPageBreak/>
        <w:t>Navigation</w:t>
      </w:r>
      <w:bookmarkStart w:id="515" w:name="_Toc175317935"/>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p>
    <w:p w14:paraId="51A0178B" w14:textId="77777777" w:rsidR="007C3CC5" w:rsidRDefault="007C3CC5" w:rsidP="007B2413">
      <w:r w:rsidRPr="00554152">
        <w:t xml:space="preserve">These guidelines </w:t>
      </w:r>
      <w:r>
        <w:t>have</w:t>
      </w:r>
      <w:r w:rsidRPr="00554152">
        <w:t xml:space="preserve"> four key sections outlined below. </w:t>
      </w: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CellMar>
          <w:top w:w="113" w:type="dxa"/>
          <w:left w:w="227" w:type="dxa"/>
          <w:bottom w:w="113" w:type="dxa"/>
          <w:right w:w="227" w:type="dxa"/>
        </w:tblCellMar>
        <w:tblLook w:val="04A0" w:firstRow="1" w:lastRow="0" w:firstColumn="1" w:lastColumn="0" w:noHBand="0" w:noVBand="1"/>
        <w:tblCaption w:val="Navigation of the guidelines"/>
        <w:tblDescription w:val="There are 4 parts to this document - Part 1 Cognitive impairment and its impacts. Part 2 Screening and support for cognitive impairment. Part 3 practice examples and Part 4 Helpful Resources. Parts 1 and 2 include a summary for each section and a review quiz at the end. "/>
      </w:tblPr>
      <w:tblGrid>
        <w:gridCol w:w="4505"/>
        <w:gridCol w:w="4505"/>
      </w:tblGrid>
      <w:tr w:rsidR="007C3CC5" w14:paraId="34C41FFA" w14:textId="77777777" w:rsidTr="00A036A3">
        <w:tc>
          <w:tcPr>
            <w:tcW w:w="4505" w:type="dxa"/>
            <w:tcBorders>
              <w:bottom w:val="nil"/>
            </w:tcBorders>
            <w:shd w:val="clear" w:color="auto" w:fill="145056" w:themeFill="accent2" w:themeFillShade="80"/>
            <w:vAlign w:val="bottom"/>
          </w:tcPr>
          <w:p w14:paraId="680A8C13" w14:textId="6F9CED72" w:rsidR="007C3CC5" w:rsidRPr="00D524A3" w:rsidRDefault="00000000" w:rsidP="00234887">
            <w:pPr>
              <w:pStyle w:val="Bodycopy"/>
              <w:spacing w:after="0" w:line="276" w:lineRule="auto"/>
              <w:rPr>
                <w:color w:val="FFFFFF" w:themeColor="background1"/>
                <w:sz w:val="24"/>
                <w:szCs w:val="24"/>
              </w:rPr>
            </w:pPr>
            <w:hyperlink w:anchor="_Part_1:_Cognitive" w:history="1">
              <w:r w:rsidR="007C3CC5" w:rsidRPr="007B2413">
                <w:rPr>
                  <w:rStyle w:val="Hyperlink"/>
                  <w:color w:val="FFFFFF" w:themeColor="background1"/>
                  <w:sz w:val="24"/>
                  <w:szCs w:val="24"/>
                  <w:u w:val="none"/>
                </w:rPr>
                <w:t xml:space="preserve">Part 1: </w:t>
              </w:r>
              <w:r w:rsidR="007C3CC5" w:rsidRPr="007B2413">
                <w:rPr>
                  <w:rStyle w:val="Hyperlink"/>
                  <w:color w:val="FFFFFF" w:themeColor="background1"/>
                  <w:sz w:val="24"/>
                  <w:szCs w:val="24"/>
                  <w:u w:val="none"/>
                </w:rPr>
                <w:br/>
                <w:t>Cognitive impairment and its impacts</w:t>
              </w:r>
            </w:hyperlink>
          </w:p>
        </w:tc>
        <w:tc>
          <w:tcPr>
            <w:tcW w:w="4505" w:type="dxa"/>
            <w:tcBorders>
              <w:bottom w:val="nil"/>
            </w:tcBorders>
            <w:shd w:val="clear" w:color="auto" w:fill="003399" w:themeFill="accent3"/>
            <w:vAlign w:val="bottom"/>
          </w:tcPr>
          <w:p w14:paraId="77ACA1B2" w14:textId="77777777" w:rsidR="007C3CC5" w:rsidRPr="007B2413" w:rsidRDefault="00000000" w:rsidP="00234887">
            <w:pPr>
              <w:pStyle w:val="Bodycopy"/>
              <w:spacing w:after="0"/>
              <w:rPr>
                <w:sz w:val="24"/>
                <w:szCs w:val="24"/>
              </w:rPr>
            </w:pPr>
            <w:hyperlink w:anchor="_Part_2:_Cognitive" w:history="1">
              <w:r w:rsidR="007C3CC5" w:rsidRPr="007B2413">
                <w:rPr>
                  <w:rStyle w:val="Hyperlink"/>
                  <w:color w:val="FFFFFF" w:themeColor="background1"/>
                  <w:sz w:val="24"/>
                  <w:szCs w:val="24"/>
                  <w:u w:val="none"/>
                </w:rPr>
                <w:t xml:space="preserve">Part 2: </w:t>
              </w:r>
              <w:r w:rsidR="007C3CC5" w:rsidRPr="007B2413">
                <w:rPr>
                  <w:rStyle w:val="Hyperlink"/>
                  <w:color w:val="FFFFFF" w:themeColor="background1"/>
                  <w:sz w:val="24"/>
                  <w:szCs w:val="24"/>
                  <w:u w:val="none"/>
                </w:rPr>
                <w:br/>
                <w:t>Screening and support for cognitive impairment</w:t>
              </w:r>
            </w:hyperlink>
          </w:p>
        </w:tc>
      </w:tr>
      <w:tr w:rsidR="007C3CC5" w14:paraId="2F08AD72" w14:textId="77777777" w:rsidTr="00234887">
        <w:trPr>
          <w:trHeight w:val="5035"/>
        </w:trPr>
        <w:tc>
          <w:tcPr>
            <w:tcW w:w="4505" w:type="dxa"/>
            <w:tcBorders>
              <w:top w:val="nil"/>
              <w:bottom w:val="single" w:sz="24" w:space="0" w:color="FFFFFF" w:themeColor="background1"/>
            </w:tcBorders>
            <w:shd w:val="clear" w:color="auto" w:fill="CEF0F3" w:themeFill="accent2" w:themeFillTint="33"/>
          </w:tcPr>
          <w:p w14:paraId="630B8C77" w14:textId="77777777" w:rsidR="007C3CC5" w:rsidRPr="007B2413" w:rsidRDefault="007C3CC5" w:rsidP="00DA2AEF">
            <w:pPr>
              <w:pStyle w:val="Bodycopy"/>
              <w:numPr>
                <w:ilvl w:val="0"/>
                <w:numId w:val="14"/>
              </w:numPr>
              <w:rPr>
                <w:sz w:val="24"/>
                <w:szCs w:val="24"/>
              </w:rPr>
            </w:pPr>
            <w:r w:rsidRPr="007B2413">
              <w:rPr>
                <w:sz w:val="24"/>
                <w:szCs w:val="24"/>
              </w:rPr>
              <w:t>Background information to enhance workers’ understanding of what cognitive impairment is and how it can impact people.</w:t>
            </w:r>
          </w:p>
          <w:p w14:paraId="4D18987B" w14:textId="77777777" w:rsidR="007C3CC5" w:rsidRPr="00BD426F" w:rsidRDefault="007C3CC5" w:rsidP="00DA2AEF">
            <w:pPr>
              <w:pStyle w:val="Bodycopy"/>
              <w:numPr>
                <w:ilvl w:val="0"/>
                <w:numId w:val="14"/>
              </w:numPr>
              <w:rPr>
                <w:szCs w:val="22"/>
              </w:rPr>
            </w:pPr>
            <w:r w:rsidRPr="007B2413">
              <w:rPr>
                <w:sz w:val="24"/>
                <w:szCs w:val="24"/>
              </w:rPr>
              <w:t>Includes a summary. The summary includes the focus of the section, key actions, and expected outcomes.</w:t>
            </w:r>
            <w:r w:rsidRPr="00BD426F">
              <w:rPr>
                <w:szCs w:val="22"/>
              </w:rPr>
              <w:t xml:space="preserve"> </w:t>
            </w:r>
          </w:p>
        </w:tc>
        <w:tc>
          <w:tcPr>
            <w:tcW w:w="4505" w:type="dxa"/>
            <w:tcBorders>
              <w:top w:val="nil"/>
              <w:bottom w:val="single" w:sz="24" w:space="0" w:color="FFFFFF" w:themeColor="background1"/>
            </w:tcBorders>
            <w:shd w:val="clear" w:color="auto" w:fill="B7CFFF" w:themeFill="accent3" w:themeFillTint="33"/>
          </w:tcPr>
          <w:p w14:paraId="439E8C10" w14:textId="77777777" w:rsidR="007C3CC5" w:rsidRPr="007B2413" w:rsidRDefault="007C3CC5" w:rsidP="00DA2AEF">
            <w:pPr>
              <w:pStyle w:val="Bodycopy"/>
              <w:numPr>
                <w:ilvl w:val="0"/>
                <w:numId w:val="14"/>
              </w:numPr>
              <w:rPr>
                <w:sz w:val="24"/>
                <w:szCs w:val="24"/>
              </w:rPr>
            </w:pPr>
            <w:r w:rsidRPr="007B2413">
              <w:rPr>
                <w:sz w:val="24"/>
                <w:szCs w:val="24"/>
              </w:rPr>
              <w:t xml:space="preserve">Practical information to support screening and effective support for tāngata whai ora and whānau. </w:t>
            </w:r>
          </w:p>
          <w:p w14:paraId="34701270" w14:textId="77777777" w:rsidR="007C3CC5" w:rsidRPr="007B2413" w:rsidRDefault="007C3CC5" w:rsidP="00DA2AEF">
            <w:pPr>
              <w:pStyle w:val="Bodycopy"/>
              <w:numPr>
                <w:ilvl w:val="0"/>
                <w:numId w:val="14"/>
              </w:numPr>
              <w:rPr>
                <w:sz w:val="24"/>
                <w:szCs w:val="24"/>
              </w:rPr>
            </w:pPr>
            <w:r w:rsidRPr="007B2413">
              <w:rPr>
                <w:sz w:val="24"/>
                <w:szCs w:val="24"/>
              </w:rPr>
              <w:t xml:space="preserve">Includes a summary - one for screening and one for support. The summary includes the focus of the section, key actions, and expected outcomes. </w:t>
            </w:r>
          </w:p>
          <w:p w14:paraId="4A80173F" w14:textId="77777777" w:rsidR="007C3CC5" w:rsidRPr="00F30271" w:rsidRDefault="007C3CC5" w:rsidP="00DA2AEF">
            <w:pPr>
              <w:pStyle w:val="Bodycopy"/>
              <w:numPr>
                <w:ilvl w:val="0"/>
                <w:numId w:val="14"/>
              </w:numPr>
              <w:rPr>
                <w:szCs w:val="22"/>
              </w:rPr>
            </w:pPr>
            <w:r w:rsidRPr="007B2413">
              <w:rPr>
                <w:sz w:val="24"/>
                <w:szCs w:val="24"/>
              </w:rPr>
              <w:t>At the end of this section are three review quizzes – one about cognitive impairment and its impacts, one about screening, and one about support.</w:t>
            </w:r>
          </w:p>
        </w:tc>
      </w:tr>
      <w:tr w:rsidR="007C3CC5" w14:paraId="26D40D1F" w14:textId="77777777" w:rsidTr="00A036A3">
        <w:trPr>
          <w:trHeight w:val="547"/>
        </w:trPr>
        <w:tc>
          <w:tcPr>
            <w:tcW w:w="4505" w:type="dxa"/>
            <w:tcBorders>
              <w:bottom w:val="nil"/>
            </w:tcBorders>
            <w:shd w:val="clear" w:color="auto" w:fill="4D2379" w:themeFill="accent4"/>
            <w:vAlign w:val="bottom"/>
          </w:tcPr>
          <w:p w14:paraId="7AF2B4EB" w14:textId="77777777" w:rsidR="007C3CC5" w:rsidRPr="007B2413" w:rsidRDefault="00000000" w:rsidP="00234887">
            <w:pPr>
              <w:pStyle w:val="Bodycopy"/>
              <w:spacing w:after="0"/>
              <w:rPr>
                <w:color w:val="FFFFFF" w:themeColor="background1"/>
                <w:sz w:val="24"/>
                <w:szCs w:val="24"/>
              </w:rPr>
            </w:pPr>
            <w:hyperlink w:anchor="_Part_3:_Practice" w:history="1">
              <w:r w:rsidR="007C3CC5" w:rsidRPr="007B2413">
                <w:rPr>
                  <w:rStyle w:val="Hyperlink"/>
                  <w:color w:val="FFFFFF" w:themeColor="background1"/>
                  <w:sz w:val="24"/>
                  <w:szCs w:val="24"/>
                  <w:u w:val="none"/>
                </w:rPr>
                <w:t>Part 3: Practice examples</w:t>
              </w:r>
            </w:hyperlink>
          </w:p>
        </w:tc>
        <w:tc>
          <w:tcPr>
            <w:tcW w:w="4505" w:type="dxa"/>
            <w:tcBorders>
              <w:bottom w:val="nil"/>
            </w:tcBorders>
            <w:shd w:val="clear" w:color="auto" w:fill="145056" w:themeFill="accent2" w:themeFillShade="80"/>
            <w:vAlign w:val="bottom"/>
          </w:tcPr>
          <w:p w14:paraId="4C1398A7" w14:textId="77777777" w:rsidR="007C3CC5" w:rsidRPr="007B2413" w:rsidRDefault="00000000" w:rsidP="00234887">
            <w:pPr>
              <w:pStyle w:val="Bodycopy"/>
              <w:spacing w:after="0"/>
              <w:rPr>
                <w:sz w:val="24"/>
                <w:szCs w:val="24"/>
              </w:rPr>
            </w:pPr>
            <w:hyperlink w:anchor="_Part_4:_Helpful" w:history="1">
              <w:r w:rsidR="007C3CC5" w:rsidRPr="007B2413">
                <w:rPr>
                  <w:rStyle w:val="Hyperlink"/>
                  <w:color w:val="FFFFFF" w:themeColor="background1"/>
                  <w:sz w:val="24"/>
                  <w:szCs w:val="24"/>
                  <w:u w:val="none"/>
                </w:rPr>
                <w:t>Part 4: Helpful resources</w:t>
              </w:r>
            </w:hyperlink>
          </w:p>
        </w:tc>
      </w:tr>
      <w:tr w:rsidR="007C3CC5" w:rsidRPr="00931C04" w14:paraId="7E97A1C1" w14:textId="77777777" w:rsidTr="00234887">
        <w:tc>
          <w:tcPr>
            <w:tcW w:w="4505" w:type="dxa"/>
            <w:tcBorders>
              <w:top w:val="nil"/>
            </w:tcBorders>
            <w:shd w:val="clear" w:color="auto" w:fill="DAC7EF" w:themeFill="accent4" w:themeFillTint="33"/>
          </w:tcPr>
          <w:p w14:paraId="3008188F" w14:textId="77777777" w:rsidR="007C3CC5" w:rsidRPr="007B2413" w:rsidRDefault="007C3CC5" w:rsidP="00DA2AEF">
            <w:pPr>
              <w:pStyle w:val="Bodycopy"/>
              <w:numPr>
                <w:ilvl w:val="0"/>
                <w:numId w:val="14"/>
              </w:numPr>
              <w:rPr>
                <w:sz w:val="24"/>
                <w:szCs w:val="24"/>
              </w:rPr>
            </w:pPr>
            <w:r w:rsidRPr="007B2413">
              <w:rPr>
                <w:sz w:val="24"/>
                <w:szCs w:val="24"/>
              </w:rPr>
              <w:t>Four scenarios to help workers apply the information within the guideline.</w:t>
            </w:r>
          </w:p>
          <w:p w14:paraId="41A2E590" w14:textId="77777777" w:rsidR="007C3CC5" w:rsidRPr="007B2413" w:rsidRDefault="007C3CC5" w:rsidP="00DA2AEF">
            <w:pPr>
              <w:pStyle w:val="Bodycopy"/>
              <w:numPr>
                <w:ilvl w:val="0"/>
                <w:numId w:val="14"/>
              </w:numPr>
              <w:rPr>
                <w:sz w:val="24"/>
                <w:szCs w:val="24"/>
              </w:rPr>
            </w:pPr>
            <w:r w:rsidRPr="007B2413">
              <w:rPr>
                <w:sz w:val="24"/>
                <w:szCs w:val="24"/>
              </w:rPr>
              <w:t>Each scenario has a step-by-step plan to help guide workers’ thinking.</w:t>
            </w:r>
          </w:p>
          <w:p w14:paraId="214DA752" w14:textId="77777777" w:rsidR="007C3CC5" w:rsidRPr="007B2413" w:rsidRDefault="007C3CC5" w:rsidP="00DA2AEF">
            <w:pPr>
              <w:pStyle w:val="Bodycopy"/>
              <w:numPr>
                <w:ilvl w:val="0"/>
                <w:numId w:val="14"/>
              </w:numPr>
              <w:rPr>
                <w:sz w:val="24"/>
                <w:szCs w:val="24"/>
              </w:rPr>
            </w:pPr>
            <w:r w:rsidRPr="007B2413">
              <w:rPr>
                <w:sz w:val="24"/>
                <w:szCs w:val="24"/>
              </w:rPr>
              <w:t xml:space="preserve">Quiz answers are included at the end of this section.  </w:t>
            </w:r>
          </w:p>
          <w:p w14:paraId="3B18BEBE" w14:textId="77777777" w:rsidR="007C3CC5" w:rsidRPr="00280E2E" w:rsidRDefault="007C3CC5" w:rsidP="00234887">
            <w:pPr>
              <w:pStyle w:val="Bodycopy"/>
              <w:ind w:left="360"/>
              <w:rPr>
                <w:szCs w:val="22"/>
              </w:rPr>
            </w:pPr>
          </w:p>
        </w:tc>
        <w:tc>
          <w:tcPr>
            <w:tcW w:w="4505" w:type="dxa"/>
            <w:tcBorders>
              <w:top w:val="nil"/>
            </w:tcBorders>
            <w:shd w:val="clear" w:color="auto" w:fill="BDF3F9" w:themeFill="accent1" w:themeFillTint="33"/>
          </w:tcPr>
          <w:p w14:paraId="3F5A6394" w14:textId="77777777" w:rsidR="007C3CC5" w:rsidRPr="007B2413" w:rsidRDefault="007C3CC5" w:rsidP="00DA2AEF">
            <w:pPr>
              <w:pStyle w:val="Bodycopy"/>
              <w:numPr>
                <w:ilvl w:val="0"/>
                <w:numId w:val="14"/>
              </w:numPr>
              <w:rPr>
                <w:sz w:val="24"/>
                <w:szCs w:val="24"/>
              </w:rPr>
            </w:pPr>
            <w:r w:rsidRPr="007B2413">
              <w:rPr>
                <w:sz w:val="24"/>
                <w:szCs w:val="24"/>
              </w:rPr>
              <w:t>Helpful resources for the workforce, and community support resources for tāngata whai ora and whānau.</w:t>
            </w:r>
          </w:p>
          <w:p w14:paraId="09AAF578" w14:textId="77777777" w:rsidR="007C3CC5" w:rsidRPr="00280E2E" w:rsidRDefault="007C3CC5" w:rsidP="00DA2AEF">
            <w:pPr>
              <w:pStyle w:val="Bodycopy"/>
              <w:numPr>
                <w:ilvl w:val="0"/>
                <w:numId w:val="14"/>
              </w:numPr>
              <w:rPr>
                <w:szCs w:val="22"/>
              </w:rPr>
            </w:pPr>
            <w:r w:rsidRPr="007B2413">
              <w:rPr>
                <w:sz w:val="24"/>
                <w:szCs w:val="24"/>
              </w:rPr>
              <w:t>Following this section is a summary and the glossary.</w:t>
            </w:r>
          </w:p>
        </w:tc>
      </w:tr>
    </w:tbl>
    <w:p w14:paraId="1A256CEA" w14:textId="77777777" w:rsidR="007C3CC5" w:rsidRPr="00E4634D" w:rsidRDefault="007C3CC5" w:rsidP="007C3CC5">
      <w:r>
        <w:br w:type="page"/>
      </w:r>
    </w:p>
    <w:p w14:paraId="7C2104E5" w14:textId="77777777" w:rsidR="007C3CC5" w:rsidRDefault="007C3CC5" w:rsidP="006C3CC4"/>
    <w:p w14:paraId="4B97BA7C" w14:textId="77777777" w:rsidR="006C3CC4" w:rsidRPr="006C3CC4" w:rsidRDefault="006C3CC4" w:rsidP="006C3CC4"/>
    <w:p w14:paraId="059CB7E8" w14:textId="0A14F6FB" w:rsidR="00201348" w:rsidRPr="00D524A3" w:rsidRDefault="00646986" w:rsidP="00D524A3">
      <w:pPr>
        <w:pStyle w:val="Heading1"/>
      </w:pPr>
      <w:bookmarkStart w:id="516" w:name="_Toc179467423"/>
      <w:bookmarkStart w:id="517" w:name="_Toc179467661"/>
      <w:bookmarkStart w:id="518" w:name="_Toc179468035"/>
      <w:bookmarkStart w:id="519" w:name="_Toc179468294"/>
      <w:bookmarkStart w:id="520" w:name="_Toc179468536"/>
      <w:bookmarkStart w:id="521" w:name="_Toc179483239"/>
      <w:bookmarkStart w:id="522" w:name="_Toc179486307"/>
      <w:bookmarkStart w:id="523" w:name="_Toc179487912"/>
      <w:bookmarkStart w:id="524" w:name="_Toc179489215"/>
      <w:bookmarkStart w:id="525" w:name="_Toc179531340"/>
      <w:bookmarkStart w:id="526" w:name="_Toc179536013"/>
      <w:bookmarkStart w:id="527" w:name="_Toc179537852"/>
      <w:bookmarkStart w:id="528" w:name="_Toc179537916"/>
      <w:bookmarkStart w:id="529" w:name="_Toc179538083"/>
      <w:bookmarkStart w:id="530" w:name="_Toc179538896"/>
      <w:bookmarkStart w:id="531" w:name="_Toc179539215"/>
      <w:bookmarkStart w:id="532" w:name="_Toc179539331"/>
      <w:bookmarkStart w:id="533" w:name="_Toc179539469"/>
      <w:bookmarkStart w:id="534" w:name="_Toc179539566"/>
      <w:bookmarkStart w:id="535" w:name="_Toc179539651"/>
      <w:bookmarkStart w:id="536" w:name="_Toc179539741"/>
      <w:bookmarkStart w:id="537" w:name="_Toc179540425"/>
      <w:bookmarkStart w:id="538" w:name="_Toc179541770"/>
      <w:bookmarkStart w:id="539" w:name="_Toc179542962"/>
      <w:bookmarkStart w:id="540" w:name="_Toc180571290"/>
      <w:bookmarkEnd w:id="515"/>
      <w:r w:rsidRPr="00D524A3">
        <w:t xml:space="preserve">Part 1: Cognitive impairment and its </w:t>
      </w:r>
      <w:r w:rsidR="00D0540D" w:rsidRPr="00D524A3">
        <w:t xml:space="preserve">impact on </w:t>
      </w:r>
      <w:r w:rsidR="00FB5BBB" w:rsidRPr="00D524A3">
        <w:t xml:space="preserve">tāngata whai ora and whānau </w:t>
      </w:r>
      <w:bookmarkEnd w:id="516"/>
      <w:r w:rsidR="00363B9E" w:rsidRPr="00D524A3">
        <w:rPr>
          <w:noProof/>
        </w:rPr>
        <w:drawing>
          <wp:anchor distT="0" distB="0" distL="114300" distR="114300" simplePos="0" relativeHeight="251758592" behindDoc="1" locked="0" layoutInCell="1" allowOverlap="1" wp14:anchorId="1CDF5486" wp14:editId="3EBA5214">
            <wp:simplePos x="0" y="0"/>
            <wp:positionH relativeFrom="margin">
              <wp:posOffset>-721360</wp:posOffset>
            </wp:positionH>
            <wp:positionV relativeFrom="margin">
              <wp:posOffset>-1075690</wp:posOffset>
            </wp:positionV>
            <wp:extent cx="7560000" cy="9598548"/>
            <wp:effectExtent l="0" t="0" r="3175" b="3175"/>
            <wp:wrapNone/>
            <wp:docPr id="1804006956"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006956" name="Picture 10">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7560000" cy="9598548"/>
                    </a:xfrm>
                    <a:prstGeom prst="rect">
                      <a:avLst/>
                    </a:prstGeom>
                  </pic:spPr>
                </pic:pic>
              </a:graphicData>
            </a:graphic>
            <wp14:sizeRelH relativeFrom="page">
              <wp14:pctWidth>0</wp14:pctWidth>
            </wp14:sizeRelH>
            <wp14:sizeRelV relativeFrom="page">
              <wp14:pctHeight>0</wp14:pctHeight>
            </wp14:sizeRelV>
          </wp:anchor>
        </w:drawing>
      </w:r>
      <w:bookmarkStart w:id="541" w:name="_Toc174956800"/>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r w:rsidR="00201348" w:rsidRPr="00D524A3">
        <w:t xml:space="preserve"> </w:t>
      </w:r>
    </w:p>
    <w:p w14:paraId="6847E3D8" w14:textId="77777777" w:rsidR="00600C89" w:rsidRPr="00600C89" w:rsidRDefault="00600C89" w:rsidP="00600C89">
      <w:pPr>
        <w:pStyle w:val="Dividerheading"/>
        <w:ind w:left="0"/>
        <w:rPr>
          <w:sz w:val="96"/>
          <w:szCs w:val="96"/>
        </w:rPr>
      </w:pPr>
    </w:p>
    <w:bookmarkEnd w:id="541"/>
    <w:p w14:paraId="28FCC7E3" w14:textId="77777777" w:rsidR="006E1AF8" w:rsidRDefault="006E1AF8" w:rsidP="00651A06">
      <w:pPr>
        <w:pStyle w:val="Dividerheading"/>
        <w:ind w:left="0"/>
      </w:pPr>
      <w:r>
        <w:br w:type="page"/>
      </w:r>
    </w:p>
    <w:p w14:paraId="70DDC043" w14:textId="77777777" w:rsidR="00225E51" w:rsidRPr="00A24880" w:rsidRDefault="00225E51" w:rsidP="007B2413">
      <w:bookmarkStart w:id="542" w:name="_Toc175317944"/>
      <w:bookmarkStart w:id="543" w:name="_Toc179465229"/>
      <w:bookmarkStart w:id="544" w:name="_Toc179467031"/>
      <w:r w:rsidRPr="00A24880">
        <w:lastRenderedPageBreak/>
        <w:t xml:space="preserve">This section contains background information to enhance workers’ understanding of what cognitive impairment is and how it can impact people. </w:t>
      </w:r>
    </w:p>
    <w:p w14:paraId="0625C154" w14:textId="77777777" w:rsidR="00225E51" w:rsidRPr="00D524A3" w:rsidRDefault="00225E51" w:rsidP="00D524A3">
      <w:pPr>
        <w:pStyle w:val="Heading2"/>
      </w:pPr>
      <w:bookmarkStart w:id="545" w:name="_Toc172095773"/>
      <w:bookmarkStart w:id="546" w:name="_Toc178780103"/>
      <w:bookmarkStart w:id="547" w:name="_Toc178838869"/>
      <w:bookmarkStart w:id="548" w:name="_Toc178839056"/>
      <w:bookmarkStart w:id="549" w:name="_Toc178839177"/>
      <w:bookmarkStart w:id="550" w:name="_Toc178839406"/>
      <w:bookmarkStart w:id="551" w:name="_Toc178841616"/>
      <w:bookmarkStart w:id="552" w:name="_Toc179198175"/>
      <w:bookmarkStart w:id="553" w:name="_Toc179198423"/>
      <w:bookmarkStart w:id="554" w:name="_Toc179198531"/>
      <w:bookmarkStart w:id="555" w:name="_Toc179198638"/>
      <w:bookmarkStart w:id="556" w:name="_Toc179446082"/>
      <w:bookmarkStart w:id="557" w:name="_Toc179447113"/>
      <w:bookmarkStart w:id="558" w:name="_Toc179448653"/>
      <w:bookmarkStart w:id="559" w:name="_Toc179448814"/>
      <w:bookmarkStart w:id="560" w:name="_Toc179449201"/>
      <w:bookmarkStart w:id="561" w:name="_Toc179452904"/>
      <w:bookmarkStart w:id="562" w:name="_Toc179461417"/>
      <w:bookmarkStart w:id="563" w:name="_Toc179461861"/>
      <w:bookmarkStart w:id="564" w:name="_Toc179467662"/>
      <w:bookmarkStart w:id="565" w:name="_Toc179468036"/>
      <w:bookmarkStart w:id="566" w:name="_Toc179468295"/>
      <w:bookmarkStart w:id="567" w:name="_Toc179468537"/>
      <w:bookmarkStart w:id="568" w:name="_Toc179483240"/>
      <w:bookmarkStart w:id="569" w:name="_Toc179486308"/>
      <w:bookmarkStart w:id="570" w:name="_Toc179487913"/>
      <w:bookmarkStart w:id="571" w:name="_Toc179489216"/>
      <w:bookmarkStart w:id="572" w:name="_Toc179531341"/>
      <w:bookmarkStart w:id="573" w:name="_Toc179536014"/>
      <w:bookmarkStart w:id="574" w:name="_Toc179537853"/>
      <w:bookmarkStart w:id="575" w:name="_Toc179537917"/>
      <w:bookmarkStart w:id="576" w:name="_Toc179538084"/>
      <w:bookmarkStart w:id="577" w:name="_Toc179538897"/>
      <w:bookmarkStart w:id="578" w:name="_Toc179539216"/>
      <w:bookmarkStart w:id="579" w:name="_Toc179539332"/>
      <w:bookmarkStart w:id="580" w:name="_Toc179539470"/>
      <w:bookmarkStart w:id="581" w:name="_Toc179539567"/>
      <w:bookmarkStart w:id="582" w:name="_Toc179539652"/>
      <w:bookmarkStart w:id="583" w:name="_Toc179539742"/>
      <w:bookmarkStart w:id="584" w:name="_Toc179540426"/>
      <w:bookmarkStart w:id="585" w:name="_Toc179541771"/>
      <w:bookmarkStart w:id="586" w:name="_Toc179542963"/>
      <w:bookmarkStart w:id="587" w:name="_Toc180571291"/>
      <w:r w:rsidRPr="00D524A3">
        <w:t>Summary</w:t>
      </w:r>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p>
    <w:tbl>
      <w:tblPr>
        <w:tblStyle w:val="TableGrid"/>
        <w:tblW w:w="0" w:type="auto"/>
        <w:tblBorders>
          <w:top w:val="none" w:sz="0" w:space="0" w:color="auto"/>
          <w:left w:val="none" w:sz="0" w:space="0" w:color="auto"/>
          <w:bottom w:val="none" w:sz="0" w:space="0" w:color="auto"/>
          <w:right w:val="none" w:sz="0" w:space="0" w:color="auto"/>
          <w:insideH w:val="single" w:sz="24" w:space="0" w:color="28A1AC" w:themeColor="accent2"/>
          <w:insideV w:val="none" w:sz="0" w:space="0" w:color="auto"/>
        </w:tblBorders>
        <w:shd w:val="clear" w:color="auto" w:fill="F2F2F2" w:themeFill="background1" w:themeFillShade="F2"/>
        <w:tblLook w:val="04A0" w:firstRow="1" w:lastRow="0" w:firstColumn="1" w:lastColumn="0" w:noHBand="0" w:noVBand="1"/>
        <w:tblCaption w:val="Part 1: Summary"/>
        <w:tblDescription w:val="Describes the focus, actions, and outcomes of Part 1. The focus and actions include awareness and basic understandings of cognitive impairment, the outcomes are enhanced knowledge and better recognition of cognitive impairment in AOD settings"/>
      </w:tblPr>
      <w:tblGrid>
        <w:gridCol w:w="1750"/>
        <w:gridCol w:w="7309"/>
      </w:tblGrid>
      <w:tr w:rsidR="00225E51" w:rsidRPr="004B7F98" w14:paraId="5A0D3F86" w14:textId="77777777" w:rsidTr="00234887">
        <w:tc>
          <w:tcPr>
            <w:tcW w:w="1701" w:type="dxa"/>
            <w:shd w:val="clear" w:color="auto" w:fill="F2F2F2" w:themeFill="background1" w:themeFillShade="F2"/>
            <w:tcMar>
              <w:top w:w="113" w:type="dxa"/>
              <w:bottom w:w="113" w:type="dxa"/>
            </w:tcMar>
          </w:tcPr>
          <w:p w14:paraId="71767813" w14:textId="77777777" w:rsidR="00225E51" w:rsidRPr="00C019E2" w:rsidRDefault="00225E51" w:rsidP="00234887">
            <w:pPr>
              <w:spacing w:after="160" w:line="259" w:lineRule="auto"/>
              <w:ind w:left="360"/>
              <w:rPr>
                <w:rFonts w:cs="Arial"/>
                <w:b/>
                <w:bCs/>
                <w:color w:val="145056" w:themeColor="accent2" w:themeShade="80"/>
              </w:rPr>
            </w:pPr>
            <w:r w:rsidRPr="00C019E2">
              <w:rPr>
                <w:rFonts w:cs="Arial"/>
                <w:b/>
                <w:bCs/>
                <w:color w:val="145056" w:themeColor="accent2" w:themeShade="80"/>
              </w:rPr>
              <w:t>Focus</w:t>
            </w:r>
          </w:p>
        </w:tc>
        <w:tc>
          <w:tcPr>
            <w:tcW w:w="7309" w:type="dxa"/>
            <w:shd w:val="clear" w:color="auto" w:fill="F2F2F2" w:themeFill="background1" w:themeFillShade="F2"/>
            <w:tcMar>
              <w:top w:w="113" w:type="dxa"/>
              <w:bottom w:w="113" w:type="dxa"/>
            </w:tcMar>
          </w:tcPr>
          <w:p w14:paraId="68E95275" w14:textId="77777777" w:rsidR="00225E51" w:rsidRPr="007B2413" w:rsidRDefault="00225E51" w:rsidP="00DA2AEF">
            <w:pPr>
              <w:numPr>
                <w:ilvl w:val="0"/>
                <w:numId w:val="15"/>
              </w:numPr>
              <w:spacing w:after="0" w:line="276" w:lineRule="auto"/>
              <w:rPr>
                <w:rFonts w:cs="Arial"/>
                <w:szCs w:val="24"/>
              </w:rPr>
            </w:pPr>
            <w:r w:rsidRPr="007B2413">
              <w:rPr>
                <w:rFonts w:cs="Arial"/>
                <w:szCs w:val="24"/>
              </w:rPr>
              <w:t>Awareness and basic understanding of cognitive impairment.</w:t>
            </w:r>
          </w:p>
        </w:tc>
      </w:tr>
      <w:tr w:rsidR="00225E51" w:rsidRPr="004B7F98" w14:paraId="2160E4F1" w14:textId="77777777" w:rsidTr="00234887">
        <w:tc>
          <w:tcPr>
            <w:tcW w:w="1701" w:type="dxa"/>
            <w:shd w:val="clear" w:color="auto" w:fill="F2F2F2" w:themeFill="background1" w:themeFillShade="F2"/>
            <w:tcMar>
              <w:top w:w="113" w:type="dxa"/>
              <w:bottom w:w="113" w:type="dxa"/>
            </w:tcMar>
          </w:tcPr>
          <w:p w14:paraId="494ADC88" w14:textId="77777777" w:rsidR="00225E51" w:rsidRPr="00C019E2" w:rsidRDefault="00225E51" w:rsidP="00234887">
            <w:pPr>
              <w:spacing w:after="160" w:line="259" w:lineRule="auto"/>
              <w:ind w:left="360"/>
              <w:rPr>
                <w:rFonts w:cs="Arial"/>
                <w:b/>
                <w:bCs/>
                <w:color w:val="145056" w:themeColor="accent2" w:themeShade="80"/>
              </w:rPr>
            </w:pPr>
            <w:r w:rsidRPr="00C019E2">
              <w:rPr>
                <w:rFonts w:cs="Arial"/>
                <w:b/>
                <w:bCs/>
                <w:color w:val="145056" w:themeColor="accent2" w:themeShade="80"/>
              </w:rPr>
              <w:t>Actions</w:t>
            </w:r>
          </w:p>
          <w:p w14:paraId="57FB39FA" w14:textId="77777777" w:rsidR="00225E51" w:rsidRPr="00C019E2" w:rsidRDefault="00225E51" w:rsidP="00234887">
            <w:pPr>
              <w:spacing w:after="160" w:line="259" w:lineRule="auto"/>
              <w:rPr>
                <w:rFonts w:cs="Arial"/>
                <w:color w:val="145056" w:themeColor="accent2" w:themeShade="80"/>
              </w:rPr>
            </w:pPr>
          </w:p>
        </w:tc>
        <w:tc>
          <w:tcPr>
            <w:tcW w:w="7309" w:type="dxa"/>
            <w:shd w:val="clear" w:color="auto" w:fill="F2F2F2" w:themeFill="background1" w:themeFillShade="F2"/>
            <w:tcMar>
              <w:top w:w="113" w:type="dxa"/>
              <w:bottom w:w="113" w:type="dxa"/>
            </w:tcMar>
          </w:tcPr>
          <w:p w14:paraId="5BEC0D3A" w14:textId="0B266111" w:rsidR="00225E51" w:rsidRPr="007B2413" w:rsidRDefault="00225E51" w:rsidP="00DA2AEF">
            <w:pPr>
              <w:numPr>
                <w:ilvl w:val="0"/>
                <w:numId w:val="15"/>
              </w:numPr>
              <w:spacing w:after="0" w:line="276" w:lineRule="auto"/>
              <w:rPr>
                <w:rFonts w:cs="Arial"/>
                <w:szCs w:val="24"/>
              </w:rPr>
            </w:pPr>
            <w:r w:rsidRPr="007B2413">
              <w:rPr>
                <w:rFonts w:cs="Arial"/>
                <w:szCs w:val="24"/>
              </w:rPr>
              <w:t>Enhance understanding of what cognitive impairment is, its causes, and</w:t>
            </w:r>
            <w:r w:rsidR="000A6E66">
              <w:rPr>
                <w:rFonts w:cs="Arial"/>
                <w:szCs w:val="24"/>
              </w:rPr>
              <w:t xml:space="preserve">  </w:t>
            </w:r>
            <w:r w:rsidRPr="007B2413">
              <w:rPr>
                <w:rFonts w:cs="Arial"/>
                <w:szCs w:val="24"/>
              </w:rPr>
              <w:t xml:space="preserve"> impacts.</w:t>
            </w:r>
          </w:p>
          <w:p w14:paraId="09C44902" w14:textId="77777777" w:rsidR="00225E51" w:rsidRPr="007B2413" w:rsidRDefault="00225E51" w:rsidP="00DA2AEF">
            <w:pPr>
              <w:numPr>
                <w:ilvl w:val="0"/>
                <w:numId w:val="15"/>
              </w:numPr>
              <w:spacing w:after="0" w:line="276" w:lineRule="auto"/>
              <w:rPr>
                <w:rFonts w:cs="Arial"/>
                <w:szCs w:val="24"/>
              </w:rPr>
            </w:pPr>
            <w:r w:rsidRPr="007B2413">
              <w:rPr>
                <w:rFonts w:cs="Arial"/>
                <w:szCs w:val="24"/>
              </w:rPr>
              <w:t>Understand how substances contribute to cognitive impairment, and where cognition fits in as part of holistic wellbeing.</w:t>
            </w:r>
          </w:p>
          <w:p w14:paraId="4A318A86" w14:textId="77777777" w:rsidR="00225E51" w:rsidRPr="007B2413" w:rsidRDefault="00225E51" w:rsidP="00DA2AEF">
            <w:pPr>
              <w:numPr>
                <w:ilvl w:val="0"/>
                <w:numId w:val="15"/>
              </w:numPr>
              <w:spacing w:after="0" w:line="276" w:lineRule="auto"/>
              <w:rPr>
                <w:rFonts w:cs="Arial"/>
                <w:szCs w:val="24"/>
              </w:rPr>
            </w:pPr>
            <w:r w:rsidRPr="007B2413">
              <w:rPr>
                <w:rFonts w:cs="Arial"/>
                <w:szCs w:val="24"/>
              </w:rPr>
              <w:t xml:space="preserve">Explore and use familiar terminology for each person. </w:t>
            </w:r>
          </w:p>
          <w:p w14:paraId="699C0461" w14:textId="77777777" w:rsidR="00225E51" w:rsidRPr="00A24880" w:rsidRDefault="00225E51" w:rsidP="00DA2AEF">
            <w:pPr>
              <w:numPr>
                <w:ilvl w:val="0"/>
                <w:numId w:val="15"/>
              </w:numPr>
              <w:spacing w:after="0" w:line="276" w:lineRule="auto"/>
              <w:rPr>
                <w:rFonts w:cs="Arial"/>
                <w:sz w:val="22"/>
              </w:rPr>
            </w:pPr>
            <w:r w:rsidRPr="007B2413">
              <w:rPr>
                <w:rFonts w:cs="Arial"/>
                <w:szCs w:val="24"/>
              </w:rPr>
              <w:t>Give tāngata whai ora hope for recovery.</w:t>
            </w:r>
          </w:p>
        </w:tc>
      </w:tr>
      <w:tr w:rsidR="00225E51" w:rsidRPr="004B7F98" w14:paraId="77741C35" w14:textId="77777777" w:rsidTr="00234887">
        <w:tc>
          <w:tcPr>
            <w:tcW w:w="1701" w:type="dxa"/>
            <w:shd w:val="clear" w:color="auto" w:fill="F2F2F2" w:themeFill="background1" w:themeFillShade="F2"/>
            <w:tcMar>
              <w:top w:w="113" w:type="dxa"/>
              <w:bottom w:w="113" w:type="dxa"/>
            </w:tcMar>
          </w:tcPr>
          <w:p w14:paraId="1D3BB404" w14:textId="77777777" w:rsidR="00225E51" w:rsidRPr="00C019E2" w:rsidRDefault="00225E51" w:rsidP="00234887">
            <w:pPr>
              <w:spacing w:after="160" w:line="259" w:lineRule="auto"/>
              <w:ind w:left="360"/>
              <w:rPr>
                <w:rFonts w:cs="Arial"/>
                <w:b/>
                <w:bCs/>
                <w:color w:val="145056" w:themeColor="accent2" w:themeShade="80"/>
              </w:rPr>
            </w:pPr>
            <w:r w:rsidRPr="00C019E2">
              <w:rPr>
                <w:rFonts w:cs="Arial"/>
                <w:b/>
                <w:bCs/>
                <w:color w:val="145056" w:themeColor="accent2" w:themeShade="80"/>
              </w:rPr>
              <w:t>Outcomes</w:t>
            </w:r>
          </w:p>
          <w:p w14:paraId="1675B55A" w14:textId="77777777" w:rsidR="00225E51" w:rsidRPr="00C019E2" w:rsidRDefault="00225E51" w:rsidP="00234887">
            <w:pPr>
              <w:spacing w:after="160" w:line="259" w:lineRule="auto"/>
              <w:rPr>
                <w:rFonts w:cs="Arial"/>
                <w:color w:val="145056" w:themeColor="accent2" w:themeShade="80"/>
              </w:rPr>
            </w:pPr>
          </w:p>
        </w:tc>
        <w:tc>
          <w:tcPr>
            <w:tcW w:w="7309" w:type="dxa"/>
            <w:shd w:val="clear" w:color="auto" w:fill="F2F2F2" w:themeFill="background1" w:themeFillShade="F2"/>
            <w:tcMar>
              <w:top w:w="113" w:type="dxa"/>
              <w:bottom w:w="113" w:type="dxa"/>
            </w:tcMar>
          </w:tcPr>
          <w:p w14:paraId="3CBB0481" w14:textId="77777777" w:rsidR="00225E51" w:rsidRPr="007B2413" w:rsidRDefault="00225E51" w:rsidP="00DA2AEF">
            <w:pPr>
              <w:numPr>
                <w:ilvl w:val="0"/>
                <w:numId w:val="15"/>
              </w:numPr>
              <w:spacing w:after="0" w:line="276" w:lineRule="auto"/>
              <w:rPr>
                <w:rFonts w:cs="Arial"/>
                <w:szCs w:val="24"/>
              </w:rPr>
            </w:pPr>
            <w:r w:rsidRPr="007B2413">
              <w:rPr>
                <w:rFonts w:cs="Arial"/>
                <w:szCs w:val="24"/>
              </w:rPr>
              <w:t>Cognitive impairment is better recognised in AOD settings.</w:t>
            </w:r>
          </w:p>
          <w:p w14:paraId="6DA8954A" w14:textId="77777777" w:rsidR="00225E51" w:rsidRPr="00A24880" w:rsidRDefault="00225E51" w:rsidP="00DA2AEF">
            <w:pPr>
              <w:numPr>
                <w:ilvl w:val="0"/>
                <w:numId w:val="15"/>
              </w:numPr>
              <w:spacing w:after="0" w:line="276" w:lineRule="auto"/>
              <w:rPr>
                <w:rFonts w:cs="Arial"/>
                <w:sz w:val="22"/>
              </w:rPr>
            </w:pPr>
            <w:r w:rsidRPr="007B2413">
              <w:rPr>
                <w:rFonts w:cs="Arial"/>
                <w:szCs w:val="24"/>
              </w:rPr>
              <w:t>Better outcomes for tāngata whai ora and whānau through improved awareness and understanding.</w:t>
            </w:r>
          </w:p>
        </w:tc>
      </w:tr>
    </w:tbl>
    <w:p w14:paraId="3C6B25D9" w14:textId="77777777" w:rsidR="00225E51" w:rsidRDefault="00225E51" w:rsidP="00225E51"/>
    <w:p w14:paraId="7597D4C3" w14:textId="77777777" w:rsidR="00225E51" w:rsidRPr="006A14E1" w:rsidRDefault="00225E51" w:rsidP="006A14E1">
      <w:pPr>
        <w:pStyle w:val="Heading2"/>
      </w:pPr>
      <w:bookmarkStart w:id="588" w:name="_Toc172095774"/>
      <w:bookmarkStart w:id="589" w:name="_Toc178780104"/>
      <w:bookmarkStart w:id="590" w:name="_Toc178838870"/>
      <w:bookmarkStart w:id="591" w:name="_Toc178839057"/>
      <w:bookmarkStart w:id="592" w:name="_Toc178839178"/>
      <w:bookmarkStart w:id="593" w:name="_Toc178839407"/>
      <w:bookmarkStart w:id="594" w:name="_Toc178841617"/>
      <w:bookmarkStart w:id="595" w:name="_Toc179198176"/>
      <w:bookmarkStart w:id="596" w:name="_Toc179198424"/>
      <w:bookmarkStart w:id="597" w:name="_Toc179198532"/>
      <w:bookmarkStart w:id="598" w:name="_Toc179198639"/>
      <w:bookmarkStart w:id="599" w:name="_Toc179446083"/>
      <w:bookmarkStart w:id="600" w:name="_Toc179447114"/>
      <w:bookmarkStart w:id="601" w:name="_Toc179448654"/>
      <w:bookmarkStart w:id="602" w:name="_Toc179448815"/>
      <w:bookmarkStart w:id="603" w:name="_Toc179449202"/>
      <w:bookmarkStart w:id="604" w:name="_Toc179452905"/>
      <w:bookmarkStart w:id="605" w:name="_Toc179461418"/>
      <w:bookmarkStart w:id="606" w:name="_Toc179461862"/>
      <w:bookmarkStart w:id="607" w:name="_Toc179467663"/>
      <w:bookmarkStart w:id="608" w:name="_Toc179468037"/>
      <w:bookmarkStart w:id="609" w:name="_Toc179468296"/>
      <w:bookmarkStart w:id="610" w:name="_Toc179468538"/>
      <w:bookmarkStart w:id="611" w:name="_Toc179483241"/>
      <w:bookmarkStart w:id="612" w:name="_Toc179486309"/>
      <w:bookmarkStart w:id="613" w:name="_Toc179487914"/>
      <w:bookmarkStart w:id="614" w:name="_Toc179489217"/>
      <w:bookmarkStart w:id="615" w:name="_Toc179531342"/>
      <w:bookmarkStart w:id="616" w:name="_Toc179536015"/>
      <w:bookmarkStart w:id="617" w:name="_Toc179537854"/>
      <w:bookmarkStart w:id="618" w:name="_Toc179537918"/>
      <w:bookmarkStart w:id="619" w:name="_Toc179538085"/>
      <w:bookmarkStart w:id="620" w:name="_Toc179538898"/>
      <w:bookmarkStart w:id="621" w:name="_Toc179539217"/>
      <w:bookmarkStart w:id="622" w:name="_Toc179539333"/>
      <w:bookmarkStart w:id="623" w:name="_Toc179539471"/>
      <w:bookmarkStart w:id="624" w:name="_Toc179539568"/>
      <w:bookmarkStart w:id="625" w:name="_Toc179539653"/>
      <w:bookmarkStart w:id="626" w:name="_Toc179539743"/>
      <w:bookmarkStart w:id="627" w:name="_Toc179540427"/>
      <w:bookmarkStart w:id="628" w:name="_Toc179541772"/>
      <w:bookmarkStart w:id="629" w:name="_Toc179542964"/>
      <w:bookmarkStart w:id="630" w:name="_Toc180571292"/>
      <w:r w:rsidRPr="006A14E1">
        <w:t>What is cognitive functioning and cognitive impairment?</w:t>
      </w:r>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p>
    <w:p w14:paraId="5CCA425C" w14:textId="77777777" w:rsidR="00225E51" w:rsidRPr="00A24880" w:rsidRDefault="00225E51" w:rsidP="007B2413">
      <w:pPr>
        <w:pStyle w:val="Bulletpoint"/>
      </w:pPr>
      <w:r w:rsidRPr="00A24880">
        <w:t>Cognitive functioning refers to functions of the brain such as attention, learning, memory, and problem-solving that allow people to process and respond to information in the environment in an adaptive and helpful manner.</w:t>
      </w:r>
      <w:r w:rsidRPr="00A24880">
        <w:fldChar w:fldCharType="begin"/>
      </w:r>
      <w:r w:rsidRPr="00A24880">
        <w:instrText xml:space="preserve"> ADDIN ZOTERO_ITEM CSL_CITATION {"citationID":"a2ol6i9qr1n","properties":{"formattedCitation":"\\super 3\\nosupersub{}","plainCitation":"3","noteIndex":0},"citationItems":[{"id":14007,"uris":["http://zotero.org/groups/4745233/items/U3GGYCKU"],"itemData":{"id":14007,"type":"report","event-place":"Richmond, Victoria","language":"en","publisher":"Turning Point","publisher-place":"Richmond, Victoria","source":"Zotero","title":"Managing Cognitive Impairment in AOD Treatment: Practice Guidelines for Healthcare Professionals","URL":"https://www.turningpoint.org.au/treatment/clinicians/Managing-Cognitive-Impairment-in-AOD-Treatment-Guidelines","author":[{"family":"Manning","given":"Victoria"},{"family":"Gooden","given":"James"},{"family":"Cox","given":"Catherine"},{"family":"Whelan","given":"Danielle"},{"family":"Miroz","given":"Katherine"}],"issued":{"date-parts":[["2021"]]}}}],"schema":"https://github.com/citation-style-language/schema/raw/master/csl-citation.json"} </w:instrText>
      </w:r>
      <w:r w:rsidRPr="00A24880">
        <w:fldChar w:fldCharType="separate"/>
      </w:r>
      <w:r w:rsidRPr="00A24880">
        <w:rPr>
          <w:vertAlign w:val="superscript"/>
        </w:rPr>
        <w:t>3</w:t>
      </w:r>
      <w:r w:rsidRPr="00A24880">
        <w:fldChar w:fldCharType="end"/>
      </w:r>
      <w:r w:rsidRPr="00A24880">
        <w:t xml:space="preserve"> </w:t>
      </w:r>
    </w:p>
    <w:p w14:paraId="5660B7A2" w14:textId="77777777" w:rsidR="00225E51" w:rsidRDefault="00225E51" w:rsidP="007B2413">
      <w:pPr>
        <w:pStyle w:val="Bulletpoint"/>
      </w:pPr>
      <w:r w:rsidRPr="00A24880">
        <w:t>Medical definitions of cognitive impairment refer to reduced functioning or difficulties in one or more cognitive domains that is noticeable and measurable.</w:t>
      </w:r>
      <w:r w:rsidRPr="00A24880">
        <w:fldChar w:fldCharType="begin"/>
      </w:r>
      <w:r w:rsidRPr="00A24880">
        <w:instrText xml:space="preserve"> ADDIN ZOTERO_ITEM CSL_CITATION {"citationID":"ao9so0l8pe","properties":{"formattedCitation":"\\super 3\\nosupersub{}","plainCitation":"3","noteIndex":0},"citationItems":[{"id":14007,"uris":["http://zotero.org/groups/4745233/items/U3GGYCKU"],"itemData":{"id":14007,"type":"report","event-place":"Richmond, Victoria","language":"en","publisher":"Turning Point","publisher-place":"Richmond, Victoria","source":"Zotero","title":"Managing Cognitive Impairment in AOD Treatment: Practice Guidelines for Healthcare Professionals","URL":"https://www.turningpoint.org.au/treatment/clinicians/Managing-Cognitive-Impairment-in-AOD-Treatment-Guidelines","author":[{"family":"Manning","given":"Victoria"},{"family":"Gooden","given":"James"},{"family":"Cox","given":"Catherine"},{"family":"Whelan","given":"Danielle"},{"family":"Miroz","given":"Katherine"}],"issued":{"date-parts":[["2021"]]}}}],"schema":"https://github.com/citation-style-language/schema/raw/master/csl-citation.json"} </w:instrText>
      </w:r>
      <w:r w:rsidRPr="00A24880">
        <w:fldChar w:fldCharType="separate"/>
      </w:r>
      <w:r w:rsidRPr="00A24880">
        <w:rPr>
          <w:vertAlign w:val="superscript"/>
        </w:rPr>
        <w:t>3</w:t>
      </w:r>
      <w:r w:rsidRPr="00A24880">
        <w:fldChar w:fldCharType="end"/>
      </w:r>
      <w:r w:rsidRPr="00A24880">
        <w:t xml:space="preserve"> Cognitive impairment is considered amongst what is ‘typical’ for a person’s context, including whānau, culture, social group(s), and age. </w:t>
      </w:r>
    </w:p>
    <w:p w14:paraId="5771B77D" w14:textId="77777777" w:rsidR="00225E51" w:rsidRPr="00A24880" w:rsidRDefault="00225E51" w:rsidP="007B2413">
      <w:pPr>
        <w:pStyle w:val="Bulletpoint"/>
      </w:pPr>
      <w:r w:rsidRPr="00A24880">
        <w:t>Each individual tangata whai ora is unique and has a diverse range of strengths which can be used to compensate for cognitive impairment. A strengths-based approach supports resilience, self-confidence, and a sense of hope.</w:t>
      </w:r>
    </w:p>
    <w:p w14:paraId="409916FE" w14:textId="77777777" w:rsidR="00225E51" w:rsidRPr="00A24880" w:rsidRDefault="00225E51" w:rsidP="007B2413">
      <w:pPr>
        <w:pStyle w:val="Bulletpoint"/>
      </w:pPr>
      <w:r w:rsidRPr="00A24880">
        <w:t xml:space="preserve">Cognitive function is just one part of a person’s overall functioning. Therefore, it is important to take a holistic approach to cognitive impairment, especially when working with tāngata whai ora Māori. </w:t>
      </w:r>
    </w:p>
    <w:p w14:paraId="4C13ED48" w14:textId="12B352D6" w:rsidR="00225E51" w:rsidRPr="00A24880" w:rsidRDefault="00225E51" w:rsidP="007B2413">
      <w:pPr>
        <w:pStyle w:val="Bulletpoint"/>
      </w:pPr>
      <w:r w:rsidRPr="00A24880">
        <w:rPr>
          <w:rFonts w:cs="Arial"/>
        </w:rPr>
        <w:lastRenderedPageBreak/>
        <w:t xml:space="preserve">Within Te Whare Tapa Whā (illustrated in </w:t>
      </w:r>
      <w:r w:rsidRPr="00A24880">
        <w:rPr>
          <w:rFonts w:cs="Arial"/>
        </w:rPr>
        <w:fldChar w:fldCharType="begin"/>
      </w:r>
      <w:r w:rsidRPr="00A24880">
        <w:rPr>
          <w:rFonts w:cs="Arial"/>
        </w:rPr>
        <w:instrText xml:space="preserve"> REF _Ref146294411 \h  \* MERGEFORMAT </w:instrText>
      </w:r>
      <w:r w:rsidRPr="00A24880">
        <w:rPr>
          <w:rFonts w:cs="Arial"/>
        </w:rPr>
      </w:r>
      <w:r w:rsidRPr="00A24880">
        <w:rPr>
          <w:rFonts w:cs="Arial"/>
        </w:rPr>
        <w:fldChar w:fldCharType="separate"/>
      </w:r>
      <w:r w:rsidR="007F1966" w:rsidRPr="00FC7CFA">
        <w:t xml:space="preserve">Figure </w:t>
      </w:r>
      <w:r w:rsidR="007F1966">
        <w:rPr>
          <w:noProof/>
        </w:rPr>
        <w:t>2</w:t>
      </w:r>
      <w:r w:rsidRPr="00A24880">
        <w:rPr>
          <w:rFonts w:cs="Arial"/>
        </w:rPr>
        <w:fldChar w:fldCharType="end"/>
      </w:r>
      <w:r w:rsidRPr="00A24880">
        <w:rPr>
          <w:rFonts w:cs="Arial"/>
        </w:rPr>
        <w:t>) there are four interdependent dimensions contributing to wellbeing.</w:t>
      </w:r>
      <w:r w:rsidRPr="00A24880">
        <w:rPr>
          <w:rFonts w:cs="Arial"/>
        </w:rPr>
        <w:fldChar w:fldCharType="begin"/>
      </w:r>
      <w:r w:rsidRPr="00A24880">
        <w:rPr>
          <w:rFonts w:cs="Arial"/>
        </w:rPr>
        <w:instrText xml:space="preserve"> ADDIN ZOTERO_ITEM CSL_CITATION {"citationID":"a1d7llbi0n9","properties":{"formattedCitation":"\\super 34\\nosupersub{}","plainCitation":"34","noteIndex":0},"citationItems":[{"id":5567,"uris":["http://zotero.org/groups/2824487/items/DUYXSU8J"],"itemData":{"id":5567,"type":"book","publisher":"Oxford University Press","title":"Whaiora: Maori Health Development","URL":"https://www.wheelers.co.nz/books/9780195584035-whaiora-maori-health-development/","author":[{"family":"Durie","given":"M"}],"accessed":{"date-parts":[["2021",8,6]]},"issued":{"date-parts":[["1994"]]}}}],"schema":"https://github.com/citation-style-language/schema/raw/master/csl-citation.json"} </w:instrText>
      </w:r>
      <w:r w:rsidRPr="00A24880">
        <w:rPr>
          <w:rFonts w:cs="Arial"/>
        </w:rPr>
        <w:fldChar w:fldCharType="separate"/>
      </w:r>
      <w:r w:rsidRPr="00A24880">
        <w:rPr>
          <w:rFonts w:cs="Arial"/>
          <w:vertAlign w:val="superscript"/>
        </w:rPr>
        <w:t>34</w:t>
      </w:r>
      <w:r w:rsidRPr="00A24880">
        <w:rPr>
          <w:rFonts w:cs="Arial"/>
        </w:rPr>
        <w:fldChar w:fldCharType="end"/>
      </w:r>
      <w:r w:rsidRPr="00A24880">
        <w:rPr>
          <w:rFonts w:cs="Arial"/>
        </w:rPr>
        <w:t xml:space="preserve"> Cognitive functioning fits within the dimension of taha hinengaro (mental and emotional wellbeing), and thereby could also impact on te taha wairua (spiritual wellbeing), te taha tinana (physical wellbeing), and te taha whānau (family and social wellbeing).</w:t>
      </w:r>
    </w:p>
    <w:p w14:paraId="3382C949" w14:textId="77777777" w:rsidR="00225E51" w:rsidRPr="00A24880" w:rsidRDefault="00225E51" w:rsidP="00225E51">
      <w:pPr>
        <w:pStyle w:val="ListParagraph"/>
        <w:rPr>
          <w:sz w:val="22"/>
        </w:rPr>
      </w:pPr>
    </w:p>
    <w:p w14:paraId="3B70BF1A" w14:textId="2905D7E2" w:rsidR="00225E51" w:rsidRPr="00FC7CFA" w:rsidRDefault="00225E51" w:rsidP="007B2413">
      <w:pPr>
        <w:pStyle w:val="Figure"/>
      </w:pPr>
      <w:bookmarkStart w:id="631" w:name="_Ref146294411"/>
      <w:bookmarkStart w:id="632" w:name="_Toc179461351"/>
      <w:r w:rsidRPr="00FC7CFA">
        <w:t xml:space="preserve">Figure </w:t>
      </w:r>
      <w:r w:rsidRPr="00FC7CFA">
        <w:fldChar w:fldCharType="begin"/>
      </w:r>
      <w:r w:rsidRPr="00FC7CFA">
        <w:instrText xml:space="preserve"> SEQ Figure \* ARABIC </w:instrText>
      </w:r>
      <w:r w:rsidRPr="00FC7CFA">
        <w:fldChar w:fldCharType="separate"/>
      </w:r>
      <w:r w:rsidR="007F1966">
        <w:rPr>
          <w:noProof/>
        </w:rPr>
        <w:t>2</w:t>
      </w:r>
      <w:r w:rsidRPr="00FC7CFA">
        <w:fldChar w:fldCharType="end"/>
      </w:r>
      <w:bookmarkEnd w:id="631"/>
      <w:r w:rsidRPr="00FC7CFA">
        <w:t>. Te Whare Tapa Whā</w:t>
      </w:r>
      <w:bookmarkEnd w:id="632"/>
    </w:p>
    <w:p w14:paraId="6F600A28" w14:textId="77777777" w:rsidR="00225E51" w:rsidRDefault="00225E51" w:rsidP="00225E51">
      <w:r>
        <w:rPr>
          <w:noProof/>
        </w:rPr>
        <w:drawing>
          <wp:inline distT="0" distB="0" distL="0" distR="0" wp14:anchorId="2AECC67B" wp14:editId="588726B6">
            <wp:extent cx="6091791" cy="4280790"/>
            <wp:effectExtent l="0" t="0" r="4445" b="5715"/>
            <wp:docPr id="1521623561" name="Picture 1521623561" descr="A whare representing Te Whare Tapa Whā - showing the four sides of holistic wellbeing with wairua/spiritual, hinengaro/mental and emotional, tinana/physical, whānau - family and social. Reference Durie,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623561" name="Picture 1521623561" descr="A whare representing Te Whare Tapa Whā - showing the four sides of holistic wellbeing with wairua/spiritual, hinengaro/mental and emotional, tinana/physical, whānau - family and social. Reference Durie, 1985"/>
                    <pic:cNvPicPr/>
                  </pic:nvPicPr>
                  <pic:blipFill>
                    <a:blip r:embed="rId15">
                      <a:extLst>
                        <a:ext uri="{28A0092B-C50C-407E-A947-70E740481C1C}">
                          <a14:useLocalDpi xmlns:a14="http://schemas.microsoft.com/office/drawing/2010/main" val="0"/>
                        </a:ext>
                      </a:extLst>
                    </a:blip>
                    <a:stretch>
                      <a:fillRect/>
                    </a:stretch>
                  </pic:blipFill>
                  <pic:spPr>
                    <a:xfrm>
                      <a:off x="0" y="0"/>
                      <a:ext cx="6104014" cy="4289380"/>
                    </a:xfrm>
                    <a:prstGeom prst="rect">
                      <a:avLst/>
                    </a:prstGeom>
                  </pic:spPr>
                </pic:pic>
              </a:graphicData>
            </a:graphic>
          </wp:inline>
        </w:drawing>
      </w:r>
    </w:p>
    <w:p w14:paraId="527285D5" w14:textId="77777777" w:rsidR="00225E51" w:rsidRDefault="00225E51" w:rsidP="00225E51">
      <w:pPr>
        <w:rPr>
          <w:sz w:val="22"/>
        </w:rPr>
      </w:pPr>
    </w:p>
    <w:p w14:paraId="0E852C66" w14:textId="77777777" w:rsidR="00225E51" w:rsidRPr="00A24880" w:rsidRDefault="00225E51" w:rsidP="007B2413">
      <w:r w:rsidRPr="00A24880">
        <w:t>Cognitive impairment and disability are conceptualised differently across and within diverse cultures and worldviews. Therefore, it is helpful to explore each person’s individual beliefs within their own cultural context and practices.</w:t>
      </w:r>
    </w:p>
    <w:p w14:paraId="26050DBD" w14:textId="77777777" w:rsidR="00225E51" w:rsidRDefault="00225E51" w:rsidP="007B2413">
      <w:r w:rsidRPr="00A24880">
        <w:t>Māori are diverse in their beliefs, interpretation of, and engagement with Te Ao Māori, and have varied views on cognitive impairment. Some examples of beliefs include it being viewed as a strength, a natural part of life, or as a result of colonisation (for example loss of land, traditional practices, and wairua).</w:t>
      </w:r>
      <w:r w:rsidRPr="00A24880">
        <w:fldChar w:fldCharType="begin"/>
      </w:r>
      <w:r w:rsidRPr="00A24880">
        <w:instrText xml:space="preserve"> ADDIN ZOTERO_ITEM CSL_CITATION {"citationID":"a1ri05lv525","properties":{"formattedCitation":"\\super 35\\nosupersub{}","plainCitation":"35","noteIndex":0},"citationItems":[{"id":14005,"uris":["http://zotero.org/groups/4745233/items/LISQVMIJ"],"itemData":{"id":14005,"type":"article-journal","abstract":"METHOD: We undertook kaupapa Māori research (Māori informed research) with 223 kaumātua (Māori elders) who participated in 17 focus groups across seven study regions throughout Aotearoa New Zealand and eight whānau from the Waikato region. We audio recorded all interviews, transcribed them and then coded and categorised the data into themes.\nRESULTS: Mate wareware (becoming forgetful and unwell) (‘dementia’) a ects the wairua (spiritual dimension) of Māori. The findings elucidate Māori understandings of the causes of mate wareware, and the role of aroha (love, compassion) and manaakitanga (hospitality, kindness, generosity, support, caring) involved in caregiving for whānau living with mate wareware. Participants perceived cultural activities acted as protective factors that optimised a person’s functioning within their whānau and community.\nCONCLUSION: Whānau are crucial for the care of a kaumātua with mate wareware, along with promoting healthy wairua for all. Whanau urgently need information to assist with their knowledge building and empowerment to meet the needs of a member a ected by mate wareware. This requires collaborative healthcare practice and practitioners accessing the necessary mātauranga Māori (Māori knowledge) to provide culturally appropriate and comprehensive care for whānau.","container-title":"New Zealand Medical Journal","issue":"1503","language":"en","page":"9","source":"Zotero","title":"Mate wareware: Understanding ‘dementia’ from a Māori perspective","volume":"132","author":[{"family":"Dudley","given":"Margaret"},{"family":"Menzies","given":"Oliver"},{"family":"Elder","given":"Hinemoa"},{"family":"Nathan","given":"Lisa"},{"family":"Garrett","given":"Nick"},{"family":"Wilson","given":"Denise"}],"issued":{"date-parts":[["2019"]]}}}],"schema":"https://github.com/citation-style-language/schema/raw/master/csl-citation.json"} </w:instrText>
      </w:r>
      <w:r w:rsidRPr="00A24880">
        <w:fldChar w:fldCharType="separate"/>
      </w:r>
      <w:r w:rsidRPr="00A24880">
        <w:rPr>
          <w:rFonts w:cs="Arial"/>
          <w:vertAlign w:val="superscript"/>
        </w:rPr>
        <w:t>35</w:t>
      </w:r>
      <w:r w:rsidRPr="00A24880">
        <w:fldChar w:fldCharType="end"/>
      </w:r>
      <w:r w:rsidRPr="00A24880">
        <w:t xml:space="preserve"> Some other general ideas that may be helpful are included below. </w:t>
      </w:r>
    </w:p>
    <w:p w14:paraId="48639858" w14:textId="201B46CA" w:rsidR="00135934" w:rsidRDefault="007B2413" w:rsidP="00225E51">
      <w:pPr>
        <w:rPr>
          <w:sz w:val="22"/>
        </w:rPr>
      </w:pPr>
      <w:r w:rsidRPr="004B7F98">
        <w:rPr>
          <w:b/>
          <w:bCs/>
          <w:noProof/>
        </w:rPr>
        <w:lastRenderedPageBreak/>
        <w:drawing>
          <wp:anchor distT="0" distB="0" distL="114300" distR="114300" simplePos="0" relativeHeight="251763712" behindDoc="0" locked="0" layoutInCell="1" allowOverlap="1" wp14:anchorId="5BB2195B" wp14:editId="23C945E6">
            <wp:simplePos x="0" y="0"/>
            <wp:positionH relativeFrom="margin">
              <wp:align>left</wp:align>
            </wp:positionH>
            <wp:positionV relativeFrom="paragraph">
              <wp:posOffset>349250</wp:posOffset>
            </wp:positionV>
            <wp:extent cx="819150" cy="5286375"/>
            <wp:effectExtent l="0" t="0" r="0" b="9525"/>
            <wp:wrapSquare wrapText="bothSides"/>
            <wp:docPr id="566074506" name="Picture 5660745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074506" name="Picture 566074506">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819150" cy="528637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65760" behindDoc="0" locked="0" layoutInCell="1" allowOverlap="1" wp14:anchorId="3C508DE4" wp14:editId="3E3A06ED">
                <wp:simplePos x="0" y="0"/>
                <wp:positionH relativeFrom="margin">
                  <wp:posOffset>851535</wp:posOffset>
                </wp:positionH>
                <wp:positionV relativeFrom="paragraph">
                  <wp:posOffset>377190</wp:posOffset>
                </wp:positionV>
                <wp:extent cx="5415915" cy="5248275"/>
                <wp:effectExtent l="0" t="0" r="13335" b="28575"/>
                <wp:wrapSquare wrapText="bothSides"/>
                <wp:docPr id="159902919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5915" cy="5248275"/>
                        </a:xfrm>
                        <a:prstGeom prst="rect">
                          <a:avLst/>
                        </a:prstGeom>
                        <a:solidFill>
                          <a:schemeClr val="accent5">
                            <a:lumMod val="10000"/>
                            <a:lumOff val="90000"/>
                          </a:schemeClr>
                        </a:solidFill>
                        <a:ln w="9525">
                          <a:solidFill>
                            <a:srgbClr val="000000"/>
                          </a:solidFill>
                          <a:miter lim="800000"/>
                          <a:headEnd/>
                          <a:tailEnd/>
                        </a:ln>
                      </wps:spPr>
                      <wps:txbx>
                        <w:txbxContent>
                          <w:p w14:paraId="7509988F" w14:textId="77777777" w:rsidR="00796965" w:rsidRPr="00D524A3" w:rsidRDefault="00796965" w:rsidP="007B2413">
                            <w:pPr>
                              <w:rPr>
                                <w:b/>
                                <w:bCs/>
                              </w:rPr>
                            </w:pPr>
                            <w:r w:rsidRPr="00D524A3">
                              <w:rPr>
                                <w:b/>
                                <w:bCs/>
                              </w:rPr>
                              <w:t xml:space="preserve">Māori understandings of cognitive impairment </w:t>
                            </w:r>
                          </w:p>
                          <w:p w14:paraId="0C2E9958" w14:textId="77777777" w:rsidR="00796965" w:rsidRPr="0087056A" w:rsidRDefault="00796965" w:rsidP="007B2413">
                            <w:pPr>
                              <w:rPr>
                                <w:rFonts w:cs="Arial"/>
                              </w:rPr>
                            </w:pPr>
                            <w:r w:rsidRPr="0087056A">
                              <w:rPr>
                                <w:rFonts w:cs="Arial"/>
                              </w:rPr>
                              <w:t>The head (upoko) is seen as 'the most tapu' of all body parts. The head is the distinguishing feature between each person and has a strong relationship to a person’s mana. The brain is housed within the head and is an important part of what makes the person who they are. Thus, the head is generally considered a culturally and spiritually sacred part of the body (‘he tapu te upoko’) and is interconnected with all domains of wellbeing as well as identity and whakapapa.</w:t>
                            </w:r>
                            <w:r w:rsidRPr="0087056A">
                              <w:rPr>
                                <w:rFonts w:cs="Arial"/>
                              </w:rPr>
                              <w:fldChar w:fldCharType="begin"/>
                            </w:r>
                            <w:r w:rsidRPr="0087056A">
                              <w:rPr>
                                <w:rFonts w:cs="Arial"/>
                              </w:rPr>
                              <w:instrText xml:space="preserve"> ADDIN ZOTERO_ITEM CSL_CITATION {"citationID":"a1gpk8t92mr","properties":{"formattedCitation":"\\super 36\\nosupersub{}","plainCitation":"36","noteIndex":0},"citationItems":[{"id":13692,"uris":["http://zotero.org/groups/4745233/items/DTEWWJ2S"],"itemData":{"id":13692,"type":"article-journal","abstract":"Background: The aim was to examine the validity of a new measure, Te Waka Kuaka, in assessing the cultural needs of Māori with traumatic brain injury (TBI).\nMethods: Māori from around Aotearoa, New Zealand were recruited. 319 people with a history of TBI, their whānau (extended family members), friends, work associates, and interested community members participated. All completed the 46-item measure. Rasch analysis of the data was undertaken.\nResults: All four subscales; Wā (time), Wāhi (place), Tangata (people) and Wairua practices (activities that strengthen spiritual connection) were unidimensional. Ten items were deleted because they did not fit the model, due to statistically significant disordered thresholds, nonuniform differential item functioning (DIF) and local dependence. Five items were re-scored in the fourth subscale resulting in ordered thresholds.\nConclusions: Rasch analysis facilitated a robust validation process of Te Waka Kuaka.","container-title":"F1000Research","DOI":"10.12688/f1000research.11500.1","ISSN":"2046-1402","journalAbbreviation":"F1000Res","language":"en","page":"1034","source":"DOI.org (Crossref)","title":"Te Waka Kuaka, Rasch analysis of a cultural assessment tool in traumatic brain injury in Māori","volume":"6","author":[{"family":"Elder","given":"Hinemoa"},{"family":"Czuba","given":"Karol"},{"family":"Kersten","given":"Paula"},{"family":"Caracuel","given":"Alfonso"},{"family":"McPherson","given":"Kathryn"}],"issued":{"date-parts":[["2017",6,30]]}}}],"schema":"https://github.com/citation-style-language/schema/raw/master/csl-citation.json"} </w:instrText>
                            </w:r>
                            <w:r w:rsidRPr="0087056A">
                              <w:rPr>
                                <w:rFonts w:cs="Arial"/>
                              </w:rPr>
                              <w:fldChar w:fldCharType="separate"/>
                            </w:r>
                            <w:r w:rsidRPr="0087056A">
                              <w:rPr>
                                <w:rFonts w:cs="Arial"/>
                                <w:vertAlign w:val="superscript"/>
                              </w:rPr>
                              <w:t>36</w:t>
                            </w:r>
                            <w:r w:rsidRPr="0087056A">
                              <w:rPr>
                                <w:rFonts w:cs="Arial"/>
                              </w:rPr>
                              <w:fldChar w:fldCharType="end"/>
                            </w:r>
                            <w:r w:rsidRPr="0087056A">
                              <w:rPr>
                                <w:rFonts w:cs="Arial"/>
                              </w:rPr>
                              <w:t xml:space="preserve"> An impairment or injury to the brain (roro) can impact multiple aspects of a person’s life and wellbeing, especially wairua.</w:t>
                            </w:r>
                            <w:r w:rsidRPr="0087056A">
                              <w:rPr>
                                <w:rFonts w:cs="Arial"/>
                              </w:rPr>
                              <w:fldChar w:fldCharType="begin"/>
                            </w:r>
                            <w:r w:rsidRPr="0087056A">
                              <w:rPr>
                                <w:rFonts w:cs="Arial"/>
                              </w:rPr>
                              <w:instrText xml:space="preserve"> ADDIN ZOTERO_ITEM CSL_CITATION {"citationID":"a1vs2ttg9nr","properties":{"formattedCitation":"\\super 35,36\\nosupersub{}","plainCitation":"35,36","noteIndex":0},"citationItems":[{"id":14005,"uris":["http://zotero.org/groups/4745233/items/LISQVMIJ"],"itemData":{"id":14005,"type":"article-journal","abstract":"METHOD: We undertook kaupapa Māori research (Māori informed research) with 223 kaumātua (Māori elders) who participated in 17 focus groups across seven study regions throughout Aotearoa New Zealand and eight whānau from the Waikato region. We audio recorded all interviews, transcribed them and then coded and categorised the data into themes.\nRESULTS: Mate wareware (becoming forgetful and unwell) (‘dementia’) a ects the wairua (spiritual dimension) of Māori. The findings elucidate Māori understandings of the causes of mate wareware, and the role of aroha (love, compassion) and manaakitanga (hospitality, kindness, generosity, support, caring) involved in caregiving for whānau living with mate wareware. Participants perceived cultural activities acted as protective factors that optimised a person’s functioning within their whānau and community.\nCONCLUSION: Whānau are crucial for the care of a kaumātua with mate wareware, along with promoting healthy wairua for all. Whanau urgently need information to assist with their knowledge building and empowerment to meet the needs of a member a ected by mate wareware. This requires collaborative healthcare practice and practitioners accessing the necessary mātauranga Māori (Māori knowledge) to provide culturally appropriate and comprehensive care for whānau.","container-title":"New Zealand Medical Journal","issue":"1503","language":"en","page":"9","source":"Zotero","title":"Mate wareware: Understanding ‘dementia’ from a Māori perspective","volume":"132","author":[{"family":"Dudley","given":"Margaret"},{"family":"Menzies","given":"Oliver"},{"family":"Elder","given":"Hinemoa"},{"family":"Nathan","given":"Lisa"},{"family":"Garrett","given":"Nick"},{"family":"Wilson","given":"Denise"}],"issued":{"date-parts":[["2019"]]}}},{"id":13692,"uris":["http://zotero.org/groups/4745233/items/DTEWWJ2S"],"itemData":{"id":13692,"type":"article-journal","abstract":"Background: The aim was to examine the validity of a new measure, Te Waka Kuaka, in assessing the cultural needs of Māori with traumatic brain injury (TBI).\nMethods: Māori from around Aotearoa, New Zealand were recruited. 319 people with a history of TBI, their whānau (extended family members), friends, work associates, and interested community members participated. All completed the 46-item measure. Rasch analysis of the data was undertaken.\nResults: All four subscales; Wā (time), Wāhi (place), Tangata (people) and Wairua practices (activities that strengthen spiritual connection) were unidimensional. Ten items were deleted because they did not fit the model, due to statistically significant disordered thresholds, nonuniform differential item functioning (DIF) and local dependence. Five items were re-scored in the fourth subscale resulting in ordered thresholds.\nConclusions: Rasch analysis facilitated a robust validation process of Te Waka Kuaka.","container-title":"F1000Research","DOI":"10.12688/f1000research.11500.1","ISSN":"2046-1402","journalAbbreviation":"F1000Res","language":"en","page":"1034","source":"DOI.org (Crossref)","title":"Te Waka Kuaka, Rasch analysis of a cultural assessment tool in traumatic brain injury in Māori","volume":"6","author":[{"family":"Elder","given":"Hinemoa"},{"family":"Czuba","given":"Karol"},{"family":"Kersten","given":"Paula"},{"family":"Caracuel","given":"Alfonso"},{"family":"McPherson","given":"Kathryn"}],"issued":{"date-parts":[["2017",6,30]]}}}],"schema":"https://github.com/citation-style-language/schema/raw/master/csl-citation.json"} </w:instrText>
                            </w:r>
                            <w:r w:rsidRPr="0087056A">
                              <w:rPr>
                                <w:rFonts w:cs="Arial"/>
                              </w:rPr>
                              <w:fldChar w:fldCharType="separate"/>
                            </w:r>
                            <w:r w:rsidRPr="0087056A">
                              <w:rPr>
                                <w:rFonts w:cs="Arial"/>
                                <w:vertAlign w:val="superscript"/>
                              </w:rPr>
                              <w:t>35,36</w:t>
                            </w:r>
                            <w:r w:rsidRPr="0087056A">
                              <w:rPr>
                                <w:rFonts w:cs="Arial"/>
                              </w:rPr>
                              <w:fldChar w:fldCharType="end"/>
                            </w:r>
                            <w:r w:rsidRPr="0087056A">
                              <w:rPr>
                                <w:rFonts w:cs="Arial"/>
                              </w:rPr>
                              <w:t xml:space="preserve"> Effectively supporting tāngata whai ora Māori and whānau requires not only excellent clinical skills but a holistic Māori-specific approach (for those who identify this is helpful) that heals wairua, including drawing from rongoā (traditional healing approaches) and whānau mātauranga.</w:t>
                            </w:r>
                            <w:r w:rsidRPr="0087056A">
                              <w:rPr>
                                <w:rFonts w:cs="Arial"/>
                              </w:rPr>
                              <w:fldChar w:fldCharType="begin"/>
                            </w:r>
                            <w:r w:rsidRPr="0087056A">
                              <w:rPr>
                                <w:rFonts w:cs="Arial"/>
                              </w:rPr>
                              <w:instrText xml:space="preserve"> ADDIN ZOTERO_ITEM CSL_CITATION {"citationID":"ap8m2789d8","properties":{"formattedCitation":"\\super 36\\nosupersub{}","plainCitation":"36","noteIndex":0},"citationItems":[{"id":13692,"uris":["http://zotero.org/groups/4745233/items/DTEWWJ2S"],"itemData":{"id":13692,"type":"article-journal","abstract":"Background: The aim was to examine the validity of a new measure, Te Waka Kuaka, in assessing the cultural needs of Māori with traumatic brain injury (TBI).\nMethods: Māori from around Aotearoa, New Zealand were recruited. 319 people with a history of TBI, their whānau (extended family members), friends, work associates, and interested community members participated. All completed the 46-item measure. Rasch analysis of the data was undertaken.\nResults: All four subscales; Wā (time), Wāhi (place), Tangata (people) and Wairua practices (activities that strengthen spiritual connection) were unidimensional. Ten items were deleted because they did not fit the model, due to statistically significant disordered thresholds, nonuniform differential item functioning (DIF) and local dependence. Five items were re-scored in the fourth subscale resulting in ordered thresholds.\nConclusions: Rasch analysis facilitated a robust validation process of Te Waka Kuaka.","container-title":"F1000Research","DOI":"10.12688/f1000research.11500.1","ISSN":"2046-1402","journalAbbreviation":"F1000Res","language":"en","page":"1034","source":"DOI.org (Crossref)","title":"Te Waka Kuaka, Rasch analysis of a cultural assessment tool in traumatic brain injury in Māori","volume":"6","author":[{"family":"Elder","given":"Hinemoa"},{"family":"Czuba","given":"Karol"},{"family":"Kersten","given":"Paula"},{"family":"Caracuel","given":"Alfonso"},{"family":"McPherson","given":"Kathryn"}],"issued":{"date-parts":[["2017",6,30]]}}}],"schema":"https://github.com/citation-style-language/schema/raw/master/csl-citation.json"} </w:instrText>
                            </w:r>
                            <w:r w:rsidRPr="0087056A">
                              <w:rPr>
                                <w:rFonts w:cs="Arial"/>
                              </w:rPr>
                              <w:fldChar w:fldCharType="separate"/>
                            </w:r>
                            <w:r w:rsidRPr="0087056A">
                              <w:rPr>
                                <w:rFonts w:cs="Arial"/>
                                <w:vertAlign w:val="superscript"/>
                              </w:rPr>
                              <w:t>36</w:t>
                            </w:r>
                            <w:r w:rsidRPr="0087056A">
                              <w:rPr>
                                <w:rFonts w:cs="Arial"/>
                              </w:rPr>
                              <w:fldChar w:fldCharType="end"/>
                            </w:r>
                            <w:r w:rsidRPr="0087056A">
                              <w:rPr>
                                <w:rFonts w:cs="Arial"/>
                              </w:rPr>
                              <w:t xml:space="preserve"> </w:t>
                            </w:r>
                          </w:p>
                          <w:p w14:paraId="72BD6DF4" w14:textId="77777777" w:rsidR="00796965" w:rsidRPr="0087056A" w:rsidRDefault="00796965" w:rsidP="007B2413">
                            <w:r w:rsidRPr="0087056A">
                              <w:rPr>
                                <w:rFonts w:cs="Arial"/>
                              </w:rPr>
                              <w:t xml:space="preserve">Use of familiar terminology is important. </w:t>
                            </w:r>
                            <w:r w:rsidRPr="0087056A">
                              <w:t>For Māori who speak te reo Māori, some relatable terms may include hinengaro (mind, thought), tinana (physical body), hauā (disabled, disability), whaikaha (disabled – a strengths-based term meaning to have strength), and roro (the physical brain).</w:t>
                            </w:r>
                            <w:r w:rsidRPr="0087056A">
                              <w:fldChar w:fldCharType="begin"/>
                            </w:r>
                            <w:r w:rsidRPr="0087056A">
                              <w:instrText xml:space="preserve"> ADDIN ZOTERO_ITEM CSL_CITATION {"citationID":"Ao9Qq18A","properties":{"formattedCitation":"\\super 37,38\\nosupersub{}","plainCitation":"37,38","noteIndex":0},"citationItems":[{"id":16434,"uris":["http://zotero.org/groups/4768959/items/XBQIW2DK"],"itemData":{"id":16434,"type":"book","event-place":"Auckland","publisher":"Te Pou o te Whakaaro Nui","publisher-place":"Auckland","title":"Te Reo Hāpai: The language of enrichment","author":[{"family":"Opai","given":"K."}],"issued":{"date-parts":[["2017"]]}}},{"id":13543,"uris":["http://zotero.org/groups/4745233/items/3E9SAV69"],"itemData":{"id":13543,"type":"webpage","abstract":"Search the Māori dictionary with the online version of Te Aka Māori-English, English-Māori Dictionary and Index","container-title":"Te Aka Māori Dictionary","language":"en","title":"Te Aka Māori Dictionary","URL":"https://www.maoridictionary.co.nz/","author":[{"literal":"Te Aka Māori Dictionary"}],"accessed":{"date-parts":[["2023",1,12]]},"issued":{"date-parts":[["2023"]]}}}],"schema":"https://github.com/citation-style-language/schema/raw/master/csl-citation.json"} </w:instrText>
                            </w:r>
                            <w:r w:rsidRPr="0087056A">
                              <w:fldChar w:fldCharType="separate"/>
                            </w:r>
                            <w:r w:rsidRPr="0087056A">
                              <w:rPr>
                                <w:rFonts w:cs="Arial"/>
                                <w:vertAlign w:val="superscript"/>
                              </w:rPr>
                              <w:t>37,38</w:t>
                            </w:r>
                            <w:r w:rsidRPr="0087056A">
                              <w:fldChar w:fldCharType="end"/>
                            </w:r>
                            <w:r w:rsidRPr="0087056A">
                              <w:t xml:space="preserve"> There are also te reo Māori terms for specific causes of cognitive impairment, like dementia (mate wareware or korongenge) and autism spectrum disorder (takiwātanga).</w:t>
                            </w:r>
                            <w:r w:rsidRPr="0087056A">
                              <w:fldChar w:fldCharType="begin"/>
                            </w:r>
                            <w:r w:rsidRPr="0087056A">
                              <w:instrText xml:space="preserve"> ADDIN ZOTERO_ITEM CSL_CITATION {"citationID":"a29r0sts2os","properties":{"formattedCitation":"\\super 37\\nosupersub{}","plainCitation":"37","noteIndex":0},"citationItems":[{"id":16434,"uris":["http://zotero.org/groups/4768959/items/XBQIW2DK"],"itemData":{"id":16434,"type":"book","event-place":"Auckland","publisher":"Te Pou o te Whakaaro Nui","publisher-place":"Auckland","title":"Te Reo Hāpai: The language of enrichment","author":[{"family":"Opai","given":"K."}],"issued":{"date-parts":[["2017"]]}}}],"schema":"https://github.com/citation-style-language/schema/raw/master/csl-citation.json"} </w:instrText>
                            </w:r>
                            <w:r w:rsidRPr="0087056A">
                              <w:fldChar w:fldCharType="separate"/>
                            </w:r>
                            <w:r w:rsidRPr="0087056A">
                              <w:rPr>
                                <w:rFonts w:cs="Arial"/>
                                <w:vertAlign w:val="superscript"/>
                              </w:rPr>
                              <w:t>37</w:t>
                            </w:r>
                            <w:r w:rsidRPr="0087056A">
                              <w:fldChar w:fldCharType="end"/>
                            </w:r>
                            <w:r w:rsidRPr="0087056A">
                              <w:t xml:space="preserve"> </w:t>
                            </w:r>
                          </w:p>
                          <w:p w14:paraId="68301130" w14:textId="77777777" w:rsidR="00796965" w:rsidRPr="0087056A" w:rsidRDefault="00796965" w:rsidP="007B2413">
                            <w:r w:rsidRPr="0087056A">
                              <w:rPr>
                                <w:i/>
                                <w:iCs/>
                              </w:rPr>
                              <w:t>Te Reo Hāpai: The Language of Enrichment</w:t>
                            </w:r>
                            <w:r w:rsidRPr="0087056A">
                              <w:rPr>
                                <w:i/>
                                <w:iCs/>
                              </w:rPr>
                              <w:fldChar w:fldCharType="begin"/>
                            </w:r>
                            <w:r w:rsidRPr="0087056A">
                              <w:rPr>
                                <w:i/>
                                <w:iCs/>
                              </w:rPr>
                              <w:instrText xml:space="preserve"> ADDIN ZOTERO_ITEM CSL_CITATION {"citationID":"f4rTpdoU","properties":{"formattedCitation":"\\super 37\\nosupersub{}","plainCitation":"37","noteIndex":0},"citationItems":[{"id":16434,"uris":["http://zotero.org/groups/4768959/items/XBQIW2DK"],"itemData":{"id":16434,"type":"book","event-place":"Auckland","publisher":"Te Pou o te Whakaaro Nui","publisher-place":"Auckland","title":"Te Reo Hāpai: The language of enrichment","author":[{"family":"Opai","given":"K."}],"issued":{"date-parts":[["2017"]]}}}],"schema":"https://github.com/citation-style-language/schema/raw/master/csl-citation.json"} </w:instrText>
                            </w:r>
                            <w:r w:rsidRPr="0087056A">
                              <w:rPr>
                                <w:i/>
                                <w:iCs/>
                              </w:rPr>
                              <w:fldChar w:fldCharType="separate"/>
                            </w:r>
                            <w:r w:rsidRPr="0087056A">
                              <w:rPr>
                                <w:rFonts w:cs="Arial"/>
                                <w:vertAlign w:val="superscript"/>
                              </w:rPr>
                              <w:t>37</w:t>
                            </w:r>
                            <w:r w:rsidRPr="0087056A">
                              <w:rPr>
                                <w:i/>
                                <w:iCs/>
                              </w:rPr>
                              <w:fldChar w:fldCharType="end"/>
                            </w:r>
                            <w:r w:rsidRPr="0087056A">
                              <w:rPr>
                                <w:i/>
                                <w:iCs/>
                              </w:rPr>
                              <w:t xml:space="preserve"> </w:t>
                            </w:r>
                            <w:r w:rsidRPr="0087056A">
                              <w:t>provides further guidance on terminology that may be appropriate for M</w:t>
                            </w:r>
                            <w:r w:rsidRPr="0087056A">
                              <w:rPr>
                                <w:rFonts w:cs="Arial"/>
                              </w:rPr>
                              <w:t>ā</w:t>
                            </w:r>
                            <w:r w:rsidRPr="0087056A">
                              <w:t>ori.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508DE4" id="_x0000_s1027" type="#_x0000_t202" alt="&quot;&quot;" style="position:absolute;margin-left:67.05pt;margin-top:29.7pt;width:426.45pt;height:413.25pt;z-index:251765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" fillcolor="#d6ffff [344]">
                <v:textbox>
                  <w:txbxContent>
                    <w:p w14:paraId="7509988F" w14:textId="77777777" w:rsidR="00796965" w:rsidRPr="00D524A3" w:rsidRDefault="00796965" w:rsidP="007B2413">
                      <w:pPr>
                        <w:rPr>
                          <w:b/>
                          <w:bCs/>
                        </w:rPr>
                      </w:pPr>
                      <w:r w:rsidRPr="00D524A3">
                        <w:rPr>
                          <w:b/>
                          <w:bCs/>
                        </w:rPr>
                        <w:t xml:space="preserve">Māori understandings of cognitive impairment </w:t>
                      </w:r>
                    </w:p>
                    <w:p w14:paraId="0C2E9958" w14:textId="77777777" w:rsidR="00796965" w:rsidRPr="0087056A" w:rsidRDefault="00796965" w:rsidP="007B2413">
                      <w:pPr>
                        <w:rPr>
                          <w:rFonts w:cs="Arial"/>
                        </w:rPr>
                      </w:pPr>
                      <w:r w:rsidRPr="0087056A">
                        <w:rPr>
                          <w:rFonts w:cs="Arial"/>
                        </w:rPr>
                        <w:t>The head (upoko) is seen as 'the most tapu' of all body parts. The head is the distinguishing feature between each person and has a strong relationship to a person’s mana. The brain is housed within the head and is an important part of what makes the person who they are. Thus, the head is generally considered a culturally and spiritually sacred part of the body (‘he tapu te upoko’) and is interconnected with all domains of wellbeing as well as identity and whakapapa.</w:t>
                      </w:r>
                      <w:r w:rsidRPr="0087056A">
                        <w:rPr>
                          <w:rFonts w:cs="Arial"/>
                        </w:rPr>
                        <w:fldChar w:fldCharType="begin"/>
                      </w:r>
                      <w:r w:rsidRPr="0087056A">
                        <w:rPr>
                          <w:rFonts w:cs="Arial"/>
                        </w:rPr>
                        <w:instrText xml:space="preserve"> ADDIN ZOTERO_ITEM CSL_CITATION {"citationID":"a1gpk8t92mr","properties":{"formattedCitation":"\\super 36\\nosupersub{}","plainCitation":"36","noteIndex":0},"citationItems":[{"id":13692,"uris":["http://zotero.org/groups/4745233/items/DTEWWJ2S"],"itemData":{"id":13692,"type":"article-journal","abstract":"Background: The aim was to examine the validity of a new measure, Te Waka Kuaka, in assessing the cultural needs of Māori with traumatic brain injury (TBI).\nMethods: Māori from around Aotearoa, New Zealand were recruited. 319 people with a history of TBI, their whānau (extended family members), friends, work associates, and interested community members participated. All completed the 46-item measure. Rasch analysis of the data was undertaken.\nResults: All four subscales; Wā (time), Wāhi (place), Tangata (people) and Wairua practices (activities that strengthen spiritual connection) were unidimensional. Ten items were deleted because they did not fit the model, due to statistically significant disordered thresholds, nonuniform differential item functioning (DIF) and local dependence. Five items were re-scored in the fourth subscale resulting in ordered thresholds.\nConclusions: Rasch analysis facilitated a robust validation process of Te Waka Kuaka.","container-title":"F1000Research","DOI":"10.12688/f1000research.11500.1","ISSN":"2046-1402","journalAbbreviation":"F1000Res","language":"en","page":"1034","source":"DOI.org (Crossref)","title":"Te Waka Kuaka, Rasch analysis of a cultural assessment tool in traumatic brain injury in Māori","volume":"6","author":[{"family":"Elder","given":"Hinemoa"},{"family":"Czuba","given":"Karol"},{"family":"Kersten","given":"Paula"},{"family":"Caracuel","given":"Alfonso"},{"family":"McPherson","given":"Kathryn"}],"issued":{"date-parts":[["2017",6,30]]}}}],"schema":"https://github.com/citation-style-language/schema/raw/master/csl-citation.json"} </w:instrText>
                      </w:r>
                      <w:r w:rsidRPr="0087056A">
                        <w:rPr>
                          <w:rFonts w:cs="Arial"/>
                        </w:rPr>
                        <w:fldChar w:fldCharType="separate"/>
                      </w:r>
                      <w:r w:rsidRPr="0087056A">
                        <w:rPr>
                          <w:rFonts w:cs="Arial"/>
                          <w:vertAlign w:val="superscript"/>
                        </w:rPr>
                        <w:t>36</w:t>
                      </w:r>
                      <w:r w:rsidRPr="0087056A">
                        <w:rPr>
                          <w:rFonts w:cs="Arial"/>
                        </w:rPr>
                        <w:fldChar w:fldCharType="end"/>
                      </w:r>
                      <w:r w:rsidRPr="0087056A">
                        <w:rPr>
                          <w:rFonts w:cs="Arial"/>
                        </w:rPr>
                        <w:t xml:space="preserve"> An impairment or injury to the brain (roro) can impact multiple aspects of a person’s life and wellbeing, especially wairua.</w:t>
                      </w:r>
                      <w:r w:rsidRPr="0087056A">
                        <w:rPr>
                          <w:rFonts w:cs="Arial"/>
                        </w:rPr>
                        <w:fldChar w:fldCharType="begin"/>
                      </w:r>
                      <w:r w:rsidRPr="0087056A">
                        <w:rPr>
                          <w:rFonts w:cs="Arial"/>
                        </w:rPr>
                        <w:instrText xml:space="preserve"> ADDIN ZOTERO_ITEM CSL_CITATION {"citationID":"a1vs2ttg9nr","properties":{"formattedCitation":"\\super 35,36\\nosupersub{}","plainCitation":"35,36","noteIndex":0},"citationItems":[{"id":14005,"uris":["http://zotero.org/groups/4745233/items/LISQVMIJ"],"itemData":{"id":14005,"type":"article-journal","abstract":"METHOD: We undertook kaupapa Māori research (Māori informed research) with 223 kaumātua (Māori elders) who participated in 17 focus groups across seven study regions throughout Aotearoa New Zealand and eight whānau from the Waikato region. We audio recorded all interviews, transcribed them and then coded and categorised the data into themes.\nRESULTS: Mate wareware (becoming forgetful and unwell) (‘dementia’) a ects the wairua (spiritual dimension) of Māori. The findings elucidate Māori understandings of the causes of mate wareware, and the role of aroha (love, compassion) and manaakitanga (hospitality, kindness, generosity, support, caring) involved in caregiving for whānau living with mate wareware. Participants perceived cultural activities acted as protective factors that optimised a person’s functioning within their whānau and community.\nCONCLUSION: Whānau are crucial for the care of a kaumātua with mate wareware, along with promoting healthy wairua for all. Whanau urgently need information to assist with their knowledge building and empowerment to meet the needs of a member a ected by mate wareware. This requires collaborative healthcare practice and practitioners accessing the necessary mātauranga Māori (Māori knowledge) to provide culturally appropriate and comprehensive care for whānau.","container-title":"New Zealand Medical Journal","issue":"1503","language":"en","page":"9","source":"Zotero","title":"Mate wareware: Understanding ‘dementia’ from a Māori perspective","volume":"132","author":[{"family":"Dudley","given":"Margaret"},{"family":"Menzies","given":"Oliver"},{"family":"Elder","given":"Hinemoa"},{"family":"Nathan","given":"Lisa"},{"family":"Garrett","given":"Nick"},{"family":"Wilson","given":"Denise"}],"issued":{"date-parts":[["2019"]]}}},{"id":13692,"uris":["http://zotero.org/groups/4745233/items/DTEWWJ2S"],"itemData":{"id":13692,"type":"article-journal","abstract":"Background: The aim was to examine the validity of a new measure, Te Waka Kuaka, in assessing the cultural needs of Māori with traumatic brain injury (TBI).\nMethods: Māori from around Aotearoa, New Zealand were recruited. 319 people with a history of TBI, their whānau (extended family members), friends, work associates, and interested community members participated. All completed the 46-item measure. Rasch analysis of the data was undertaken.\nResults: All four subscales; Wā (time), Wāhi (place), Tangata (people) and Wairua practices (activities that strengthen spiritual connection) were unidimensional. Ten items were deleted because they did not fit the model, due to statistically significant disordered thresholds, nonuniform differential item functioning (DIF) and local dependence. Five items were re-scored in the fourth subscale resulting in ordered thresholds.\nConclusions: Rasch analysis facilitated a robust validation process of Te Waka Kuaka.","container-title":"F1000Research","DOI":"10.12688/f1000research.11500.1","ISSN":"2046-1402","journalAbbreviation":"F1000Res","language":"en","page":"1034","source":"DOI.org (Crossref)","title":"Te Waka Kuaka, Rasch analysis of a cultural assessment tool in traumatic brain injury in Māori","volume":"6","author":[{"family":"Elder","given":"Hinemoa"},{"family":"Czuba","given":"Karol"},{"family":"Kersten","given":"Paula"},{"family":"Caracuel","given":"Alfonso"},{"family":"McPherson","given":"Kathryn"}],"issued":{"date-parts":[["2017",6,30]]}}}],"schema":"https://github.com/citation-style-language/schema/raw/master/csl-citation.json"} </w:instrText>
                      </w:r>
                      <w:r w:rsidRPr="0087056A">
                        <w:rPr>
                          <w:rFonts w:cs="Arial"/>
                        </w:rPr>
                        <w:fldChar w:fldCharType="separate"/>
                      </w:r>
                      <w:r w:rsidRPr="0087056A">
                        <w:rPr>
                          <w:rFonts w:cs="Arial"/>
                          <w:vertAlign w:val="superscript"/>
                        </w:rPr>
                        <w:t>35,36</w:t>
                      </w:r>
                      <w:r w:rsidRPr="0087056A">
                        <w:rPr>
                          <w:rFonts w:cs="Arial"/>
                        </w:rPr>
                        <w:fldChar w:fldCharType="end"/>
                      </w:r>
                      <w:r w:rsidRPr="0087056A">
                        <w:rPr>
                          <w:rFonts w:cs="Arial"/>
                        </w:rPr>
                        <w:t xml:space="preserve"> Effectively supporting tāngata whai ora Māori and whānau requires not only excellent clinical skills but a holistic Māori-specific approach (for those who identify this is helpful) that heals wairua, including drawing from rongoā (traditional healing approaches) and whānau mātauranga.</w:t>
                      </w:r>
                      <w:r w:rsidRPr="0087056A">
                        <w:rPr>
                          <w:rFonts w:cs="Arial"/>
                        </w:rPr>
                        <w:fldChar w:fldCharType="begin"/>
                      </w:r>
                      <w:r w:rsidRPr="0087056A">
                        <w:rPr>
                          <w:rFonts w:cs="Arial"/>
                        </w:rPr>
                        <w:instrText xml:space="preserve"> ADDIN ZOTERO_ITEM CSL_CITATION {"citationID":"ap8m2789d8","properties":{"formattedCitation":"\\super 36\\nosupersub{}","plainCitation":"36","noteIndex":0},"citationItems":[{"id":13692,"uris":["http://zotero.org/groups/4745233/items/DTEWWJ2S"],"itemData":{"id":13692,"type":"article-journal","abstract":"Background: The aim was to examine the validity of a new measure, Te Waka Kuaka, in assessing the cultural needs of Māori with traumatic brain injury (TBI).\nMethods: Māori from around Aotearoa, New Zealand were recruited. 319 people with a history of TBI, their whānau (extended family members), friends, work associates, and interested community members participated. All completed the 46-item measure. Rasch analysis of the data was undertaken.\nResults: All four subscales; Wā (time), Wāhi (place), Tangata (people) and Wairua practices (activities that strengthen spiritual connection) were unidimensional. Ten items were deleted because they did not fit the model, due to statistically significant disordered thresholds, nonuniform differential item functioning (DIF) and local dependence. Five items were re-scored in the fourth subscale resulting in ordered thresholds.\nConclusions: Rasch analysis facilitated a robust validation process of Te Waka Kuaka.","container-title":"F1000Research","DOI":"10.12688/f1000research.11500.1","ISSN":"2046-1402","journalAbbreviation":"F1000Res","language":"en","page":"1034","source":"DOI.org (Crossref)","title":"Te Waka Kuaka, Rasch analysis of a cultural assessment tool in traumatic brain injury in Māori","volume":"6","author":[{"family":"Elder","given":"Hinemoa"},{"family":"Czuba","given":"Karol"},{"family":"Kersten","given":"Paula"},{"family":"Caracuel","given":"Alfonso"},{"family":"McPherson","given":"Kathryn"}],"issued":{"date-parts":[["2017",6,30]]}}}],"schema":"https://github.com/citation-style-language/schema/raw/master/csl-citation.json"} </w:instrText>
                      </w:r>
                      <w:r w:rsidRPr="0087056A">
                        <w:rPr>
                          <w:rFonts w:cs="Arial"/>
                        </w:rPr>
                        <w:fldChar w:fldCharType="separate"/>
                      </w:r>
                      <w:r w:rsidRPr="0087056A">
                        <w:rPr>
                          <w:rFonts w:cs="Arial"/>
                          <w:vertAlign w:val="superscript"/>
                        </w:rPr>
                        <w:t>36</w:t>
                      </w:r>
                      <w:r w:rsidRPr="0087056A">
                        <w:rPr>
                          <w:rFonts w:cs="Arial"/>
                        </w:rPr>
                        <w:fldChar w:fldCharType="end"/>
                      </w:r>
                      <w:r w:rsidRPr="0087056A">
                        <w:rPr>
                          <w:rFonts w:cs="Arial"/>
                        </w:rPr>
                        <w:t xml:space="preserve"> </w:t>
                      </w:r>
                    </w:p>
                    <w:p w14:paraId="72BD6DF4" w14:textId="77777777" w:rsidR="00796965" w:rsidRPr="0087056A" w:rsidRDefault="00796965" w:rsidP="007B2413">
                      <w:r w:rsidRPr="0087056A">
                        <w:rPr>
                          <w:rFonts w:cs="Arial"/>
                        </w:rPr>
                        <w:t xml:space="preserve">Use of familiar terminology is important. </w:t>
                      </w:r>
                      <w:r w:rsidRPr="0087056A">
                        <w:t>For Māori who speak te reo Māori, some relatable terms may include hinengaro (mind, thought), tinana (physical body), hauā (disabled, disability), whaikaha (disabled – a strengths-based term meaning to have strength), and roro (the physical brain).</w:t>
                      </w:r>
                      <w:r w:rsidRPr="0087056A">
                        <w:fldChar w:fldCharType="begin"/>
                      </w:r>
                      <w:r w:rsidRPr="0087056A">
                        <w:instrText xml:space="preserve"> ADDIN ZOTERO_ITEM CSL_CITATION {"citationID":"Ao9Qq18A","properties":{"formattedCitation":"\\super 37,38\\nosupersub{}","plainCitation":"37,38","noteIndex":0},"citationItems":[{"id":16434,"uris":["http://zotero.org/groups/4768959/items/XBQIW2DK"],"itemData":{"id":16434,"type":"book","event-place":"Auckland","publisher":"Te Pou o te Whakaaro Nui","publisher-place":"Auckland","title":"Te Reo Hāpai: The language of enrichment","author":[{"family":"Opai","given":"K."}],"issued":{"date-parts":[["2017"]]}}},{"id":13543,"uris":["http://zotero.org/groups/4745233/items/3E9SAV69"],"itemData":{"id":13543,"type":"webpage","abstract":"Search the Māori dictionary with the online version of Te Aka Māori-English, English-Māori Dictionary and Index","container-title":"Te Aka Māori Dictionary","language":"en","title":"Te Aka Māori Dictionary","URL":"https://www.maoridictionary.co.nz/","author":[{"literal":"Te Aka Māori Dictionary"}],"accessed":{"date-parts":[["2023",1,12]]},"issued":{"date-parts":[["2023"]]}}}],"schema":"https://github.com/citation-style-language/schema/raw/master/csl-citation.json"} </w:instrText>
                      </w:r>
                      <w:r w:rsidRPr="0087056A">
                        <w:fldChar w:fldCharType="separate"/>
                      </w:r>
                      <w:r w:rsidRPr="0087056A">
                        <w:rPr>
                          <w:rFonts w:cs="Arial"/>
                          <w:vertAlign w:val="superscript"/>
                        </w:rPr>
                        <w:t>37,38</w:t>
                      </w:r>
                      <w:r w:rsidRPr="0087056A">
                        <w:fldChar w:fldCharType="end"/>
                      </w:r>
                      <w:r w:rsidRPr="0087056A">
                        <w:t xml:space="preserve"> There are also te reo Māori terms for specific causes of cognitive impairment, like dementia (mate wareware or korongenge) and autism spectrum disorder (takiwātanga).</w:t>
                      </w:r>
                      <w:r w:rsidRPr="0087056A">
                        <w:fldChar w:fldCharType="begin"/>
                      </w:r>
                      <w:r w:rsidRPr="0087056A">
                        <w:instrText xml:space="preserve"> ADDIN ZOTERO_ITEM CSL_CITATION {"citationID":"a29r0sts2os","properties":{"formattedCitation":"\\super 37\\nosupersub{}","plainCitation":"37","noteIndex":0},"citationItems":[{"id":16434,"uris":["http://zotero.org/groups/4768959/items/XBQIW2DK"],"itemData":{"id":16434,"type":"book","event-place":"Auckland","publisher":"Te Pou o te Whakaaro Nui","publisher-place":"Auckland","title":"Te Reo Hāpai: The language of enrichment","author":[{"family":"Opai","given":"K."}],"issued":{"date-parts":[["2017"]]}}}],"schema":"https://github.com/citation-style-language/schema/raw/master/csl-citation.json"} </w:instrText>
                      </w:r>
                      <w:r w:rsidRPr="0087056A">
                        <w:fldChar w:fldCharType="separate"/>
                      </w:r>
                      <w:r w:rsidRPr="0087056A">
                        <w:rPr>
                          <w:rFonts w:cs="Arial"/>
                          <w:vertAlign w:val="superscript"/>
                        </w:rPr>
                        <w:t>37</w:t>
                      </w:r>
                      <w:r w:rsidRPr="0087056A">
                        <w:fldChar w:fldCharType="end"/>
                      </w:r>
                      <w:r w:rsidRPr="0087056A">
                        <w:t xml:space="preserve"> </w:t>
                      </w:r>
                    </w:p>
                    <w:p w14:paraId="68301130" w14:textId="77777777" w:rsidR="00796965" w:rsidRPr="0087056A" w:rsidRDefault="00796965" w:rsidP="007B2413">
                      <w:r w:rsidRPr="0087056A">
                        <w:rPr>
                          <w:i/>
                          <w:iCs/>
                        </w:rPr>
                        <w:t>Te Reo Hāpai: The Language of Enrichment</w:t>
                      </w:r>
                      <w:r w:rsidRPr="0087056A">
                        <w:rPr>
                          <w:i/>
                          <w:iCs/>
                        </w:rPr>
                        <w:fldChar w:fldCharType="begin"/>
                      </w:r>
                      <w:r w:rsidRPr="0087056A">
                        <w:rPr>
                          <w:i/>
                          <w:iCs/>
                        </w:rPr>
                        <w:instrText xml:space="preserve"> ADDIN ZOTERO_ITEM CSL_CITATION {"citationID":"f4rTpdoU","properties":{"formattedCitation":"\\super 37\\nosupersub{}","plainCitation":"37","noteIndex":0},"citationItems":[{"id":16434,"uris":["http://zotero.org/groups/4768959/items/XBQIW2DK"],"itemData":{"id":16434,"type":"book","event-place":"Auckland","publisher":"Te Pou o te Whakaaro Nui","publisher-place":"Auckland","title":"Te Reo Hāpai: The language of enrichment","author":[{"family":"Opai","given":"K."}],"issued":{"date-parts":[["2017"]]}}}],"schema":"https://github.com/citation-style-language/schema/raw/master/csl-citation.json"} </w:instrText>
                      </w:r>
                      <w:r w:rsidRPr="0087056A">
                        <w:rPr>
                          <w:i/>
                          <w:iCs/>
                        </w:rPr>
                        <w:fldChar w:fldCharType="separate"/>
                      </w:r>
                      <w:r w:rsidRPr="0087056A">
                        <w:rPr>
                          <w:rFonts w:cs="Arial"/>
                          <w:vertAlign w:val="superscript"/>
                        </w:rPr>
                        <w:t>37</w:t>
                      </w:r>
                      <w:r w:rsidRPr="0087056A">
                        <w:rPr>
                          <w:i/>
                          <w:iCs/>
                        </w:rPr>
                        <w:fldChar w:fldCharType="end"/>
                      </w:r>
                      <w:r w:rsidRPr="0087056A">
                        <w:rPr>
                          <w:i/>
                          <w:iCs/>
                        </w:rPr>
                        <w:t xml:space="preserve"> </w:t>
                      </w:r>
                      <w:r w:rsidRPr="0087056A">
                        <w:t>provides further guidance on terminology that may be appropriate for M</w:t>
                      </w:r>
                      <w:r w:rsidRPr="0087056A">
                        <w:rPr>
                          <w:rFonts w:cs="Arial"/>
                        </w:rPr>
                        <w:t>ā</w:t>
                      </w:r>
                      <w:r w:rsidRPr="0087056A">
                        <w:t>ori.</w:t>
                      </w:r>
                    </w:p>
                  </w:txbxContent>
                </v:textbox>
                <w10:wrap type="square" anchorx="margin"/>
              </v:shape>
            </w:pict>
          </mc:Fallback>
        </mc:AlternateContent>
      </w:r>
    </w:p>
    <w:p w14:paraId="3EC206A3" w14:textId="36CC4AA9" w:rsidR="00796965" w:rsidRDefault="00796965" w:rsidP="00796965">
      <w:pPr>
        <w:rPr>
          <w:sz w:val="22"/>
        </w:rPr>
      </w:pPr>
    </w:p>
    <w:p w14:paraId="41AB0F24" w14:textId="77777777" w:rsidR="00701C21" w:rsidRPr="0087056A" w:rsidRDefault="00701C21" w:rsidP="007B2413">
      <w:r w:rsidRPr="0087056A">
        <w:t>Pasifika peoples have a holistic view on health and wellbeing, encompassing the physical, mental, spiritual, social, and economic wellbeing of the collective.</w:t>
      </w:r>
      <w:r w:rsidRPr="0087056A">
        <w:fldChar w:fldCharType="begin"/>
      </w:r>
      <w:r w:rsidRPr="0087056A">
        <w:instrText xml:space="preserve"> ADDIN ZOTERO_ITEM CSL_CITATION {"citationID":"a2h4jigurp8","properties":{"formattedCitation":"\\super 39\\nosupersub{}","plainCitation":"39","noteIndex":0},"citationItems":[{"id":12466,"uris":["http://zotero.org/groups/4745233/items/5GKH9MUX"],"itemData":{"id":12466,"type":"report","event-place":"Wellington","language":"en","publisher":"Ministry of Health","publisher-place":"Wellington","source":"Zotero","title":"Te Mana Ola: The Pacific Health Strategy","URL":"https://www.health.govt.nz/new-zealand-health-system/pae-ora-healthy-futures-all-new-zealanders/pae-ora-strategies/te-mana-ola-pacific-health-strategy","author":[{"literal":"Minister of Health"}],"issued":{"date-parts":[["2023"]]}}}],"schema":"https://github.com/citation-style-language/schema/raw/master/csl-citation.json"} </w:instrText>
      </w:r>
      <w:r w:rsidRPr="0087056A">
        <w:fldChar w:fldCharType="separate"/>
      </w:r>
      <w:r w:rsidRPr="0087056A">
        <w:rPr>
          <w:rFonts w:cs="Arial"/>
          <w:vertAlign w:val="superscript"/>
        </w:rPr>
        <w:t>39</w:t>
      </w:r>
      <w:r w:rsidRPr="0087056A">
        <w:fldChar w:fldCharType="end"/>
      </w:r>
      <w:r w:rsidRPr="0087056A">
        <w:t xml:space="preserve"> Wellbeing relies on balance or harmony between these factors.</w:t>
      </w:r>
      <w:r w:rsidRPr="0087056A">
        <w:fldChar w:fldCharType="begin"/>
      </w:r>
      <w:r w:rsidRPr="0087056A">
        <w:instrText xml:space="preserve"> ADDIN ZOTERO_ITEM CSL_CITATION {"citationID":"a1utdt1plak","properties":{"formattedCitation":"\\super 40\\nosupersub{}","plainCitation":"40","noteIndex":0},"citationItems":[{"id":13367,"uris":["http://zotero.org/groups/4745233/items/ELEEG6GW"],"itemData":{"id":13367,"type":"report","title":"Core elements of Pacific primary mental health and addiction service provision","URL":"https://www.health.govt.nz/system/files/documents/pages/core_elements_of_pacific_primary_mental_health_and_addicion_service_provision.pdf","author":[{"family":"Falaefa","given":"M"}],"accessed":{"date-parts":[["2022",10,27]]},"issued":{"date-parts":[["2020"]]}}}],"schema":"https://github.com/citation-style-language/schema/raw/master/csl-citation.json"} </w:instrText>
      </w:r>
      <w:r w:rsidRPr="0087056A">
        <w:fldChar w:fldCharType="separate"/>
      </w:r>
      <w:r w:rsidRPr="0087056A">
        <w:rPr>
          <w:rFonts w:cs="Arial"/>
          <w:vertAlign w:val="superscript"/>
        </w:rPr>
        <w:t>40</w:t>
      </w:r>
      <w:r w:rsidRPr="0087056A">
        <w:fldChar w:fldCharType="end"/>
      </w:r>
      <w:r w:rsidRPr="0087056A">
        <w:t xml:space="preserve"> Therefore, cognitive impairment may impact collective wellbeing and require a holistic approach.  </w:t>
      </w:r>
    </w:p>
    <w:p w14:paraId="5A70B969" w14:textId="77777777" w:rsidR="00701C21" w:rsidRPr="0087056A" w:rsidRDefault="00701C21" w:rsidP="007B2413">
      <w:r w:rsidRPr="0087056A">
        <w:t>Cognitive impairment can be frowned on and may not be accepted among Asian peoples. There may be beliefs such as having bad genetics, being seen as dysfunctional and a weakness by the entire family (including extended family), as well as religious or spiritual beliefs (like punishment from God for bad deeds or a family curse).</w:t>
      </w:r>
      <w:r w:rsidRPr="0087056A">
        <w:fldChar w:fldCharType="begin"/>
      </w:r>
      <w:r w:rsidRPr="0087056A">
        <w:instrText xml:space="preserve"> ADDIN ZOTERO_ITEM CSL_CITATION {"citationID":"adv3kv0lsf","properties":{"formattedCitation":"\\super 41\\nosupersub{}","plainCitation":"41","noteIndex":0},"citationItems":[{"id":16772,"uris":["http://zotero.org/groups/4745233/items/HHPA2IKS"],"itemData":{"id":16772,"type":"personal_communication","title":"Asian peoples understanding of cognitive impairment","author":[{"literal":"Asian Family Services"}],"issued":{"date-parts":[["2023"]]}}}],"schema":"https://github.com/citation-style-language/schema/raw/master/csl-citation.json"} </w:instrText>
      </w:r>
      <w:r w:rsidRPr="0087056A">
        <w:fldChar w:fldCharType="separate"/>
      </w:r>
      <w:r w:rsidRPr="0087056A">
        <w:rPr>
          <w:rFonts w:cs="Arial"/>
          <w:vertAlign w:val="superscript"/>
        </w:rPr>
        <w:t>41</w:t>
      </w:r>
      <w:r w:rsidRPr="0087056A">
        <w:fldChar w:fldCharType="end"/>
      </w:r>
      <w:r w:rsidRPr="0087056A">
        <w:t>  </w:t>
      </w:r>
    </w:p>
    <w:p w14:paraId="3185C91D" w14:textId="028CB318" w:rsidR="00701C21" w:rsidRPr="00D524A3" w:rsidRDefault="00701C21" w:rsidP="006A14E1">
      <w:pPr>
        <w:pStyle w:val="IntenseQuote"/>
        <w:ind w:left="0"/>
        <w:rPr>
          <w:rFonts w:asciiTheme="minorHAnsi" w:hAnsiTheme="minorHAnsi" w:cstheme="minorHAnsi"/>
          <w:color w:val="auto"/>
          <w:sz w:val="24"/>
          <w:szCs w:val="24"/>
        </w:rPr>
      </w:pPr>
      <w:r w:rsidRPr="00D524A3">
        <w:rPr>
          <w:rFonts w:asciiTheme="minorHAnsi" w:hAnsiTheme="minorHAnsi" w:cstheme="minorHAnsi"/>
          <w:color w:val="auto"/>
          <w:sz w:val="24"/>
          <w:szCs w:val="24"/>
        </w:rPr>
        <w:lastRenderedPageBreak/>
        <w:t>Gain a good understanding of how tāngata whai ora make sense of and see</w:t>
      </w:r>
      <w:r w:rsidR="006A14E1">
        <w:rPr>
          <w:rFonts w:asciiTheme="minorHAnsi" w:hAnsiTheme="minorHAnsi" w:cstheme="minorHAnsi"/>
          <w:color w:val="auto"/>
          <w:sz w:val="24"/>
          <w:szCs w:val="24"/>
        </w:rPr>
        <w:t xml:space="preserve"> </w:t>
      </w:r>
      <w:r w:rsidRPr="00D524A3">
        <w:rPr>
          <w:rFonts w:asciiTheme="minorHAnsi" w:hAnsiTheme="minorHAnsi" w:cstheme="minorHAnsi"/>
          <w:color w:val="auto"/>
          <w:sz w:val="24"/>
          <w:szCs w:val="24"/>
        </w:rPr>
        <w:t>themselves. Align terminology with the language people use to describe their own</w:t>
      </w:r>
      <w:r w:rsidR="006A14E1">
        <w:rPr>
          <w:rFonts w:asciiTheme="minorHAnsi" w:hAnsiTheme="minorHAnsi" w:cstheme="minorHAnsi"/>
          <w:color w:val="auto"/>
          <w:sz w:val="24"/>
          <w:szCs w:val="24"/>
        </w:rPr>
        <w:t xml:space="preserve"> </w:t>
      </w:r>
      <w:r w:rsidRPr="00D524A3">
        <w:rPr>
          <w:rFonts w:asciiTheme="minorHAnsi" w:hAnsiTheme="minorHAnsi" w:cstheme="minorHAnsi"/>
          <w:color w:val="auto"/>
          <w:sz w:val="24"/>
          <w:szCs w:val="24"/>
        </w:rPr>
        <w:t xml:space="preserve">impairment and their self-identified access needs. </w:t>
      </w:r>
    </w:p>
    <w:p w14:paraId="17E0A178" w14:textId="77777777" w:rsidR="00701C21" w:rsidRPr="0087056A" w:rsidRDefault="00701C21" w:rsidP="007B2413">
      <w:r w:rsidRPr="0087056A">
        <w:t>Table 1 covers six of the formally recognised cognitive domains in the DSM-5 (from higher to lower complexity),</w:t>
      </w:r>
      <w:r w:rsidRPr="0087056A">
        <w:fldChar w:fldCharType="begin"/>
      </w:r>
      <w:r w:rsidRPr="0087056A">
        <w:instrText xml:space="preserve"> ADDIN ZOTERO_ITEM CSL_CITATION {"citationID":"DfFxhZFk","properties":{"formattedCitation":"\\super 42\\nosupersub{}","plainCitation":"42","noteIndex":0},"citationItems":[{"id":13894,"uris":["http://zotero.org/groups/4745233/items/QLA7N65H"],"itemData":{"id":13894,"type":"chapter","container-title":"Diagnostic and Statistical Manual of Mental Disorders 5th edition","publisher":"American Psychiatric Association","title":"DSM-5","author":[{"literal":"American Psychiatric Association"}],"issued":{"date-parts":[["2013"]]}}}],"schema":"https://github.com/citation-style-language/schema/raw/master/csl-citation.json"} </w:instrText>
      </w:r>
      <w:r w:rsidRPr="0087056A">
        <w:fldChar w:fldCharType="separate"/>
      </w:r>
      <w:r w:rsidRPr="0087056A">
        <w:rPr>
          <w:vertAlign w:val="superscript"/>
        </w:rPr>
        <w:t>42</w:t>
      </w:r>
      <w:r w:rsidRPr="0087056A">
        <w:fldChar w:fldCharType="end"/>
      </w:r>
      <w:r w:rsidRPr="0087056A">
        <w:t xml:space="preserve"> their definition, and what people, whānau, or workers might notice if these domains are impacted. While this acts as a guide, in practice it is challenging to separate specific domains affected as each cognitive domain impacts on others.</w:t>
      </w:r>
      <w:r w:rsidRPr="0087056A">
        <w:fldChar w:fldCharType="begin"/>
      </w:r>
      <w:r w:rsidRPr="0087056A">
        <w:instrText xml:space="preserve"> ADDIN ZOTERO_ITEM CSL_CITATION {"citationID":"a1g0g78b5k8","properties":{"formattedCitation":"\\super 3\\nosupersub{}","plainCitation":"3","noteIndex":0},"citationItems":[{"id":14007,"uris":["http://zotero.org/groups/4745233/items/U3GGYCKU"],"itemData":{"id":14007,"type":"report","event-place":"Richmond, Victoria","language":"en","publisher":"Turning Point","publisher-place":"Richmond, Victoria","source":"Zotero","title":"Managing Cognitive Impairment in AOD Treatment: Practice Guidelines for Healthcare Professionals","URL":"https://www.turningpoint.org.au/treatment/clinicians/Managing-Cognitive-Impairment-in-AOD-Treatment-Guidelines","author":[{"family":"Manning","given":"Victoria"},{"family":"Gooden","given":"James"},{"family":"Cox","given":"Catherine"},{"family":"Whelan","given":"Danielle"},{"family":"Miroz","given":"Katherine"}],"issued":{"date-parts":[["2021"]]}}}],"schema":"https://github.com/citation-style-language/schema/raw/master/csl-citation.json"} </w:instrText>
      </w:r>
      <w:r w:rsidRPr="0087056A">
        <w:fldChar w:fldCharType="separate"/>
      </w:r>
      <w:r w:rsidRPr="0087056A">
        <w:rPr>
          <w:vertAlign w:val="superscript"/>
        </w:rPr>
        <w:t>3</w:t>
      </w:r>
      <w:r w:rsidRPr="0087056A">
        <w:fldChar w:fldCharType="end"/>
      </w:r>
      <w:r w:rsidRPr="0087056A">
        <w:t xml:space="preserve"> Not everyone will experience these signs, and some of the signs listed below might be usual within a person’s culture (such as </w:t>
      </w:r>
      <w:r w:rsidRPr="0087056A">
        <w:rPr>
          <w:rFonts w:cs="Arial"/>
        </w:rPr>
        <w:t xml:space="preserve">thought processing, reasoning, or </w:t>
      </w:r>
      <w:r w:rsidRPr="0087056A">
        <w:t xml:space="preserve">appearing to not respond appropriately to emotional cues due to beliefs around expressing emotions). </w:t>
      </w:r>
    </w:p>
    <w:p w14:paraId="1F9F3D75" w14:textId="2CD576BD" w:rsidR="00701C21" w:rsidRPr="0087056A" w:rsidRDefault="00701C21" w:rsidP="00854B9A">
      <w:pPr>
        <w:pStyle w:val="Figure"/>
      </w:pPr>
      <w:bookmarkStart w:id="633" w:name="_Toc146624900"/>
      <w:bookmarkStart w:id="634" w:name="_Toc179544003"/>
      <w:bookmarkStart w:id="635" w:name="_Ref133223441"/>
      <w:r w:rsidRPr="0087056A">
        <w:t xml:space="preserve">Table </w:t>
      </w:r>
      <w:r w:rsidRPr="0087056A">
        <w:fldChar w:fldCharType="begin"/>
      </w:r>
      <w:r w:rsidRPr="0087056A">
        <w:instrText xml:space="preserve"> SEQ Table \* ARABIC </w:instrText>
      </w:r>
      <w:r w:rsidRPr="0087056A">
        <w:fldChar w:fldCharType="separate"/>
      </w:r>
      <w:r w:rsidR="007F1966">
        <w:rPr>
          <w:noProof/>
        </w:rPr>
        <w:t>1</w:t>
      </w:r>
      <w:r w:rsidRPr="0087056A">
        <w:fldChar w:fldCharType="end"/>
      </w:r>
      <w:r w:rsidRPr="0087056A">
        <w:t>. Six of the formally recognised cognitive domains in the DSM-5, their function, and what people might notice if they are impacted</w:t>
      </w:r>
      <w:r w:rsidRPr="0087056A">
        <w:fldChar w:fldCharType="begin"/>
      </w:r>
      <w:r w:rsidRPr="0087056A">
        <w:instrText xml:space="preserve"> ADDIN ZOTERO_ITEM CSL_CITATION {"citationID":"a1cpemnrjlh","properties":{"formattedCitation":"\\super 3,43\\nosupersub{}","plainCitation":"3,43","noteIndex":0},"citationItems":[{"id":14007,"uris":["http://zotero.org/groups/4745233/items/U3GGYCKU"],"itemData":{"id":14007,"type":"report","event-place":"Richmond, Victoria","language":"en","publisher":"Turning Point","publisher-place":"Richmond, Victoria","source":"Zotero","title":"Managing Cognitive Impairment in AOD Treatment: Practice Guidelines for Healthcare Professionals","URL":"https://www.turningpoint.org.au/treatment/clinicians/Managing-Cognitive-Impairment-in-AOD-Treatment-Guidelines","author":[{"family":"Manning","given":"Victoria"},{"family":"Gooden","given":"James"},{"family":"Cox","given":"Catherine"},{"family":"Whelan","given":"Danielle"},{"family":"Miroz","given":"Katherine"}],"issued":{"date-parts":[["2021"]]}}},{"id":14238,"uris":["http://zotero.org/groups/4745233/items/CXK4BTGU"],"itemData":{"id":14238,"type":"article-journal","abstract":"Clinicians should use a systematic approach to evaluating patients presenting with a concern for cognitive impairment. This approach includes interviewing a knowledgeable informant and performing a thorough mental status examination in order to determine the presence of functional impairments and the domains of cognition that are impaired. The results of this interview and examination determine the next steps of the diagnostic work-up. The pattern of cognitive impairment shapes the differential diagnosis. Treatment should address symptoms, and environmental, psychological, and behavioral interventions are essential.","container-title":"The Medical Clinics of North America","DOI":"10.1016/j.mcna.2020.06.007","ISSN":"0025-7125","issue":"5","journalAbbreviation":"Med Clin North Am","note":"PMID: 32773047\nPMCID: PMC7416715","page":"807-825","source":"PubMed Central","title":"Cognitive impairment evaluation and management","volume":"104","author":[{"family":"McCollum","given":"Lauren"},{"family":"Karlawish","given":"Jason"}],"issued":{"date-parts":[["2020",9]]}}}],"schema":"https://github.com/citation-style-language/schema/raw/master/csl-citation.json"} </w:instrText>
      </w:r>
      <w:r w:rsidRPr="0087056A">
        <w:fldChar w:fldCharType="separate"/>
      </w:r>
      <w:r w:rsidRPr="0087056A">
        <w:rPr>
          <w:szCs w:val="24"/>
          <w:vertAlign w:val="superscript"/>
        </w:rPr>
        <w:t>3,43</w:t>
      </w:r>
      <w:bookmarkEnd w:id="633"/>
      <w:bookmarkEnd w:id="634"/>
      <w:r w:rsidRPr="0087056A">
        <w:fldChar w:fldCharType="end"/>
      </w:r>
    </w:p>
    <w:tbl>
      <w:tblPr>
        <w:tblStyle w:val="GridTable4-Accent2"/>
        <w:tblW w:w="9715" w:type="dxa"/>
        <w:tblBorders>
          <w:top w:val="none" w:sz="0" w:space="0" w:color="auto"/>
          <w:left w:val="none" w:sz="0" w:space="0" w:color="auto"/>
          <w:bottom w:val="none" w:sz="0" w:space="0" w:color="auto"/>
          <w:right w:val="none" w:sz="0" w:space="0" w:color="auto"/>
          <w:insideH w:val="double" w:sz="4" w:space="0" w:color="auto"/>
          <w:insideV w:val="double" w:sz="4" w:space="0" w:color="auto"/>
        </w:tblBorders>
        <w:tblLayout w:type="fixed"/>
        <w:tblLook w:val="04A0" w:firstRow="1" w:lastRow="0" w:firstColumn="1" w:lastColumn="0" w:noHBand="0" w:noVBand="1"/>
      </w:tblPr>
      <w:tblGrid>
        <w:gridCol w:w="1838"/>
        <w:gridCol w:w="3467"/>
        <w:gridCol w:w="4410"/>
      </w:tblGrid>
      <w:tr w:rsidR="00701C21" w:rsidRPr="00554152" w14:paraId="3905B500" w14:textId="77777777" w:rsidTr="00AF0D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nil"/>
              <w:bottom w:val="nil"/>
              <w:right w:val="double" w:sz="4" w:space="0" w:color="28A1AC" w:themeColor="accent2"/>
            </w:tcBorders>
            <w:shd w:val="clear" w:color="auto" w:fill="000070"/>
          </w:tcPr>
          <w:bookmarkEnd w:id="635"/>
          <w:p w14:paraId="3B056235" w14:textId="77777777" w:rsidR="00701C21" w:rsidRPr="0087056A" w:rsidRDefault="00701C21" w:rsidP="007B2413">
            <w:r w:rsidRPr="0087056A">
              <w:t xml:space="preserve">Domain </w:t>
            </w:r>
          </w:p>
        </w:tc>
        <w:tc>
          <w:tcPr>
            <w:tcW w:w="3467" w:type="dxa"/>
            <w:tcBorders>
              <w:top w:val="nil"/>
              <w:left w:val="double" w:sz="4" w:space="0" w:color="28A1AC" w:themeColor="accent2"/>
              <w:bottom w:val="nil"/>
              <w:right w:val="double" w:sz="4" w:space="0" w:color="28A1AC" w:themeColor="accent2"/>
            </w:tcBorders>
            <w:shd w:val="clear" w:color="auto" w:fill="000070"/>
          </w:tcPr>
          <w:p w14:paraId="589567A4" w14:textId="77777777" w:rsidR="00701C21" w:rsidRPr="0087056A" w:rsidRDefault="00701C21" w:rsidP="00234887">
            <w:pPr>
              <w:cnfStyle w:val="100000000000" w:firstRow="1" w:lastRow="0" w:firstColumn="0" w:lastColumn="0" w:oddVBand="0" w:evenVBand="0" w:oddHBand="0" w:evenHBand="0" w:firstRowFirstColumn="0" w:firstRowLastColumn="0" w:lastRowFirstColumn="0" w:lastRowLastColumn="0"/>
              <w:rPr>
                <w:rFonts w:cs="Arial"/>
                <w:sz w:val="22"/>
              </w:rPr>
            </w:pPr>
            <w:r w:rsidRPr="0087056A">
              <w:rPr>
                <w:rFonts w:cs="Arial"/>
                <w:sz w:val="22"/>
              </w:rPr>
              <w:t>Definition</w:t>
            </w:r>
          </w:p>
        </w:tc>
        <w:tc>
          <w:tcPr>
            <w:tcW w:w="4410" w:type="dxa"/>
            <w:tcBorders>
              <w:top w:val="nil"/>
              <w:left w:val="double" w:sz="4" w:space="0" w:color="28A1AC" w:themeColor="accent2"/>
              <w:bottom w:val="nil"/>
            </w:tcBorders>
            <w:shd w:val="clear" w:color="auto" w:fill="000070"/>
          </w:tcPr>
          <w:p w14:paraId="76B5D6FE" w14:textId="77777777" w:rsidR="00701C21" w:rsidRPr="0087056A" w:rsidRDefault="00701C21" w:rsidP="007B2413">
            <w:pPr>
              <w:cnfStyle w:val="100000000000" w:firstRow="1" w:lastRow="0" w:firstColumn="0" w:lastColumn="0" w:oddVBand="0" w:evenVBand="0" w:oddHBand="0" w:evenHBand="0" w:firstRowFirstColumn="0" w:firstRowLastColumn="0" w:lastRowFirstColumn="0" w:lastRowLastColumn="0"/>
            </w:pPr>
            <w:r w:rsidRPr="0087056A">
              <w:t xml:space="preserve">People might experience, or workers might notice these signs  </w:t>
            </w:r>
          </w:p>
        </w:tc>
      </w:tr>
      <w:tr w:rsidR="00701C21" w:rsidRPr="00554152" w14:paraId="6364D9B6" w14:textId="77777777" w:rsidTr="00AF0D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nil"/>
              <w:bottom w:val="nil"/>
              <w:right w:val="double" w:sz="4" w:space="0" w:color="28A1AC" w:themeColor="accent2"/>
            </w:tcBorders>
          </w:tcPr>
          <w:p w14:paraId="2AFD9C0A" w14:textId="77777777" w:rsidR="00701C21" w:rsidRPr="0087056A" w:rsidRDefault="00701C21" w:rsidP="007B2413">
            <w:r w:rsidRPr="0087056A">
              <w:t>Social cognition</w:t>
            </w:r>
          </w:p>
        </w:tc>
        <w:tc>
          <w:tcPr>
            <w:tcW w:w="3467" w:type="dxa"/>
            <w:tcBorders>
              <w:top w:val="nil"/>
              <w:left w:val="double" w:sz="4" w:space="0" w:color="28A1AC" w:themeColor="accent2"/>
              <w:bottom w:val="nil"/>
              <w:right w:val="double" w:sz="4" w:space="0" w:color="28A1AC" w:themeColor="accent2"/>
            </w:tcBorders>
          </w:tcPr>
          <w:p w14:paraId="5E57F9B5" w14:textId="77777777" w:rsidR="00701C21" w:rsidRPr="0087056A" w:rsidRDefault="00701C21" w:rsidP="007B2413">
            <w:pPr>
              <w:cnfStyle w:val="000000100000" w:firstRow="0" w:lastRow="0" w:firstColumn="0" w:lastColumn="0" w:oddVBand="0" w:evenVBand="0" w:oddHBand="1" w:evenHBand="0" w:firstRowFirstColumn="0" w:firstRowLastColumn="0" w:lastRowFirstColumn="0" w:lastRowLastColumn="0"/>
            </w:pPr>
            <w:r w:rsidRPr="0087056A">
              <w:t>The capacity to identify cues, detect emotions and intentions in others, recall relevant information, and navigate complex and ambiguous social situations.</w:t>
            </w:r>
          </w:p>
        </w:tc>
        <w:tc>
          <w:tcPr>
            <w:tcW w:w="4410" w:type="dxa"/>
            <w:tcBorders>
              <w:top w:val="nil"/>
              <w:left w:val="double" w:sz="4" w:space="0" w:color="28A1AC" w:themeColor="accent2"/>
              <w:bottom w:val="nil"/>
            </w:tcBorders>
          </w:tcPr>
          <w:p w14:paraId="701378EE" w14:textId="77777777" w:rsidR="00701C21" w:rsidRPr="0087056A" w:rsidRDefault="00701C21" w:rsidP="007B2413">
            <w:pPr>
              <w:pStyle w:val="Bulletpoint"/>
              <w:cnfStyle w:val="000000100000" w:firstRow="0" w:lastRow="0" w:firstColumn="0" w:lastColumn="0" w:oddVBand="0" w:evenVBand="0" w:oddHBand="1" w:evenHBand="0" w:firstRowFirstColumn="0" w:firstRowLastColumn="0" w:lastRowFirstColumn="0" w:lastRowLastColumn="0"/>
            </w:pPr>
            <w:r w:rsidRPr="0087056A">
              <w:t>Misinterpreting emotional cues, others’ thoughts, and intentions</w:t>
            </w:r>
          </w:p>
          <w:p w14:paraId="36133D0B" w14:textId="77777777" w:rsidR="00701C21" w:rsidRPr="0087056A" w:rsidRDefault="00701C21" w:rsidP="007B2413">
            <w:pPr>
              <w:pStyle w:val="Bulletpoint"/>
              <w:cnfStyle w:val="000000100000" w:firstRow="0" w:lastRow="0" w:firstColumn="0" w:lastColumn="0" w:oddVBand="0" w:evenVBand="0" w:oddHBand="1" w:evenHBand="0" w:firstRowFirstColumn="0" w:firstRowLastColumn="0" w:lastRowFirstColumn="0" w:lastRowLastColumn="0"/>
            </w:pPr>
            <w:r w:rsidRPr="0087056A">
              <w:t>Unhelpful or defensive behaviour</w:t>
            </w:r>
          </w:p>
          <w:p w14:paraId="1B19AF22" w14:textId="77777777" w:rsidR="00701C21" w:rsidRPr="0087056A" w:rsidRDefault="00701C21" w:rsidP="007B2413">
            <w:pPr>
              <w:pStyle w:val="Bulletpoint"/>
              <w:cnfStyle w:val="000000100000" w:firstRow="0" w:lastRow="0" w:firstColumn="0" w:lastColumn="0" w:oddVBand="0" w:evenVBand="0" w:oddHBand="1" w:evenHBand="0" w:firstRowFirstColumn="0" w:firstRowLastColumn="0" w:lastRowFirstColumn="0" w:lastRowLastColumn="0"/>
            </w:pPr>
            <w:r w:rsidRPr="0087056A">
              <w:t>Social isolation and disrupted relationships</w:t>
            </w:r>
          </w:p>
          <w:p w14:paraId="4360608D" w14:textId="77777777" w:rsidR="00701C21" w:rsidRPr="0087056A" w:rsidRDefault="00701C21" w:rsidP="007B2413">
            <w:pPr>
              <w:pStyle w:val="Bulletpoint"/>
              <w:cnfStyle w:val="000000100000" w:firstRow="0" w:lastRow="0" w:firstColumn="0" w:lastColumn="0" w:oddVBand="0" w:evenVBand="0" w:oddHBand="1" w:evenHBand="0" w:firstRowFirstColumn="0" w:firstRowLastColumn="0" w:lastRowFirstColumn="0" w:lastRowLastColumn="0"/>
            </w:pPr>
            <w:r w:rsidRPr="0087056A">
              <w:t>Negative impact on job opportunities, particularly those requiring a lot of contact with people</w:t>
            </w:r>
          </w:p>
        </w:tc>
      </w:tr>
      <w:tr w:rsidR="00701C21" w:rsidRPr="003B1A48" w14:paraId="2374BEB7" w14:textId="77777777" w:rsidTr="00AF0D41">
        <w:tc>
          <w:tcPr>
            <w:cnfStyle w:val="001000000000" w:firstRow="0" w:lastRow="0" w:firstColumn="1" w:lastColumn="0" w:oddVBand="0" w:evenVBand="0" w:oddHBand="0" w:evenHBand="0" w:firstRowFirstColumn="0" w:firstRowLastColumn="0" w:lastRowFirstColumn="0" w:lastRowLastColumn="0"/>
            <w:tcW w:w="1838" w:type="dxa"/>
            <w:tcBorders>
              <w:top w:val="nil"/>
              <w:bottom w:val="nil"/>
              <w:right w:val="double" w:sz="4" w:space="0" w:color="28A1AC" w:themeColor="accent2"/>
            </w:tcBorders>
          </w:tcPr>
          <w:p w14:paraId="2F0108D0" w14:textId="77777777" w:rsidR="00701C21" w:rsidRPr="0087056A" w:rsidRDefault="00701C21" w:rsidP="007B2413">
            <w:r w:rsidRPr="0087056A">
              <w:t>Executive function</w:t>
            </w:r>
          </w:p>
        </w:tc>
        <w:tc>
          <w:tcPr>
            <w:tcW w:w="3467" w:type="dxa"/>
            <w:tcBorders>
              <w:top w:val="nil"/>
              <w:left w:val="double" w:sz="4" w:space="0" w:color="28A1AC" w:themeColor="accent2"/>
              <w:bottom w:val="nil"/>
              <w:right w:val="double" w:sz="4" w:space="0" w:color="28A1AC" w:themeColor="accent2"/>
            </w:tcBorders>
          </w:tcPr>
          <w:p w14:paraId="55BBEA67" w14:textId="77777777" w:rsidR="00701C21" w:rsidRPr="0087056A" w:rsidRDefault="00701C21" w:rsidP="007B2413">
            <w:pPr>
              <w:cnfStyle w:val="000000000000" w:firstRow="0" w:lastRow="0" w:firstColumn="0" w:lastColumn="0" w:oddVBand="0" w:evenVBand="0" w:oddHBand="0" w:evenHBand="0" w:firstRowFirstColumn="0" w:firstRowLastColumn="0" w:lastRowFirstColumn="0" w:lastRowLastColumn="0"/>
            </w:pPr>
            <w:r w:rsidRPr="0087056A">
              <w:t xml:space="preserve">A set of cognitively demanding processes that enable people to make adaptive responses to new, complex, or uncertain situations. Includes functions like planning, decision making, inhibition or restraint, concept formation, abstract </w:t>
            </w:r>
            <w:r w:rsidRPr="0087056A">
              <w:lastRenderedPageBreak/>
              <w:t xml:space="preserve">thinking, and mental flexibility (like managing multiple bits of information). </w:t>
            </w:r>
          </w:p>
        </w:tc>
        <w:tc>
          <w:tcPr>
            <w:tcW w:w="4410" w:type="dxa"/>
            <w:tcBorders>
              <w:top w:val="nil"/>
              <w:left w:val="double" w:sz="4" w:space="0" w:color="28A1AC" w:themeColor="accent2"/>
              <w:bottom w:val="nil"/>
            </w:tcBorders>
          </w:tcPr>
          <w:p w14:paraId="251C5F44" w14:textId="77777777" w:rsidR="00701C21" w:rsidRPr="0087056A" w:rsidRDefault="00701C21" w:rsidP="007B2413">
            <w:pPr>
              <w:pStyle w:val="Bulletpoint"/>
              <w:cnfStyle w:val="000000000000" w:firstRow="0" w:lastRow="0" w:firstColumn="0" w:lastColumn="0" w:oddVBand="0" w:evenVBand="0" w:oddHBand="0" w:evenHBand="0" w:firstRowFirstColumn="0" w:firstRowLastColumn="0" w:lastRowFirstColumn="0" w:lastRowLastColumn="0"/>
            </w:pPr>
            <w:r w:rsidRPr="0087056A">
              <w:lastRenderedPageBreak/>
              <w:t>Hard to multitask and complete tasks that require multiple steps</w:t>
            </w:r>
          </w:p>
          <w:p w14:paraId="4C7F721E" w14:textId="77777777" w:rsidR="00701C21" w:rsidRPr="0087056A" w:rsidRDefault="00701C21" w:rsidP="007B2413">
            <w:pPr>
              <w:pStyle w:val="Bulletpoint"/>
              <w:cnfStyle w:val="000000000000" w:firstRow="0" w:lastRow="0" w:firstColumn="0" w:lastColumn="0" w:oddVBand="0" w:evenVBand="0" w:oddHBand="0" w:evenHBand="0" w:firstRowFirstColumn="0" w:firstRowLastColumn="0" w:lastRowFirstColumn="0" w:lastRowLastColumn="0"/>
            </w:pPr>
            <w:r w:rsidRPr="0087056A">
              <w:t>Hard to communicate in an organised or sequential way</w:t>
            </w:r>
          </w:p>
          <w:p w14:paraId="5049CE80" w14:textId="77777777" w:rsidR="00701C21" w:rsidRPr="0087056A" w:rsidRDefault="00701C21" w:rsidP="007B2413">
            <w:pPr>
              <w:pStyle w:val="Bulletpoint"/>
              <w:cnfStyle w:val="000000000000" w:firstRow="0" w:lastRow="0" w:firstColumn="0" w:lastColumn="0" w:oddVBand="0" w:evenVBand="0" w:oddHBand="0" w:evenHBand="0" w:firstRowFirstColumn="0" w:firstRowLastColumn="0" w:lastRowFirstColumn="0" w:lastRowLastColumn="0"/>
            </w:pPr>
            <w:r w:rsidRPr="0087056A">
              <w:t>Impulsive behaviour and lack of insight</w:t>
            </w:r>
          </w:p>
          <w:p w14:paraId="3A83EA07" w14:textId="77777777" w:rsidR="00701C21" w:rsidRPr="0087056A" w:rsidRDefault="00701C21" w:rsidP="007B2413">
            <w:pPr>
              <w:pStyle w:val="Bulletpoint"/>
              <w:cnfStyle w:val="000000000000" w:firstRow="0" w:lastRow="0" w:firstColumn="0" w:lastColumn="0" w:oddVBand="0" w:evenVBand="0" w:oddHBand="0" w:evenHBand="0" w:firstRowFirstColumn="0" w:firstRowLastColumn="0" w:lastRowFirstColumn="0" w:lastRowLastColumn="0"/>
            </w:pPr>
            <w:r w:rsidRPr="0087056A">
              <w:lastRenderedPageBreak/>
              <w:t xml:space="preserve">Concrete or rigid thinking (such as forming habits or attitudes and not being able to change them) </w:t>
            </w:r>
          </w:p>
          <w:p w14:paraId="71B5ED1A" w14:textId="77777777" w:rsidR="00701C21" w:rsidRPr="0087056A" w:rsidRDefault="00701C21" w:rsidP="007B2413">
            <w:pPr>
              <w:pStyle w:val="Bulletpoint"/>
              <w:cnfStyle w:val="000000000000" w:firstRow="0" w:lastRow="0" w:firstColumn="0" w:lastColumn="0" w:oddVBand="0" w:evenVBand="0" w:oddHBand="0" w:evenHBand="0" w:firstRowFirstColumn="0" w:firstRowLastColumn="0" w:lastRowFirstColumn="0" w:lastRowLastColumn="0"/>
            </w:pPr>
            <w:r w:rsidRPr="0087056A">
              <w:t>Difficulty adapting to changing situations or environments</w:t>
            </w:r>
          </w:p>
          <w:p w14:paraId="6B55E120" w14:textId="77777777" w:rsidR="00701C21" w:rsidRPr="0087056A" w:rsidRDefault="00701C21" w:rsidP="007B2413">
            <w:pPr>
              <w:pStyle w:val="Bulletpoint"/>
              <w:cnfStyle w:val="000000000000" w:firstRow="0" w:lastRow="0" w:firstColumn="0" w:lastColumn="0" w:oddVBand="0" w:evenVBand="0" w:oddHBand="0" w:evenHBand="0" w:firstRowFirstColumn="0" w:firstRowLastColumn="0" w:lastRowFirstColumn="0" w:lastRowLastColumn="0"/>
            </w:pPr>
            <w:r w:rsidRPr="0087056A">
              <w:t>Difficulty problem solving and planning</w:t>
            </w:r>
          </w:p>
          <w:p w14:paraId="58AA6B01" w14:textId="77777777" w:rsidR="00701C21" w:rsidRPr="0087056A" w:rsidRDefault="00701C21" w:rsidP="007B2413">
            <w:pPr>
              <w:pStyle w:val="Bulletpoint"/>
              <w:cnfStyle w:val="000000000000" w:firstRow="0" w:lastRow="0" w:firstColumn="0" w:lastColumn="0" w:oddVBand="0" w:evenVBand="0" w:oddHBand="0" w:evenHBand="0" w:firstRowFirstColumn="0" w:firstRowLastColumn="0" w:lastRowFirstColumn="0" w:lastRowLastColumn="0"/>
            </w:pPr>
            <w:r w:rsidRPr="0087056A">
              <w:t>Changes in thinking, behaviour, and sometimes personality</w:t>
            </w:r>
          </w:p>
          <w:p w14:paraId="1CD7F23D" w14:textId="77777777" w:rsidR="00701C21" w:rsidRPr="0087056A" w:rsidRDefault="00701C21" w:rsidP="007B2413">
            <w:pPr>
              <w:pStyle w:val="Bulletpoint"/>
              <w:cnfStyle w:val="000000000000" w:firstRow="0" w:lastRow="0" w:firstColumn="0" w:lastColumn="0" w:oddVBand="0" w:evenVBand="0" w:oddHBand="0" w:evenHBand="0" w:firstRowFirstColumn="0" w:firstRowLastColumn="0" w:lastRowFirstColumn="0" w:lastRowLastColumn="0"/>
            </w:pPr>
            <w:r w:rsidRPr="0087056A">
              <w:t>Unable to use devices like they used to</w:t>
            </w:r>
          </w:p>
        </w:tc>
      </w:tr>
      <w:tr w:rsidR="00701C21" w:rsidRPr="003B1A48" w14:paraId="165E11D3" w14:textId="77777777" w:rsidTr="00AF0D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nil"/>
              <w:bottom w:val="nil"/>
              <w:right w:val="double" w:sz="4" w:space="0" w:color="28A1AC" w:themeColor="accent2"/>
            </w:tcBorders>
          </w:tcPr>
          <w:p w14:paraId="50C540EE" w14:textId="77777777" w:rsidR="00701C21" w:rsidRPr="0087056A" w:rsidRDefault="00701C21" w:rsidP="007B2413">
            <w:r w:rsidRPr="0087056A">
              <w:lastRenderedPageBreak/>
              <w:t xml:space="preserve">Memory and learning </w:t>
            </w:r>
          </w:p>
        </w:tc>
        <w:tc>
          <w:tcPr>
            <w:tcW w:w="3467" w:type="dxa"/>
            <w:tcBorders>
              <w:top w:val="nil"/>
              <w:left w:val="double" w:sz="4" w:space="0" w:color="28A1AC" w:themeColor="accent2"/>
              <w:bottom w:val="nil"/>
              <w:right w:val="double" w:sz="4" w:space="0" w:color="28A1AC" w:themeColor="accent2"/>
            </w:tcBorders>
          </w:tcPr>
          <w:p w14:paraId="3A58CB1E" w14:textId="77777777" w:rsidR="00701C21" w:rsidRPr="0087056A" w:rsidRDefault="00701C21" w:rsidP="007B2413">
            <w:pPr>
              <w:cnfStyle w:val="000000100000" w:firstRow="0" w:lastRow="0" w:firstColumn="0" w:lastColumn="0" w:oddVBand="0" w:evenVBand="0" w:oddHBand="1" w:evenHBand="0" w:firstRowFirstColumn="0" w:firstRowLastColumn="0" w:lastRowFirstColumn="0" w:lastRowLastColumn="0"/>
            </w:pPr>
            <w:r w:rsidRPr="0087056A">
              <w:t>The ability to gain, hold, and retain information over time. There are various types of memory including sensory memory, working memory, and long-term memory.</w:t>
            </w:r>
          </w:p>
        </w:tc>
        <w:tc>
          <w:tcPr>
            <w:tcW w:w="4410" w:type="dxa"/>
            <w:tcBorders>
              <w:top w:val="nil"/>
              <w:left w:val="double" w:sz="4" w:space="0" w:color="28A1AC" w:themeColor="accent2"/>
              <w:bottom w:val="nil"/>
            </w:tcBorders>
          </w:tcPr>
          <w:p w14:paraId="7B7523DF" w14:textId="77777777" w:rsidR="00701C21" w:rsidRPr="0087056A" w:rsidRDefault="00701C21" w:rsidP="007B2413">
            <w:pPr>
              <w:pStyle w:val="Bulletpoint"/>
              <w:cnfStyle w:val="000000100000" w:firstRow="0" w:lastRow="0" w:firstColumn="0" w:lastColumn="0" w:oddVBand="0" w:evenVBand="0" w:oddHBand="1" w:evenHBand="0" w:firstRowFirstColumn="0" w:firstRowLastColumn="0" w:lastRowFirstColumn="0" w:lastRowLastColumn="0"/>
            </w:pPr>
            <w:r w:rsidRPr="0087056A">
              <w:t>Forgetting appointments, conversations, names, details, and objects</w:t>
            </w:r>
          </w:p>
          <w:p w14:paraId="57EE2A61" w14:textId="77777777" w:rsidR="00701C21" w:rsidRPr="0087056A" w:rsidRDefault="00701C21" w:rsidP="007B2413">
            <w:pPr>
              <w:pStyle w:val="Bulletpoint"/>
              <w:cnfStyle w:val="000000100000" w:firstRow="0" w:lastRow="0" w:firstColumn="0" w:lastColumn="0" w:oddVBand="0" w:evenVBand="0" w:oddHBand="1" w:evenHBand="0" w:firstRowFirstColumn="0" w:firstRowLastColumn="0" w:lastRowFirstColumn="0" w:lastRowLastColumn="0"/>
            </w:pPr>
            <w:r w:rsidRPr="0087056A">
              <w:t xml:space="preserve">Vague or poor recall of events </w:t>
            </w:r>
          </w:p>
          <w:p w14:paraId="66DCBB8E" w14:textId="77777777" w:rsidR="00701C21" w:rsidRPr="0087056A" w:rsidRDefault="00701C21" w:rsidP="007B2413">
            <w:pPr>
              <w:pStyle w:val="Bulletpoint"/>
              <w:cnfStyle w:val="000000100000" w:firstRow="0" w:lastRow="0" w:firstColumn="0" w:lastColumn="0" w:oddVBand="0" w:evenVBand="0" w:oddHBand="1" w:evenHBand="0" w:firstRowFirstColumn="0" w:firstRowLastColumn="0" w:lastRowFirstColumn="0" w:lastRowLastColumn="0"/>
            </w:pPr>
            <w:r w:rsidRPr="0087056A">
              <w:t>Hard to learn or recall new information</w:t>
            </w:r>
          </w:p>
          <w:p w14:paraId="3D141B24" w14:textId="77777777" w:rsidR="00701C21" w:rsidRPr="0087056A" w:rsidRDefault="00701C21" w:rsidP="007B2413">
            <w:pPr>
              <w:pStyle w:val="Bulletpoint"/>
              <w:cnfStyle w:val="000000100000" w:firstRow="0" w:lastRow="0" w:firstColumn="0" w:lastColumn="0" w:oddVBand="0" w:evenVBand="0" w:oddHBand="1" w:evenHBand="0" w:firstRowFirstColumn="0" w:firstRowLastColumn="0" w:lastRowFirstColumn="0" w:lastRowLastColumn="0"/>
            </w:pPr>
            <w:r w:rsidRPr="0087056A">
              <w:t>Repeating questions or comments</w:t>
            </w:r>
          </w:p>
          <w:p w14:paraId="476204C7" w14:textId="77777777" w:rsidR="00701C21" w:rsidRPr="0087056A" w:rsidRDefault="00701C21" w:rsidP="007B2413">
            <w:pPr>
              <w:pStyle w:val="Bulletpoint"/>
              <w:cnfStyle w:val="000000100000" w:firstRow="0" w:lastRow="0" w:firstColumn="0" w:lastColumn="0" w:oddVBand="0" w:evenVBand="0" w:oddHBand="1" w:evenHBand="0" w:firstRowFirstColumn="0" w:firstRowLastColumn="0" w:lastRowFirstColumn="0" w:lastRowLastColumn="0"/>
            </w:pPr>
            <w:r w:rsidRPr="0087056A">
              <w:t>Difficulty orientating to day, time, or place</w:t>
            </w:r>
          </w:p>
        </w:tc>
      </w:tr>
      <w:tr w:rsidR="00701C21" w:rsidRPr="003B1A48" w14:paraId="4A4E6E10" w14:textId="77777777" w:rsidTr="00AF0D41">
        <w:tc>
          <w:tcPr>
            <w:cnfStyle w:val="001000000000" w:firstRow="0" w:lastRow="0" w:firstColumn="1" w:lastColumn="0" w:oddVBand="0" w:evenVBand="0" w:oddHBand="0" w:evenHBand="0" w:firstRowFirstColumn="0" w:firstRowLastColumn="0" w:lastRowFirstColumn="0" w:lastRowLastColumn="0"/>
            <w:tcW w:w="1838" w:type="dxa"/>
            <w:tcBorders>
              <w:top w:val="nil"/>
              <w:bottom w:val="nil"/>
              <w:right w:val="double" w:sz="4" w:space="0" w:color="28A1AC" w:themeColor="accent2"/>
            </w:tcBorders>
          </w:tcPr>
          <w:p w14:paraId="31DE82BA" w14:textId="77777777" w:rsidR="00701C21" w:rsidRPr="0087056A" w:rsidRDefault="00701C21" w:rsidP="007B2413">
            <w:r w:rsidRPr="0087056A">
              <w:t xml:space="preserve">Language </w:t>
            </w:r>
          </w:p>
        </w:tc>
        <w:tc>
          <w:tcPr>
            <w:tcW w:w="3467" w:type="dxa"/>
            <w:tcBorders>
              <w:top w:val="nil"/>
              <w:left w:val="double" w:sz="4" w:space="0" w:color="28A1AC" w:themeColor="accent2"/>
              <w:bottom w:val="nil"/>
              <w:right w:val="double" w:sz="4" w:space="0" w:color="28A1AC" w:themeColor="accent2"/>
            </w:tcBorders>
          </w:tcPr>
          <w:p w14:paraId="4049E074" w14:textId="77777777" w:rsidR="00701C21" w:rsidRPr="0087056A" w:rsidRDefault="00701C21" w:rsidP="007B2413">
            <w:pPr>
              <w:cnfStyle w:val="000000000000" w:firstRow="0" w:lastRow="0" w:firstColumn="0" w:lastColumn="0" w:oddVBand="0" w:evenVBand="0" w:oddHBand="0" w:evenHBand="0" w:firstRowFirstColumn="0" w:firstRowLastColumn="0" w:lastRowFirstColumn="0" w:lastRowLastColumn="0"/>
            </w:pPr>
            <w:r w:rsidRPr="0087056A">
              <w:t>The ability to communicate via speech, writing, or gesture, as well as the ability to understand and comprehend language.</w:t>
            </w:r>
          </w:p>
        </w:tc>
        <w:tc>
          <w:tcPr>
            <w:tcW w:w="4410" w:type="dxa"/>
            <w:tcBorders>
              <w:top w:val="nil"/>
              <w:left w:val="double" w:sz="4" w:space="0" w:color="28A1AC" w:themeColor="accent2"/>
              <w:bottom w:val="nil"/>
            </w:tcBorders>
          </w:tcPr>
          <w:p w14:paraId="6D349589" w14:textId="77777777" w:rsidR="00701C21" w:rsidRPr="0087056A" w:rsidRDefault="00701C21" w:rsidP="007B2413">
            <w:pPr>
              <w:pStyle w:val="Bulletpoint"/>
              <w:cnfStyle w:val="000000000000" w:firstRow="0" w:lastRow="0" w:firstColumn="0" w:lastColumn="0" w:oddVBand="0" w:evenVBand="0" w:oddHBand="0" w:evenHBand="0" w:firstRowFirstColumn="0" w:firstRowLastColumn="0" w:lastRowFirstColumn="0" w:lastRowLastColumn="0"/>
            </w:pPr>
            <w:r w:rsidRPr="0087056A">
              <w:t>Struggling to find words, especially common words</w:t>
            </w:r>
          </w:p>
          <w:p w14:paraId="155988FB" w14:textId="77777777" w:rsidR="00701C21" w:rsidRPr="0087056A" w:rsidRDefault="00701C21" w:rsidP="007B2413">
            <w:pPr>
              <w:pStyle w:val="Bulletpoint"/>
              <w:cnfStyle w:val="000000000000" w:firstRow="0" w:lastRow="0" w:firstColumn="0" w:lastColumn="0" w:oddVBand="0" w:evenVBand="0" w:oddHBand="0" w:evenHBand="0" w:firstRowFirstColumn="0" w:firstRowLastColumn="0" w:lastRowFirstColumn="0" w:lastRowLastColumn="0"/>
            </w:pPr>
            <w:r w:rsidRPr="0087056A">
              <w:t>Problems communicating thoughts</w:t>
            </w:r>
          </w:p>
          <w:p w14:paraId="26E8C15A" w14:textId="77777777" w:rsidR="00701C21" w:rsidRPr="0087056A" w:rsidRDefault="00701C21" w:rsidP="007B2413">
            <w:pPr>
              <w:pStyle w:val="Bulletpoint"/>
              <w:cnfStyle w:val="000000000000" w:firstRow="0" w:lastRow="0" w:firstColumn="0" w:lastColumn="0" w:oddVBand="0" w:evenVBand="0" w:oddHBand="0" w:evenHBand="0" w:firstRowFirstColumn="0" w:firstRowLastColumn="0" w:lastRowFirstColumn="0" w:lastRowLastColumn="0"/>
            </w:pPr>
            <w:r w:rsidRPr="0087056A">
              <w:t>Hard to understand information conveyed by others</w:t>
            </w:r>
          </w:p>
        </w:tc>
      </w:tr>
      <w:tr w:rsidR="00701C21" w:rsidRPr="003B1A48" w14:paraId="760E9F41" w14:textId="77777777" w:rsidTr="00AF0D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nil"/>
              <w:bottom w:val="nil"/>
              <w:right w:val="double" w:sz="4" w:space="0" w:color="28A1AC" w:themeColor="accent2"/>
            </w:tcBorders>
          </w:tcPr>
          <w:p w14:paraId="3DE149E2" w14:textId="77777777" w:rsidR="00701C21" w:rsidRPr="0087056A" w:rsidRDefault="00701C21" w:rsidP="007B2413">
            <w:r w:rsidRPr="0087056A">
              <w:t xml:space="preserve">Visuospatial function  </w:t>
            </w:r>
          </w:p>
        </w:tc>
        <w:tc>
          <w:tcPr>
            <w:tcW w:w="3467" w:type="dxa"/>
            <w:tcBorders>
              <w:top w:val="nil"/>
              <w:left w:val="double" w:sz="4" w:space="0" w:color="28A1AC" w:themeColor="accent2"/>
              <w:bottom w:val="nil"/>
              <w:right w:val="double" w:sz="4" w:space="0" w:color="28A1AC" w:themeColor="accent2"/>
            </w:tcBorders>
          </w:tcPr>
          <w:p w14:paraId="06DC366D" w14:textId="77777777" w:rsidR="00701C21" w:rsidRPr="0087056A" w:rsidRDefault="00701C21" w:rsidP="007B2413">
            <w:pPr>
              <w:cnfStyle w:val="000000100000" w:firstRow="0" w:lastRow="0" w:firstColumn="0" w:lastColumn="0" w:oddVBand="0" w:evenVBand="0" w:oddHBand="1" w:evenHBand="0" w:firstRowFirstColumn="0" w:firstRowLastColumn="0" w:lastRowFirstColumn="0" w:lastRowLastColumn="0"/>
            </w:pPr>
            <w:r w:rsidRPr="0087056A">
              <w:t>Making sense of sensory information and interpreting this in a spatial context (like depth or distance).</w:t>
            </w:r>
          </w:p>
        </w:tc>
        <w:tc>
          <w:tcPr>
            <w:tcW w:w="4410" w:type="dxa"/>
            <w:tcBorders>
              <w:top w:val="nil"/>
              <w:left w:val="double" w:sz="4" w:space="0" w:color="28A1AC" w:themeColor="accent2"/>
              <w:bottom w:val="nil"/>
            </w:tcBorders>
          </w:tcPr>
          <w:p w14:paraId="4920A679" w14:textId="77777777" w:rsidR="00701C21" w:rsidRPr="0087056A" w:rsidRDefault="00701C21" w:rsidP="007B2413">
            <w:pPr>
              <w:pStyle w:val="Bulletpoint"/>
              <w:cnfStyle w:val="000000100000" w:firstRow="0" w:lastRow="0" w:firstColumn="0" w:lastColumn="0" w:oddVBand="0" w:evenVBand="0" w:oddHBand="1" w:evenHBand="0" w:firstRowFirstColumn="0" w:firstRowLastColumn="0" w:lastRowFirstColumn="0" w:lastRowLastColumn="0"/>
            </w:pPr>
            <w:r w:rsidRPr="0087056A">
              <w:t>Getting lost easily</w:t>
            </w:r>
          </w:p>
          <w:p w14:paraId="049F569D" w14:textId="77777777" w:rsidR="00701C21" w:rsidRPr="0087056A" w:rsidRDefault="00701C21" w:rsidP="007B2413">
            <w:pPr>
              <w:pStyle w:val="Bulletpoint"/>
              <w:cnfStyle w:val="000000100000" w:firstRow="0" w:lastRow="0" w:firstColumn="0" w:lastColumn="0" w:oddVBand="0" w:evenVBand="0" w:oddHBand="1" w:evenHBand="0" w:firstRowFirstColumn="0" w:firstRowLastColumn="0" w:lastRowFirstColumn="0" w:lastRowLastColumn="0"/>
            </w:pPr>
            <w:r w:rsidRPr="0087056A">
              <w:t>Bumping into or failing to see or identify distinct/obvious objects or areas in the environment</w:t>
            </w:r>
          </w:p>
          <w:p w14:paraId="6FCA72AA" w14:textId="77777777" w:rsidR="00701C21" w:rsidRPr="0087056A" w:rsidRDefault="00701C21" w:rsidP="007B2413">
            <w:pPr>
              <w:pStyle w:val="Bulletpoint"/>
              <w:cnfStyle w:val="000000100000" w:firstRow="0" w:lastRow="0" w:firstColumn="0" w:lastColumn="0" w:oddVBand="0" w:evenVBand="0" w:oddHBand="1" w:evenHBand="0" w:firstRowFirstColumn="0" w:firstRowLastColumn="0" w:lastRowFirstColumn="0" w:lastRowLastColumn="0"/>
            </w:pPr>
            <w:r w:rsidRPr="0087056A">
              <w:lastRenderedPageBreak/>
              <w:t>Changes in handwriting</w:t>
            </w:r>
          </w:p>
          <w:p w14:paraId="449DD559" w14:textId="77777777" w:rsidR="00701C21" w:rsidRPr="0087056A" w:rsidRDefault="00701C21" w:rsidP="007B2413">
            <w:pPr>
              <w:pStyle w:val="Bulletpoint"/>
              <w:cnfStyle w:val="000000100000" w:firstRow="0" w:lastRow="0" w:firstColumn="0" w:lastColumn="0" w:oddVBand="0" w:evenVBand="0" w:oddHBand="1" w:evenHBand="0" w:firstRowFirstColumn="0" w:firstRowLastColumn="0" w:lastRowFirstColumn="0" w:lastRowLastColumn="0"/>
            </w:pPr>
            <w:r w:rsidRPr="0087056A">
              <w:t xml:space="preserve">Difficulty driving or unable to drive </w:t>
            </w:r>
          </w:p>
        </w:tc>
      </w:tr>
      <w:tr w:rsidR="00701C21" w:rsidRPr="003B1A48" w14:paraId="60DC8D84" w14:textId="77777777" w:rsidTr="00AF0D41">
        <w:tc>
          <w:tcPr>
            <w:cnfStyle w:val="001000000000" w:firstRow="0" w:lastRow="0" w:firstColumn="1" w:lastColumn="0" w:oddVBand="0" w:evenVBand="0" w:oddHBand="0" w:evenHBand="0" w:firstRowFirstColumn="0" w:firstRowLastColumn="0" w:lastRowFirstColumn="0" w:lastRowLastColumn="0"/>
            <w:tcW w:w="1838" w:type="dxa"/>
            <w:tcBorders>
              <w:top w:val="nil"/>
              <w:bottom w:val="double" w:sz="4" w:space="0" w:color="28A1AC" w:themeColor="accent2"/>
              <w:right w:val="double" w:sz="4" w:space="0" w:color="28A1AC" w:themeColor="accent2"/>
            </w:tcBorders>
          </w:tcPr>
          <w:p w14:paraId="2A007E58" w14:textId="77777777" w:rsidR="00701C21" w:rsidRPr="0087056A" w:rsidRDefault="00701C21" w:rsidP="007B2413">
            <w:r w:rsidRPr="0087056A">
              <w:lastRenderedPageBreak/>
              <w:t>Attention and concentration</w:t>
            </w:r>
          </w:p>
        </w:tc>
        <w:tc>
          <w:tcPr>
            <w:tcW w:w="3467" w:type="dxa"/>
            <w:tcBorders>
              <w:top w:val="nil"/>
              <w:left w:val="double" w:sz="4" w:space="0" w:color="28A1AC" w:themeColor="accent2"/>
              <w:bottom w:val="double" w:sz="4" w:space="0" w:color="28A1AC" w:themeColor="accent2"/>
              <w:right w:val="double" w:sz="4" w:space="0" w:color="28A1AC" w:themeColor="accent2"/>
            </w:tcBorders>
          </w:tcPr>
          <w:p w14:paraId="6FFBC803" w14:textId="77777777" w:rsidR="00701C21" w:rsidRPr="0087056A" w:rsidRDefault="00701C21" w:rsidP="007B2413">
            <w:pPr>
              <w:cnfStyle w:val="000000000000" w:firstRow="0" w:lastRow="0" w:firstColumn="0" w:lastColumn="0" w:oddVBand="0" w:evenVBand="0" w:oddHBand="0" w:evenHBand="0" w:firstRowFirstColumn="0" w:firstRowLastColumn="0" w:lastRowFirstColumn="0" w:lastRowLastColumn="0"/>
            </w:pPr>
            <w:r w:rsidRPr="0087056A">
              <w:t xml:space="preserve">The ability to focus attention on particular things or information and maintain that focus. </w:t>
            </w:r>
          </w:p>
        </w:tc>
        <w:tc>
          <w:tcPr>
            <w:tcW w:w="4410" w:type="dxa"/>
            <w:tcBorders>
              <w:top w:val="nil"/>
              <w:left w:val="double" w:sz="4" w:space="0" w:color="28A1AC" w:themeColor="accent2"/>
              <w:bottom w:val="double" w:sz="4" w:space="0" w:color="28A1AC" w:themeColor="accent2"/>
            </w:tcBorders>
          </w:tcPr>
          <w:p w14:paraId="29351753" w14:textId="77777777" w:rsidR="00701C21" w:rsidRPr="0087056A" w:rsidRDefault="00701C21" w:rsidP="007B2413">
            <w:pPr>
              <w:pStyle w:val="Bulletpoint"/>
              <w:cnfStyle w:val="000000000000" w:firstRow="0" w:lastRow="0" w:firstColumn="0" w:lastColumn="0" w:oddVBand="0" w:evenVBand="0" w:oddHBand="0" w:evenHBand="0" w:firstRowFirstColumn="0" w:firstRowLastColumn="0" w:lastRowFirstColumn="0" w:lastRowLastColumn="0"/>
            </w:pPr>
            <w:r w:rsidRPr="0087056A">
              <w:t>Decreased alertness</w:t>
            </w:r>
          </w:p>
          <w:p w14:paraId="74CC84EB" w14:textId="77777777" w:rsidR="00701C21" w:rsidRPr="0087056A" w:rsidRDefault="00701C21" w:rsidP="007B2413">
            <w:pPr>
              <w:pStyle w:val="Bulletpoint"/>
              <w:cnfStyle w:val="000000000000" w:firstRow="0" w:lastRow="0" w:firstColumn="0" w:lastColumn="0" w:oddVBand="0" w:evenVBand="0" w:oddHBand="0" w:evenHBand="0" w:firstRowFirstColumn="0" w:firstRowLastColumn="0" w:lastRowFirstColumn="0" w:lastRowLastColumn="0"/>
            </w:pPr>
            <w:r w:rsidRPr="0087056A">
              <w:t>Easily distracted</w:t>
            </w:r>
          </w:p>
          <w:p w14:paraId="65142D4B" w14:textId="77777777" w:rsidR="00701C21" w:rsidRPr="0087056A" w:rsidRDefault="00701C21" w:rsidP="007B2413">
            <w:pPr>
              <w:pStyle w:val="Bulletpoint"/>
              <w:cnfStyle w:val="000000000000" w:firstRow="0" w:lastRow="0" w:firstColumn="0" w:lastColumn="0" w:oddVBand="0" w:evenVBand="0" w:oddHBand="0" w:evenHBand="0" w:firstRowFirstColumn="0" w:firstRowLastColumn="0" w:lastRowFirstColumn="0" w:lastRowLastColumn="0"/>
            </w:pPr>
            <w:r w:rsidRPr="0087056A">
              <w:t>Easily misplaces items</w:t>
            </w:r>
          </w:p>
          <w:p w14:paraId="521A9540" w14:textId="77777777" w:rsidR="00701C21" w:rsidRPr="0087056A" w:rsidRDefault="00701C21" w:rsidP="007B2413">
            <w:pPr>
              <w:pStyle w:val="Bulletpoint"/>
              <w:cnfStyle w:val="000000000000" w:firstRow="0" w:lastRow="0" w:firstColumn="0" w:lastColumn="0" w:oddVBand="0" w:evenVBand="0" w:oddHBand="0" w:evenHBand="0" w:firstRowFirstColumn="0" w:firstRowLastColumn="0" w:lastRowFirstColumn="0" w:lastRowLastColumn="0"/>
            </w:pPr>
            <w:r w:rsidRPr="0087056A">
              <w:t xml:space="preserve">Repeated requests to clarify or explain information </w:t>
            </w:r>
          </w:p>
        </w:tc>
      </w:tr>
    </w:tbl>
    <w:p w14:paraId="082DF5EB" w14:textId="77777777" w:rsidR="00701C21" w:rsidRDefault="00701C21" w:rsidP="00701C21"/>
    <w:p w14:paraId="76C8FA4B" w14:textId="77777777" w:rsidR="000F0AB0" w:rsidRPr="00854B9A" w:rsidRDefault="000F0AB0" w:rsidP="00854B9A">
      <w:pPr>
        <w:pStyle w:val="Heading2"/>
      </w:pPr>
      <w:bookmarkStart w:id="636" w:name="_Toc172095775"/>
      <w:bookmarkStart w:id="637" w:name="_Toc178780105"/>
      <w:bookmarkStart w:id="638" w:name="_Toc178838871"/>
      <w:bookmarkStart w:id="639" w:name="_Toc178839058"/>
      <w:bookmarkStart w:id="640" w:name="_Toc178839179"/>
      <w:bookmarkStart w:id="641" w:name="_Toc178839408"/>
      <w:bookmarkStart w:id="642" w:name="_Toc178841618"/>
      <w:bookmarkStart w:id="643" w:name="_Toc179198177"/>
      <w:bookmarkStart w:id="644" w:name="_Toc179198425"/>
      <w:bookmarkStart w:id="645" w:name="_Toc179198533"/>
      <w:bookmarkStart w:id="646" w:name="_Toc179198640"/>
      <w:bookmarkStart w:id="647" w:name="_Toc179446084"/>
      <w:bookmarkStart w:id="648" w:name="_Toc179447115"/>
      <w:bookmarkStart w:id="649" w:name="_Toc179448655"/>
      <w:bookmarkStart w:id="650" w:name="_Toc179448816"/>
      <w:bookmarkStart w:id="651" w:name="_Toc179449203"/>
      <w:bookmarkStart w:id="652" w:name="_Toc179452906"/>
      <w:bookmarkStart w:id="653" w:name="_Toc179461419"/>
      <w:bookmarkStart w:id="654" w:name="_Toc179461863"/>
      <w:bookmarkStart w:id="655" w:name="_Toc179468038"/>
      <w:bookmarkStart w:id="656" w:name="_Toc179468297"/>
      <w:bookmarkStart w:id="657" w:name="_Toc179468539"/>
      <w:bookmarkStart w:id="658" w:name="_Toc179483242"/>
      <w:bookmarkStart w:id="659" w:name="_Toc179486310"/>
      <w:bookmarkStart w:id="660" w:name="_Toc179487915"/>
      <w:bookmarkStart w:id="661" w:name="_Toc179489218"/>
      <w:bookmarkStart w:id="662" w:name="_Toc179531343"/>
      <w:bookmarkStart w:id="663" w:name="_Toc179536016"/>
      <w:bookmarkStart w:id="664" w:name="_Toc179537855"/>
      <w:bookmarkStart w:id="665" w:name="_Toc179537919"/>
      <w:bookmarkStart w:id="666" w:name="_Toc179538086"/>
      <w:bookmarkStart w:id="667" w:name="_Toc179538899"/>
      <w:bookmarkStart w:id="668" w:name="_Toc179539218"/>
      <w:bookmarkStart w:id="669" w:name="_Toc179539334"/>
      <w:bookmarkStart w:id="670" w:name="_Toc179539472"/>
      <w:bookmarkStart w:id="671" w:name="_Toc179539569"/>
      <w:bookmarkStart w:id="672" w:name="_Toc179539654"/>
      <w:bookmarkStart w:id="673" w:name="_Toc179539744"/>
      <w:bookmarkStart w:id="674" w:name="_Toc179540428"/>
      <w:bookmarkStart w:id="675" w:name="_Toc179541773"/>
      <w:bookmarkStart w:id="676" w:name="_Toc179542965"/>
      <w:bookmarkStart w:id="677" w:name="_Toc180571293"/>
      <w:r w:rsidRPr="00854B9A">
        <w:t>What are the impacts of cognitive impairment on tāngata whai ora and whānau?</w:t>
      </w:r>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p>
    <w:p w14:paraId="1737142C" w14:textId="77777777" w:rsidR="000F0AB0" w:rsidRPr="0087056A" w:rsidRDefault="000F0AB0" w:rsidP="007B2413">
      <w:r w:rsidRPr="0087056A">
        <w:t>People may experience mild, moderate, or severe cognitive impairment.</w:t>
      </w:r>
      <w:r w:rsidRPr="0087056A">
        <w:fldChar w:fldCharType="begin"/>
      </w:r>
      <w:r w:rsidRPr="0087056A">
        <w:instrText xml:space="preserve"> ADDIN ZOTERO_ITEM CSL_CITATION {"citationID":"a1nh9pl8av","properties":{"formattedCitation":"\\super 42\\nosupersub{}","plainCitation":"42","noteIndex":0},"citationItems":[{"id":13894,"uris":["http://zotero.org/groups/4745233/items/QLA7N65H"],"itemData":{"id":13894,"type":"chapter","container-title":"Diagnostic and Statistical Manual of Mental Disorders 5th edition","publisher":"American Psychiatric Association","title":"DSM-5","author":[{"literal":"American Psychiatric Association"}],"issued":{"date-parts":[["2013"]]}}}],"schema":"https://github.com/citation-style-language/schema/raw/master/csl-citation.json"} </w:instrText>
      </w:r>
      <w:r w:rsidRPr="0087056A">
        <w:fldChar w:fldCharType="separate"/>
      </w:r>
      <w:r w:rsidRPr="0087056A">
        <w:rPr>
          <w:vertAlign w:val="superscript"/>
        </w:rPr>
        <w:t>42</w:t>
      </w:r>
      <w:r w:rsidRPr="0087056A">
        <w:fldChar w:fldCharType="end"/>
      </w:r>
      <w:r w:rsidRPr="0087056A">
        <w:t xml:space="preserve"> However, not everyone experiences significant impact on their functioning. Factors that can lessen any negative impact of cognitive impairment include people’s strengths and adaptation to daily functioning, the importance placed on particular aspects of their lives, and the support available around them. </w:t>
      </w:r>
    </w:p>
    <w:p w14:paraId="370D9874" w14:textId="77777777" w:rsidR="000F0AB0" w:rsidRPr="0087056A" w:rsidRDefault="000F0AB0" w:rsidP="007B2413">
      <w:r w:rsidRPr="0087056A">
        <w:t>The impacts of cognitive impairment depend on people’s age, sex, gender identity, and level of health. For example, the impact of substances on cognition may be more significant for adolescents due to the developing brain; and substances can have differing effects in different sex and gender identities.</w:t>
      </w:r>
      <w:r w:rsidRPr="0087056A">
        <w:fldChar w:fldCharType="begin"/>
      </w:r>
      <w:r w:rsidRPr="0087056A">
        <w:instrText xml:space="preserve"> ADDIN ZOTERO_ITEM CSL_CITATION {"citationID":"a22igsdgcoo","properties":{"formattedCitation":"\\super 44,45\\nosupersub{}","plainCitation":"44,45","noteIndex":0},"citationItems":[{"id":5807,"uris":["http://zotero.org/groups/2824487/items/7TQ486YX"],"itemData":{"id":5807,"type":"article-journal","abstract":"Adolescence is a unique period in neurodevelopment. Alcohol and marijuana use are common. Recent research has indicated that adolescent substance users show abnormalities on measures of brain functioning, which is linked to changes in neurocognition over time. Abnormalities have been seen in brain structure volume, white matter quality, and activation to cognitive tasks, even in youth with as little as 1–2 years of heavy drinking and consumption levels of 20 drinks per month, especially if &gt;4–5 drinks are consumed on a single occasion. Heavy marijuana users show some subtle anomalies too, but generally not the same degree of divergence from demographically similar non-using adolescents. This article reviews the extant literature on neurocognition, brain structure, and brain function in adolescent substance users with an emphasis on the most commonly used substances, and in the context of ongoing neuromaturational processes. Methodological and treatment implications are provided.","container-title":"Clinical EEG and neuroscience : official journal of the EEG and Clinical Neuroscience Society (ENCS)","ISSN":"1550-0594","issue":"1","journalAbbreviation":"Clin EEG Neurosci","note":"PMID: 19278130\nPMCID: PMC2827693","page":"31-38","source":"PubMed Central","title":"The Influence of Substance Use on Adolescent Brain Development","volume":"40","author":[{"family":"Squeglia","given":"L. M."},{"family":"Jacobus","given":"J."},{"family":"Tapert","given":"S. F."}],"issued":{"date-parts":[["2009",1]]}}},{"id":14237,"uris":["http://zotero.org/groups/4745233/items/9GMG6ARW"],"itemData":{"id":14237,"type":"article-journal","abstract":"Alcohol use and misuse is increasing among women. Although the prevalence of drinking remains higher in men than women, the gender gap is narrowing. This narrative review focuses on the cognitive sequelae of alcohol consumption in women. Studies of acute alcohol effects on cognition indicate that women typically perform worse than men on tasks requiring divided attention, memory, and decision-making. Beneficial effects of moderate alcohol consumption on cognition have been reported; however, a number of studies have cautioned that other factors may be driving that association. Although chronic heavy drinking affects working memory, visuospatial abilities, balance, emotional processing, and social cognition in women and men, sex differences mark the severity and specific profile of functional deficits. The accelerated or compressed progression of alcohol-related problems and their consequences observed in women relative to men, referred to as “telescoping,” highlights sex differences in the pharmacokinetics, pharmacodynamics, cognitive, and psychological consequences of alcohol. Brain volume deficits affecting multiple systems, including frontolimbic and frontocerebellar networks, contribute to impairment. Taken together, sex-related differences highlight the complexity of this chronic disease in women and underscore the relevance of examining the roles of age, drinking patterns, duration of abstinence, medical history, and psychiatric comorbidities in defining and understanding alcohol-related cognitive impairment.","container-title":"Alcohol Research : Current Reviews","DOI":"10.35946/arcr.v40.2.03","ISSN":"2168-3492","issue":"2","journalAbbreviation":"Alcohol Res","note":"PMID: 32923307\nPMCID: PMC7473713","page":"03","source":"PubMed Central","title":"Alcohol’s unique effects on cognition in women: A 2020 (re)view to envision future research and treatment","title-short":"Alcohol’s Unique Effects on Cognition in Women","volume":"40","author":[{"family":"Fama","given":"Rosemary"},{"family":"Le Berre","given":"Anne-Pascale"},{"family":"Sullivan","given":"Edith V."}],"issued":{"date-parts":[["2020",9,10]]}}}],"schema":"https://github.com/citation-style-language/schema/raw/master/csl-citation.json"} </w:instrText>
      </w:r>
      <w:r w:rsidRPr="0087056A">
        <w:fldChar w:fldCharType="separate"/>
      </w:r>
      <w:r w:rsidRPr="0087056A">
        <w:rPr>
          <w:vertAlign w:val="superscript"/>
        </w:rPr>
        <w:t>44,45</w:t>
      </w:r>
      <w:r w:rsidRPr="0087056A">
        <w:fldChar w:fldCharType="end"/>
      </w:r>
      <w:r w:rsidRPr="0087056A">
        <w:t xml:space="preserve"> </w:t>
      </w:r>
    </w:p>
    <w:p w14:paraId="1F9E6406" w14:textId="0E122D4D" w:rsidR="000F0AB0" w:rsidRDefault="000F0AB0" w:rsidP="007B2413">
      <w:r w:rsidRPr="0087056A">
        <w:t xml:space="preserve">Cognitive impairment may impact a person’s wellbeing, daily living, and whānau. When whānau support members with a cognitive impairment it may bring a sense of purpose and improved relationships, as well as feeling overwhelmed, anxious, a sense of grief, or burnout. There can also be conflict (including violence) and misunderstanding that impacts whānau relationships. </w:t>
      </w:r>
      <w:r w:rsidRPr="0087056A">
        <w:fldChar w:fldCharType="begin"/>
      </w:r>
      <w:r w:rsidRPr="0087056A">
        <w:instrText xml:space="preserve"> REF _Ref146294427 \h  \* MERGEFORMAT </w:instrText>
      </w:r>
      <w:r w:rsidRPr="0087056A">
        <w:fldChar w:fldCharType="separate"/>
      </w:r>
      <w:r w:rsidR="007F1966" w:rsidRPr="00B93B8B">
        <w:t xml:space="preserve">Figure </w:t>
      </w:r>
      <w:r w:rsidR="007F1966">
        <w:rPr>
          <w:noProof/>
        </w:rPr>
        <w:t>3</w:t>
      </w:r>
      <w:r w:rsidRPr="0087056A">
        <w:fldChar w:fldCharType="end"/>
      </w:r>
      <w:r w:rsidRPr="0087056A">
        <w:t xml:space="preserve"> summarises key potential impacts on people and whānau.</w:t>
      </w:r>
      <w:r w:rsidRPr="0087056A">
        <w:fldChar w:fldCharType="begin"/>
      </w:r>
      <w:r w:rsidRPr="0087056A">
        <w:instrText xml:space="preserve"> ADDIN ZOTERO_ITEM CSL_CITATION {"citationID":"aqlidcq6td","properties":{"formattedCitation":"\\super 46\\uc0\\u8211{}53\\nosupersub{}","plainCitation":"46–53","noteIndex":0},"citationItems":[{"id":12705,"uris":["http://zotero.org/groups/4745233/items/KSTPWAYQ"],"itemData":{"id":12705,"type":"article-journal","abstract":"Objective\nTo investigate the effects of attentional deficits on activities of daily living (ADL) in patients with dementia associated with Parkinson's disease (PDD).\n\nMethod\n461 patients were assessed neuropsychologically. Factor analyses were used to differentiate attention from other cognitive functions and to differentiate different aspects of ADL functions. The effects of the attentional measure on ADL were examined using sequential multiple regression, controlling for age, sex, education, severity of motor symptoms and other cognitive functions.\n\nResults\nThree cognitive factors were identified, with one factor emerging as a measure of vigilance and focused attention. This factor predicted different aspects of ADL status even after controlling for motor functions and other cognitive factors. The attention factor was the single strongest cognitive predictor of ADL status, matching the strength of the effects of motor functions on ADL status.\n\nConclusion\nImpaired attention is an important determinant of ADL functions in patients with PDD.","container-title":"Journal of Neurology, Neurosurgery, and Psychiatry","DOI":"10.1136/jnnp.2006.093146","ISSN":"0022-3050","issue":"10","journalAbbreviation":"J Neurol Neurosurg Psychiatry","note":"PMID: 16801351\nPMCID: PMC2077544","page":"1136-1142","source":"PubMed Central","title":"Attentional deficits affect activities of daily living in dementia</w:instrText>
      </w:r>
      <w:r w:rsidRPr="0087056A">
        <w:rPr>
          <w:rFonts w:ascii="Cambria Math" w:hAnsi="Cambria Math" w:cs="Cambria Math"/>
        </w:rPr>
        <w:instrText>‐</w:instrText>
      </w:r>
      <w:r w:rsidRPr="0087056A">
        <w:instrText xml:space="preserve">associated with Parkinson's disease","volume":"77","author":[{"family":"Bronnick","given":"K"},{"family":"Ehrt","given":"U"},{"family":"Emre","given":"M"},{"family":"De Deyn","given":"P P"},{"family":"Wesnes","given":"K"},{"family":"Tekin","given":"S"},{"family":"Aarsland","given":"D"}],"issued":{"date-parts":[["2006",10]]}}},{"id":12704,"uris":["http://zotero.org/groups/4745233/items/WW9FRXUK"],"itemData":{"id":12704,"type":"article-journal","container-title":"Cochlear Implants International","DOI":"10.1179/146701011X13001035752570","ISSN":"1467-0100","issue":"Suppl 1","journalAbbreviation":"Cochlear Implants Int","note":"PMID: 21756484\nPMCID: PMC3304451","page":"S89-S91","source":"PubMed Central","title":"Executive function in everyday life: implications for young cochlear implant users","title-short":"Executive function in everyday life","volume":"12","author":[{"family":"Beer","given":"Jessica"},{"family":"Kronenberger","given":"William G"},{"family":"Pisoni","given":"David B"}],"issued":{"date-parts":[["2011",5]]}}},{"id":14235,"uris":["http://zotero.org/groups/4745233/items/KK2INNZY"],"itemData":{"id":14235,"type":"article-journal","abstract":"Purpose of the Study:  Older adults with age-normal memory changes and those with amnestic mild cognitive impairment (aMCI) report mild memory difficulties with everyday problems such as learning new names or remembering past events. Although the type and extent of memory changes in these populations have been well documented, little is known about how memory changes impact their everyday lives.","container-title":"The Gerontologist","DOI":"10.1093/geront/gnv030","ISSN":"0016-9013, 1758-5341","issue":"5","journalAbbreviation":"GERONT","language":"en","page":"877-885","source":"DOI.org (Crossref)","title":"The impact of memory change on daily life in normal aging and mild cognitive impairment","volume":"56","author":[{"family":"Parikh","given":"Preeyam K."},{"family":"Troyer","given":"Angela K."},{"family":"Maione","given":"Andrea M."},{"family":"Murphy","given":"Kelly J."}],"issued":{"date-parts":[["2016",10]]}}},{"id":14234,"uris":["http://zotero.org/groups/4745233/items/EM63UBZT"],"itemData":{"id":14234,"type":"article-journal","abstract":"Aim\nThe Lifetime Impairment Survey assessed how ADHD impairs everyday life, identifying areas most affected.\nMethods\nThis opinion-based survey evaluated experiences, diagnosis and treatment of lifetime impairment in adults with (n=89) and without (n=94) ADHD. Groups were compared using impairment and symptoms scales; higher scores indicate greater impairment.\nResults\nMean (standard deviation) age at diagnosis was 18.2 (11.5) years; 47.1% were taking prescription medication for ADHD. Adults with ADHD reported greater impairments than those without for all scales (p&lt;0.001) except the involvement scale.\nConclusion\nGreater impairments in adults with than without ADHD suggest a continued impact throughout their daily lives.","container-title":"Archives of Psychiatric Nursing","DOI":"10.1016/j.apnu.2014.10.001","ISSN":"0883-9417","issue":"1","journalAbbreviation":"Archives of Psychiatric Nursing","language":"en","page":"56-63","source":"ScienceDirect","title":"Impairments, diagnosis and treatments associated with Attention-Deficit/Hyperactivity Disorder (ADHD) in UK adults: Results from the lifetime impairment survey","title-short":"Impairments, Diagnosis and Treatments Associated with Attention-Deficit/Hyperactivity Disorder (ADHD) in UK Adults","volume":"29","author":[{"family":"Pitts","given":"M."},{"family":"Mangle","given":"L."},{"family":"Asherson","given":"P."}],"issued":{"date-parts":[["2015",2,1]]}}},{"id":14236,"uris":["http://zotero.org/groups/4745233/items/DTA3D9WK"],"itemData":{"id":14236,"type":"article-journal","abstract":"Increasing attention has been paid to the 'voice' of people living with mild cognitive impairment (MCI) or dementia, but there is a lack of clarity about how everyday life is perceived from this insider's perspective. This study aimed to explore the everyday life experiences, challenges and facilitators of individuals with MCI and dementia living at home. A scoping review of qualitative studies, guided by the Joanna Briggs Institute Reviewers Manual, was conducted. Eight databases were searched, resulting in 6345 records, of which 58 papers published between 2011 and 2021 were included. Analysis was carried out by descriptive content analysis. Findings were categorized into seven spheres of everyday life: experiences related to the condition, self, relationships, activities, environment, health and social care and public opinions. The results show many disruptions and losses in everyday life and how people try to accommodate these changes. In all areas of everyday life, people show a deep desire to have reciprocal relationships, stay engaged through participation in activities and have a sense of belonging in the community. However, more research is needed on the factors that promote and impede the sense of reciprocity and belonging.","archive_location":"36078544","container-title":"International journal of environmental research and public health","DOI":"10.3390/ijerph191710828","ISSN":"1660-4601","issue":"17","journalAbbreviation":"Int J Environ Res Public Health","note":"publisher-place: Switzerland\npublisher: MDPI","source":"EBSCOhost","title":"Everyday experiences of people living with mild cognitive impairment or dementia: A scoping review","title-short":"Everyday Experiences of People Living with Mild Cognitive Impairment or Dementia","URL":"https://search.ebscohost.com/login.aspx?direct=true&amp;db=mdc&amp;AN=36078544&amp;site=ehost-live","volume":"19","author":[{"family":"Huizenga","given":"Jacoba"},{"family":"Scheffelaar","given":"Aukelien"},{"family":"Fruijtier","given":"Agnetha"},{"family":"Wilken","given":"Jean Pierre"},{"family":"Bleijenberg","given":"Nienke"},{"family":"Van Regenmortel","given":"Tine"}],"accessed":{"date-parts":[["2022",10,27]]},"issued":{"date-parts":[["2022",8,30]]}}},{"id":13335,"uris":["http://zotero.org/groups/4745233/items/4H6D4I69"],"itemData":{"id":13335,"type":"article-journal","abstract":"Objective Cognitive impairment is a key cause of disability after traumatic brain injury (TBI) but relationships with overall functioning in daily life are often modest. The aim is to examine cognition at different levels of function and identify domains associated with disability.\nMethods 1554 patients with mild-to-severe TBI were assessed at 6 months post injury on the Glasgow Outcome Scale—Extended (GOSE), the Short Form-12v2 and a battery of cognitive tests. Outcomes across GOSE categories were compared using analysis of covariance adjusting for age, sex and education.\nResults Overall effect sizes were small to medium, and greatest for tests involving processing speed (ηp 2 0.057–0.067) and learning and memory (ηp 2 0.048–0.052). Deficits in cognitive performance were particularly evident in patients who were dependent (GOSE 3 or 4) or who were unable to participate in one or more major life activities (GOSE 5). At higher levels of function (GOSE 6–8), cognitive performance was surprisingly similar across categories. There were decreases in performance even in patients reporting complete recovery without significant symptoms. Medium to large effect sizes were present for summary measures of cognition (ηp 2 0.111), mental health (ηp 2 0.131) and physical health (ηp 2 0.252).\nConclusions This large-scale study provides novel insights into cognitive performance at different levels of disability and highlights the importance of processing speed in function in daily life. At upper levels of outcome, any influence of cognition on overall function is markedly attenuated and differences in mental health are salient.","container-title":"Journal of Neurology, Neurosurgery &amp; Psychiatry","DOI":"10.1136/jnnp-2020-324492","ISSN":"0022-3050, 1468-330X","issue":"4","journalAbbreviation":"J Neurol Neurosurg Psychiatry","language":"en","license":"© Author(s) (or their employer(s)) 2021. No commercial re-use. See rights and permissions. Published by BMJ.","note":"publisher: BMJ Publishing Group Ltd\nsection: Cognition\nPMID: 33268472","page":"407-417","source":"jnnp.bmj.com","title":"Understanding the relationship between cognitive performance and function in daily life after traumatic brain injury","volume":"92","author":[{"family":"Wilson","given":"Lindsay"},{"family":"Horton","given":"Lindsay"},{"family":"Kunzmann","given":"Kevin"},{"family":"Sahakian","given":"Barbara J."},{"family":"Newcombe","given":"Virginia FJ"},{"family":"Stamatakis","given":"Emmanuel A."},{"family":"Steinbuechel","given":"Nicole","dropping-particle":"von"},{"family":"Cunitz","given":"Katrin"},{"family":"Covic","given":"Amra"},{"family":"Maas","given":"Andrew"},{"family":"Praag","given":"Dominique Van"},{"family":"Menon","given":"David"}],"issued":{"date-parts":[["2021",4,1]]}}},{"id":13503,"uris":["http://zotero.org/groups/4745233/items/KX7QPZFJ"],"itemData":{"id":13503,"type":"webpage","abstract":"Most people make an excellent physical recovery after a brain injury, which can mean there are few outwards signs that an injury has occurred. Ongoing physical problems may not be so apparent, but can have a real impact on daily life.","language":"en","title":"Physical effects of brain injury","URL":"https://www.headway.org.uk/about-brain-injury/individuals/effects-of-brain-injury/physical-effects/","author":[{"literal":"Headway the brain injury association"}],"accessed":{"date-parts":[["2023",1,18]]}}},{"id":12584,"uris":["http://zotero.org/groups/4745233/items/TM35CBLL"],"itemData":{"id":12584,"type":"report","event-place":"Wellington","language":"en","publisher":"Ministry of Health","publisher-place":"Wellington","source":"Zotero","title":"Supporting Parents Healthy children","author":[{"family":"Ministry of Health","given":""}],"issued":{"date-parts":[["2015"]]}}}],"schema":"https://github.com/citation-style-language/schema/raw/master/csl-citation.json"} </w:instrText>
      </w:r>
      <w:r w:rsidRPr="0087056A">
        <w:fldChar w:fldCharType="separate"/>
      </w:r>
      <w:r w:rsidRPr="0087056A">
        <w:rPr>
          <w:vertAlign w:val="superscript"/>
        </w:rPr>
        <w:t>46–53</w:t>
      </w:r>
      <w:r w:rsidRPr="0087056A">
        <w:fldChar w:fldCharType="end"/>
      </w:r>
    </w:p>
    <w:p w14:paraId="37797545" w14:textId="77777777" w:rsidR="0012609D" w:rsidRDefault="0012609D" w:rsidP="000F0AB0">
      <w:pPr>
        <w:rPr>
          <w:rFonts w:cstheme="minorHAnsi"/>
          <w:sz w:val="22"/>
        </w:rPr>
      </w:pPr>
    </w:p>
    <w:p w14:paraId="2FD70EC4" w14:textId="77777777" w:rsidR="00854B9A" w:rsidRDefault="00854B9A" w:rsidP="000F0AB0">
      <w:pPr>
        <w:rPr>
          <w:rFonts w:cstheme="minorHAnsi"/>
          <w:sz w:val="22"/>
        </w:rPr>
      </w:pPr>
    </w:p>
    <w:p w14:paraId="7209884A" w14:textId="77777777" w:rsidR="00AF0D41" w:rsidRDefault="00AF0D41" w:rsidP="000F0AB0">
      <w:pPr>
        <w:rPr>
          <w:rFonts w:cstheme="minorHAnsi"/>
          <w:sz w:val="22"/>
        </w:rPr>
      </w:pPr>
    </w:p>
    <w:p w14:paraId="0CE5715E" w14:textId="77777777" w:rsidR="00AF0D41" w:rsidRDefault="00AF0D41" w:rsidP="000F0AB0">
      <w:pPr>
        <w:rPr>
          <w:rFonts w:cstheme="minorHAnsi"/>
          <w:sz w:val="22"/>
        </w:rPr>
      </w:pPr>
    </w:p>
    <w:p w14:paraId="3EAA3198" w14:textId="77777777" w:rsidR="00AF0D41" w:rsidRDefault="00AF0D41" w:rsidP="000F0AB0">
      <w:pPr>
        <w:rPr>
          <w:rFonts w:cstheme="minorHAnsi"/>
          <w:sz w:val="22"/>
        </w:rPr>
      </w:pPr>
    </w:p>
    <w:p w14:paraId="44D13D87" w14:textId="11A3EB2A" w:rsidR="0012609D" w:rsidRPr="00B93B8B" w:rsidRDefault="0012609D" w:rsidP="007B2413">
      <w:pPr>
        <w:pStyle w:val="Figure"/>
      </w:pPr>
      <w:bookmarkStart w:id="678" w:name="_Ref146294427"/>
      <w:bookmarkStart w:id="679" w:name="_Toc179461352"/>
      <w:r w:rsidRPr="00B93B8B">
        <w:lastRenderedPageBreak/>
        <w:t xml:space="preserve">Figure </w:t>
      </w:r>
      <w:r w:rsidRPr="00B93B8B">
        <w:fldChar w:fldCharType="begin"/>
      </w:r>
      <w:r w:rsidRPr="00B93B8B">
        <w:instrText xml:space="preserve"> SEQ Figure \* ARABIC </w:instrText>
      </w:r>
      <w:r w:rsidRPr="00B93B8B">
        <w:fldChar w:fldCharType="separate"/>
      </w:r>
      <w:r w:rsidR="007F1966">
        <w:rPr>
          <w:noProof/>
        </w:rPr>
        <w:t>3</w:t>
      </w:r>
      <w:r w:rsidRPr="00B93B8B">
        <w:fldChar w:fldCharType="end"/>
      </w:r>
      <w:bookmarkEnd w:id="678"/>
      <w:r w:rsidRPr="00B93B8B">
        <w:t>. Cognitive impairment impacts on wellbeing, daily living, and whānau</w:t>
      </w:r>
      <w:bookmarkEnd w:id="679"/>
    </w:p>
    <w:p w14:paraId="03ADFD0B" w14:textId="5848E3C5" w:rsidR="0012609D" w:rsidRPr="0087056A" w:rsidRDefault="00BD7A87" w:rsidP="000F0AB0">
      <w:pPr>
        <w:rPr>
          <w:rFonts w:cstheme="minorHAnsi"/>
          <w:sz w:val="22"/>
        </w:rPr>
      </w:pPr>
      <w:r>
        <w:rPr>
          <w:noProof/>
        </w:rPr>
        <w:drawing>
          <wp:inline distT="0" distB="0" distL="0" distR="0" wp14:anchorId="7F56D31B" wp14:editId="05D29204">
            <wp:extent cx="6120130" cy="3272790"/>
            <wp:effectExtent l="0" t="0" r="0" b="3810"/>
            <wp:docPr id="1756471174" name="Picture 1756471174" descr="A multi-layered circular diagram showing the impacts of cognitive impairment on wellbeing, daily activities, and whānau. Impacts include changes to mental health and relationships, all aspects of wellbeing, and daily living like day-to-day tasks, work, and leisure&#10;&#10;Impacts on whānau include changes to mental health, familial relationships, ability to care for children or dependants, and routine. &#10;&#10;All aspects of wellbeing can be impacted including wairua/spiritual, tinana/physical, hinengaro/mental, and whānau/social health.&#10;&#10;Key areas of daily living that can be impacted include people's ability to live independently, carry out daily tasks, work and study, and engagement in leisure activit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471174" name="Picture 1" descr="A multi-layered circular diagram showing the impacts of cognitive impairment on wellbeing, daily activities, and whānau. Impacts include changes to mental health and relationships, all aspects of wellbeing, and daily living like day-to-day tasks, work, and leisure&#10;&#10;Impacts on whānau include changes to mental health, familial relationships, ability to care for children or dependants, and routine. &#10;&#10;All aspects of wellbeing can be impacted including wairua/spiritual, tinana/physical, hinengaro/mental, and whānau/social health.&#10;&#10;Key areas of daily living that can be impacted include people's ability to live independently, carry out daily tasks, work and study, and engagement in leisure activities.&#10;"/>
                    <pic:cNvPicPr/>
                  </pic:nvPicPr>
                  <pic:blipFill>
                    <a:blip r:embed="rId17"/>
                    <a:stretch>
                      <a:fillRect/>
                    </a:stretch>
                  </pic:blipFill>
                  <pic:spPr>
                    <a:xfrm>
                      <a:off x="0" y="0"/>
                      <a:ext cx="6120130" cy="3272790"/>
                    </a:xfrm>
                    <a:prstGeom prst="rect">
                      <a:avLst/>
                    </a:prstGeom>
                  </pic:spPr>
                </pic:pic>
              </a:graphicData>
            </a:graphic>
          </wp:inline>
        </w:drawing>
      </w:r>
    </w:p>
    <w:p w14:paraId="465296E2" w14:textId="77777777" w:rsidR="00104511" w:rsidRPr="00854B9A" w:rsidRDefault="00104511" w:rsidP="00854B9A">
      <w:pPr>
        <w:pStyle w:val="Heading2"/>
      </w:pPr>
      <w:bookmarkStart w:id="680" w:name="_Toc172095776"/>
      <w:bookmarkStart w:id="681" w:name="_Toc178780106"/>
      <w:bookmarkStart w:id="682" w:name="_Toc178838872"/>
      <w:bookmarkStart w:id="683" w:name="_Toc178839059"/>
      <w:bookmarkStart w:id="684" w:name="_Toc178839180"/>
      <w:bookmarkStart w:id="685" w:name="_Toc178839409"/>
      <w:bookmarkStart w:id="686" w:name="_Toc178841619"/>
      <w:bookmarkStart w:id="687" w:name="_Toc179198178"/>
      <w:bookmarkStart w:id="688" w:name="_Toc179198426"/>
      <w:bookmarkStart w:id="689" w:name="_Toc179198534"/>
      <w:bookmarkStart w:id="690" w:name="_Toc179198641"/>
      <w:bookmarkStart w:id="691" w:name="_Toc179446085"/>
      <w:bookmarkStart w:id="692" w:name="_Toc179447116"/>
      <w:bookmarkStart w:id="693" w:name="_Toc179448656"/>
      <w:bookmarkStart w:id="694" w:name="_Toc179448817"/>
      <w:bookmarkStart w:id="695" w:name="_Toc179449204"/>
      <w:bookmarkStart w:id="696" w:name="_Toc179452907"/>
      <w:bookmarkStart w:id="697" w:name="_Toc179461420"/>
      <w:bookmarkStart w:id="698" w:name="_Toc179461864"/>
      <w:bookmarkStart w:id="699" w:name="_Toc179468298"/>
      <w:bookmarkStart w:id="700" w:name="_Toc179468540"/>
      <w:bookmarkStart w:id="701" w:name="_Toc179483243"/>
      <w:bookmarkStart w:id="702" w:name="_Toc179486311"/>
      <w:bookmarkStart w:id="703" w:name="_Toc179487916"/>
      <w:bookmarkStart w:id="704" w:name="_Toc179489219"/>
      <w:bookmarkStart w:id="705" w:name="_Toc179531344"/>
      <w:bookmarkStart w:id="706" w:name="_Toc179536017"/>
      <w:bookmarkStart w:id="707" w:name="_Toc179537856"/>
      <w:bookmarkStart w:id="708" w:name="_Toc179537920"/>
      <w:bookmarkStart w:id="709" w:name="_Toc179538087"/>
      <w:bookmarkStart w:id="710" w:name="_Toc179538900"/>
      <w:bookmarkStart w:id="711" w:name="_Toc179539219"/>
      <w:bookmarkStart w:id="712" w:name="_Toc179539335"/>
      <w:bookmarkStart w:id="713" w:name="_Toc179539473"/>
      <w:bookmarkStart w:id="714" w:name="_Toc179539570"/>
      <w:bookmarkStart w:id="715" w:name="_Toc179539655"/>
      <w:bookmarkStart w:id="716" w:name="_Toc179539745"/>
      <w:bookmarkStart w:id="717" w:name="_Toc179540429"/>
      <w:bookmarkStart w:id="718" w:name="_Toc179541774"/>
      <w:bookmarkStart w:id="719" w:name="_Toc179542966"/>
      <w:bookmarkStart w:id="720" w:name="_Toc180571294"/>
      <w:r w:rsidRPr="00854B9A">
        <w:t>What causes cognitive impairment?</w:t>
      </w:r>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r w:rsidRPr="00854B9A">
        <w:t xml:space="preserve"> </w:t>
      </w:r>
    </w:p>
    <w:p w14:paraId="69733377" w14:textId="4A6B65EF" w:rsidR="00104511" w:rsidRPr="00B36835" w:rsidRDefault="00104511" w:rsidP="007B2413">
      <w:r w:rsidRPr="00B36835">
        <w:t xml:space="preserve">There are a wide range of causes of cognitive impairment. </w:t>
      </w:r>
      <w:r w:rsidRPr="00B36835">
        <w:fldChar w:fldCharType="begin"/>
      </w:r>
      <w:r w:rsidRPr="00B36835">
        <w:instrText xml:space="preserve"> REF _Ref146294435 \h </w:instrText>
      </w:r>
      <w:r>
        <w:instrText xml:space="preserve"> \* MERGEFORMAT </w:instrText>
      </w:r>
      <w:r w:rsidRPr="00B36835">
        <w:fldChar w:fldCharType="separate"/>
      </w:r>
      <w:r w:rsidR="007F1966" w:rsidRPr="004A0904">
        <w:t xml:space="preserve">Figure </w:t>
      </w:r>
      <w:r w:rsidR="007F1966">
        <w:rPr>
          <w:noProof/>
        </w:rPr>
        <w:t>4</w:t>
      </w:r>
      <w:r w:rsidRPr="00B36835">
        <w:fldChar w:fldCharType="end"/>
      </w:r>
      <w:r w:rsidRPr="00B36835">
        <w:t xml:space="preserve"> highlights how problematic substance use can be both a cause and a consequence of cognitive impairment. It can also worsen existing cognitive impairment.</w:t>
      </w:r>
      <w:r w:rsidRPr="00B36835">
        <w:fldChar w:fldCharType="begin"/>
      </w:r>
      <w:r w:rsidRPr="00B36835">
        <w:instrText xml:space="preserve"> ADDIN ZOTERO_ITEM CSL_CITATION {"citationID":"amt978rggg","properties":{"formattedCitation":"\\super 3\\nosupersub{}","plainCitation":"3","noteIndex":0},"citationItems":[{"id":14007,"uris":["http://zotero.org/groups/4745233/items/U3GGYCKU"],"itemData":{"id":14007,"type":"report","event-place":"Richmond, Victoria","language":"en","publisher":"Turning Point","publisher-place":"Richmond, Victoria","source":"Zotero","title":"Managing Cognitive Impairment in AOD Treatment: Practice Guidelines for Healthcare Professionals","URL":"https://www.turningpoint.org.au/treatment/clinicians/Managing-Cognitive-Impairment-in-AOD-Treatment-Guidelines","author":[{"family":"Manning","given":"Victoria"},{"family":"Gooden","given":"James"},{"family":"Cox","given":"Catherine"},{"family":"Whelan","given":"Danielle"},{"family":"Miroz","given":"Katherine"}],"issued":{"date-parts":[["2021"]]}}}],"schema":"https://github.com/citation-style-language/schema/raw/master/csl-citation.json"} </w:instrText>
      </w:r>
      <w:r w:rsidRPr="00B36835">
        <w:fldChar w:fldCharType="separate"/>
      </w:r>
      <w:r w:rsidRPr="00B36835">
        <w:rPr>
          <w:rFonts w:cs="Arial"/>
          <w:vertAlign w:val="superscript"/>
        </w:rPr>
        <w:t>3</w:t>
      </w:r>
      <w:r w:rsidRPr="00B36835">
        <w:fldChar w:fldCharType="end"/>
      </w:r>
      <w:r w:rsidRPr="00B36835">
        <w:t xml:space="preserve"> For example, a prior traumatic brain injury (TBI) that hasn’t been addressed can lead to using substances problematically, or can occur due to problematic substance use (such as from driving when intoxicated).</w:t>
      </w:r>
      <w:r w:rsidRPr="00B36835">
        <w:fldChar w:fldCharType="begin"/>
      </w:r>
      <w:r w:rsidRPr="00B36835">
        <w:instrText xml:space="preserve"> ADDIN ZOTERO_ITEM CSL_CITATION {"citationID":"abqnh1cv11","properties":{"formattedCitation":"\\super 54\\nosupersub{}","plainCitation":"54","noteIndex":0},"citationItems":[{"id":14216,"uris":["http://zotero.org/groups/4745233/items/866CDPL8"],"itemData":{"id":14216,"type":"report","publisher":"Addiction Technology Transfer Center Network","title":"Traumatic brain injury and substance use disorders: Making the connections","URL":"https://attcnetwork.org/sites/default/files/2021-11/TBI%20%20SUD%20Toolkit%20FINAL%2011.05.2021.pdf","author":[{"family":"Lemsky","given":"Carolyn"}],"collection-editor":[{"family":"Stilen","given":"P"},{"family":"Heitkamp","given":"T"}],"accessed":{"date-parts":[["2022",12,15]]},"issued":{"date-parts":[["2021"]]}}}],"schema":"https://github.com/citation-style-language/schema/raw/master/csl-citation.json"} </w:instrText>
      </w:r>
      <w:r w:rsidRPr="00B36835">
        <w:fldChar w:fldCharType="separate"/>
      </w:r>
      <w:r w:rsidRPr="00B36835">
        <w:rPr>
          <w:rFonts w:cs="Arial"/>
          <w:vertAlign w:val="superscript"/>
        </w:rPr>
        <w:t>54</w:t>
      </w:r>
      <w:r w:rsidRPr="00B36835">
        <w:fldChar w:fldCharType="end"/>
      </w:r>
      <w:r w:rsidRPr="00B36835">
        <w:t xml:space="preserve"> </w:t>
      </w:r>
    </w:p>
    <w:p w14:paraId="038A547F" w14:textId="73CFD67F" w:rsidR="00104511" w:rsidRPr="004A0904" w:rsidRDefault="00104511" w:rsidP="007B2413">
      <w:pPr>
        <w:pStyle w:val="Figure"/>
      </w:pPr>
      <w:bookmarkStart w:id="721" w:name="_Ref146294435"/>
      <w:bookmarkStart w:id="722" w:name="_Toc179461353"/>
      <w:r w:rsidRPr="004A0904">
        <w:t xml:space="preserve">Figure </w:t>
      </w:r>
      <w:r w:rsidRPr="004A0904">
        <w:fldChar w:fldCharType="begin"/>
      </w:r>
      <w:r w:rsidRPr="004A0904">
        <w:instrText xml:space="preserve"> SEQ Figure \* ARABIC </w:instrText>
      </w:r>
      <w:r w:rsidRPr="004A0904">
        <w:fldChar w:fldCharType="separate"/>
      </w:r>
      <w:r w:rsidR="007F1966">
        <w:rPr>
          <w:noProof/>
        </w:rPr>
        <w:t>4</w:t>
      </w:r>
      <w:r w:rsidRPr="004A0904">
        <w:fldChar w:fldCharType="end"/>
      </w:r>
      <w:bookmarkEnd w:id="721"/>
      <w:r w:rsidRPr="004A0904">
        <w:t>. The cyclical nature of cognitive impairment and problematic substance use</w:t>
      </w:r>
      <w:bookmarkEnd w:id="722"/>
    </w:p>
    <w:p w14:paraId="6CD82DB4" w14:textId="77777777" w:rsidR="00104511" w:rsidRPr="0087056A" w:rsidRDefault="00104511" w:rsidP="00104511">
      <w:r>
        <w:rPr>
          <w:noProof/>
        </w:rPr>
        <w:t xml:space="preserve">              </w:t>
      </w:r>
      <w:r w:rsidRPr="00AC3BAF">
        <w:rPr>
          <w:noProof/>
        </w:rPr>
        <w:drawing>
          <wp:inline distT="0" distB="0" distL="0" distR="0" wp14:anchorId="66D0177F" wp14:editId="58224644">
            <wp:extent cx="4612769" cy="2090890"/>
            <wp:effectExtent l="0" t="0" r="0" b="0"/>
            <wp:docPr id="266708968" name="Diagram 1" descr="A continuous diagram using arrows that shows problematic substance use can cause cognitive impairment, but cognitive impairment can also cause problematic substance use ">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75CFFEEA" w14:textId="77777777" w:rsidR="00104511" w:rsidRPr="00854B9A" w:rsidRDefault="00104511" w:rsidP="00854B9A">
      <w:pPr>
        <w:rPr>
          <w:sz w:val="22"/>
        </w:rPr>
      </w:pPr>
    </w:p>
    <w:p w14:paraId="47734108" w14:textId="77777777" w:rsidR="00104511" w:rsidRPr="00FB3CBD" w:rsidRDefault="00104511" w:rsidP="007B2413">
      <w:r w:rsidRPr="00FB3CBD">
        <w:lastRenderedPageBreak/>
        <w:t xml:space="preserve">There are three main causes of both short- and long-term cognitive impairment. </w:t>
      </w:r>
    </w:p>
    <w:p w14:paraId="2B92AAA5" w14:textId="77777777" w:rsidR="00104511" w:rsidRPr="00FB3CBD" w:rsidRDefault="00104511" w:rsidP="007B2413">
      <w:pPr>
        <w:pStyle w:val="Bulletpoint"/>
      </w:pPr>
      <w:r w:rsidRPr="00FB3CBD">
        <w:rPr>
          <w:b/>
          <w:bCs/>
        </w:rPr>
        <w:t xml:space="preserve">Neurodevelopmental </w:t>
      </w:r>
      <w:r w:rsidRPr="00FB3CBD">
        <w:t>causes such as intellectual disability, autism spectrum disorder (ASD), attention deficit/hyperactivity disorder (ADHD), FASD, specific learning disabilities (like dyslexia), and epilepsy.</w:t>
      </w:r>
      <w:r w:rsidRPr="00FB3CBD">
        <w:fldChar w:fldCharType="begin"/>
      </w:r>
      <w:r w:rsidRPr="00FB3CBD">
        <w:instrText xml:space="preserve"> ADDIN ZOTERO_ITEM CSL_CITATION {"citationID":"a17n2bahr5e","properties":{"formattedCitation":"\\super 3,55\\uc0\\u8211{}59\\nosupersub{}","plainCitation":"3,55–59","noteIndex":0},"citationItems":[{"id":14007,"uris":["http://zotero.org/groups/4745233/items/U3GGYCKU"],"itemData":{"id":14007,"type":"report","event-place":"Richmond, Victoria","language":"en","publisher":"Turning Point","publisher-place":"Richmond, Victoria","source":"Zotero","title":"Managing Cognitive Impairment in AOD Treatment: Practice Guidelines for Healthcare Professionals","URL":"https://www.turningpoint.org.au/treatment/clinicians/Managing-Cognitive-Impairment-in-AOD-Treatment-Guidelines","author":[{"family":"Manning","given":"Victoria"},{"family":"Gooden","given":"James"},{"family":"Cox","given":"Catherine"},{"family":"Whelan","given":"Danielle"},{"family":"Miroz","given":"Katherine"}],"issued":{"date-parts":[["2021"]]}}},{"id":12665,"uris":["http://zotero.org/groups/4745233/items/X5EMD3GS"],"itemData":{"id":12665,"type":"webpage","abstract":"We are united in our determination to support those living with Fetal Alcohol Spectrum Disorder","container-title":"FASD-CAN","language":"en","title":"Whai Māramatanga E Pā Ana Ki a FASD | Understanding FASD","URL":"https://www.fasd-can.org.nz/understanding_fasd","author":[{"literal":"FASD-CAN"}],"accessed":{"date-parts":[["2023",1,18]]}}},{"id":13523,"uris":["http://zotero.org/groups/4745233/items/MGJTEXGI"],"itemData":{"id":13523,"type":"post-weblog","abstract":"Traits and characteristics Archive - Autism NZ","language":"en-US","title":"Traits and characteristics Archive - Autism NZ","URL":"https://autismnz.org.nz/traits-and-character/","author":[{"literal":"Autism NZ"}],"accessed":{"date-parts":[["2023",1,16]]}}},{"id":13529,"uris":["http://zotero.org/groups/4745233/items/VYYKW8GQ"],"itemData":{"id":13529,"type":"webpage","abstract":"Find out what ADHD is.","container-title":"ADHD NEW ZEALAND","language":"en","title":"What is ADHD | ADHD NZ","URL":"https://www.adhd.org.nz/what-is-adhd.html","author":[{"literal":"ADHD New Zealand"}],"accessed":{"date-parts":[["2023",1,15]]}}},{"id":12634,"uris":["http://zotero.org/groups/4745233/items/KCD3X2I5"],"itemData":{"id":12634,"type":"book","abstract":"Intelligence is the general mental capacity that involves reasoning, planning, solving problems, thinking abstractly, comprehending complex ideas, learning efficiently, and learning from experience (AAIDD, 2010). Historically, intellectual disability (previously termed “mental retardation”) has been defined by significant cognitive deficits—which has been established through a standardized measure of intelligence, in particular, with an IQ score of below 70 (two standard deviations below the mean of 100 in the population)—and also by significant deficits in functional and adaptive skills. Adaptive skills involve the ability to carry out age-appropriate daily life activities. Two different systems for classifying intellectual disability (ID) used in the United States are that of the American Association on Intellectual and Developmental Disabilities (AAIDD) and the Diagnostic and Statistical Manual of Mental Disorders, 5th Edition (DSM-5), which is published by the American Psychiatric Association. Both of these systems classify severity of ID according to the levels of support needed to achieve an individual's optimal personal functioning (see Table 9-1).","language":"en","note":"container-title: Mental Disorders and Disabilities Among Low-Income Children","publisher":"National Academies Press (US)","source":"www.ncbi.nlm.nih.gov","title":"Clinical Characteristics of Intellectual Disabilities","URL":"https://www.ncbi.nlm.nih.gov/books/NBK332877/","author":[{"family":"Boat","given":"Thomas F."},{"family":"Wu","given":"Joel T."},{"family":"Disorders","given":"Committee to Evaluate the Supplemental Security Income Disability Program for Children with Mental"},{"family":"Populations","given":"Board on the Health of Select"},{"family":"Board on Children","given":"Youth"},{"family":"Medicine","given":"Institute","dropping-particle":"of"},{"family":"Education","given":"Division of Behavioral and Social Sciences","dropping-particle":"and"},{"family":"The National Academies of Sciences","given":"Engineering"}],"accessed":{"date-parts":[["2023",1,31]]},"issued":{"date-parts":[["2015",10,28]]}}},{"id":12632,"uris":["http://zotero.org/groups/4745233/items/MVIJP2DC"],"itemData":{"id":12632,"type":"webpage","title":"What is an intellectual disability?","URL":"https://ihc.org.nz/what-intellectual-disability","author":[{"literal":"ihc New Zealand"}],"accessed":{"date-parts":[["2023",1,31]]}}}],"schema":"https://github.com/citation-style-language/schema/raw/master/csl-citation.json"} </w:instrText>
      </w:r>
      <w:r w:rsidRPr="00FB3CBD">
        <w:fldChar w:fldCharType="separate"/>
      </w:r>
      <w:r w:rsidRPr="00FB3CBD">
        <w:rPr>
          <w:rFonts w:cs="Arial"/>
          <w:vertAlign w:val="superscript"/>
        </w:rPr>
        <w:t>3,55–59</w:t>
      </w:r>
      <w:r w:rsidRPr="00FB3CBD">
        <w:fldChar w:fldCharType="end"/>
      </w:r>
    </w:p>
    <w:p w14:paraId="34A95482" w14:textId="77777777" w:rsidR="00104511" w:rsidRPr="00FB3CBD" w:rsidRDefault="00104511" w:rsidP="007B2413">
      <w:pPr>
        <w:pStyle w:val="Bulletpoint"/>
      </w:pPr>
      <w:r w:rsidRPr="00FB3CBD">
        <w:rPr>
          <w:b/>
          <w:bCs/>
        </w:rPr>
        <w:t>Neurocognitive</w:t>
      </w:r>
      <w:r w:rsidRPr="00FB3CBD">
        <w:t xml:space="preserve"> causes which are experience-based, acquired, or degenerative such as psychological trauma</w:t>
      </w:r>
      <w:r w:rsidRPr="00FB3CBD">
        <w:rPr>
          <w:rStyle w:val="FootnoteReference"/>
          <w:sz w:val="22"/>
        </w:rPr>
        <w:footnoteReference w:id="3"/>
      </w:r>
      <w:r w:rsidRPr="00FB3CBD">
        <w:t>, TBI, stroke, substance induced neurocognitive disorder, blood-borne viruses, encephalitis (brain inflammation), hypoxic brain injury (due to low oxygen in the brain such as from overdose), dementia, Parkinson’s disease, Huntington’s disease, brain tumours, meningitis or other infections, extreme stress and sleep deprivation, chronic medical conditions, and medication side effects.</w:t>
      </w:r>
      <w:r w:rsidRPr="00FB3CBD">
        <w:fldChar w:fldCharType="begin"/>
      </w:r>
      <w:r w:rsidRPr="00FB3CBD">
        <w:instrText xml:space="preserve"> ADDIN ZOTERO_ITEM CSL_CITATION {"citationID":"a1lnp6ul1dc","properties":{"formattedCitation":"\\super 3,23\\uc0\\u8211{}25,42,60\\uc0\\u8211{}66\\nosupersub{}","plainCitation":"3,23–25,42,60–66","noteIndex":0},"citationItems":[{"id":14007,"uris":["http://zotero.org/groups/4745233/items/U3GGYCKU"],"itemData":{"id":14007,"type":"report","event-place":"Richmond, Victoria","language":"en","publisher":"Turning Point","publisher-place":"Richmond, Victoria","source":"Zotero","title":"Managing Cognitive Impairment in AOD Treatment: Practice Guidelines for Healthcare Professionals","URL":"https://www.turningpoint.org.au/treatment/clinicians/Managing-Cognitive-Impairment-in-AOD-Treatment-Guidelines","author":[{"family":"Manning","given":"Victoria"},{"family":"Gooden","given":"James"},{"family":"Cox","given":"Catherine"},{"family":"Whelan","given":"Danielle"},{"family":"Miroz","given":"Katherine"}],"issued":{"date-parts":[["2021"]]}}},{"id":13893,"uris":["http://zotero.org/groups/4745233/items/KXHJW36E"],"itemData":{"id":13893,"type":"article-journal","abstract":"AIMS: Recent research has revealed that early life trauma (ELS), including abuse (sexual and/or physical) and neglect, produce lasting changes in the CNS. We posited that cognitive deficits, often observed in psychiatric patients, result, in part, due to the neurobiological consequences of ELS. Additionally, we hypothesized that the nature and magnitude of cognitive deficits would differ according to the subtype of ELS experienced.\nMETHOD: The Cambridge Neuropsychological Test Automated Battery (CANTAB) was used to assess neurocognitive functioning in 93 subjects (60 with ELS and 33 without). In the patients with a history of ELS, 35% and 16.7%, respectively, met criteria for current major depression and PTSD.\nRESULTS: Significant associations between ELS status and CANTAB measures of memory and executive and emotional functioning were found.\nCONCLUSIONS: These data suggest that exposure to ELS results in a cascade of neurobiological changes associated with cognitive deficits in adulthood that vary according to the type of trauma experienced.","container-title":"Journal of Psychiatric Research","DOI":"10.1016/j.jpsychires.2012.01.005","ISSN":"1879-1379","issue":"4","journalAbbreviation":"J Psychiatr Res","language":"eng","note":"PMID: 22336639\nPMCID: PMC3307950","page":"500-506","source":"PubMed","title":"The effects of child abuse and neglect on cognitive functioning in adulthood","volume":"46","author":[{"family":"Gould","given":"Felicia"},{"family":"Clarke","given":"Jennifer"},{"family":"Heim","given":"Christine"},{"family":"Harvey","given":"Philip D."},{"family":"Majer","given":"Matthias"},{"family":"Nemeroff","given":"Charles B."}],"issued":{"date-parts":[["2012",4]]}}},{"id":14239,"uris":["http://zotero.org/groups/4745233/items/KBU8ZSYY"],"itemData":{"id":14239,"type":"article-journal","abstract":"OBJECTIVE: Childhood trauma is common and associated with both worse cognitive performance and disruption to the hypothalamic-pituitary-adrenal axis in younger adults. The extent to which these associations persist into older adulthood remains unknown. The aim of this study was to investigate self-reported childhood trauma in relation to cognitive performance, and the extent to which cortisol explained this association, in 2 independent samples of older adults.\nMETHODS: In this cross-sectional study, participants in the discovery sample (N = 76) consisted of older adults with a DSM-IV diagnosis of generalized anxiety disorder (N = 57) and age-equated psychiatrically healthy comparison subjects (N = 19) who were referred largely through primary care clinics between 2004-2006. The replication sample (N = 48) consisted of older adults with DSM-IV anxiety or depressive disorders recruited between 2012-2013. Participants were administered the Early Trauma Inventory Self-Report-Short Form and a neuropsychological assessment (primary outcome).\nRESULTS: Across both samples, childhood trauma was significantly associated with worse performance on measures of processing speed, attention, and executive functioning. The effect of trauma exposure was stronger when general, physical, and sexual traumatic events were examined specifically (all P &lt; .05). Childhood trauma was not associated with cortisol levels, and cortisol did not explain the association between trauma and cognitive functioning.\nCONCLUSIONS: Self-reported traumatic events experienced in childhood are associated with poorer cognitive performance in anxious and depressed older adults. Findings demonstrate a deleterious impact of childhood trauma on brain health in old age.","container-title":"The Journal of Clinical Psychiatry","DOI":"10.4088/JCP.16m11021","ISSN":"1555-2101","issue":"1","journalAbbreviation":"J Clin Psychiatry","language":"eng","note":"PMID: 29228518\nPMCID: PMC6959209","page":"16m11021","source":"PubMed","title":"Childhood trauma is associated with poorer cognitive performance in older adults","volume":"79","author":[{"family":"Petkus","given":"Andrew J."},{"family":"Lenze","given":"Eric J."},{"family":"Butters","given":"Meryl A."},{"family":"Twamley","given":"Elizabeth W."},{"family":"Wetherell","given":"Julie Loebach"}],"issued":{"date-parts":[["2018"]]}}},{"id":13892,"uris":["http://zotero.org/groups/4745233/items/ZY2FA5H8"],"itemData":{"id":13892,"type":"article-journal","abstract":"OBJECTIVE: Clinical studies suggest that childhood maltreatment may cause nervous system changes and consequent cognitive disorder. The persistence of this association in late-life is examined.\nMETHODS: Cognitive functioning and childhood events were examined in 1282 persons over 65 years, taking into account proximal competing causes of poor cognitive performance.\nRESULTS: Ninety one per cent experienced at least one adverse childhood event, of these 14.7% severe events. Sharing of parental problems and, for women, loss of a parent were associated with poorer verbal retrieval whereas being sent to a foster home or mistreatment by schoolmates was associated with poorer visuospatial memory. Severe abuse was associated with a lower risk of cognitive impairment on some tests suggesting a resilience factor. Positive childhood environment was protective although only for non-carriers of the ApoE ε4 allele on the central executive task.\nCONCLUSIONS: Some adverse childhood events continue to have a negative effect on later-life cognitive performance, while some more severe acute events may have the opposite effect, underlying the necessity to consider events individually and not as global test scores.","container-title":"International Journal of Geriatric Psychiatry","DOI":"10.1002/gps.2553","ISSN":"1099-1166","issue":"5","journalAbbreviation":"Int J Geriatr Psychiatry","language":"eng","note":"PMID: 21445999","page":"503-510","source":"PubMed","title":"Adverse childhood environment and late-life cognitive functioning","volume":"26","author":[{"family":"Ritchie","given":"Karen"},{"family":"Jaussent","given":"Isabelle"},{"family":"Stewart","given":"Robert"},{"family":"Dupuy","given":"Anne-Marie"},{"family":"Courtet","given":"Philippe"},{"family":"Malafosse","given":"Alain"},{"family":"Ancelin","given":"Marie-Laure"}],"issued":{"date-parts":[["2011",5]]}}},{"id":12661,"uris":["http://zotero.org/groups/4745233/items/9BRUPPVN"],"itemData":{"id":12661,"type":"webpage","abstract":"Learn about HIV, its stages, and how the virus can be controlled with treatment.","container-title":"HIV.gov","title":"What Are HIV and AIDS?","URL":"https://www.hiv.gov/hiv-basics/overview/about-hiv-and-aids/what-are-hiv-and-aids","author":[{"literal":"HIVgov"}],"accessed":{"date-parts":[["2023",1,18]]},"issued":{"date-parts":[["2023"]]}}},{"id":12662,"uris":["http://zotero.org/groups/4745233/items/59G8RMEI"],"itemData":{"id":12662,"type":"webpage","abstract":"Information for the public and health professionals.","container-title":"Centers for Disease Control and Prevention","language":"en-us","title":"Hepatitis C | CDC","URL":"https://www.cdc.gov/hepatitis/hcv/index.htm","author":[{"literal":"CDC"}],"accessed":{"date-parts":[["2023",1,18]]},"issued":{"date-parts":[["2021",6,14]]}}},{"id":13203,"uris":["http://zotero.org/groups/4745233/items/SLIC7XDR"],"itemData":{"id":13203,"type":"book","abstract":"The brain consumes a significant amount of energy compared to its weight and size. It is highly metabolically active, and exquisitely sensitive to hypoxia and hypoperfusion. Cellular injury can begin within minutes, and permanent brain injury will follow if prompt intervention does not occur. For that reason, it is critical to understand the clinical presentation, pathophysiology, and management options.","language":"en","note":"container-title: StatPearls [Internet]\nPMID: 30725995","publisher":"StatPearls Publishing","source":"www.ncbi.nlm.nih.gov","title":"Hypoxic Brain Injury","URL":"https://www.ncbi.nlm.nih.gov/books/NBK537310/","author":[{"family":"Lacerte","given":"Myriam"},{"family":"Shapshak","given":"Angela Hays"},{"family":"Mesfin","given":"Fassil B."}],"accessed":{"date-parts":[["2022",10,20]]},"issued":{"date-parts":[["2022",8,8]]}}},{"id":12663,"uris":["http://zotero.org/groups/4745233/items/2FUNV8XT"],"itemData":{"id":12663,"type":"webpage","abstract":"Facts about stroke in New Zealand","language":"en","title":"Facts and FAQs | Stroke Foundation NZ","URL":"https://www.stroke.org.nz/facts-and-faqs","author":[{"literal":"Stroke Foundation NZ"}],"accessed":{"date-parts":[["2023",1,18]]}}},{"id":12664,"uris":["http://zotero.org/groups/4745233/items/HSV4TFUS"],"itemData":{"id":12664,"type":"document","title":"What is brain injury?","URL":"https://www.brain-injury.nz/wp-content/uploads/2018/05/2345-02-What-is-Brain-injury-Online.pdf","author":[{"literal":"Brain Injury New Zealand"},{"literal":"ACC"}],"accessed":{"date-parts":[["2023",1,18]]},"issued":{"date-parts":[["2018"]]}}},{"id":13888,"uris":["http://zotero.org/groups/4745233/items/LUHKJV83"],"itemData":{"id":13888,"type":"webpage","abstract":"The causes of young-onset dementia, also known as early-onset dementia, are different from those in older people. The young-onset of some of the most common types of dementia are described on this page.","language":"en","title":"What causes young-onset dementia? | Alzheimer's Society","title-short":"What causes young-onset dementia?","URL":"https://www.alzheimers.org.uk/about-dementia/types-dementia/what-causes-young-onset-dementia","author":[{"literal":"Alzheimer's Society"}],"accessed":{"date-parts":[["2023",1,18]]}}},{"id":14233,"uris":["http://zotero.org/groups/4745233/items/KWS2UZG7"],"itemData":{"id":14233,"type":"article-journal","abstract":"Context\nAlcohol consumption has escalated rapidly in many countries over the past decade. Evidence suggests a correlation between alcohol use and cognitive decline. We have systematically reviewed the concept and controversies, epidemiology, nosology, neuropathology and neurobiology, neuropsychology and management updates of alcohol-related dementia (ARD) in this paper.\n\nEvidence Acquisition\nWe retrieved papers for this review by searching the PubMed database for terms “alcohol and dementia”, “alcohol and cognitive impairment”, and “alcohol and wernicke-korsakoff” mentioned in the title of the published papers. A total of 131 studies showed up. Appropriate studies were shortlisted and included (n = 72). Cross-references if relevant were considered from the selected studies. Eligible articles were fully read by the authors and the results were compiled.\n\nResults\nThe prolonged and excessive use of alcohol may lead to structural and functional brain damage, leading to ARD. The cognitive deficits are most frequently observed in domains of visuospatial functions, memory and executive tasks, with a potential of partial recovery if abstinence is maintained. However, there are doubts regarding the etiopathogenesis, nosological status, prevalence and diagnostic criteria for ARD, due to difficulty in assessment and various confounding factors.\n\nConclusions\nWith growing cohort of young and middle-aged people, there is a probable risk of upsurge of ARD. Presently, there are dilemmas over the diagnosis of independent ARD. Thus, there is a need to develop evidence-based guidelines for diagnosis and management of ARD through further systematic studies.","container-title":"International Journal of High Risk Behaviors &amp; Addiction","DOI":"10.5812/ijhrba.27976","ISSN":"2251-8711","issue":"3","journalAbbreviation":"Int J High Risk Behav Addict","note":"PMID: 27818965\nPMCID: PMC5086415","page":"e27976","source":"PubMed Central","title":"Alcohol-related dementia and neurocognitive impairment: A review study","title-short":"Alcohol-Related Dementia and Neurocognitive Impairment","volume":"5","author":[{"family":"Sachdeva","given":"Ankur"},{"family":"Chandra","given":"Mina"},{"family":"Choudhary","given":"Mona"},{"family":"Dayal","given":"Prabhoo"},{"family":"Anand","given":"Kuljeet Singh"}],"issued":{"date-parts":[["2016",2,7]]}}},{"id":13894,"uris":["http://zotero.org/groups/4745233/items/QLA7N65H"],"itemData":{"id":13894,"type":"chapter","container-title":"Diagnostic and Statistical Manual of Mental Disorders 5th edition","publisher":"American Psychiatric Association","title":"DSM-5","author":[{"literal":"American Psychiatric Association"}],"issued":{"date-parts":[["2013"]]}}}],"schema":"https://github.com/citation-style-language/schema/raw/master/csl-citation.json"} </w:instrText>
      </w:r>
      <w:r w:rsidRPr="00FB3CBD">
        <w:fldChar w:fldCharType="separate"/>
      </w:r>
      <w:r w:rsidRPr="00FB3CBD">
        <w:rPr>
          <w:rFonts w:cs="Arial"/>
          <w:vertAlign w:val="superscript"/>
        </w:rPr>
        <w:t>3,23–25,42,60–66</w:t>
      </w:r>
      <w:r w:rsidRPr="00FB3CBD">
        <w:fldChar w:fldCharType="end"/>
      </w:r>
      <w:r w:rsidRPr="00FB3CBD">
        <w:t xml:space="preserve"> </w:t>
      </w:r>
    </w:p>
    <w:p w14:paraId="5F1BCD86" w14:textId="77777777" w:rsidR="00104511" w:rsidRPr="00FD4A11" w:rsidRDefault="00104511" w:rsidP="007B2413">
      <w:pPr>
        <w:pStyle w:val="Bulletpoint"/>
      </w:pPr>
      <w:r w:rsidRPr="00FD4A11">
        <w:rPr>
          <w:b/>
        </w:rPr>
        <w:t>Mental health challenges</w:t>
      </w:r>
      <w:r w:rsidRPr="00FD4A11">
        <w:t xml:space="preserve"> such as schizophrenia or bipolar disorder, as well as depression or anxiety when these severely impact someone’s life.</w:t>
      </w:r>
      <w:r w:rsidRPr="00FD4A11">
        <w:fldChar w:fldCharType="begin"/>
      </w:r>
      <w:r w:rsidRPr="00FD4A11">
        <w:instrText xml:space="preserve"> ADDIN ZOTERO_ITEM CSL_CITATION {"citationID":"agitp92tpt","properties":{"formattedCitation":"\\super 67\\uc0\\u8211{}70\\nosupersub{}","plainCitation":"67–70","noteIndex":0},"citationItems":[{"id":14232,"uris":["http://zotero.org/groups/4745233/items/5HKGXJBF"],"itemData":{"id":14232,"type":"article-journal","abstract":"Cognition is an important factor that affects daily functioning and quality of life. Impairment in cognitive function is a common symptom present in various psychological disorders, which hinders patients from functioning normally. Given that cognitive impairment has devastating effects, enhancing this in patients should lead to improvements in compromised quality of life and functioning, including vocational functioning. Over the past 50 years, several attempts have been made to improve impaired cognition, and empirical evidence for cognitive remediation (CR) has accumulated that supports its efﬁcacy for treating schizophrenia. More recently, CR has been successfully applied in the treatment of depressive disorders, bipolar disorders, attention deﬁcit/hyperactivity disorder, and anorexia nervosa. This study critically reviews recent CR studies and suggests their future direction. This study aimed to provide a modern deﬁnition of CR, and examine the current status of empirical evidence and representative CR programs that are widely used around the world.","container-title":"Frontiers in Psychiatry","DOI":"10.3389/fpsyt.2018.00461","ISSN":"1664-0640","journalAbbreviation":"Front. Psychiatry","language":"en","page":"461","source":"DOI.org (Crossref)","title":"Current status of cognitive remediation for psychiatric disorders: A review","title-short":"Current Status of Cognitive Remediation for Psychiatric Disorders","volume":"9","author":[{"family":"Kim","given":"Eun Jin"},{"family":"Bahk","given":"Yong-Chun"},{"family":"Oh","given":"Hyeonju"},{"family":"Lee","given":"Won-Hye"},{"family":"Lee","given":"Jong-Sun"},{"family":"Choi","given":"Kee-Hong"}],"issued":{"date-parts":[["2018",10,1]]}}},{"id":13157,"uris":["http://zotero.org/groups/4745233/items/QNPKVEHF"],"itemData":{"id":13157,"type":"article-journal","container-title":"Australian &amp; New Zealand Journal of Psychiatry","DOI":"10.1177/0004867415607986","issue":"6","language":"en","note":"DOI: 10.1177/0004867415607986","page":"566-576","title":"Cognitive neuropsychological functioning in New Zealand Māori diagnosed with schizophrenia","volume":"50","author":[{"family":"Kake","given":"Tai R"},{"family":"Garrett","given":"Nicholas"},{"family":"Te Aonui","given":"Menetta"}],"issued":{"date-parts":[["2016"]]}}},{"id":13790,"uris":["http://zotero.org/groups/4745233/items/BRUVFQNU"],"itemData":{"id":13790,"type":"article-journal","abstract":"Cognitive impairment plays a key role in determining the course of illness and functional outcomes in mood disorders. This article summarises and discusses important papers within this thematic series of BJPsych Open that contribute to a greater understanding of the complexity of ‘Cognition in Mood Disorders’.","container-title":"BJPsych Open","DOI":"10.1192/bjo.2020.149","ISSN":"2056-4724","issue":"1","journalAbbreviation":"BJPsych Open","note":"PMID: 33308366\nPMCID: PMC7791566","page":"e16","source":"PubMed Central","title":"Cognition in mood disorders","volume":"7","author":[{"family":"Douglas","given":"Katie M."},{"family":"Porter","given":"Richard J."},{"family":"Young","given":"Allan H."}],"issued":{"date-parts":[["2020",12,14]]}}},{"id":13160,"uris":["http://zotero.org/groups/4745233/items/J9W2SR6W"],"itemData":{"id":13160,"type":"article-journal","abstract":"This review aimed to address the question of whether cognitive impairment should be considered a core feature of depression that may be a valuable target for treatment.\nWe conducted a systematic review and meta-analysis of cognitive function, assessed with a single neuropsychological test battery, the Cambridge Neuropsychological Test Automated Battery (CANTAB), in patients with depression during symptomatic and remitted states. Inclusion of studies comparing patients remitted from depression and controls enabled us to investigate whether cognitive impairment persists beyond episodes of low mood in depression.\nOur meta-analysis revealed significant moderate cognitive deficits in executive function, memory and attention in patients with depression relative to controls (Cohen's d effect sizes ranging from -0.34 to -0.65). Significant moderate deficits in executive function and attention (Cohen's d ranging from -0.52 to -0.61) and non-significant small/moderate deficits in memory (Cohen's d ranging from -0.22 to -0.54) were found to persist in patients whose depressive symptoms had remitted, indicating that cognitive impairment occurs separately from episodes of low mood in depression.\nBoth low mood and cognitive impairment are associated with poor psychosocial functioning. Therefore, we argue that remediation of cognitive impairment and alleviation of depressive symptoms each play an important role in improving outcome for patients with depression. In conclusion, this systematic review and meta-analysis demonstrates that cognitive impairment represents a core feature of depression that cannot be considered an epiphenomenon that is entirely secondary to symptoms of low mood and that may be a valuable target for future interventions.","container-title":"Psychological medicine","DOI":"10.1017/S0033291713002535","journalAbbreviation":"Psychological medicine","page":"1-12","source":"ResearchGate","title":"Cognitive impairment in depression: a systematic review and meta-analysis","title-short":"Rock PL, Roiser JP, Riedel WJ, Blackwell AD. Cognitive impairment in depression","volume":"44","author":[{"family":"Rock","given":"P"},{"family":"Roiser","given":"Jonathan"},{"family":"Riedel","given":"Wim"},{"family":"Blackwell","given":"Andrew"}],"issued":{"date-parts":[["2013",10,29]]}}}],"schema":"https://github.com/citation-style-language/schema/raw/master/csl-citation.json"} </w:instrText>
      </w:r>
      <w:r w:rsidRPr="00FD4A11">
        <w:fldChar w:fldCharType="separate"/>
      </w:r>
      <w:r w:rsidRPr="00FD4A11">
        <w:rPr>
          <w:rFonts w:cs="Arial"/>
          <w:vertAlign w:val="superscript"/>
        </w:rPr>
        <w:t>67–70</w:t>
      </w:r>
      <w:r w:rsidRPr="00FD4A11">
        <w:fldChar w:fldCharType="end"/>
      </w:r>
    </w:p>
    <w:p w14:paraId="795DA174" w14:textId="77777777" w:rsidR="00A16AD8" w:rsidRDefault="00A16AD8" w:rsidP="00104511">
      <w:pPr>
        <w:rPr>
          <w:b/>
          <w:bCs/>
          <w:color w:val="00194C" w:themeColor="accent3" w:themeShade="80"/>
          <w:szCs w:val="24"/>
        </w:rPr>
      </w:pPr>
    </w:p>
    <w:p w14:paraId="48A886C3" w14:textId="1D9507EC" w:rsidR="00104511" w:rsidRPr="00C94744" w:rsidRDefault="00104511" w:rsidP="00104511">
      <w:pPr>
        <w:rPr>
          <w:b/>
          <w:bCs/>
          <w:color w:val="00194C" w:themeColor="accent3" w:themeShade="80"/>
          <w:sz w:val="28"/>
          <w:szCs w:val="28"/>
        </w:rPr>
      </w:pPr>
      <w:r w:rsidRPr="00C94744">
        <w:rPr>
          <w:b/>
          <w:bCs/>
          <w:color w:val="00194C" w:themeColor="accent3" w:themeShade="80"/>
          <w:sz w:val="28"/>
          <w:szCs w:val="28"/>
        </w:rPr>
        <w:t>Neurodevelopmental conditions</w:t>
      </w:r>
    </w:p>
    <w:p w14:paraId="0446D510" w14:textId="77777777" w:rsidR="00104511" w:rsidRPr="007001F5" w:rsidRDefault="00104511" w:rsidP="007B2413">
      <w:r w:rsidRPr="007001F5">
        <w:t>Neurodevelopmental conditions like those listed above are common among people experiencing problematic substance use and can contribute to long-term cognitive impairment. For many people, a neurodevelopmental condition is seen as an essential part of who they are. Others may have learned to mask a disability due to stigma and discrimination, and previous issues with service access.</w:t>
      </w:r>
    </w:p>
    <w:p w14:paraId="129CD3B3" w14:textId="3ACBDCEC" w:rsidR="007D546D" w:rsidRPr="006260EE" w:rsidRDefault="00104511" w:rsidP="007B2413">
      <w:r w:rsidRPr="007001F5">
        <w:t xml:space="preserve">FASD in particular is often underdiagnosed and under recognised in Aotearoa New Zealand. It is a condition resulting from alcohol exposure during pregnancy, causing a range of complex physical, behavioural, learning, and intellectual challenges that can </w:t>
      </w:r>
      <w:r w:rsidRPr="00BE21EC">
        <w:rPr>
          <w:szCs w:val="24"/>
        </w:rPr>
        <w:t xml:space="preserve">persist throughout life. </w:t>
      </w:r>
      <w:hyperlink r:id="rId23" w:history="1">
        <w:r w:rsidRPr="00BE21EC">
          <w:rPr>
            <w:rStyle w:val="Hyperlink"/>
            <w:szCs w:val="24"/>
          </w:rPr>
          <w:t>Read more about FASD on the Health New Zealand website.</w:t>
        </w:r>
      </w:hyperlink>
      <w:r w:rsidRPr="00953907">
        <w:rPr>
          <w:color w:val="000000" w:themeColor="text1"/>
        </w:rPr>
        <w:t xml:space="preserve"> </w:t>
      </w:r>
      <w:bookmarkStart w:id="723" w:name="_Toc144657417"/>
      <w:bookmarkStart w:id="724" w:name="_Toc145670692"/>
      <w:bookmarkStart w:id="725" w:name="_Toc145854306"/>
      <w:bookmarkStart w:id="726" w:name="_Toc146024236"/>
      <w:bookmarkStart w:id="727" w:name="_Toc146624816"/>
      <w:bookmarkStart w:id="728" w:name="_Toc146714177"/>
      <w:bookmarkStart w:id="729" w:name="_Toc178780107"/>
      <w:bookmarkStart w:id="730" w:name="_Toc178838873"/>
      <w:bookmarkStart w:id="731" w:name="_Toc178839060"/>
      <w:bookmarkStart w:id="732" w:name="_Toc178839181"/>
      <w:bookmarkStart w:id="733" w:name="_Toc178839410"/>
      <w:bookmarkStart w:id="734" w:name="_Toc178841620"/>
      <w:bookmarkStart w:id="735" w:name="_Toc179198179"/>
      <w:bookmarkStart w:id="736" w:name="_Toc179198427"/>
      <w:bookmarkStart w:id="737" w:name="_Toc179198535"/>
      <w:bookmarkStart w:id="738" w:name="_Toc179198642"/>
      <w:bookmarkStart w:id="739" w:name="_Toc179446086"/>
      <w:bookmarkStart w:id="740" w:name="_Toc179447117"/>
      <w:bookmarkStart w:id="741" w:name="_Toc179448657"/>
      <w:bookmarkStart w:id="742" w:name="_Toc179448818"/>
      <w:bookmarkStart w:id="743" w:name="_Toc179449205"/>
      <w:bookmarkStart w:id="744" w:name="_Toc179452908"/>
      <w:bookmarkStart w:id="745" w:name="_Toc179461421"/>
      <w:bookmarkStart w:id="746" w:name="_Toc179461865"/>
      <w:bookmarkStart w:id="747" w:name="_Toc179468299"/>
      <w:bookmarkStart w:id="748" w:name="_Toc179468541"/>
      <w:bookmarkStart w:id="749" w:name="_Toc179483244"/>
      <w:bookmarkStart w:id="750" w:name="_Toc179486312"/>
      <w:bookmarkStart w:id="751" w:name="_Toc179487917"/>
      <w:bookmarkStart w:id="752" w:name="_Toc179489220"/>
      <w:bookmarkStart w:id="753" w:name="_Toc179531345"/>
      <w:bookmarkStart w:id="754" w:name="_Toc179536018"/>
      <w:bookmarkStart w:id="755" w:name="_Toc179537857"/>
      <w:bookmarkStart w:id="756" w:name="_Toc179537921"/>
      <w:bookmarkStart w:id="757" w:name="_Toc179538088"/>
      <w:bookmarkStart w:id="758" w:name="_Toc179538901"/>
    </w:p>
    <w:p w14:paraId="7E33059D" w14:textId="77777777" w:rsidR="00A16AD8" w:rsidRDefault="00A16AD8" w:rsidP="007D546D">
      <w:pPr>
        <w:rPr>
          <w:b/>
          <w:bCs/>
          <w:color w:val="00194C" w:themeColor="accent3" w:themeShade="80"/>
        </w:rPr>
      </w:pPr>
    </w:p>
    <w:p w14:paraId="4044CDC0" w14:textId="1807CC3D" w:rsidR="00104511" w:rsidRPr="00C94744" w:rsidRDefault="00104511" w:rsidP="007D546D">
      <w:pPr>
        <w:rPr>
          <w:b/>
          <w:bCs/>
          <w:color w:val="00194C" w:themeColor="accent3" w:themeShade="80"/>
          <w:sz w:val="28"/>
          <w:szCs w:val="28"/>
        </w:rPr>
      </w:pPr>
      <w:r w:rsidRPr="00C94744">
        <w:rPr>
          <w:b/>
          <w:bCs/>
          <w:color w:val="00194C" w:themeColor="accent3" w:themeShade="80"/>
          <w:sz w:val="28"/>
          <w:szCs w:val="28"/>
        </w:rPr>
        <w:t>Short- and long-term cognitive impacts</w:t>
      </w:r>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p>
    <w:p w14:paraId="6BC47BD9" w14:textId="77777777" w:rsidR="007F1966" w:rsidRDefault="00104511" w:rsidP="007F1966">
      <w:r>
        <w:t>Not all causes of cognitive impairment are permanent. Some</w:t>
      </w:r>
      <w:r w:rsidRPr="00554152">
        <w:t xml:space="preserve"> types of cognitive impairment have long-term impacts on cognitive function, while some are short-term </w:t>
      </w:r>
      <w:r>
        <w:t xml:space="preserve">or transient </w:t>
      </w:r>
      <w:r w:rsidRPr="00554152">
        <w:t>and can be reduced or reversed over time.</w:t>
      </w:r>
      <w:r w:rsidRPr="00554152">
        <w:fldChar w:fldCharType="begin"/>
      </w:r>
      <w:r>
        <w:instrText xml:space="preserve"> ADDIN ZOTERO_ITEM CSL_CITATION {"citationID":"ah20eke37o","properties":{"formattedCitation":"\\super 3\\nosupersub{}","plainCitation":"3","noteIndex":0},"citationItems":[{"id":14007,"uris":["http://zotero.org/groups/4745233/items/U3GGYCKU"],"itemData":{"id":14007,"type":"report","event-place":"Richmond, Victoria","language":"en","publisher":"Turning Point","publisher-place":"Richmond, Victoria","source":"Zotero","title":"Managing Cognitive Impairment in AOD Treatment: Practice Guidelines for Healthcare Professionals","URL":"https://www.turningpoint.org.au/treatment/clinicians/Managing-Cognitive-Impairment-in-AOD-Treatment-Guidelines","author":[{"family":"Manning","given":"Victoria"},{"family":"Gooden","given":"James"},{"family":"Cox","given":"Catherine"},{"family":"Whelan","given":"Danielle"},{"family":"Miroz","given":"Katherine"}],"issued":{"date-parts":[["2021"]]}}}],"schema":"https://github.com/citation-style-language/schema/raw/master/csl-citation.json"} </w:instrText>
      </w:r>
      <w:r w:rsidRPr="00554152">
        <w:fldChar w:fldCharType="separate"/>
      </w:r>
      <w:r w:rsidRPr="00554152">
        <w:rPr>
          <w:szCs w:val="24"/>
          <w:vertAlign w:val="superscript"/>
        </w:rPr>
        <w:t>3</w:t>
      </w:r>
      <w:r w:rsidRPr="00554152">
        <w:fldChar w:fldCharType="end"/>
      </w:r>
      <w:r w:rsidRPr="00554152">
        <w:t xml:space="preserve"> </w:t>
      </w:r>
      <w:r>
        <w:fldChar w:fldCharType="begin"/>
      </w:r>
      <w:r>
        <w:instrText xml:space="preserve"> REF _Ref146294462 \h </w:instrText>
      </w:r>
      <w:r w:rsidR="007B2413">
        <w:instrText xml:space="preserve"> \* MERGEFORMAT </w:instrText>
      </w:r>
      <w:r>
        <w:fldChar w:fldCharType="separate"/>
      </w:r>
    </w:p>
    <w:p w14:paraId="2A962627" w14:textId="2A5B3232" w:rsidR="00104511" w:rsidRDefault="007F1966" w:rsidP="007B2413">
      <w:r w:rsidRPr="000A7D87">
        <w:lastRenderedPageBreak/>
        <w:t>Table</w:t>
      </w:r>
      <w:r w:rsidRPr="000A7D87">
        <w:rPr>
          <w:noProof/>
        </w:rPr>
        <w:t xml:space="preserve"> </w:t>
      </w:r>
      <w:r>
        <w:rPr>
          <w:noProof/>
        </w:rPr>
        <w:t>2</w:t>
      </w:r>
      <w:r w:rsidR="00104511">
        <w:fldChar w:fldCharType="end"/>
      </w:r>
      <w:r w:rsidR="00104511">
        <w:t xml:space="preserve"> </w:t>
      </w:r>
      <w:r w:rsidR="00104511" w:rsidRPr="00554152">
        <w:t xml:space="preserve">covers </w:t>
      </w:r>
      <w:r w:rsidR="00104511">
        <w:t xml:space="preserve">relevant </w:t>
      </w:r>
      <w:r w:rsidR="00104511" w:rsidRPr="00554152">
        <w:t>long- and short-term causes of cognitive impairment in AOD services.</w:t>
      </w:r>
      <w:r w:rsidR="00104511" w:rsidRPr="00AC3BAF">
        <w:fldChar w:fldCharType="begin"/>
      </w:r>
      <w:r w:rsidR="00104511">
        <w:instrText xml:space="preserve"> ADDIN ZOTERO_ITEM CSL_CITATION {"citationID":"afa6cs37ok","properties":{"formattedCitation":"\\super 3,71\\uc0\\u8211{}84\\nosupersub{}","plainCitation":"3,71–84","noteIndex":0},"citationItems":[{"id":13639,"uris":["http://zotero.org/groups/4745233/items/PPYFZXS7"],"itemData":{"id":13639,"type":"document","language":"en","publisher":"SAMHSA Center for the Application of Prevention Technologies","source":"Zotero","title":"The Role of Adverse Childhood Experiences in Substance Misuse and Related Behavioral Health Problems","author":[{"family":"Anda","given":"Robert"}],"issued":{"date-parts":[["2018"]]}}},{"id":13234,"uris":["http://zotero.org/groups/4745233/items/TYDJB7JP"],"itemData":{"id":13234,"type":"article-journal","container-title":"The Lancet Public Health","DOI":"10.1016/S2468-2667(18)30031-8","ISSN":"2468-2667","issue":"3","journalAbbreviation":"The Lancet Public Health","language":"English","note":"publisher: Elsevier\nPMID: 29475811","page":"e103-e104","source":"www.thelancet.com","title":"Alcohol and dementia: a complex relationship with potential for dementia prevention","title-short":"Alcohol and dementia","volume":"3","author":[{"family":"Ballard","given":"Clive"},{"family":"Lang","given":"Iain"}],"issued":{"date-parts":[["2018",3,1]]}}},{"id":13025,"uris":["http://zotero.org/groups/4745233/items/EXGHPQV3"],"itemData":{"id":13025,"type":"article-journal","abstract":"Cerebrovascular disorders contribute to the morbidity and disability associated with illicit drug use. Drug abusers have an increased risk of both hemorrhagic and ischemic stroke. In geographic areas with a high prevalence of illicit drug use, drug abuse is a frequent cause of stroke in the young adult. The illicit drugs more commonly associated with stroke are psychomotor stimulants, such as amphetamine and cocaine. Less commonly implicated are opioids and psychotomimetic drugs, including cannabis. Toxicology screening for illicit drugs should be done in young patients with stroke with no obvious cause, or if suggested by history or examination. Although in some patients the mechanism of stroke is identified using neuroimaging and other modern diagnostic tools, in a sizeable fraction of cases the mechanism of stroke remains unclear. Further studies are needed to elucidate the role of hemodynamic and immunologic mechanisms in these cases.","container-title":"Current Neurology and Neuroscience Reports","DOI":"10.1007/s11910-012-0325-0","ISSN":"1534-6293","issue":"2","journalAbbreviation":"Curr Neurol Neurosci Rep","language":"eng","note":"PMID: 23299821","page":"325","source":"PubMed","title":"Drug abuse and stroke","volume":"13","author":[{"family":"Fonseca","given":"Ana Catarina"},{"family":"Ferro","given":"José M."}],"issued":{"date-parts":[["2013",2]]}}},{"id":14007,"uris":["http://zotero.org/groups/4745233/items/U3GGYCKU"],"itemData":{"id":14007,"type":"report","event-place":"Richmond, Victoria","language":"en","publisher":"Turning Point","publisher-place":"Richmond, Victoria","source":"Zotero","title":"Managing Cognitive Impairment in AOD Treatment: Practice Guidelines for Healthcare Professionals","URL":"https://www.turningpoint.org.au/treatment/clinicians/Managing-Cognitive-Impairment-in-AOD-Treatment-Guidelines","author":[{"family":"Manning","given":"Victoria"},{"family":"Gooden","given":"James"},{"family":"Cox","given":"Catherine"},{"family":"Whelan","given":"Danielle"},{"family":"Miroz","given":"Katherine"}],"issued":{"date-parts":[["2021"]]}}},{"id":14231,"uris":["http://zotero.org/groups/4745233/items/9XPBZPLW"],"itemData":{"id":14231,"type":"article-journal","container-title":"Journal of Head Trauma Rehabilitation","DOI":"10.1097/HTR.0000000000000249","ISSN":"0885-9701","issue":"3","language":"en","page":"E65-E74","source":"DOI.org (Crossref)","title":"The prevalence of traumatic brain injury among people with co-occurring mental health and substance use disorders","volume":"32","author":[{"family":"McHugo","given":"Gregory J."},{"family":"Krassenbaum","given":"Sarah"},{"family":"Donley","given":"Sachiko"},{"family":"Corrigan","given":"John D."},{"family":"Bogner","given":"Jennifer"},{"family":"Drake","given":"Robert E."}],"issued":{"date-parts":[["2017",5]]}}},{"id":13286,"uris":["http://zotero.org/groups/4745233/items/BJ5SAEAM"],"itemData":{"id":13286,"type":"article-journal","abstract":"Background Epidemiological data on alcohol-related cognitive disorders are scarce. Up-to-date population-based incidence and mortality rates for Wernicke-Korsakoff syndrome (WKS) and alcohol-related dementia (ARD) are necessary to understand the burden of these diseases. Methods We collected diagnostic data from the Finnish Hospital Discharge Register and mortality data from Statistics Finland for all persons aged ≥40 years who had received a diagnosis of WKS (n = 1149) or ARD (n = 2432) between 1998 and 2015 in Finland. We calculated the incidences and mortality in relation to the age-, sex- and calendar year-matched general population. Causes of death were ascertained from death certificates. Results For WKS, the incidence per 100,000 person-years (95% confidence interval (CI)) was 3.7 (3.4–3.9) in men and 1.2 (1.1–1.3) in women. For ARD, the incidence was 8.2 (7.9–8.6) in men and 2.1 (1.9–2.3) in women. The incidence of WKS peaked in people aged 50–59 years and the incidence of ARD in people aged 70–79 years. The standardized mortality ratio (95% CI) was 5.67 (5.25–6.13) in WKS patients and 5.41 (5.14–5.70) in ARD patients. Most of the excess mortality resulted from alcohol-related causes. Conclusions To our knowledge, this is the first study describing population-based incidence and mortality rates, sex-segregated data and causes of death in patients with WKS or ARD. Our results establish a point of reference for the incidence of WKS and ARD and show the high mortality and poor prognosis of these disorders.","container-title":"International Journal of Geriatric Psychiatry","DOI":"10.1002/gps.5775","ISSN":"1099-1166","issue":"8","language":"en","note":"_eprint: https://onlinelibrary.wiley.com/doi/pdf/10.1002/gps.5775","source":"Wiley Online Library","title":"Incidence and mortality of alcohol-related dementia and Wernicke-Korsakoff syndrome: A nationwide register study","title-short":"Incidence and mortality of alcohol-related dementia and Wernicke-Korsakoff syndrome","URL":"https://onlinelibrary.wiley.com/doi/abs/10.1002/gps.5775","volume":"37","author":[{"family":"Palm","given":"Anniina"},{"family":"Vataja","given":"Risto"},{"family":"Talaslahti","given":"Tiina"},{"family":"Ginters","given":"Milena"},{"family":"Kautiainen","given":"Hannu"},{"family":"Elonheimo","given":"Henrik"},{"family":"Suvisaari","given":"Jaana"},{"family":"Lindberg","given":"Nina"},{"family":"Koponen","given":"Hannu"}],"accessed":{"date-parts":[["2022",10,12]]},"issued":{"date-parts":[["2022"]]}}},{"id":13134,"uris":["http://zotero.org/groups/4745233/items/KAE9GUFK"],"itemData":{"id":13134,"type":"article-journal","abstract":"Background Fetal alcohol spectrum disorder (FASD) is related to many comorbidities because of the permanent eﬀects of prenatal alcohol exposure on the fetus. We aimed to identify the comorbid conditions that co-occur in individuals with FASD and estimate the pooled prevalence of comorbid conditions occurring in individuals with fetal alcohol syndrome (FAS).","container-title":"The Lancet","DOI":"10.1016/S0140-6736(15)01345-8","ISSN":"01406736","issue":"10022","journalAbbreviation":"The Lancet","language":"en","page":"978-987","source":"DOI.org (Crossref)","title":"Comorbidity of fetal alcohol spectrum disorder: a systematic review and meta-analysis","title-short":"Comorbidity of fetal alcohol spectrum disorder","volume":"387","author":[{"family":"Popova","given":"Svetlana"},{"family":"Lange","given":"Shannon"},{"family":"Shield","given":"Kevin"},{"family":"Mihic","given":"Alanna"},{"family":"Chudley","given":"Albert E"},{"family":"Mukherjee","given":"Raja A S"},{"family":"Bekmuradov","given":"Dennis"},{"family":"Rehm","given":"Jürgen"}],"issued":{"date-parts":[["2016",3]]}}},{"id":13230,"uris":["http://zotero.org/groups/4745233/items/58NNRVYW"],"itemData":{"id":13230,"type":"article-journal","abstract":"Objective To examine the association between alcohol consumption and risk of dementia.\nDesign Prospective cohort study.\nSetting Civil service departments in London (Whitehall II study).\nParticipants 9087 participants aged 35-55 years at study inception (1985/88).\nMain outcome measures Incident dementia, identified through linkage to hospital, mental health services, and mortality registers until 2017. Measures of alcohol consumption were the mean from three assessments between 1985/88 and 1991/93 (midlife), categorised as abstinence, 1-14 units/week, and &gt;14 units/week; 17 year trajectories of alcohol consumption based on five assessments of alcohol consumption between 1985/88 and 2002/04; CAGE questionnaire for alcohol dependence assessed in 1991/93; and hospital admission for alcohol related chronic diseases between 1991 and 2017.\nResults 397 cases of dementia were recorded over a mean follow-up of 23 years. Abstinence in midlife was associated with a higher risk of dementia (hazard ratio 1.47, 95% confidence interval 1.15 to 1.89) compared with consumption of 1-14 units/week. Among those drinking &gt;14 units/week, a 7 unit increase in alcohol consumption was associated with a 17% (95% confidence interval 4% to 32%) increase in risk of dementia. CAGE score &gt;2 (hazard ratio 2.19, 1.29 to 3.71) and alcohol related hospital admission (4.28, 2.72 to 6.73) were also associated with an increased risk of dementia. Alcohol consumption trajectories from midlife to early old age showed long term abstinence (1.74, 1.31 to 2.30), decrease in consumption (1.55, 1.08 to 2.22), and long term consumption &gt;14 units/week (1.40, 1.02 to 1.93) to be associated with a higher risk of dementia compared with long term consumption of 1-14 units/week. Analysis using multistate models suggested that the excess risk of dementia associated with abstinence in midlife was partly explained by cardiometabolic disease over the follow-up as the hazard ratio of dementia in abstainers without cardiometabolic disease was 1.33 (0.88 to 2.02) compared with 1.47 (1.15 to 1.89) in the entire population.\nConclusion The risk of dementia was increased in people who abstained from alcohol in midlife or consumed &gt;14 units/week. In several countries, guidelines define thresholds for harmful alcohol consumption much higher than 14 units/week. The present findings encourage the downward revision of such guidelines to promote cognitive health at older ages.","container-title":"BMJ","DOI":"10.1136/bmj.k2927","ISSN":"0959-8138, 1756-1833","journalAbbreviation":"BMJ","language":"en","license":"Published by the BMJ Publishing Group Limited. For permission to use (where not already granted under a licence) please go to http://group.bmj.com/group/rights-licensing/permissions. This is an Open Access article distributed in accordance with the terms of the Creative Commons Attribution (CC BY 4.0) license, which permits others to distribute, remix, adapt and build upon this work, for commercial use, provided the original work is properly cited. See: http://creativecommons.org/licenses/by/4.0/.","note":"publisher: British Medical Journal Publishing Group\nsection: Research\nPMID: 30068508","page":"k2927","source":"www.bmj.com","title":"Alcohol consumption and risk of dementia: 23 year follow-up of Whitehall II cohort study","title-short":"Alcohol consumption and risk of dementia","volume":"362","author":[{"family":"Sabia","given":"Séverine"},{"family":"Fayosse","given":"Aurore"},{"family":"Dumurgier","given":"Julien"},{"family":"Dugravot","given":"Aline"},{"family":"Akbaraly","given":"Tasnime"},{"family":"Britton","given":"Annie"},{"family":"Kivimäki","given":"Mika"},{"family":"Singh-Manoux","given":"Archana"}],"issued":{"date-parts":[["2018",8,1]]}}},{"id":13206,"uris":["http://zotero.org/groups/4745233/items/ICRHSUVD"],"itemData":{"id":13206,"type":"article-journal","abstract":"Background Dementia is a prevalent condition, affecting 5–7% of people aged 60 years and older, and a leading cause of disability in people aged 60 years and older globally. We aimed to examine the association between alcohol use disorders and dementia risk, with an emphasis on early-onset dementia (&lt;65 years).","container-title":"The Lancet Public Health","DOI":"10.1016/S2468-2667(18)30022-7","ISSN":"24682667","issue":"3","journalAbbreviation":"The Lancet Public Health","language":"en","page":"e124-e132","source":"DOI.org (Crossref)","title":"Contribution of alcohol use disorders to the burden of dementia in France 2008–13: a nationwide retrospective cohort study","title-short":"Contribution of alcohol use disorders to the burden of dementia in France 2008–13","volume":"3","author":[{"family":"Schwarzinger","given":"Michaël"},{"family":"Pollock","given":"Bruce G"},{"family":"Hasan","given":"Omer S M"},{"family":"Dufouil","given":"Carole"},{"family":"Rehm","given":"Jürgen"},{"family":"Baillot","given":"S"},{"family":"Guibert","given":"Q"},{"family":"Planchet","given":"F"},{"family":"Luchini","given":"S"}],"issued":{"date-parts":[["2018",3]]}}},{"id":13137,"uris":["http://zotero.org/groups/4745233/items/H4XWMCP2"],"itemData":{"id":13137,"type":"article-journal","abstract":"Many international studies show that adolescents in coercive institutional care display high prevalences of mental disorders, especially in the form of disruptive behavior disorders [including attention-deﬁcit/hyperactivity disorder (AD/HD), oppositional deﬁant disorder, and conduct disorder], anxiety disorders, and mood disorders. High degrees of overlap across mental disorders have also been reported. In addition, institutionalized adolescents are often traumatized. Despite this well-documented psychiatric morbidity, the mental health care needs of detained adolescents are often overlooked. The main objective of this study is to assess prevalences of psychiatric disorders, results of intelligence tests, and previous contacts with child and adolescent psychiatric services among adolescents in institutional care. DSM-IV diagnoses, mental health contacts, substance abuse, neurocognitive abilities, and school performance were registered in 100 adolescents (92 boys, 8 girls) aged 12–19 years (mean age 16.0; SD ± 1.5) consecutively committed to Swedish juvenile institutions between 2004 and 2007. At least one psychiatric disorder was diagnosed in 73% of the subjects: 48% met DSM-IV diagnostic criteria for AD/HD, 17% for an autism spectrum disorder, and 10% for a mental retardation. The collapsed prevalence for psychiatric disorders requiring specialist attention was 63%. Our data indicate that systematic diagnostic procedures are crucial in the treatment planning for institutionalized adolescents.","container-title":"European Child &amp; Adolescent Psychiatry","DOI":"10.1007/s00787-010-0137-1","ISSN":"1018-8827, 1435-165X","issue":"12","journalAbbreviation":"Eur Child Adolesc Psychiatry","language":"en","page":"893-903","source":"DOI.org (Crossref)","title":"Mental health problems in youths committed to juvenile institutions: prevalences and treatment needs","title-short":"Mental health problems in youths committed to juvenile institutions","volume":"19","author":[{"family":"Ståhlberg","given":"Ola"},{"family":"Anckarsäter","given":"Henrik"},{"family":"Nilsson","given":"Thomas"}],"issued":{"date-parts":[["2010",12]]}}},{"id":14229,"uris":["http://zotero.org/groups/4745233/items/K3DEHTHA"],"itemData":{"id":14229,"type":"article-journal","abstract":"Although the attention for substance use (SU) and SU disorders (SUD) among individuals with mild to borderline intellectual disability (MBID) has been growing exponentially, this form of dual diagnosis has largely been ignored by addiction medicine. In this article, we systematically review the research between January 2000 and June 2018 on the prevalence, assessment, and treatment of SU(D) among children, adolescents, and adults with MBID. A total of 138 articles were included. It is concluded that individuals with MBID are likely to be at a higher risk for developing SUD compared to those without MBID. Future research should focus on the detection of MBID among patients being treated in addiction medicine, the development and implementation of systematic assessment methods of SU(D) among individuals with MBID, and the development and evaluation of prevention and treatment interventions. System integration, interdisciplinary collaboration, and the development of tailored treatment for individuals with MBID are advised to improve treatment access and outcome for those who have developed SUD.","container-title":"European Addiction Research","DOI":"10.1159/000501679","ISSN":"1421-9891","issue":"6","journalAbbreviation":"Eur Addict Res","language":"eng","note":"PMID: 31330514\nPMCID: PMC6888885","page":"263-282","source":"PubMed","title":"A systematic review of substance use (disorder) in individuals with mild to borderline intellectual disability","volume":"25","author":[{"family":"Duijvenbode","given":"Neomi","non-dropping-particle":"van"},{"family":"VanDerNagel","given":"Joanne E. L."}],"issued":{"date-parts":[["2019"]]}}},{"id":13139,"uris":["http://zotero.org/groups/4745233/items/BS3ZAV7K"],"itemData":{"id":13139,"type":"chapter","container-title":"ADHD &amp; Addiction: Prevalence, diagnostic assessment and treatment of ADHD in substance use disorder patients","page":"11-19","publisher":"Rijksuniversiteit Groningen","title":"Prevalence of attention-deficit hyperactivity disorder in substance use disorder patients: A meta-analysis and meta-regression analysis","URL":"https://pure.rug.nl/ws/portalfiles/portal/61244159/Chapter_3.pdf","volume":"122","author":[{"family":"Emmerik-van Oortmerssen","given":"Katelijne","non-dropping-particle":"van"},{"family":"Glind","given":"Geurt","non-dropping-particle":"van de"},{"family":"Brink","given":"Wim","non-dropping-particle":"van den"},{"family":"Crunelle","given":"Cleo L"},{"family":"Swets","given":"Marije"},{"family":"Schoevers","given":"Robert A"}],"accessed":{"date-parts":[["2022",10,4]]},"issued":{"date-parts":[["2018"]]}}},{"id":14228,"uris":["http://zotero.org/groups/4745233/items/JAANNUSA"],"itemData":{"id":14228,"type":"article-journal","abstract":"Objectives \n        To examine clinical characteristics of clients in state-funded substance abuse treatment who report traumatic brain injury with loss of consciousness (TBI-LOC).\n        Participants \n        Adult clients (N = 7784) entering state-funded substance abuse treatment in a rural state during a 12-month period.\n        Measurement tools \n        Substance use and mental health problems were measured using the federal Substance Abuse and Mental Health Services Administration (SAMHSA) adaptation of the Addiction Severity index (ASI). A brain injury screening question was used to determine the number of TBI-LOCs in a client's lifetime.\n        Design \n        Cross-sectional study of intake characteristics as part of a state-mandated treatment outcome study.\n        Results \n        Almost one-third (31.7%) of substance abuse treatment clients reported 1 or more TBI-LOCs. The clients reporting 2 or more TBI-LOCs were more likely than clients with none or 1 TBI-LOC to have serious mental health problems (ie, depression, anxiety, hallucinations, and suicidal thoughts and attempts), trouble controlling violent behavior, trouble concentrating or remembering, and more months of use of most substances. When depression and anxiety were held constant, and controlling for race and gender, clients with TBI-LOC had more months of marijuana and tranquilizer use.\n        Conclusions \n        Findings suggest that treatment providers may need to be attentive to the complex conditions that co-occur with TBI-LOC. Future research should examine whether there are differences in treatment outcome for clients reporting TBI-LOC.","container-title":"The Journal of Head Trauma Rehabilitation","DOI":"10.1097/01.HTR.0000300231.90619.50","ISSN":"0885-9701","issue":"6","language":"en-US","page":"360–367","source":"journals.lww.com","title":"Screening substance abuse treatment clients for traumatic brain injury: Prevalence and characteristics","title-short":"Screening Substance Abuse Treatment Clients for Traumatic Brain Injury","volume":"22","author":[{"family":"Walker","given":"Robert"},{"family":"Cole","given":"Jennifer E."},{"family":"Logan","given":"T. K."},{"family":"Corrigan","given":"John D."}],"issued":{"date-parts":[["2007",12]]}}},{"id":13407,"uris":["http://zotero.org/groups/4745233/items/FZCIJU6D"],"itemData":{"id":13407,"type":"article-journal","container-title":"Frontiers in Aging Neuroscience","DOI":"10.3389/fnagi.2019.00129","issue":"129","title":"Lifespan intellectual factors, genetic susceptibility, and cognitive phenotypes in aging: Implications for interventions.","URL":"https://www.frontiersin.org/articles/10.3389/fnagi.2019.00129/full","volume":"11","author":[{"family":"Wang","given":"Y"},{"family":"Du","given":"Y"},{"family":"Li","given":"J"},{"family":"Qiu","given":"C"}],"accessed":{"date-parts":[["2022",11,29]]},"issued":{"date-parts":[["2019"]]}}},{"id":13282,"uris":["http://zotero.org/groups/4745233/items/FEAMZ3NK"],"itemData":{"id":13282,"type":"webpage","abstract":"People who inject drugs are at increased risk of HIV, viral hepatitis C (HCV) and B (HBV), tuberculosis as well as overdose. Globally, around 11 million people inject drugs and around 1 in 8 (or 1.4 million) of them are living with HIV (UNODC World Drug Report, 2020) and 39.4% have viremic HCV infection.","language":"en","title":"People who inject drugs","URL":"https://www.who.int/teams/global-hiv-hepatitis-and-stis-programmes/populations/people-who-inject-drugs","author":[{"family":"World Health Organization","given":""}],"accessed":{"date-parts":[["2022",10,12]]}}}],"schema":"https://github.com/citation-style-language/schema/raw/master/csl-citation.json"} </w:instrText>
      </w:r>
      <w:r w:rsidR="00104511" w:rsidRPr="00AC3BAF">
        <w:fldChar w:fldCharType="separate"/>
      </w:r>
      <w:r w:rsidR="00104511" w:rsidRPr="00092044">
        <w:rPr>
          <w:szCs w:val="24"/>
          <w:vertAlign w:val="superscript"/>
        </w:rPr>
        <w:t>3,71–84</w:t>
      </w:r>
      <w:r w:rsidR="00104511" w:rsidRPr="00AC3BAF">
        <w:fldChar w:fldCharType="end"/>
      </w:r>
      <w:r w:rsidR="00104511" w:rsidRPr="00554152">
        <w:t xml:space="preserve"> </w:t>
      </w:r>
    </w:p>
    <w:p w14:paraId="7C99D4C3" w14:textId="77777777" w:rsidR="00C94744" w:rsidRDefault="00C94744" w:rsidP="00854B9A">
      <w:pPr>
        <w:pStyle w:val="Figure"/>
      </w:pPr>
      <w:bookmarkStart w:id="759" w:name="_Ref146294462"/>
      <w:bookmarkStart w:id="760" w:name="_Toc146624901"/>
      <w:bookmarkStart w:id="761" w:name="_Toc179544004"/>
    </w:p>
    <w:p w14:paraId="7EDB68C3" w14:textId="50DD6898" w:rsidR="00104511" w:rsidRPr="00A0485D" w:rsidRDefault="00104511" w:rsidP="00854B9A">
      <w:pPr>
        <w:pStyle w:val="Figure"/>
      </w:pPr>
      <w:r w:rsidRPr="000A7D87">
        <w:t xml:space="preserve">Table </w:t>
      </w:r>
      <w:r w:rsidRPr="000A7D87">
        <w:fldChar w:fldCharType="begin"/>
      </w:r>
      <w:r w:rsidRPr="000A7D87">
        <w:instrText xml:space="preserve"> SEQ Table \* ARABIC </w:instrText>
      </w:r>
      <w:r w:rsidRPr="000A7D87">
        <w:fldChar w:fldCharType="separate"/>
      </w:r>
      <w:r w:rsidR="007F1966">
        <w:rPr>
          <w:noProof/>
        </w:rPr>
        <w:t>2</w:t>
      </w:r>
      <w:r w:rsidRPr="000A7D87">
        <w:fldChar w:fldCharType="end"/>
      </w:r>
      <w:bookmarkEnd w:id="759"/>
      <w:r w:rsidRPr="000A7D87">
        <w:t>. Short- and long-term causes of cognitive impairment</w:t>
      </w:r>
      <w:r w:rsidRPr="000A7D87">
        <w:fldChar w:fldCharType="begin"/>
      </w:r>
      <w:r w:rsidRPr="000A7D87">
        <w:instrText xml:space="preserve"> ADDIN ZOTERO_ITEM CSL_CITATION {"citationID":"a2dqoguob3c","properties":{"formattedCitation":"\\super 3\\nosupersub{}","plainCitation":"3","noteIndex":0},"citationItems":[{"id":14007,"uris":["http://zotero.org/groups/4745233/items/U3GGYCKU"],"itemData":{"id":14007,"type":"report","event-place":"Richmond, Victoria","language":"en","publisher":"Turning Point","publisher-place":"Richmond, Victoria","source":"Zotero","title":"Managing Cognitive Impairment in AOD Treatment: Practice Guidelines for Healthcare Professionals","URL":"https://www.turningpoint.org.au/treatment/clinicians/Managing-Cognitive-Impairment-in-AOD-Treatment-Guidelines","author":[{"family":"Manning","given":"Victoria"},{"family":"Gooden","given":"James"},{"family":"Cox","given":"Catherine"},{"family":"Whelan","given":"Danielle"},{"family":"Miroz","given":"Katherine"}],"issued":{"date-parts":[["2021"]]}}}],"schema":"https://github.com/citation-style-language/schema/raw/master/csl-citation.json"} </w:instrText>
      </w:r>
      <w:r w:rsidRPr="000A7D87">
        <w:fldChar w:fldCharType="separate"/>
      </w:r>
      <w:r w:rsidRPr="000A7D87">
        <w:rPr>
          <w:vertAlign w:val="superscript"/>
        </w:rPr>
        <w:t>3</w:t>
      </w:r>
      <w:bookmarkEnd w:id="760"/>
      <w:bookmarkEnd w:id="761"/>
      <w:r w:rsidRPr="000A7D87">
        <w:fldChar w:fldCharType="end"/>
      </w:r>
    </w:p>
    <w:tbl>
      <w:tblPr>
        <w:tblStyle w:val="GridTable4-Accent2"/>
        <w:tblW w:w="10065" w:type="dxa"/>
        <w:tblInd w:w="-5" w:type="dxa"/>
        <w:tblBorders>
          <w:top w:val="none" w:sz="0" w:space="0" w:color="auto"/>
          <w:left w:val="none" w:sz="0" w:space="0" w:color="auto"/>
          <w:bottom w:val="none" w:sz="0" w:space="0" w:color="auto"/>
          <w:right w:val="none" w:sz="0" w:space="0" w:color="auto"/>
          <w:insideH w:val="double" w:sz="6" w:space="0" w:color="28A1AC" w:themeColor="accent2"/>
          <w:insideV w:val="double" w:sz="6" w:space="0" w:color="28A1AC" w:themeColor="accent2"/>
        </w:tblBorders>
        <w:tblLook w:val="04A0" w:firstRow="1" w:lastRow="0" w:firstColumn="1" w:lastColumn="0" w:noHBand="0" w:noVBand="1"/>
      </w:tblPr>
      <w:tblGrid>
        <w:gridCol w:w="5103"/>
        <w:gridCol w:w="4962"/>
      </w:tblGrid>
      <w:tr w:rsidR="00104511" w:rsidRPr="00554152" w14:paraId="366EEDBF" w14:textId="77777777" w:rsidTr="00B308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Borders>
              <w:top w:val="nil"/>
              <w:bottom w:val="nil"/>
              <w:right w:val="double" w:sz="4" w:space="0" w:color="28A1AC" w:themeColor="accent2"/>
            </w:tcBorders>
            <w:shd w:val="clear" w:color="auto" w:fill="000066"/>
          </w:tcPr>
          <w:p w14:paraId="424EEADD" w14:textId="77777777" w:rsidR="00104511" w:rsidRPr="00A0485D" w:rsidRDefault="00104511" w:rsidP="00854B9A">
            <w:r w:rsidRPr="00A0485D">
              <w:t>Long-term causes of cognitive impairment</w:t>
            </w:r>
          </w:p>
        </w:tc>
        <w:tc>
          <w:tcPr>
            <w:tcW w:w="4962" w:type="dxa"/>
            <w:tcBorders>
              <w:top w:val="nil"/>
              <w:left w:val="double" w:sz="4" w:space="0" w:color="28A1AC" w:themeColor="accent2"/>
              <w:bottom w:val="nil"/>
            </w:tcBorders>
            <w:shd w:val="clear" w:color="auto" w:fill="000066"/>
          </w:tcPr>
          <w:p w14:paraId="6894FB05" w14:textId="77777777" w:rsidR="00104511" w:rsidRPr="00A0485D" w:rsidRDefault="00104511" w:rsidP="00854B9A">
            <w:pPr>
              <w:cnfStyle w:val="100000000000" w:firstRow="1" w:lastRow="0" w:firstColumn="0" w:lastColumn="0" w:oddVBand="0" w:evenVBand="0" w:oddHBand="0" w:evenHBand="0" w:firstRowFirstColumn="0" w:firstRowLastColumn="0" w:lastRowFirstColumn="0" w:lastRowLastColumn="0"/>
            </w:pPr>
            <w:r w:rsidRPr="00A0485D">
              <w:t>Short-term or transient causes of cognitive impairment</w:t>
            </w:r>
          </w:p>
        </w:tc>
      </w:tr>
      <w:tr w:rsidR="00104511" w:rsidRPr="00554152" w14:paraId="16217B41" w14:textId="77777777" w:rsidTr="00B30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Borders>
              <w:top w:val="nil"/>
              <w:bottom w:val="nil"/>
            </w:tcBorders>
          </w:tcPr>
          <w:p w14:paraId="58A386B0" w14:textId="77777777" w:rsidR="00104511" w:rsidRPr="007B2413" w:rsidRDefault="00104511" w:rsidP="00854B9A">
            <w:pPr>
              <w:rPr>
                <w:b w:val="0"/>
                <w:bCs w:val="0"/>
              </w:rPr>
            </w:pPr>
            <w:r w:rsidRPr="007B2413">
              <w:rPr>
                <w:b w:val="0"/>
                <w:bCs w:val="0"/>
              </w:rPr>
              <w:t xml:space="preserve">TBI such as falls, car crash, or violence </w:t>
            </w:r>
          </w:p>
        </w:tc>
        <w:tc>
          <w:tcPr>
            <w:tcW w:w="4962" w:type="dxa"/>
            <w:tcBorders>
              <w:top w:val="nil"/>
              <w:bottom w:val="nil"/>
            </w:tcBorders>
          </w:tcPr>
          <w:p w14:paraId="1472E0A9" w14:textId="77777777" w:rsidR="00104511" w:rsidRPr="00A0485D" w:rsidRDefault="00104511" w:rsidP="00854B9A">
            <w:pPr>
              <w:cnfStyle w:val="000000100000" w:firstRow="0" w:lastRow="0" w:firstColumn="0" w:lastColumn="0" w:oddVBand="0" w:evenVBand="0" w:oddHBand="1" w:evenHBand="0" w:firstRowFirstColumn="0" w:firstRowLastColumn="0" w:lastRowFirstColumn="0" w:lastRowLastColumn="0"/>
            </w:pPr>
            <w:r w:rsidRPr="00A0485D">
              <w:t xml:space="preserve">Mental health challenges </w:t>
            </w:r>
          </w:p>
        </w:tc>
      </w:tr>
      <w:tr w:rsidR="00104511" w:rsidRPr="00554152" w14:paraId="1C14AD1C" w14:textId="77777777" w:rsidTr="00B3088E">
        <w:tc>
          <w:tcPr>
            <w:cnfStyle w:val="001000000000" w:firstRow="0" w:lastRow="0" w:firstColumn="1" w:lastColumn="0" w:oddVBand="0" w:evenVBand="0" w:oddHBand="0" w:evenHBand="0" w:firstRowFirstColumn="0" w:firstRowLastColumn="0" w:lastRowFirstColumn="0" w:lastRowLastColumn="0"/>
            <w:tcW w:w="5103" w:type="dxa"/>
            <w:tcBorders>
              <w:top w:val="nil"/>
              <w:bottom w:val="nil"/>
            </w:tcBorders>
          </w:tcPr>
          <w:p w14:paraId="1D822782" w14:textId="77777777" w:rsidR="00104511" w:rsidRPr="007B2413" w:rsidRDefault="00104511" w:rsidP="00854B9A">
            <w:pPr>
              <w:rPr>
                <w:b w:val="0"/>
                <w:bCs w:val="0"/>
              </w:rPr>
            </w:pPr>
            <w:r w:rsidRPr="007B2413">
              <w:rPr>
                <w:b w:val="0"/>
                <w:bCs w:val="0"/>
              </w:rPr>
              <w:t>Other acquired brain injuries such as stroke, hypoxic brain injury, or from substance use</w:t>
            </w:r>
          </w:p>
        </w:tc>
        <w:tc>
          <w:tcPr>
            <w:tcW w:w="4962" w:type="dxa"/>
            <w:tcBorders>
              <w:top w:val="nil"/>
              <w:bottom w:val="nil"/>
            </w:tcBorders>
          </w:tcPr>
          <w:p w14:paraId="2532773A" w14:textId="77777777" w:rsidR="00104511" w:rsidRPr="00A0485D" w:rsidRDefault="00104511" w:rsidP="00854B9A">
            <w:pPr>
              <w:cnfStyle w:val="000000000000" w:firstRow="0" w:lastRow="0" w:firstColumn="0" w:lastColumn="0" w:oddVBand="0" w:evenVBand="0" w:oddHBand="0" w:evenHBand="0" w:firstRowFirstColumn="0" w:firstRowLastColumn="0" w:lastRowFirstColumn="0" w:lastRowLastColumn="0"/>
            </w:pPr>
            <w:r w:rsidRPr="00A0485D">
              <w:t>Acute substance use/intoxication</w:t>
            </w:r>
          </w:p>
        </w:tc>
      </w:tr>
      <w:tr w:rsidR="00104511" w:rsidRPr="00554152" w14:paraId="64926E09" w14:textId="77777777" w:rsidTr="00B30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Borders>
              <w:top w:val="nil"/>
              <w:bottom w:val="nil"/>
            </w:tcBorders>
          </w:tcPr>
          <w:p w14:paraId="6041D81F" w14:textId="77777777" w:rsidR="00104511" w:rsidRPr="007B2413" w:rsidRDefault="00104511" w:rsidP="00854B9A">
            <w:pPr>
              <w:rPr>
                <w:b w:val="0"/>
                <w:bCs w:val="0"/>
              </w:rPr>
            </w:pPr>
            <w:r w:rsidRPr="007B2413">
              <w:rPr>
                <w:b w:val="0"/>
                <w:bCs w:val="0"/>
              </w:rPr>
              <w:t>Neurodegenerative conditions such as dementia</w:t>
            </w:r>
          </w:p>
        </w:tc>
        <w:tc>
          <w:tcPr>
            <w:tcW w:w="4962" w:type="dxa"/>
            <w:tcBorders>
              <w:top w:val="nil"/>
              <w:bottom w:val="nil"/>
            </w:tcBorders>
          </w:tcPr>
          <w:p w14:paraId="590D0C01" w14:textId="77777777" w:rsidR="00104511" w:rsidRPr="00A0485D" w:rsidRDefault="00104511" w:rsidP="00854B9A">
            <w:pPr>
              <w:cnfStyle w:val="000000100000" w:firstRow="0" w:lastRow="0" w:firstColumn="0" w:lastColumn="0" w:oddVBand="0" w:evenVBand="0" w:oddHBand="1" w:evenHBand="0" w:firstRowFirstColumn="0" w:firstRowLastColumn="0" w:lastRowFirstColumn="0" w:lastRowLastColumn="0"/>
            </w:pPr>
            <w:r w:rsidRPr="00A0485D">
              <w:t>Acute medical conditions such as infection or hypoglycaemia (low blood sugar levels)</w:t>
            </w:r>
          </w:p>
        </w:tc>
      </w:tr>
      <w:tr w:rsidR="00104511" w:rsidRPr="00554152" w14:paraId="24E038E0" w14:textId="77777777" w:rsidTr="00B3088E">
        <w:tc>
          <w:tcPr>
            <w:cnfStyle w:val="001000000000" w:firstRow="0" w:lastRow="0" w:firstColumn="1" w:lastColumn="0" w:oddVBand="0" w:evenVBand="0" w:oddHBand="0" w:evenHBand="0" w:firstRowFirstColumn="0" w:firstRowLastColumn="0" w:lastRowFirstColumn="0" w:lastRowLastColumn="0"/>
            <w:tcW w:w="5103" w:type="dxa"/>
            <w:tcBorders>
              <w:top w:val="nil"/>
              <w:bottom w:val="nil"/>
            </w:tcBorders>
          </w:tcPr>
          <w:p w14:paraId="609429C8" w14:textId="77777777" w:rsidR="00104511" w:rsidRPr="007B2413" w:rsidRDefault="00104511" w:rsidP="00854B9A">
            <w:pPr>
              <w:rPr>
                <w:b w:val="0"/>
                <w:bCs w:val="0"/>
              </w:rPr>
            </w:pPr>
            <w:r w:rsidRPr="007B2413">
              <w:rPr>
                <w:b w:val="0"/>
                <w:bCs w:val="0"/>
              </w:rPr>
              <w:t>Chronic medical conditions like liver (such as from hepatitis C) or kidney disease</w:t>
            </w:r>
          </w:p>
        </w:tc>
        <w:tc>
          <w:tcPr>
            <w:tcW w:w="4962" w:type="dxa"/>
            <w:tcBorders>
              <w:top w:val="nil"/>
              <w:bottom w:val="nil"/>
            </w:tcBorders>
          </w:tcPr>
          <w:p w14:paraId="2F13C7AE" w14:textId="77777777" w:rsidR="00104511" w:rsidRPr="00A0485D" w:rsidRDefault="00104511" w:rsidP="00854B9A">
            <w:pPr>
              <w:cnfStyle w:val="000000000000" w:firstRow="0" w:lastRow="0" w:firstColumn="0" w:lastColumn="0" w:oddVBand="0" w:evenVBand="0" w:oddHBand="0" w:evenHBand="0" w:firstRowFirstColumn="0" w:firstRowLastColumn="0" w:lastRowFirstColumn="0" w:lastRowLastColumn="0"/>
            </w:pPr>
            <w:r w:rsidRPr="00A0485D">
              <w:t>Extreme stress and/or sleep deprivation and insomnia</w:t>
            </w:r>
          </w:p>
        </w:tc>
      </w:tr>
      <w:tr w:rsidR="00104511" w:rsidRPr="00554152" w14:paraId="2D56EE16" w14:textId="77777777" w:rsidTr="00B30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Borders>
              <w:top w:val="nil"/>
              <w:bottom w:val="double" w:sz="4" w:space="0" w:color="28A1AC" w:themeColor="accent2"/>
            </w:tcBorders>
          </w:tcPr>
          <w:p w14:paraId="48F2BAF9" w14:textId="77777777" w:rsidR="00104511" w:rsidRPr="007B2413" w:rsidRDefault="00104511" w:rsidP="00854B9A">
            <w:pPr>
              <w:rPr>
                <w:b w:val="0"/>
                <w:bCs w:val="0"/>
              </w:rPr>
            </w:pPr>
            <w:r w:rsidRPr="007B2413">
              <w:rPr>
                <w:b w:val="0"/>
                <w:bCs w:val="0"/>
              </w:rPr>
              <w:t>Neurodevelopmental conditions such as intellectual disability, FASD, ADHD, or ASD</w:t>
            </w:r>
          </w:p>
        </w:tc>
        <w:tc>
          <w:tcPr>
            <w:tcW w:w="4962" w:type="dxa"/>
            <w:tcBorders>
              <w:top w:val="nil"/>
              <w:bottom w:val="double" w:sz="4" w:space="0" w:color="28A1AC" w:themeColor="accent2"/>
            </w:tcBorders>
          </w:tcPr>
          <w:p w14:paraId="22FBB4E1" w14:textId="77777777" w:rsidR="00104511" w:rsidRPr="00A0485D" w:rsidRDefault="00104511" w:rsidP="00854B9A">
            <w:pPr>
              <w:cnfStyle w:val="000000100000" w:firstRow="0" w:lastRow="0" w:firstColumn="0" w:lastColumn="0" w:oddVBand="0" w:evenVBand="0" w:oddHBand="1" w:evenHBand="0" w:firstRowFirstColumn="0" w:firstRowLastColumn="0" w:lastRowFirstColumn="0" w:lastRowLastColumn="0"/>
            </w:pPr>
            <w:r w:rsidRPr="00A0485D">
              <w:t>Medication side effects</w:t>
            </w:r>
          </w:p>
        </w:tc>
      </w:tr>
    </w:tbl>
    <w:p w14:paraId="7AF88D5E" w14:textId="782A5F50" w:rsidR="00104511" w:rsidRPr="004573BD" w:rsidRDefault="00104511" w:rsidP="007B2413">
      <w:r w:rsidRPr="004573BD">
        <w:t>Some causes can have both short- and long-term impacts. For example, TBI may be long- or short-term depending on the degree of injury and rate of recovery, and acquired brain injury from substances can be reduced or reversed depending on substance use patterns and abstinence. Similarly, cognitive functioning can fluctuate based on peoples’ wellbeing journey, like with mental health challenges. Cognitive impairment from medications may occur as a person adjusts to a new medication or for as long as a person takes a particular medication.</w:t>
      </w:r>
    </w:p>
    <w:p w14:paraId="2C544503" w14:textId="77777777" w:rsidR="00104511" w:rsidRPr="004573BD" w:rsidRDefault="00104511" w:rsidP="007B2413">
      <w:r w:rsidRPr="004573BD">
        <w:t xml:space="preserve">A neuropsychological assessment is required to differentiate between possible short- and long-term cognitive impairment. Where this isn’t available, a clinician may be able to identify reversible or temporary factors impacting cognition and work towards addressing the practical impacts of cognitive impairment with the tangata whai ora. For example, providing support for anxiety may improve sleep patterns and lower stress levels resulting in improved cognitive functioning. </w:t>
      </w:r>
    </w:p>
    <w:p w14:paraId="42B59CB9" w14:textId="0876ED30" w:rsidR="002937B6" w:rsidRDefault="00104511" w:rsidP="00796965">
      <w:r w:rsidRPr="004573BD">
        <w:t xml:space="preserve">Common medications that can have cognitive effects include, but are not limited to: anticholinergics (like tricyclic antidepressants), anticonvulsants (like carbamazepine or sodium valproate), pain medications (like codeine or oxycodone), cardiac medications (like </w:t>
      </w:r>
      <w:r w:rsidRPr="004573BD">
        <w:lastRenderedPageBreak/>
        <w:t>beta blockers), and corticosteroids (like prednisone).</w:t>
      </w:r>
      <w:r w:rsidRPr="004573BD">
        <w:rPr>
          <w:color w:val="2B579A"/>
        </w:rPr>
        <w:fldChar w:fldCharType="begin"/>
      </w:r>
      <w:r w:rsidRPr="004573BD">
        <w:instrText xml:space="preserve"> ADDIN ZOTERO_ITEM CSL_CITATION {"citationID":"a2nc6fb5bq2","properties":{"formattedCitation":"\\super 85\\uc0\\u8211{}93\\nosupersub{}","plainCitation":"85–93","noteIndex":0},"citationItems":[{"id":14227,"uris":["http://zotero.org/groups/4745233/items/W9VCC9MW"],"itemData":{"id":14227,"type":"article-journal","abstract":"Elderly people are more likely than young people to develop cognitive impairments associated with medication use. One of the reasons for this is that renal and liver functions are often impaired in elderly people. Dementia and delirium (an acute confused state) are known to be associated with drug toxicity. Anticholinergic medications are common causes of both acute and chronic cognitive impairment. Psychoactive drugs, antidepressants and anticonvulsants can cause dementia and delirium. In addition, non-psychoactive drugs such as histamine H2 receptor antagonists, corticosteroids, NSAIDs (nonsteroidal anti-inflammatory agent), and cardiac medications, may cause acute or chronic cognitive impairment. Early diagnosis and withdrawal of the offending agent are essential for the prevention of drug-induced dementia and delirium.","container-title":"Brain and Nerve = Shinkei Kenkyu No Shinpo","DOI":"10.11477/mf.1416200415","ISSN":"1881-6096","issue":"4","journalAbbreviation":"Brain Nerve","language":"jpn","note":"PMID: 27056860","page":"421-428","source":"PubMed","title":"Drug-induced Cognitive Impairment","volume":"68","author":[{"family":"Shinohara","given":"Moeko"},{"family":"Yamada","given":"Masahito"}],"issued":{"date-parts":[["2016",4]]}}},{"id":12549,"uris":["http://zotero.org/groups/4745233/items/3ALLN874"],"itemData":{"id":12549,"type":"article-journal","abstract":"Disrupted circadian activity is associated with many neuropsychiatric disorders. A major coordinator of circadian biological systems is adrenal glucocorticoid secretion which exhibits a pronounced preawakening peak that regulates metabolic, immune, and cardiovascular processes, as well as mood and cognitive function. Loss of this circadian rhythm during corticosteroid therapy is often associated with memory impairment. Surprisingly, the mechanisms that underlie this deficit are not understood. In this study, in rats, we report that circadian regulation of the hippocampal transcriptome integrates crucial functional networks that link corticosteroid-inducible gene regulation to synaptic plasticity processes via an intrahippocampal circadian transcriptional clock. Further, these circadian hippocampal functions were significantly impacted by corticosteroid treatment delivered in a 5-d oral dosing treatment protocol. Rhythmic expression of the hippocampal transcriptome, as well as the circadian regulation of synaptic plasticity, was misaligned with the natural light/dark circadian-entraining cues, resulting in memory impairment in hippocampal-dependent behavior. These findings provide mechanistic insights into how the transcriptional clock machinery within the hippocampus is influenced by corticosteroid exposure, leading to adverse effects on critical hippocampal functions, as well as identifying a molecular basis for memory deficits in patients treated with long-acting synthetic corticosteroids.","container-title":"Proceedings of the National Academy of Sciences","DOI":"10.1073/pnas.2211996120","issue":"15","note":"publisher: Proceedings of the National Academy of Sciences","page":"e2211996120","source":"pnas.org (Atypon)","title":"Circadian regulation of hippocampal function is disrupted with corticosteroid treatment","volume":"120","author":[{"family":"Birnie","given":"Matthew T."},{"family":"Claydon","given":"Matthew D. B."},{"family":"Troy","given":"Oliver"},{"family":"Flynn","given":"Benjamin P."},{"family":"Yoshimura","given":"Mitsuhiro"},{"family":"Kershaw","given":"Yvonne M."},{"family":"Zhao","given":"Zidong"},{"family":"Demski-Allen","given":"Rebecca C. R."},{"family":"Barker","given":"Gareth R. I."},{"family":"Warburton","given":"E. Clea"},{"family":"Bortolotto","given":"Zuner A."},{"family":"Lightman","given":"Stafford L."},{"family":"Conway-Campbell","given":"Becky L."}],"issued":{"date-parts":[["2023",4,11]]}}},{"id":12550,"uris":["http://zotero.org/groups/4745233/items/BF78S8DK"],"itemData":{"id":12550,"type":"article-journal","abstract":"The brain is a major target organ for corticosteroids. It has been observed that excessive circulatory levels of endogenous and exogenous corticosteroids are frequently associated with cognitive impairment in a wide variety of clinical disease states. Cognition and low levels of corticosteroids have been less well studied. In this paper we review the literature on glucocorticosteroid effects on cognition and delineate specific functions that appear to be causally affected. We draw a possible connection to specific areas of brain perturbation, including the hippocampus and frontal lobe regions. The possibility that cognitive dysfunction caused by glucocorticoids can be pharmacologically managed is introduced.","container-title":"Journal of Psychiatric Research","DOI":"10.1016/s0022-3956(01)00018-8","ISSN":"0022-3956","issue":"3","journalAbbreviation":"J Psychiatr Res","language":"eng","note":"PMID: 11461709","page":"127-145","source":"PubMed","title":"Corticosteroids and cognition","volume":"35","author":[{"family":"Belanoff","given":"J. K."},{"family":"Gross","given":"K."},{"family":"Yager","given":"A."},{"family":"Schatzberg","given":"A. F."}],"issued":{"date-parts":[["2001"]]}}},{"id":12552,"uris":["http://zotero.org/groups/4745233/items/32JIU6VZ"],"itemData":{"id":12552,"type":"article-journal","abstract":"Introduction:\n Cardiovascular agents can be associated with a negative effect on cognition, especially in older adults, critically ill people, and those with baseline cognitive impairment. Negative effect on cognition is commonly reported as uncomplicated acute confusion and delirium and, less commonly, chronic cognitive changes due to drug-induced depression and/or dementia.\n\nMethods:\nA literature review of case reports, case series, prospective cohort studies, clinical trials, and literature reviews were included in this study. Articles were located using online databases PubMed and Medline using the following keywords: antiarrhythmic agents, anticholinergic burden, antihypertensive agents, beta-blockers, cardiovascular agents, cognitive impairment, delirium, cognition, dementia, depression, digoxin, diuretics, and drug-induced cognitive impairment.\n\nResults:\nIn general, use of all antihypertensives, especially in the case of polypharmacy or inappropriate dosing, can lead to hypotension and/or bradycardia, and thus lead to mental/cognitive status change due to decreased cerebral perfusion. Use of diuretics can be associated with fluid/electrolyte and/or acid-base imbalance, resulting in the onset of confusion and delirium. In addition, cardiovascular agents with central bioavailability, such digoxin and select antiarrhythmics, and antihypertensives may carry a risk for cognitive impairment due to various mechanisms proposed, such as antagonism of central muscarinic acetylcholine receptors, neurotransmission imbalance in the brain, and disruption of physiologic function of sodium/potassium ATPase in the neuronal cells.\n\nDiscussion:\nWhen dealing with an individual who presents with acute, subacute, and chronic changes in cognitive function, one should perform a thorough medication history as the first step in order to aid in the identification of drug-induced cognitive impairment.","container-title":"The Mental Health Clinician","DOI":"10.9740/mhc.2016.07.201","ISSN":"2168-9709","issue":"4","journalAbbreviation":"Ment Health Clin","note":"PMID: 29955471\nPMCID: PMC6007720","page":"201-206","source":"PubMed Central","title":"Drug-induced cognitive impairment: Effect of cardiovascular agents","title-short":"Drug-induced cognitive impairment","volume":"6","author":[{"family":"Marvanova","given":"Marketa"}],"issued":{"date-parts":[["2016",6,29]]}}},{"id":12553,"uris":["http://zotero.org/groups/4745233/items/GZQVM3FM"],"itemData":{"id":12553,"type":"article-journal","abstract":"Background\nchronic pain, a common complaint among older adults, affects physical and mental well-being. While opioid use for pain management has increased over the years, pain management in older adults remains challenging, due to potential severe adverse effects of opioids in this population.\n\nObjective\nwe examined the association between opioid use, and changes in cognitive function of older adults.\n\nDesign\nprospective study.\n\nSetting\ncommunity dwelling older adults.\n\nSubjects\nstudy population consisted of 2,222 individuals aged 65–69 years at baseline from the Personality and Total Health Through Life Study in Australia.\n\nMethods\nmedication data were obtained from the Pharmaceutical Benefits Scheme. Cognitive measures were obtained from neuropsychological battery assessment. Opioid exposure was quantified as Total Morphine Equivalent Dose (MED). The association between change in cognitive function between Wave 2 and Wave 3, and cumulative opioid use was assessed through generalized linear models.\n\nResults\ncumulative opioid exposure exceeding total MED of 2,940 was significantly associated with poorer performance in the Mini Mental State Examination (MMSE). Compared with those not on opioids, individuals exposed to opioids resulting in cumulative total MED of greater than 2,940 had significantly lower scores in the MMSE (Model 1: β = −0.34, Model 2: β = −0.35 and Model 3: β = −0.39, P &lt; 0.01). Performance in other cognitive assessments was not associated with opioid use.\n\nConclusion\nprolonged opioid use in older adults can affect cognitive function, further encouraging the need for alternative pain management strategies in this population. Pain management options should not adversely affect healthy ageing trajectories and cognitive health.","container-title":"Age and Ageing","DOI":"10.1093/ageing/afab048","ISSN":"0002-0729","issue":"5","journalAbbreviation":"Age Ageing","note":"PMID: 33755047\nPMCID: PMC8437064","page":"1699-1708","source":"PubMed Central","title":"The effect of opioids on the cognitive function of older adults: results from the Personality and Total Health through life study","title-short":"The effect of opioids on the cognitive function of older adults","volume":"50","author":[{"family":"Neelamegam","given":"Malinee"},{"family":"Zgibor","given":"Janice"},{"family":"Chen","given":"Henian"},{"family":"O’rourke","given":"Kathleen"},{"family":"Bakour","given":"Chighaf"},{"family":"Rajaram","given":"Lakshminarayan"},{"family":"Anstey","given":"Kaarin J"}],"issued":{"date-parts":[["2021",3,22]]}}},{"id":13196,"uris":["http://zotero.org/groups/4745233/items/TIIEWANH"],"itemData":{"id":13196,"type":"article-journal","abstract":"CONTEXT: Opioids are prescribed to manage moderate-to-severe pain and can be used with older adults; however, they may lead to several adverse effects, including cognitive impairment.\nOBJECTIVES: To identify, appraise, and synthesize evidence on the impact of opioids on cognition in older adults with cancer/chronic noncancer pain, and screening tools/neuropsychological assessments used to detect opioid-induced cognitive impairment.\nMETHODS: A systematic literature review following the Preferred Reporting Items for Systematic Review and Meta-Analysis Protocols (international prospective register of systematic reviews registration: CRD42018092943). MEDLINE, EMBASE, PsycINFO, CINAHL, Cochrane Library, and Web of Science were searched up to December 2018. Randomized controlled trials, quasi-experimental studies, and observational studies of adults aged 65 years and older with cancer/chronic noncancer pain taking opioids were included. A narrative synthesis was conducted.\nRESULTS: From 4036 records, 10 met inclusion criteria. Five studies used one screening tool, and five studies used a range of neuropsychological assessments; assessing 14 cognitive domains. Most studies demonstrated no effect of opioid use on cognitive domains, whereas four studies showed mixed effects. In particular, attention, language, orientation, psychomotor function, and verbal working/delayed episodic memory were worsened. Changes to cognitive function were predominantly observed in studies with higher mean doses of opioids (120-190.7mg oral morphine equivalent daily dose).\nCONCLUSION: Both improvements and impairments to cognition were observed in studies with higher mean opioid doses. In clinical practice, a brief screening tool assessing attention, language, orientation, psychomotor function, and verbal working/delayed episodic memory may be beneficial to detect worsening cognition in older adults with chronic pain using opioids.","container-title":"Journal of Pain and Symptom Management","DOI":"10.1016/j.jpainsymman.2019.10.022","ISSN":"1873-6513","issue":"4","journalAbbreviation":"J Pain Symptom Manage","language":"eng","note":"PMID: 31678462","page":"871-893.e1","source":"PubMed","title":"The Effects of Opioids on Cognition in Older Adults With Cancer and Chronic Noncancer Pain: A Systematic Review","title-short":"The Effects of Opioids on Cognition in Older Adults With Cancer and Chronic Noncancer Pain","volume":"59","author":[{"family":"Pask","given":"Sophie"},{"family":"Dell'Olio","given":"Myriam"},{"family":"Murtagh","given":"Fliss E. M."},{"family":"Boland","given":"Jason W."}],"issued":{"date-parts":[["2020",4]]}}},{"id":12555,"uris":["http://zotero.org/groups/4745233/items/DQD8S73C"],"itemData":{"id":12555,"type":"article-journal","abstract":"Effective treatment of epilepsy depends on medication compliance across a lifetime, and studies indicate that drug tolerability is a significant limiting factor in medication maintenance. Available antiepileptic drugs (AEDs) have the potential to exert detrimental effects on cognitive function and therefore compromise patient wellbeing. On the other hand, some agents may serve to enhance cognitive function. In this review paper, we highlight the range of effects on cognition linked to a variety of newer and older AEDs, encompassing key alterations in both specific executive abilities and broader neuropsychological functions. Importantly, the data reviewed suggest that the effects exerted by an AED could vary depending on both patient characteristics and drug-related variables. However, there are considerable difficulties in evaluating the available evidence. Many studies have failed to investigate the influence of patient and treatment variables on cognitive functioning. Other difficulties include variation across studies in relation to design, treatment group and assessment tools, poor reporting of methodology and poor specification of the cognitive abilities assessed. Focused and rigorous experimental designs including a range of cognitive measures assessing more precisely defined abilities are needed to fill the gaps in our knowledge and follow up reported patterns in the literature. Longitudinal studies are needed to improve our understanding of the influence of factors such as age, tolerance and the stability of cognitive effects. Future trials comparing the effects of commonly prescribed agents across patient subgroups will offer critical insight into the role of patient characteristics in determining the cognitive impact of particular AEDs.","container-title":"Therapeutic Advances in Neurological Disorders","DOI":"10.1177/1756285611417920","ISSN":"1756-2856","issue":"6","journalAbbreviation":"Ther Adv Neurol Disord","note":"PMID: 22164192\nPMCID: PMC3229254","page":"385-407","source":"PubMed Central","title":"The cognitive impact of antiepileptic drugs","volume":"4","author":[{"family":"Eddy","given":"Clare M."},{"family":"Rickards","given":"Hugh E."},{"family":"Cavanna","given":"Andrea E."}],"issued":{"date-parts":[["2011",11]]}}},{"id":12556,"uris":["http://zotero.org/groups/4745233/items/VC9FN5FE"],"itemData":{"id":12556,"type":"article-journal","abstract":"Background\nCognitive impairment is very common in late-life depression, principally affecting executive skills and information processing speed. The aim of the study was to examine the effect of antidepressant treatment on cognitive performances over a 10-year period.\n\nMethods\nThe community-based cohort included 7381 participants aged 65 years and above. Five cognitive domains (verbal fluency, psychomotor speed, executive function, visuospatial skills and global cognition) were assessed up to five times over 10 years of follow-up. Treatment groups included participants under a specific antidepressant class at both baseline and the first follow-up and their follow-up cognitive data were considered until the last consecutive follow-up with a report of antidepressant use of the same class. Linear mixed models were used to compare baseline cognitive performance and cognitive decline over time according to antidepressant treatment. The models were adjusted for multiple confounders including residual depressive symptoms assessed by the Center for Epidemiologic Studies-Depression scale.\n\nResults\nAt baseline, 4.0% of participants were taking antidepressants. Compared to non-users, tricyclic antidepressant users had lower baseline performances in verbal fluency, visual memory and psychomotor speed, and selective serotonin reuptake inhibitor users in verbal fluency and psychomotor speed. For the two other cognitive abilities, executive function and global cognition, no significant differences were found at baseline irrespective of the antidepressant class. Regarding changes over time, no significant differences were observed in comparison with non-users whatever the cognitive domain, except for a slight additional improvement over the follow-up in verbal fluency skills for tricyclic antidepressant users.\n\nConclusions\nIn this large elderly general population cohort, we found no evidence for an association between antidepressant use and post-treatment cognitive decline over 10 years of follow-up in various cognitive domains.\n\nElectronic supplementary material\nThe online version of this article (doi:10.1186/s12916-017-0847-z) contains supplementary material, which is available to authorized users.","container-title":"BMC Medicine","DOI":"10.1186/s12916-017-0847-z","ISSN":"1741-7015","journalAbbreviation":"BMC Med","note":"PMID: 28424070\nPMCID: PMC5397783","page":"81","source":"PubMed Central","title":"Antidepressant use and cognitive decline in community-dwelling elderly people – The Three-City Cohort","volume":"15","author":[{"family":"Carrière","given":"Isabelle"},{"family":"Norton","given":"Joanna"},{"family":"Farré","given":"Amandine"},{"family":"Wyart","given":"Marilyn"},{"family":"Tzourio","given":"Christophe"},{"family":"Noize","given":"Pernelle"},{"family":"Pérès","given":"Karine"},{"family":"Fourrier-Réglat","given":"Annie"},{"family":"Ritchie","given":"Karen"},{"family":"Ancelin","given":"Marie Laure"}],"issued":{"date-parts":[["2017",4,19]]}}},{"id":12557,"uris":["http://zotero.org/groups/4745233/items/J3GLCP5T"],"itemData":{"id":12557,"type":"article-journal","abstract":"In this study, we sought to determine the cross-sectional and longitudinal relations of tricyclic antidepressant (TCA) use to cognitive function and cognitive change in a population-based sample of adults (n=1,488). Sociodemographic information, TCA use, and baseline scores on the Mini-Mental State Exam (MMSE) were determined in the initial two waves of the study. At wave 3, participants repeated the MMSE; the prospective relation was assessed for change between waves 2 and 3 (median 11.5 years). These findings failed to support the concept that TCA use is related to concurrent measurable cognitive deficits, and TCA use does not appear to significantly compromise memory over a substantial time span.","container-title":"Psychosomatics","DOI":"10.1176/appi.psy.43.1.31","ISSN":"0033-3182","issue":"1","journalAbbreviation":"Psychosomatics","page":"31-35","source":"ScienceDirect","title":"Tricyclic Antidepressants and Cognitive Decline","volume":"43","author":[{"family":"Podewils","given":"Laura Jean"},{"family":"Lyketsos","given":"Constantine G."}],"issued":{"date-parts":[["2002",1,1]]}}}],"schema":"https://github.com/citation-style-language/schema/raw/master/csl-citation.json"} </w:instrText>
      </w:r>
      <w:r w:rsidRPr="004573BD">
        <w:rPr>
          <w:color w:val="2B579A"/>
        </w:rPr>
        <w:fldChar w:fldCharType="separate"/>
      </w:r>
      <w:r w:rsidRPr="004573BD">
        <w:rPr>
          <w:rFonts w:cs="Arial"/>
          <w:vertAlign w:val="superscript"/>
        </w:rPr>
        <w:t>85–93</w:t>
      </w:r>
      <w:r w:rsidRPr="004573BD">
        <w:rPr>
          <w:color w:val="2B579A"/>
        </w:rPr>
        <w:fldChar w:fldCharType="end"/>
      </w:r>
      <w:r w:rsidRPr="004573BD">
        <w:rPr>
          <w:color w:val="2B579A"/>
        </w:rPr>
        <w:t xml:space="preserve"> </w:t>
      </w:r>
      <w:r w:rsidRPr="004573BD">
        <w:t>However, it is not always clear if it is the medication itself impacting cognition or clinical factors like a specific medical condition.</w:t>
      </w:r>
      <w:r w:rsidRPr="004573BD">
        <w:fldChar w:fldCharType="begin"/>
      </w:r>
      <w:r w:rsidRPr="004573BD">
        <w:instrText xml:space="preserve"> ADDIN ZOTERO_ITEM CSL_CITATION {"citationID":"a19g5k79u0","properties":{"formattedCitation":"\\super 91\\nosupersub{}","plainCitation":"91","noteIndex":0},"citationItems":[{"id":12555,"uris":["http://zotero.org/groups/4745233/items/DQD8S73C"],"itemData":{"id":12555,"type":"article-journal","abstract":"Effective treatment of epilepsy depends on medication compliance across a lifetime, and studies indicate that drug tolerability is a significant limiting factor in medication maintenance. Available antiepileptic drugs (AEDs) have the potential to exert detrimental effects on cognitive function and therefore compromise patient wellbeing. On the other hand, some agents may serve to enhance cognitive function. In this review paper, we highlight the range of effects on cognition linked to a variety of newer and older AEDs, encompassing key alterations in both specific executive abilities and broader neuropsychological functions. Importantly, the data reviewed suggest that the effects exerted by an AED could vary depending on both patient characteristics and drug-related variables. However, there are considerable difficulties in evaluating the available evidence. Many studies have failed to investigate the influence of patient and treatment variables on cognitive functioning. Other difficulties include variation across studies in relation to design, treatment group and assessment tools, poor reporting of methodology and poor specification of the cognitive abilities assessed. Focused and rigorous experimental designs including a range of cognitive measures assessing more precisely defined abilities are needed to fill the gaps in our knowledge and follow up reported patterns in the literature. Longitudinal studies are needed to improve our understanding of the influence of factors such as age, tolerance and the stability of cognitive effects. Future trials comparing the effects of commonly prescribed agents across patient subgroups will offer critical insight into the role of patient characteristics in determining the cognitive impact of particular AEDs.","container-title":"Therapeutic Advances in Neurological Disorders","DOI":"10.1177/1756285611417920","ISSN":"1756-2856","issue":"6","journalAbbreviation":"Ther Adv Neurol Disord","note":"PMID: 22164192\nPMCID: PMC3229254","page":"385-407","source":"PubMed Central","title":"The cognitive impact of antiepileptic drugs","volume":"4","author":[{"family":"Eddy","given":"Clare M."},{"family":"Rickards","given":"Hugh E."},{"family":"Cavanna","given":"Andrea E."}],"issued":{"date-parts":[["2011",11]]}}}],"schema":"https://github.com/citation-style-language/schema/raw/master/csl-citation.json"} </w:instrText>
      </w:r>
      <w:r w:rsidRPr="004573BD">
        <w:fldChar w:fldCharType="separate"/>
      </w:r>
      <w:r w:rsidRPr="004573BD">
        <w:rPr>
          <w:rFonts w:cs="Arial"/>
          <w:vertAlign w:val="superscript"/>
        </w:rPr>
        <w:t>91</w:t>
      </w:r>
      <w:r w:rsidRPr="004573BD">
        <w:fldChar w:fldCharType="end"/>
      </w:r>
      <w:r w:rsidRPr="004573BD">
        <w:t xml:space="preserve"> A doctor or addiction medicine specialist should be involved in identifying medications which may have cognitive effects. </w:t>
      </w:r>
    </w:p>
    <w:p w14:paraId="6F577793" w14:textId="3C458BB6" w:rsidR="00A65459" w:rsidRDefault="00A34622" w:rsidP="001C7764">
      <w:pPr>
        <w:rPr>
          <w:sz w:val="22"/>
        </w:rPr>
      </w:pPr>
      <w:r>
        <w:rPr>
          <w:noProof/>
        </w:rPr>
        <mc:AlternateContent>
          <mc:Choice Requires="wps">
            <w:drawing>
              <wp:inline distT="0" distB="0" distL="0" distR="0" wp14:anchorId="48F76E04" wp14:editId="1F90AF1D">
                <wp:extent cx="6550660" cy="3188970"/>
                <wp:effectExtent l="0" t="0" r="21590" b="11430"/>
                <wp:docPr id="8575089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0660" cy="3188970"/>
                        </a:xfrm>
                        <a:prstGeom prst="rect">
                          <a:avLst/>
                        </a:prstGeom>
                        <a:solidFill>
                          <a:srgbClr val="D8F2FE"/>
                        </a:solidFill>
                        <a:ln w="9525">
                          <a:solidFill>
                            <a:srgbClr val="000000"/>
                          </a:solidFill>
                          <a:miter lim="800000"/>
                          <a:headEnd/>
                          <a:tailEnd/>
                        </a:ln>
                      </wps:spPr>
                      <wps:txbx>
                        <w:txbxContent>
                          <w:p w14:paraId="7B073D32" w14:textId="77777777" w:rsidR="00A34622" w:rsidRPr="00C94744" w:rsidRDefault="00A34622" w:rsidP="007B2413">
                            <w:pPr>
                              <w:rPr>
                                <w:b/>
                                <w:bCs/>
                                <w:sz w:val="28"/>
                                <w:szCs w:val="28"/>
                              </w:rPr>
                            </w:pPr>
                            <w:r w:rsidRPr="00C94744">
                              <w:rPr>
                                <w:b/>
                                <w:bCs/>
                                <w:sz w:val="28"/>
                                <w:szCs w:val="28"/>
                              </w:rPr>
                              <w:t>Alcohol induced neurocognitive disorder (AINCD)</w:t>
                            </w:r>
                          </w:p>
                          <w:p w14:paraId="5FC39D06" w14:textId="77777777" w:rsidR="00A34622" w:rsidRPr="004573BD" w:rsidRDefault="00A34622" w:rsidP="007B2413">
                            <w:r w:rsidRPr="004573BD">
                              <w:t xml:space="preserve">Alcohol induced neurocognitive disorder describes various conditions caused directly by alcohol. Wernicke-Korsakoff Syndrome is a type of AINCD caused by vitamin B1/thiamine deficiency, as alcohol use inhibits thiamine absorption. </w:t>
                            </w:r>
                          </w:p>
                          <w:p w14:paraId="6E6BE4BD" w14:textId="77777777" w:rsidR="00A34622" w:rsidRPr="004573BD" w:rsidRDefault="00A34622" w:rsidP="007B2413">
                            <w:pPr>
                              <w:rPr>
                                <w:rFonts w:cs="Arial"/>
                              </w:rPr>
                            </w:pPr>
                            <w:r w:rsidRPr="004573BD">
                              <w:rPr>
                                <w:rFonts w:cs="Arial"/>
                              </w:rPr>
                              <w:t xml:space="preserve">Symptoms are usually significant and include </w:t>
                            </w:r>
                            <w:r w:rsidRPr="004573BD">
                              <w:t xml:space="preserve">memory impairment including jumbling or fabricating already formed memories, speech issues, and difficulty learning new information. </w:t>
                            </w:r>
                          </w:p>
                          <w:p w14:paraId="3C3326A3" w14:textId="77777777" w:rsidR="00A34622" w:rsidRPr="004573BD" w:rsidRDefault="00A34622" w:rsidP="007B2413">
                            <w:r w:rsidRPr="004573BD">
                              <w:rPr>
                                <w:rFonts w:cs="Arial"/>
                              </w:rPr>
                              <w:t>Wernicke-Korsakoff Syndrome is permanent and long-term but can be prevented with timely thiamine supplementation. The early form that can be treated is Wernicke’s Encephalopathy. Signs of Wernicke’s Encephalopathy</w:t>
                            </w:r>
                            <w:r w:rsidRPr="004573BD">
                              <w:t xml:space="preserve"> include changes in walking patterns, coordination and balance, uncontrolled eye movements or double vision, agitation, and cognitive changes like confusion and difficulty holding attention</w:t>
                            </w:r>
                            <w:r w:rsidRPr="004573BD">
                              <w:rPr>
                                <w:rFonts w:cs="Arial"/>
                              </w:rPr>
                              <w:t xml:space="preserve">. If these signs exist, prioritise referral to a medical or nursing practitioner for treatment. </w:t>
                            </w:r>
                          </w:p>
                          <w:p w14:paraId="115E1E59" w14:textId="77777777" w:rsidR="00A34622" w:rsidRDefault="00A34622" w:rsidP="00A34622"/>
                        </w:txbxContent>
                      </wps:txbx>
                      <wps:bodyPr rot="0" vert="horz" wrap="square" lIns="91440" tIns="45720" rIns="91440" bIns="45720" anchor="t" anchorCtr="0">
                        <a:noAutofit/>
                      </wps:bodyPr>
                    </wps:wsp>
                  </a:graphicData>
                </a:graphic>
              </wp:inline>
            </w:drawing>
          </mc:Choice>
          <mc:Fallback>
            <w:pict>
              <v:shape w14:anchorId="48F76E04" id="_x0000_s1028" type="#_x0000_t202" style="width:515.8pt;height:25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" fillcolor="#d8f2fe">
                <v:textbox>
                  <w:txbxContent>
                    <w:p w14:paraId="7B073D32" w14:textId="77777777" w:rsidR="00A34622" w:rsidRPr="00C94744" w:rsidRDefault="00A34622" w:rsidP="007B2413">
                      <w:pPr>
                        <w:rPr>
                          <w:b/>
                          <w:bCs/>
                          <w:sz w:val="28"/>
                          <w:szCs w:val="28"/>
                        </w:rPr>
                      </w:pPr>
                      <w:r w:rsidRPr="00C94744">
                        <w:rPr>
                          <w:b/>
                          <w:bCs/>
                          <w:sz w:val="28"/>
                          <w:szCs w:val="28"/>
                        </w:rPr>
                        <w:t>Alcohol induced neurocognitive disorder (AINCD)</w:t>
                      </w:r>
                    </w:p>
                    <w:p w14:paraId="5FC39D06" w14:textId="77777777" w:rsidR="00A34622" w:rsidRPr="004573BD" w:rsidRDefault="00A34622" w:rsidP="007B2413">
                      <w:r w:rsidRPr="004573BD">
                        <w:t xml:space="preserve">Alcohol induced neurocognitive disorder describes various conditions caused directly by alcohol. Wernicke-Korsakoff Syndrome is a type of AINCD caused by vitamin B1/thiamine deficiency, as alcohol use inhibits thiamine absorption. </w:t>
                      </w:r>
                    </w:p>
                    <w:p w14:paraId="6E6BE4BD" w14:textId="77777777" w:rsidR="00A34622" w:rsidRPr="004573BD" w:rsidRDefault="00A34622" w:rsidP="007B2413">
                      <w:pPr>
                        <w:rPr>
                          <w:rFonts w:cs="Arial"/>
                        </w:rPr>
                      </w:pPr>
                      <w:r w:rsidRPr="004573BD">
                        <w:rPr>
                          <w:rFonts w:cs="Arial"/>
                        </w:rPr>
                        <w:t xml:space="preserve">Symptoms are usually significant and include </w:t>
                      </w:r>
                      <w:r w:rsidRPr="004573BD">
                        <w:t xml:space="preserve">memory impairment including jumbling or fabricating already formed memories, speech issues, and difficulty learning new information. </w:t>
                      </w:r>
                    </w:p>
                    <w:p w14:paraId="3C3326A3" w14:textId="77777777" w:rsidR="00A34622" w:rsidRPr="004573BD" w:rsidRDefault="00A34622" w:rsidP="007B2413">
                      <w:r w:rsidRPr="004573BD">
                        <w:rPr>
                          <w:rFonts w:cs="Arial"/>
                        </w:rPr>
                        <w:t>Wernicke-Korsakoff Syndrome is permanent and long-term but can be prevented with timely thiamine supplementation. The early form that can be treated is Wernicke’s Encephalopathy. Signs of Wernicke’s Encephalopathy</w:t>
                      </w:r>
                      <w:r w:rsidRPr="004573BD">
                        <w:t xml:space="preserve"> include changes in walking patterns, coordination and balance, uncontrolled eye movements or double vision, agitation, and cognitive changes like confusion and difficulty holding attention</w:t>
                      </w:r>
                      <w:r w:rsidRPr="004573BD">
                        <w:rPr>
                          <w:rFonts w:cs="Arial"/>
                        </w:rPr>
                        <w:t xml:space="preserve">. If these signs exist, prioritise referral to a medical or nursing practitioner for treatment. </w:t>
                      </w:r>
                    </w:p>
                    <w:p w14:paraId="115E1E59" w14:textId="77777777" w:rsidR="00A34622" w:rsidRDefault="00A34622" w:rsidP="00A34622"/>
                  </w:txbxContent>
                </v:textbox>
                <w10:anchorlock/>
              </v:shape>
            </w:pict>
          </mc:Fallback>
        </mc:AlternateContent>
      </w:r>
    </w:p>
    <w:p w14:paraId="38E35E48" w14:textId="77777777" w:rsidR="001C7764" w:rsidRDefault="001C7764" w:rsidP="001C7764">
      <w:pPr>
        <w:rPr>
          <w:sz w:val="22"/>
        </w:rPr>
      </w:pPr>
    </w:p>
    <w:p w14:paraId="399065D1" w14:textId="04C7B94A" w:rsidR="001C7764" w:rsidRPr="001C7764" w:rsidRDefault="001C7764" w:rsidP="001C7764">
      <w:pPr>
        <w:jc w:val="center"/>
        <w:rPr>
          <w:sz w:val="22"/>
        </w:rPr>
      </w:pPr>
      <w:r>
        <w:rPr>
          <w:noProof/>
        </w:rPr>
        <w:drawing>
          <wp:inline distT="0" distB="0" distL="0" distR="0" wp14:anchorId="4ABF291B" wp14:editId="46BB8AD1">
            <wp:extent cx="5047615" cy="826770"/>
            <wp:effectExtent l="0" t="0" r="635" b="0"/>
            <wp:docPr id="1002537126" name="Picture 1002537126" descr="5 circles showing signs of Wernicke's Encephalopathy - changes in movement, eyes, and cog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37126" name="Picture 1" descr="5 circles showing signs of Wernicke's Encephalopathy - changes in movement, eyes, and cognition"/>
                    <pic:cNvPicPr/>
                  </pic:nvPicPr>
                  <pic:blipFill>
                    <a:blip r:embed="rId24">
                      <a:extLst>
                        <a:ext uri="{28A0092B-C50C-407E-A947-70E740481C1C}">
                          <a14:useLocalDpi xmlns:a14="http://schemas.microsoft.com/office/drawing/2010/main" val="0"/>
                        </a:ext>
                      </a:extLst>
                    </a:blip>
                    <a:stretch>
                      <a:fillRect/>
                    </a:stretch>
                  </pic:blipFill>
                  <pic:spPr>
                    <a:xfrm>
                      <a:off x="0" y="0"/>
                      <a:ext cx="5047615" cy="826770"/>
                    </a:xfrm>
                    <a:prstGeom prst="rect">
                      <a:avLst/>
                    </a:prstGeom>
                  </pic:spPr>
                </pic:pic>
              </a:graphicData>
            </a:graphic>
          </wp:inline>
        </w:drawing>
      </w:r>
    </w:p>
    <w:p w14:paraId="71F81B2A" w14:textId="77777777" w:rsidR="00DB3E59" w:rsidRPr="00B3088E" w:rsidRDefault="00DB3E59" w:rsidP="00B3088E">
      <w:pPr>
        <w:pStyle w:val="Heading2"/>
      </w:pPr>
      <w:bookmarkStart w:id="762" w:name="_Toc172095777"/>
      <w:bookmarkStart w:id="763" w:name="_Toc178780108"/>
      <w:bookmarkStart w:id="764" w:name="_Toc178838874"/>
      <w:bookmarkStart w:id="765" w:name="_Toc178839061"/>
      <w:bookmarkStart w:id="766" w:name="_Toc178839182"/>
      <w:bookmarkStart w:id="767" w:name="_Toc178839411"/>
      <w:bookmarkStart w:id="768" w:name="_Toc178841621"/>
      <w:bookmarkStart w:id="769" w:name="_Toc179198180"/>
      <w:bookmarkStart w:id="770" w:name="_Toc179198428"/>
      <w:bookmarkStart w:id="771" w:name="_Toc179198536"/>
      <w:bookmarkStart w:id="772" w:name="_Toc179198643"/>
      <w:bookmarkStart w:id="773" w:name="_Toc179446087"/>
      <w:bookmarkStart w:id="774" w:name="_Toc179447118"/>
      <w:bookmarkStart w:id="775" w:name="_Toc179448658"/>
      <w:bookmarkStart w:id="776" w:name="_Toc179448819"/>
      <w:bookmarkStart w:id="777" w:name="_Toc179449206"/>
      <w:bookmarkStart w:id="778" w:name="_Toc179452909"/>
      <w:bookmarkStart w:id="779" w:name="_Toc179461422"/>
      <w:bookmarkStart w:id="780" w:name="_Toc179461866"/>
      <w:bookmarkStart w:id="781" w:name="_Toc179468300"/>
      <w:bookmarkStart w:id="782" w:name="_Toc179468542"/>
      <w:bookmarkStart w:id="783" w:name="_Toc179483245"/>
      <w:bookmarkStart w:id="784" w:name="_Toc179486313"/>
      <w:bookmarkStart w:id="785" w:name="_Toc179487918"/>
      <w:bookmarkStart w:id="786" w:name="_Toc179489221"/>
      <w:bookmarkStart w:id="787" w:name="_Toc179531346"/>
      <w:bookmarkStart w:id="788" w:name="_Toc179536019"/>
      <w:bookmarkStart w:id="789" w:name="_Toc179537858"/>
      <w:bookmarkStart w:id="790" w:name="_Toc179537922"/>
      <w:bookmarkStart w:id="791" w:name="_Toc179538089"/>
      <w:bookmarkStart w:id="792" w:name="_Toc179538902"/>
      <w:bookmarkStart w:id="793" w:name="_Toc179539220"/>
      <w:bookmarkStart w:id="794" w:name="_Toc179539336"/>
      <w:bookmarkStart w:id="795" w:name="_Toc179539474"/>
      <w:bookmarkStart w:id="796" w:name="_Toc179539571"/>
      <w:bookmarkStart w:id="797" w:name="_Toc179539656"/>
      <w:bookmarkStart w:id="798" w:name="_Toc179539746"/>
      <w:bookmarkStart w:id="799" w:name="_Toc179540430"/>
      <w:bookmarkStart w:id="800" w:name="_Toc179541775"/>
      <w:bookmarkStart w:id="801" w:name="_Toc179542967"/>
      <w:bookmarkStart w:id="802" w:name="_Toc180571295"/>
      <w:r w:rsidRPr="00B3088E">
        <w:t>Which substances contribute to cognitive impairment and is recovery possible?</w:t>
      </w:r>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p>
    <w:p w14:paraId="56370B19" w14:textId="77777777" w:rsidR="00DB3E59" w:rsidRPr="00FD174D" w:rsidRDefault="00DB3E59" w:rsidP="007B2413">
      <w:r w:rsidRPr="00FD174D">
        <w:t xml:space="preserve">This section refers to cognitive recovery directly related to substance use. </w:t>
      </w:r>
    </w:p>
    <w:p w14:paraId="18B1AD34" w14:textId="77777777" w:rsidR="00DB3E59" w:rsidRPr="007B2413" w:rsidRDefault="00DB3E59" w:rsidP="00C94744">
      <w:pPr>
        <w:pStyle w:val="IntenseQuote"/>
        <w:ind w:left="0"/>
        <w:rPr>
          <w:color w:val="000000" w:themeColor="text1"/>
          <w:sz w:val="24"/>
          <w:szCs w:val="24"/>
        </w:rPr>
      </w:pPr>
      <w:r w:rsidRPr="007B2413">
        <w:rPr>
          <w:color w:val="000000" w:themeColor="text1"/>
          <w:sz w:val="24"/>
          <w:szCs w:val="24"/>
        </w:rPr>
        <w:t xml:space="preserve">Recovery is possible. Share this with tāngata whai ora and whānau to give them hope. </w:t>
      </w:r>
    </w:p>
    <w:p w14:paraId="734E65AD" w14:textId="77777777" w:rsidR="00DB3E59" w:rsidRPr="00FD174D" w:rsidRDefault="00DB3E59" w:rsidP="007B2413">
      <w:r w:rsidRPr="00FD174D">
        <w:t>All substances can cause cognitive impairment – the effects largely depend on the type of substance, how often and how much is used, and over what time period.</w:t>
      </w:r>
      <w:r w:rsidRPr="00FD174D">
        <w:fldChar w:fldCharType="begin"/>
      </w:r>
      <w:r w:rsidRPr="00FD174D">
        <w:instrText xml:space="preserve"> ADDIN ZOTERO_ITEM CSL_CITATION {"citationID":"apk0h20t6a","properties":{"formattedCitation":"\\super 3\\nosupersub{}","plainCitation":"3","noteIndex":0},"citationItems":[{"id":14007,"uris":["http://zotero.org/groups/4745233/items/U3GGYCKU"],"itemData":{"id":14007,"type":"report","event-place":"Richmond, Victoria","language":"en","publisher":"Turning Point","publisher-place":"Richmond, Victoria","source":"Zotero","title":"Managing Cognitive Impairment in AOD Treatment: Practice Guidelines for Healthcare Professionals","URL":"https://www.turningpoint.org.au/treatment/clinicians/Managing-Cognitive-Impairment-in-AOD-Treatment-Guidelines","author":[{"family":"Manning","given":"Victoria"},{"family":"Gooden","given":"James"},{"family":"Cox","given":"Catherine"},{"family":"Whelan","given":"Danielle"},{"family":"Miroz","given":"Katherine"}],"issued":{"date-parts":[["2021"]]}}}],"schema":"https://github.com/citation-style-language/schema/raw/master/csl-citation.json"} </w:instrText>
      </w:r>
      <w:r w:rsidRPr="00FD174D">
        <w:fldChar w:fldCharType="separate"/>
      </w:r>
      <w:r w:rsidRPr="00FD174D">
        <w:rPr>
          <w:rFonts w:cs="Arial"/>
          <w:vertAlign w:val="superscript"/>
        </w:rPr>
        <w:t>3</w:t>
      </w:r>
      <w:r w:rsidRPr="00FD174D">
        <w:fldChar w:fldCharType="end"/>
      </w:r>
      <w:r w:rsidRPr="00FD174D">
        <w:t xml:space="preserve"> </w:t>
      </w:r>
    </w:p>
    <w:p w14:paraId="219F8A1F" w14:textId="77777777" w:rsidR="00DB3E59" w:rsidRPr="00FD174D" w:rsidRDefault="00DB3E59" w:rsidP="007B2413">
      <w:r w:rsidRPr="00FD174D">
        <w:rPr>
          <w:rFonts w:cs="Arial"/>
        </w:rPr>
        <w:t>While any part of cognition can be affected, there is evidence that the cognitive domain most significantly impacted by problematic substance use is executive function.</w:t>
      </w:r>
      <w:r w:rsidRPr="00FD174D">
        <w:rPr>
          <w:rFonts w:cs="Arial"/>
          <w:color w:val="2B579A"/>
        </w:rPr>
        <w:fldChar w:fldCharType="begin"/>
      </w:r>
      <w:r w:rsidRPr="00FD174D">
        <w:rPr>
          <w:rFonts w:cs="Arial"/>
        </w:rPr>
        <w:instrText xml:space="preserve"> ADDIN ZOTERO_ITEM CSL_CITATION {"citationID":"6q8ZJOI0","properties":{"formattedCitation":"\\super 94\\nosupersub{}","plainCitation":"94","noteIndex":0},"citationItems":[{"id":7257,"uris":["http://zotero.org/groups/4325153/items/YHX3VT7V"],"itemData":{"id":7257,"type":"article-journal","abstract":"Accurate screening for cognitive impairment in alcohol and other drug (AOD) services would help to identify individuals who may need supports to obtain the greatest benefit from substance use disorder (SUD) treatment. At present there is no screening measure that has been developed specifically to detect cognitive impairment in a SUD population. This study examines the psychometric properties of the Brief Executive-function Assessment Tool (BEAT), which was specifically designed for this purpose. This study involving 501 individuals with SUD and 145 normal control participants established internal consistency (n = 646; 0.734), interrater (n = 60; 0.994), and test-retest reliability (n = 177; 0.845), and construct (all correlations p ≤ 0.05), and criterion (n = 467; ANCOVA p &lt; 0.001) validity. Test operating characteristics (n = 500; 87% sensitivity, 71% specificity, 21% PPP, and 99% NPP) were also established relative to an independent criterion variable made up of three established performance-based neuropsychological tests. Findings support the reliability and validity of the BEAT as a screening measure of executive function impairment with high sensitivity and a low rate of false negatives.","container-title":"Applied Neuropsychology. Adult","DOI":"10.1080/23279095.2021.1895791","ISSN":"2327-9109","issue":"6","journalAbbreviation":"Appl Neuropsychol Adult","language":"eng","note":"PMID: 33831338","page":"1511-1521","source":"PubMed","title":"Brief executive-function assessment tool: A new cognitive impairment screening tool for alcohol and other drug services","title-short":"Brief executive-function assessment tool","volume":"29","author":[{"family":"Berry","given":"J."},{"family":"Shores","given":"E. A."},{"family":"Nardo","given":"T."},{"family":"Sedwell","given":"A."},{"family":"Lunn","given":"J."},{"family":"Marceau","given":"E. M."},{"family":"Wesseling","given":"A."},{"family":"Zucco","given":"M."},{"family":"Sugden-Lingard","given":"S."},{"family":"Borchard","given":"T."},{"family":"Batchelor","given":"J."}],"issued":{"date-parts":[["2022"]]}}}],"schema":"https://github.com/citation-style-language/schema/raw/master/csl-citation.json"} </w:instrText>
      </w:r>
      <w:r w:rsidRPr="00FD174D">
        <w:rPr>
          <w:rFonts w:cs="Arial"/>
          <w:color w:val="2B579A"/>
        </w:rPr>
        <w:fldChar w:fldCharType="separate"/>
      </w:r>
      <w:r w:rsidRPr="00FD174D">
        <w:rPr>
          <w:rFonts w:cs="Arial"/>
          <w:vertAlign w:val="superscript"/>
        </w:rPr>
        <w:t>94</w:t>
      </w:r>
      <w:r w:rsidRPr="00FD174D">
        <w:rPr>
          <w:rFonts w:cs="Arial"/>
          <w:color w:val="2B579A"/>
        </w:rPr>
        <w:fldChar w:fldCharType="end"/>
      </w:r>
      <w:r w:rsidRPr="00FD174D">
        <w:rPr>
          <w:rFonts w:cs="Arial"/>
        </w:rPr>
        <w:t xml:space="preserve"> Attention, processing speed, memory, and social cognition are also commonly affected.</w:t>
      </w:r>
      <w:r w:rsidRPr="00FD174D">
        <w:rPr>
          <w:rFonts w:cs="Arial"/>
          <w:color w:val="2B579A"/>
        </w:rPr>
        <w:fldChar w:fldCharType="begin"/>
      </w:r>
      <w:r w:rsidRPr="00FD174D">
        <w:rPr>
          <w:rFonts w:cs="Arial"/>
        </w:rPr>
        <w:instrText xml:space="preserve"> ADDIN ZOTERO_ITEM CSL_CITATION {"citationID":"4aXUMxVm","properties":{"formattedCitation":"\\super 3,95\\nosupersub{}","plainCitation":"3,95","noteIndex":0},"citationItems":[{"id":14007,"uris":["http://zotero.org/groups/4745233/items/U3GGYCKU"],"itemData":{"id":14007,"type":"report","event-place":"Richmond, Victoria","language":"en","publisher":"Turning Point","publisher-place":"Richmond, Victoria","source":"Zotero","title":"Managing Cognitive Impairment in AOD Treatment: Practice Guidelines for Healthcare Professionals","URL":"https://www.turningpoint.org.au/treatment/clinicians/Managing-Cognitive-Impairment-in-AOD-Treatment-Guidelines","author":[{"family":"Manning","given":"Victoria"},{"family":"Gooden","given":"James"},{"family":"Cox","given":"Catherine"},{"family":"Whelan","given":"Danielle"},{"family":"Miroz","given":"Katherine"}],"issued":{"date-parts":[["2021"]]}}},{"id":12876,"uris":["http://zotero.org/groups/4745233/items/QXZQQZMZ"],"itemData":{"id":12876,"type":"article-journal","abstract":"Cognitive impairments in substance use disorders have been extensively researched, especially since the advent of cognitive and computational neuroscience and neuroimaging methods in the last 20 years. Conceptually, altered cognitive function can be viewed as a hallmark feature of substance use disorders, with documented alterations in the well-known \"executive\" domains of attention, inhibition/regulation, working memory, and decision-making. Poor cognitive (sometimes referred to as \"top-down\") regulation of downstream motivational processes-whether appetitive (reward, incentive salience) or aversive (stress, negative affect)-is recognized as a fundamental impairment in addiction and a potentially important target for intervention. As addressed in this special issue, cognitive impairment is a transdiagnostic domain; thus, advances in the characterization and treatment of cognitive dysfunction in substance use disorders could have benefit across multiple psychiatric disorders. Toward this general goal, we summarize current findings in the abovementioned cognitive domains of substance use disorders, while suggesting a potentially useful expansion to include processes that both precede (precognition) and supersede (social cognition) what is usually thought of as strictly cognition. These additional two areas have received relatively less attention but phenomenologically and otherwise are important features of substance use disorders. The review concludes with suggestions for research and potential therapeutic targeting of both the familiar and this more comprehensive version of cognitive domains related to substance use disorders.","container-title":"CNS spectrums","DOI":"10.1017/S1092852918001426","ISSN":"1092-8529","issue":"1","journalAbbreviation":"CNS Spectr","language":"eng","note":"PMID: 30591083\nPMCID: PMC6599555","page":"102-113","source":"PubMed","title":"Cognitive impairment in substance use disorders","volume":"24","author":[{"family":"Ramey","given":"Tatiana"},{"family":"Regier","given":"Paul S."}],"issued":{"date-parts":[["2019",2]]}}}],"schema":"https://github.com/citation-style-language/schema/raw/master/csl-citation.json"} </w:instrText>
      </w:r>
      <w:r w:rsidRPr="00FD174D">
        <w:rPr>
          <w:rFonts w:cs="Arial"/>
          <w:color w:val="2B579A"/>
        </w:rPr>
        <w:fldChar w:fldCharType="separate"/>
      </w:r>
      <w:r w:rsidRPr="00FD174D">
        <w:rPr>
          <w:rFonts w:cs="Arial"/>
          <w:vertAlign w:val="superscript"/>
        </w:rPr>
        <w:t>3,95</w:t>
      </w:r>
      <w:r w:rsidRPr="00FD174D">
        <w:rPr>
          <w:rFonts w:cs="Arial"/>
          <w:color w:val="2B579A"/>
        </w:rPr>
        <w:fldChar w:fldCharType="end"/>
      </w:r>
      <w:r w:rsidRPr="00FD174D">
        <w:rPr>
          <w:rFonts w:cs="Arial"/>
        </w:rPr>
        <w:t xml:space="preserve"> </w:t>
      </w:r>
    </w:p>
    <w:p w14:paraId="691532E9" w14:textId="77777777" w:rsidR="007F1966" w:rsidRDefault="00DB3E59" w:rsidP="007F1966">
      <w:r w:rsidRPr="00FD174D">
        <w:rPr>
          <w:color w:val="2B579A"/>
          <w:shd w:val="clear" w:color="auto" w:fill="E6E6E6"/>
        </w:rPr>
        <w:lastRenderedPageBreak/>
        <w:fldChar w:fldCharType="begin"/>
      </w:r>
      <w:r w:rsidRPr="00FD174D">
        <w:rPr>
          <w:color w:val="2B579A"/>
          <w:shd w:val="clear" w:color="auto" w:fill="E6E6E6"/>
        </w:rPr>
        <w:instrText xml:space="preserve"> REF _Ref146294480 \h  \* MERGEFORMAT </w:instrText>
      </w:r>
      <w:r w:rsidRPr="00FD174D">
        <w:rPr>
          <w:color w:val="2B579A"/>
          <w:shd w:val="clear" w:color="auto" w:fill="E6E6E6"/>
        </w:rPr>
      </w:r>
      <w:r w:rsidRPr="00FD174D">
        <w:rPr>
          <w:color w:val="2B579A"/>
          <w:shd w:val="clear" w:color="auto" w:fill="E6E6E6"/>
        </w:rPr>
        <w:fldChar w:fldCharType="separate"/>
      </w:r>
    </w:p>
    <w:p w14:paraId="31C55D13" w14:textId="0947EF67" w:rsidR="00B3088E" w:rsidRPr="007A6D8E" w:rsidRDefault="007F1966" w:rsidP="00DB3E59">
      <w:r w:rsidRPr="007B2413">
        <w:rPr>
          <w:noProof/>
        </w:rPr>
        <w:t xml:space="preserve">Figure </w:t>
      </w:r>
      <w:r>
        <w:rPr>
          <w:noProof/>
        </w:rPr>
        <w:t>5</w:t>
      </w:r>
      <w:r w:rsidR="00DB3E59" w:rsidRPr="00FD174D">
        <w:rPr>
          <w:color w:val="2B579A"/>
          <w:shd w:val="clear" w:color="auto" w:fill="E6E6E6"/>
        </w:rPr>
        <w:fldChar w:fldCharType="end"/>
      </w:r>
      <w:r w:rsidR="00DB3E59" w:rsidRPr="00FD174D">
        <w:t xml:space="preserve"> highlights how cognitive impairment in these areas can influence or contribute to problematic substance use.</w:t>
      </w:r>
      <w:r w:rsidR="00DB3E59" w:rsidRPr="00FD174D">
        <w:fldChar w:fldCharType="begin"/>
      </w:r>
      <w:r w:rsidR="00DB3E59" w:rsidRPr="00FD174D">
        <w:instrText xml:space="preserve"> ADDIN ZOTERO_ITEM CSL_CITATION {"citationID":"a2ppbdl5ivi","properties":{"formattedCitation":"\\super 95,96\\nosupersub{}","plainCitation":"95,96","noteIndex":0},"citationItems":[{"id":12876,"uris":["http://zotero.org/groups/4745233/items/QXZQQZMZ"],"itemData":{"id":12876,"type":"article-journal","abstract":"Cognitive impairments in substance use disorders have been extensively researched, especially since the advent of cognitive and computational neuroscience and neuroimaging methods in the last 20 years. Conceptually, altered cognitive function can be viewed as a hallmark feature of substance use disorders, with documented alterations in the well-known \"executive\" domains of attention, inhibition/regulation, working memory, and decision-making. Poor cognitive (sometimes referred to as \"top-down\") regulation of downstream motivational processes-whether appetitive (reward, incentive salience) or aversive (stress, negative affect)-is recognized as a fundamental impairment in addiction and a potentially important target for intervention. As addressed in this special issue, cognitive impairment is a transdiagnostic domain; thus, advances in the characterization and treatment of cognitive dysfunction in substance use disorders could have benefit across multiple psychiatric disorders. Toward this general goal, we summarize current findings in the abovementioned cognitive domains of substance use disorders, while suggesting a potentially useful expansion to include processes that both precede (precognition) and supersede (social cognition) what is usually thought of as strictly cognition. These additional two areas have received relatively less attention but phenomenologically and otherwise are important features of substance use disorders. The review concludes with suggestions for research and potential therapeutic targeting of both the familiar and this more comprehensive version of cognitive domains related to substance use disorders.","container-title":"CNS spectrums","DOI":"10.1017/S1092852918001426","ISSN":"1092-8529","issue":"1","journalAbbreviation":"CNS Spectr","language":"eng","note":"PMID: 30591083\nPMCID: PMC6599555","page":"102-113","source":"PubMed","title":"Cognitive impairment in substance use disorders","volume":"24","author":[{"family":"Ramey","given":"Tatiana"},{"family":"Regier","given":"Paul S."}],"issued":{"date-parts":[["2019",2]]}}},{"id":12717,"uris":["http://zotero.org/groups/4745233/items/3I2A3SYX"],"itemData":{"id":12717,"type":"article-journal","abstract":"Although there is general consensus that altered brain structure and function underpins addictive disorders, clinicians working in addiction treatment rarely incorporate neuroscience-informed approaches into their practice. We recently launched the Neuroscience Interest Group within the International Society of Addiction Medicine (ISAM-NIG) to promote initiatives to bridge this gap. This article summarizes the ISAM-NIG key priorities and strategies to achieve implementation of addiction neuroscience knowledge and tools for the assessment and treatment of substance use disorders. We cover two assessment areas: cognitive assessment and neuroimaging, and two interventional areas: cognitive training/remediation and neuromodulation, where we identify key challenges and proposed solutions. We reason that incorporating cognitive assessment into clinical settings requires the identification of constructs that predict meaningful clinical outcomes. Other requirements are the development of measures that are easily-administered, reliable, and ecologically-valid. Translation of neuroimaging techniques requires the development of diagnostic and prognostic biomarkers and testing the cost-effectiveness of these biomarkers in individualized prediction algorithms for relapse prevention and treatment selection. Integration of cognitive assessments with neuroimaging can provide multilevel targets including neural, cognitive, and behavioral outcomes for neuroscience-informed interventions. Application of neuroscience-informed interventions including cognitive training/remediation and neuromodulation requires clear pathways to design treatments based on multilevel targets, additional evidence from randomized trials and subsequent clinical implementation, including evaluation of cost-effectiveness. We propose to address these challenges by promoting international collaboration between researchers and clinicians, developing harmonized protocols and data management systems, and prioritizing multi-site research that focuses on improving clinical outcomes.","container-title":"Frontiers in Psychiatry","ISSN":"1664-0640","source":"Frontiers","title":"A Roadmap for Integrating Neuroscience Into Addiction Treatment: A Consensus of the Neuroscience Interest Group of the International Society of Addiction Medicine","title-short":"A Roadmap for Integrating Neuroscience Into Addiction Treatment","URL":"https://www.frontiersin.org/articles/10.3389/fpsyt.2019.00877","volume":"10","author":[{"family":"Verdejo-Garcia","given":"Antonio"},{"family":"Lorenzetti","given":"Valentina"},{"family":"Manning","given":"Victoria"},{"family":"Piercy","given":"Hugh"},{"family":"Bruno","given":"Raimondo"},{"family":"Hester","given":"Rob"},{"family":"Pennington","given":"David"},{"family":"Tolomeo","given":"Serenella"},{"family":"Arunogiri","given":"Shalini"},{"family":"Bates","given":"Marsha E."},{"family":"Bowden-Jones","given":"Henrietta"},{"family":"Campanella","given":"Salvatore"},{"family":"Daughters","given":"Stacey B."},{"family":"Kouimtsidis","given":"Christos"},{"family":"Lubman","given":"Dan I."},{"family":"Meyerhoff","given":"Dieter J."},{"family":"Ralph","given":"Annaketurah"},{"family":"Rezapour","given":"Tara"},{"family":"Tavakoli","given":"Hosna"},{"family":"Zare-Bidoky","given":"Mehran"},{"family":"Zilverstand","given":"Anna"},{"family":"Steele","given":"Douglas"},{"family":"Moeller","given":"Scott J."},{"family":"Paulus","given":"Martin"},{"family":"Baldacchino","given":"Alex"},{"family":"Ekhtiari","given":"Hamed"}],"accessed":{"date-parts":[["2022",10,25]]},"issued":{"date-parts":[["2019"]]}}}],"schema":"https://github.com/citation-style-language/schema/raw/master/csl-citation.json"} </w:instrText>
      </w:r>
      <w:r w:rsidR="00DB3E59" w:rsidRPr="00FD174D">
        <w:fldChar w:fldCharType="separate"/>
      </w:r>
      <w:r w:rsidR="00DB3E59" w:rsidRPr="00FD174D">
        <w:rPr>
          <w:rFonts w:cs="Arial"/>
          <w:vertAlign w:val="superscript"/>
        </w:rPr>
        <w:t>95,96</w:t>
      </w:r>
      <w:r w:rsidR="00DB3E59" w:rsidRPr="00FD174D">
        <w:fldChar w:fldCharType="end"/>
      </w:r>
    </w:p>
    <w:p w14:paraId="29C8F51F" w14:textId="77777777" w:rsidR="00C94744" w:rsidRDefault="00C94744" w:rsidP="007B2413">
      <w:pPr>
        <w:pStyle w:val="Figure"/>
      </w:pPr>
      <w:bookmarkStart w:id="803" w:name="_Ref146294480"/>
      <w:bookmarkStart w:id="804" w:name="_Toc179461354"/>
    </w:p>
    <w:p w14:paraId="6C8825DC" w14:textId="57B6CE5B" w:rsidR="00DB3E59" w:rsidRPr="007B2413" w:rsidRDefault="00DB3E59" w:rsidP="007B2413">
      <w:pPr>
        <w:pStyle w:val="Figure"/>
      </w:pPr>
      <w:r w:rsidRPr="007B2413">
        <w:t xml:space="preserve">Figure </w:t>
      </w:r>
      <w:r w:rsidRPr="007B2413">
        <w:fldChar w:fldCharType="begin"/>
      </w:r>
      <w:r w:rsidRPr="007B2413">
        <w:instrText xml:space="preserve"> SEQ Figure \* ARABIC </w:instrText>
      </w:r>
      <w:r w:rsidRPr="007B2413">
        <w:fldChar w:fldCharType="separate"/>
      </w:r>
      <w:r w:rsidR="007F1966">
        <w:rPr>
          <w:noProof/>
        </w:rPr>
        <w:t>5</w:t>
      </w:r>
      <w:r w:rsidRPr="007B2413">
        <w:fldChar w:fldCharType="end"/>
      </w:r>
      <w:bookmarkEnd w:id="803"/>
      <w:r w:rsidRPr="007B2413">
        <w:t>. How cognitive impairment influences problematic substance use</w:t>
      </w:r>
      <w:bookmarkEnd w:id="804"/>
      <w:r w:rsidRPr="007B2413">
        <w:rPr>
          <w:noProof/>
        </w:rPr>
        <w:t xml:space="preserve">     </w:t>
      </w:r>
      <w:r w:rsidRPr="007B2413">
        <w:t xml:space="preserve"> </w:t>
      </w:r>
    </w:p>
    <w:p w14:paraId="24EAC0E6" w14:textId="3F1A636C" w:rsidR="00DB3E59" w:rsidRPr="004309BA" w:rsidRDefault="00DB3E59" w:rsidP="00DB3E59">
      <w:r w:rsidRPr="001C212E">
        <w:rPr>
          <w:noProof/>
        </w:rPr>
        <w:drawing>
          <wp:inline distT="0" distB="0" distL="0" distR="0" wp14:anchorId="68B4B2EF" wp14:editId="3D2D2A14">
            <wp:extent cx="5886450" cy="2390775"/>
            <wp:effectExtent l="0" t="0" r="0" b="9525"/>
            <wp:docPr id="230227554" name="Diagram 230227554" descr="Boxes showing how cognitive impairment influences problematic substance use. This includes automatic preferences for substances, increased impulsivity, decreased insight into substance behaviours, which make it difficult to reduce or stop substance use ">
              <a:extLst xmlns:a="http://schemas.openxmlformats.org/drawingml/2006/main">
                <a:ext uri="{FF2B5EF4-FFF2-40B4-BE49-F238E27FC236}">
                  <a16:creationId xmlns:a16="http://schemas.microsoft.com/office/drawing/2014/main" id="{D3E7CE1C-F116-7584-9453-DEE88B028C77}"/>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5CF710A5" w14:textId="77777777" w:rsidR="00DB3E59" w:rsidRPr="004309BA" w:rsidRDefault="00DB3E59" w:rsidP="007B2413">
      <w:r w:rsidRPr="004309BA">
        <w:t>At least partial recovery of cognitive function is possible for most substances – recovery depends on the level and frequency of use, periods of abstinence, and other health factors.</w:t>
      </w:r>
      <w:r w:rsidRPr="004309BA">
        <w:fldChar w:fldCharType="begin"/>
      </w:r>
      <w:r w:rsidRPr="004309BA">
        <w:instrText xml:space="preserve"> ADDIN ZOTERO_ITEM CSL_CITATION {"citationID":"avkvr6ae9p","properties":{"formattedCitation":"\\super 3\\nosupersub{}","plainCitation":"3","noteIndex":0},"citationItems":[{"id":14007,"uris":["http://zotero.org/groups/4745233/items/U3GGYCKU"],"itemData":{"id":14007,"type":"report","event-place":"Richmond, Victoria","language":"en","publisher":"Turning Point","publisher-place":"Richmond, Victoria","source":"Zotero","title":"Managing Cognitive Impairment in AOD Treatment: Practice Guidelines for Healthcare Professionals","URL":"https://www.turningpoint.org.au/treatment/clinicians/Managing-Cognitive-Impairment-in-AOD-Treatment-Guidelines","author":[{"family":"Manning","given":"Victoria"},{"family":"Gooden","given":"James"},{"family":"Cox","given":"Catherine"},{"family":"Whelan","given":"Danielle"},{"family":"Miroz","given":"Katherine"}],"issued":{"date-parts":[["2021"]]}}}],"schema":"https://github.com/citation-style-language/schema/raw/master/csl-citation.json"} </w:instrText>
      </w:r>
      <w:r w:rsidRPr="004309BA">
        <w:fldChar w:fldCharType="separate"/>
      </w:r>
      <w:r w:rsidRPr="004309BA">
        <w:rPr>
          <w:rFonts w:cs="Arial"/>
          <w:vertAlign w:val="superscript"/>
        </w:rPr>
        <w:t>3</w:t>
      </w:r>
      <w:r w:rsidRPr="004309BA">
        <w:fldChar w:fldCharType="end"/>
      </w:r>
      <w:r w:rsidRPr="004309BA">
        <w:t xml:space="preserve"> From clinical experience the most rapid cognitive recovery is generally seen in the first 6 weeks after stopping substance use. </w:t>
      </w:r>
    </w:p>
    <w:p w14:paraId="0D4662A9" w14:textId="77777777" w:rsidR="00DB3E59" w:rsidRPr="004309BA" w:rsidRDefault="00DB3E59" w:rsidP="007B2413">
      <w:r w:rsidRPr="004309BA">
        <w:t>Substances tend to have a dose dependent effect, where higher levels of use are associated with more cognitive impacts.</w:t>
      </w:r>
      <w:r w:rsidRPr="004309BA">
        <w:fldChar w:fldCharType="begin"/>
      </w:r>
      <w:r w:rsidRPr="004309BA">
        <w:instrText xml:space="preserve"> ADDIN ZOTERO_ITEM CSL_CITATION {"citationID":"a2067vpf3j2","properties":{"formattedCitation":"\\super 3\\nosupersub{}","plainCitation":"3","noteIndex":0},"citationItems":[{"id":14007,"uris":["http://zotero.org/groups/4745233/items/U3GGYCKU"],"itemData":{"id":14007,"type":"report","event-place":"Richmond, Victoria","language":"en","publisher":"Turning Point","publisher-place":"Richmond, Victoria","source":"Zotero","title":"Managing Cognitive Impairment in AOD Treatment: Practice Guidelines for Healthcare Professionals","URL":"https://www.turningpoint.org.au/treatment/clinicians/Managing-Cognitive-Impairment-in-AOD-Treatment-Guidelines","author":[{"family":"Manning","given":"Victoria"},{"family":"Gooden","given":"James"},{"family":"Cox","given":"Catherine"},{"family":"Whelan","given":"Danielle"},{"family":"Miroz","given":"Katherine"}],"issued":{"date-parts":[["2021"]]}}}],"schema":"https://github.com/citation-style-language/schema/raw/master/csl-citation.json"} </w:instrText>
      </w:r>
      <w:r w:rsidRPr="004309BA">
        <w:fldChar w:fldCharType="separate"/>
      </w:r>
      <w:r w:rsidRPr="004309BA">
        <w:rPr>
          <w:rFonts w:cs="Arial"/>
          <w:vertAlign w:val="superscript"/>
        </w:rPr>
        <w:t>3</w:t>
      </w:r>
      <w:r w:rsidRPr="004309BA">
        <w:fldChar w:fldCharType="end"/>
      </w:r>
      <w:r w:rsidRPr="004309BA">
        <w:t xml:space="preserve"> </w:t>
      </w:r>
    </w:p>
    <w:p w14:paraId="6043A344" w14:textId="77777777" w:rsidR="00DB3E59" w:rsidRPr="004309BA" w:rsidRDefault="00DB3E59" w:rsidP="007B2413">
      <w:r w:rsidRPr="004309BA">
        <w:t>Alcohol is the most commonly used substance and is the substance most consistently associated with long-term cognitive impairment when used at high levels over a long period of time.</w:t>
      </w:r>
      <w:r w:rsidRPr="004309BA">
        <w:fldChar w:fldCharType="begin"/>
      </w:r>
      <w:r w:rsidRPr="004309BA">
        <w:instrText xml:space="preserve"> ADDIN ZOTERO_ITEM CSL_CITATION {"citationID":"anbu13ga7l","properties":{"formattedCitation":"\\super 3\\nosupersub{}","plainCitation":"3","noteIndex":0},"citationItems":[{"id":14007,"uris":["http://zotero.org/groups/4745233/items/U3GGYCKU"],"itemData":{"id":14007,"type":"report","event-place":"Richmond, Victoria","language":"en","publisher":"Turning Point","publisher-place":"Richmond, Victoria","source":"Zotero","title":"Managing Cognitive Impairment in AOD Treatment: Practice Guidelines for Healthcare Professionals","URL":"https://www.turningpoint.org.au/treatment/clinicians/Managing-Cognitive-Impairment-in-AOD-Treatment-Guidelines","author":[{"family":"Manning","given":"Victoria"},{"family":"Gooden","given":"James"},{"family":"Cox","given":"Catherine"},{"family":"Whelan","given":"Danielle"},{"family":"Miroz","given":"Katherine"}],"issued":{"date-parts":[["2021"]]}}}],"schema":"https://github.com/citation-style-language/schema/raw/master/csl-citation.json"} </w:instrText>
      </w:r>
      <w:r w:rsidRPr="004309BA">
        <w:fldChar w:fldCharType="separate"/>
      </w:r>
      <w:r w:rsidRPr="004309BA">
        <w:rPr>
          <w:rFonts w:cs="Arial"/>
          <w:vertAlign w:val="superscript"/>
        </w:rPr>
        <w:t>3</w:t>
      </w:r>
      <w:r w:rsidRPr="004309BA">
        <w:fldChar w:fldCharType="end"/>
      </w:r>
    </w:p>
    <w:p w14:paraId="1DDB588C" w14:textId="77777777" w:rsidR="00DB3E59" w:rsidRPr="00AE0BFC" w:rsidRDefault="00DB3E59" w:rsidP="007B2413">
      <w:r w:rsidRPr="00AE0BFC">
        <w:t>Substance overdose is associated with cognitive impairment due to periods of low oxygen in the brain.</w:t>
      </w:r>
      <w:r w:rsidRPr="00AE0BFC">
        <w:rPr>
          <w:color w:val="2B579A"/>
        </w:rPr>
        <w:fldChar w:fldCharType="begin"/>
      </w:r>
      <w:r w:rsidRPr="00AE0BFC">
        <w:instrText xml:space="preserve"> ADDIN ZOTERO_ITEM CSL_CITATION {"citationID":"uOuzr3Zb","properties":{"formattedCitation":"\\super 97,98\\nosupersub{}","plainCitation":"97,98","noteIndex":0},"citationItems":[{"id":13418,"uris":["http://zotero.org/groups/4745233/items/TF2GD784"],"itemData":{"id":13418,"type":"chapter","abstract":"Anoxic encephalopathy, or hypoxic-ischemic brain injury, is a process that begins with the cessation of cerebral blood flow to brain tissue, which most commonly results from poisoning (for example, carbon monoxide or drug overdose), vascular injury or insult, or cardiac arrest. Many patients who suffer anoxic brain injury expire without regaining full consciousness, and many patients have significantly poor neurologic outcomes. However, some advances are beginning to demonstrate the preservation of brain tissue, and there is a focus on identifying patients with the prospect of improving neurologic morbidity and mortality. There has been published data to indicate that there are predictors for poor outcome. However, evidence of factors suggestive of good prognosis or outcome has lagged. This activity will review the literature and practices concerning anoxic encephalopathy and brain injury.","call-number":"NBK539833","container-title":"StatPearls","event-place":"Treasure Island (FL)","language":"eng","license":"Copyright © 2022, StatPearls Publishing LLC.","note":"PMID: 30969655","publisher":"StatPearls Publishing","publisher-place":"Treasure Island (FL)","source":"PubMed","title":"Anoxic Encephalopathy","URL":"http://www.ncbi.nlm.nih.gov/books/NBK539833/","author":[{"family":"Messina","given":"Zachary"},{"family":"Hays Shapshak","given":"Angela"},{"family":"Mills","given":"Rebecca"}],"accessed":{"date-parts":[["2022",11,28]]},"issued":{"date-parts":[["2022"]]}}},{"id":13285,"uris":["http://zotero.org/groups/4745233/items/M54VXVPY"],"itemData":{"id":13285,"type":"article-journal","abstract":"BACKGROUND: Non-fatal opioid-related overdoses have increased significantly over the past two decades and there have been increasing reports of brain injuries and/or neurocognitive impairments following overdose events. Limited preclinical research suggests that opioid overdoses may cause brain injury; however, little is known about such injuries in humans. The purpose this systematic review is to summarize existing studies on neurocognitive impairments and/or brain abnormalities associated with an opioid-related overdose in humans.\nMETHODS: PubMed, Web of Science, Ovid MEDLINE and PsyINFO were searched, without year restrictions, and identified 3099 articles. An additional 24 articles were identified by reviewing references. Articles were included if they were published in English, reported study findings in humans, included individuals 18 years of age or older, and reported an objective measure of neurocognitive impairments and/or brain abnormalities resulting from an opioid-related overdose. Six domains of bias (selection, performance, attrition, detection (two dimensions) and reporting were evaluated and themes were summarized.\nRESULTS: Seventy-nine journal articles, published between 1973-2020, were included in the review. More than half of the articles were case reports (n = 44) and there were 11 cohort studies, 18 case series, and 6 case-control studies. All of the studies were categorized as at-risk of bias, few controlled for confounding factors, and methodological differences made direct comparisons difficult. Less than half of the studies reported toxicology results confirming an opioid-related overdose; 64.6 % reported brain MRI results and 27.8 % reported results of neuropsychological testing. Only two studies had within subject comparative data to document changes in the brain possibly associated with an overdose. Despite these limitations, existing publications suggest that brain injuries and neurocognitive impairments are associated with opioid overdose. Additional research is needed to establish the incidence of overdose-related brain injuries and the potential impact on functioning, as well as engagement in treatment of substance use disorders.\nCONCLUSIONS: Respiratory depression is a defining characteristic of opioid overdose and prolonged cerebral hypoxia may cause brain injuries and/or neurocognitive impairments. The onset, characteristics, and duration of such injuries is variable and additional research is needed to understand their clinical implications.","container-title":"Drug and Alcohol Dependence","DOI":"10.1016/j.drugalcdep.2021.108838","ISSN":"1879-0046","journalAbbreviation":"Drug Alcohol Depend","language":"eng","note":"PMID: 34271512\nPMCID: PMC8889511","page":"108838","source":"PubMed","title":"Neurocognitive impairments and brain abnormalities resulting from opioid-related overdoses: A systematic review","title-short":"Neurocognitive impairments and brain abnormalities resulting from opioid-related overdoses","volume":"226","author":[{"family":"Winstanley","given":"Erin L."},{"family":"Mahoney","given":"James J."},{"family":"Castillo","given":"Felipe"},{"family":"Comer","given":"Sandra D."}],"issued":{"date-parts":[["2021",9,1]]}}}],"schema":"https://github.com/citation-style-language/schema/raw/master/csl-citation.json"} </w:instrText>
      </w:r>
      <w:r w:rsidRPr="00AE0BFC">
        <w:rPr>
          <w:color w:val="2B579A"/>
        </w:rPr>
        <w:fldChar w:fldCharType="separate"/>
      </w:r>
      <w:r w:rsidRPr="00AE0BFC">
        <w:rPr>
          <w:rFonts w:cs="Arial"/>
          <w:vertAlign w:val="superscript"/>
        </w:rPr>
        <w:t>97,98</w:t>
      </w:r>
      <w:r w:rsidRPr="00AE0BFC">
        <w:rPr>
          <w:color w:val="2B579A"/>
        </w:rPr>
        <w:fldChar w:fldCharType="end"/>
      </w:r>
    </w:p>
    <w:p w14:paraId="02E0BB78" w14:textId="73EDC32A" w:rsidR="00DB3E59" w:rsidRPr="009606CB" w:rsidRDefault="00DB3E59" w:rsidP="009606CB">
      <w:pPr>
        <w:rPr>
          <w:rStyle w:val="normaltextrun"/>
          <w:rFonts w:cs="Arial"/>
          <w:color w:val="000000"/>
          <w:szCs w:val="24"/>
          <w:shd w:val="clear" w:color="auto" w:fill="FFFFFF"/>
        </w:rPr>
      </w:pPr>
      <w:r w:rsidRPr="009606CB">
        <w:rPr>
          <w:szCs w:val="24"/>
        </w:rPr>
        <w:fldChar w:fldCharType="begin"/>
      </w:r>
      <w:r w:rsidRPr="009606CB">
        <w:rPr>
          <w:szCs w:val="24"/>
        </w:rPr>
        <w:instrText xml:space="preserve"> REF _Ref146283522 \h  \* MERGEFORMAT </w:instrText>
      </w:r>
      <w:r w:rsidRPr="009606CB">
        <w:rPr>
          <w:szCs w:val="24"/>
        </w:rPr>
      </w:r>
      <w:r w:rsidRPr="009606CB">
        <w:rPr>
          <w:szCs w:val="24"/>
        </w:rPr>
        <w:fldChar w:fldCharType="separate"/>
      </w:r>
      <w:r w:rsidR="007F1966" w:rsidRPr="007F1966">
        <w:rPr>
          <w:szCs w:val="24"/>
        </w:rPr>
        <w:t xml:space="preserve">Table </w:t>
      </w:r>
      <w:r w:rsidR="007F1966" w:rsidRPr="007F1966">
        <w:rPr>
          <w:noProof/>
          <w:szCs w:val="24"/>
        </w:rPr>
        <w:t>3</w:t>
      </w:r>
      <w:r w:rsidRPr="009606CB">
        <w:rPr>
          <w:szCs w:val="24"/>
        </w:rPr>
        <w:fldChar w:fldCharType="end"/>
      </w:r>
      <w:r w:rsidRPr="009606CB">
        <w:rPr>
          <w:szCs w:val="24"/>
        </w:rPr>
        <w:t xml:space="preserve"> summarises substance impacts on cognition and cognitive recovery. </w:t>
      </w:r>
      <w:r w:rsidRPr="009606CB">
        <w:rPr>
          <w:rStyle w:val="normaltextrun"/>
          <w:rFonts w:cs="Arial"/>
          <w:color w:val="000000"/>
          <w:szCs w:val="24"/>
          <w:shd w:val="clear" w:color="auto" w:fill="FFFFFF"/>
        </w:rPr>
        <w:t>Interpreting information about substance effects can be difficult as many people use multiple substances so cognitive impacts might be more complex or compounded.</w:t>
      </w:r>
      <w:r w:rsidRPr="009606CB">
        <w:rPr>
          <w:rStyle w:val="normaltextrun"/>
          <w:rFonts w:cs="Arial"/>
          <w:color w:val="000000"/>
          <w:szCs w:val="24"/>
          <w:shd w:val="clear" w:color="auto" w:fill="FFFFFF"/>
        </w:rPr>
        <w:fldChar w:fldCharType="begin"/>
      </w:r>
      <w:r w:rsidRPr="009606CB">
        <w:rPr>
          <w:rStyle w:val="normaltextrun"/>
          <w:rFonts w:cs="Arial"/>
          <w:color w:val="000000"/>
          <w:szCs w:val="24"/>
          <w:shd w:val="clear" w:color="auto" w:fill="FFFFFF"/>
        </w:rPr>
        <w:instrText xml:space="preserve"> ADDIN ZOTERO_ITEM CSL_CITATION {"citationID":"a2mjpfeb75k","properties":{"formattedCitation":"\\super 3,99\\nosupersub{}","plainCitation":"3,99","noteIndex":0},"citationItems":[{"id":14007,"uris":["http://zotero.org/groups/4745233/items/U3GGYCKU"],"itemData":{"id":14007,"type":"report","event-place":"Richmond, Victoria","language":"en","publisher":"Turning Point","publisher-place":"Richmond, Victoria","source":"Zotero","title":"Managing Cognitive Impairment in AOD Treatment: Practice Guidelines for Healthcare Professionals","URL":"https://www.turningpoint.org.au/treatment/clinicians/Managing-Cognitive-Impairment-in-AOD-Treatment-Guidelines","author":[{"family":"Manning","given":"Victoria"},{"family":"Gooden","given":"James"},{"family":"Cox","given":"Catherine"},{"family":"Whelan","given":"Danielle"},{"family":"Miroz","given":"Katherine"}],"issued":{"date-parts":[["2021"]]}}},{"id":13890,"uris":["http://zotero.org/groups/4745233/items/V8Y2JDWL"],"itemData":{"id":13890,"type":"chapter","abstract":"In this chapter, we reviewed the relatively small body of peer-reviewed research on the particular and specific brain alterations that are associated with polysubstance use disorder, (PSUD) vis-a-vis those related to monosubstance use disorders. This chapter demonstrates neuropsychological deficits in polysubstance users who at first glance appear to be largely similar in nature to those of single drug users, but are often also more severe and long-lasting in polysubstance users. Careful comparisons have also revealed differences between individuals with PSUD and alcohol use disorder (AUD) in different aspects of learning and memory, various measures of inhibitory control, and intelligence, which all have been related to relapse risk in single drug studies. Underlying these differences in brain function are neurobiological abnormalities (brain structure and metabolism) that differ in location, spatial extent, nature of injury, and persistence during abstinence from abused substances. We also showed that chronic tobacco use in PSUD and AUD populations and controls affects neurobiology and function, both cross-sectionally and longitudinally, in regions critical to executive control/oversight and impulse behavior; thus, smoking in these populations may be behaviorally relevant. Preliminary serial assessments within the first few months of abstinence from all drugs but tobacco also demonstrate effective recovery from several cognitive, self-regulatory, and neurobiological deficits in polysubstance users. The studies that have contrasted single drug users and polysubstance use (PSU) individuals suggest that different treatment approaches may be indicated for poly- and monosubstance users, with strategies that leverage our knowledge of the unique differences between different typologies of substance users. It would be a fallacy to attempt to build PSU treatment development solely on what we have learned from studies of \"pure\" substance use disorders. This chapter shows that individuals with PSU experience neuropsychological and neurobiological abnormalities, which are sufficiently different from those of monosubstance users that we cannot simply generalize from treating AUD or heroin addiction to the more complex PSU populations. (PsycINFO Database Record (c) 2019 APA, all rights reserved)","container-title":"Addictive substances and neurological disease: Alcohol, tobacco, caffeine, and drugs of abuse in everyday lifestyles","event-place":"San Diego, CA, US","ISBN":"978-0-12-805373-7","note":"DOI: 10.1016/B978-0-12-805373-7.00021-9","page":"217-237","publisher":"Elsevier Academic Press","publisher-place":"San Diego, CA, US","source":"APA PsycNet","title":"Functionally relevant brain alterations in polysubstance users: Differences to monosubstance users, study challenges, and implications for treatment","title-short":"Functionally relevant brain alterations in polysubstance users","author":[{"family":"Meyerhoff","given":"D. J."}],"issued":{"date-parts":[["2017"]]}}}],"schema":"https://github.com/citation-style-language/schema/raw/master/csl-citation.json"} </w:instrText>
      </w:r>
      <w:r w:rsidRPr="009606CB">
        <w:rPr>
          <w:rStyle w:val="normaltextrun"/>
          <w:rFonts w:cs="Arial"/>
          <w:color w:val="000000"/>
          <w:szCs w:val="24"/>
          <w:shd w:val="clear" w:color="auto" w:fill="FFFFFF"/>
        </w:rPr>
        <w:fldChar w:fldCharType="separate"/>
      </w:r>
      <w:r w:rsidRPr="009606CB">
        <w:rPr>
          <w:szCs w:val="24"/>
          <w:vertAlign w:val="superscript"/>
        </w:rPr>
        <w:t>3,99</w:t>
      </w:r>
      <w:r w:rsidRPr="009606CB">
        <w:rPr>
          <w:rStyle w:val="normaltextrun"/>
          <w:rFonts w:cs="Arial"/>
          <w:color w:val="000000"/>
          <w:szCs w:val="24"/>
          <w:shd w:val="clear" w:color="auto" w:fill="FFFFFF"/>
        </w:rPr>
        <w:fldChar w:fldCharType="end"/>
      </w:r>
    </w:p>
    <w:p w14:paraId="461B6119" w14:textId="77777777" w:rsidR="00B3088E" w:rsidRDefault="00B3088E" w:rsidP="007B2413">
      <w:pPr>
        <w:rPr>
          <w:rStyle w:val="normaltextrun"/>
          <w:rFonts w:cs="Arial"/>
          <w:color w:val="000000"/>
          <w:sz w:val="22"/>
          <w:shd w:val="clear" w:color="auto" w:fill="FFFFFF"/>
        </w:rPr>
      </w:pPr>
    </w:p>
    <w:p w14:paraId="08A147E0" w14:textId="77777777" w:rsidR="00B3088E" w:rsidRDefault="00B3088E" w:rsidP="007B2413">
      <w:pPr>
        <w:rPr>
          <w:rStyle w:val="normaltextrun"/>
          <w:rFonts w:cs="Arial"/>
          <w:color w:val="000000"/>
          <w:sz w:val="22"/>
          <w:shd w:val="clear" w:color="auto" w:fill="FFFFFF"/>
        </w:rPr>
      </w:pPr>
    </w:p>
    <w:p w14:paraId="3DD5367D" w14:textId="77777777" w:rsidR="00B3088E" w:rsidRDefault="00B3088E" w:rsidP="007B2413">
      <w:pPr>
        <w:rPr>
          <w:rStyle w:val="normaltextrun"/>
          <w:sz w:val="22"/>
        </w:rPr>
      </w:pPr>
    </w:p>
    <w:p w14:paraId="0904777F" w14:textId="77777777" w:rsidR="009606CB" w:rsidRPr="00AE0BFC" w:rsidRDefault="009606CB" w:rsidP="007B2413">
      <w:pPr>
        <w:rPr>
          <w:rStyle w:val="normaltextrun"/>
          <w:sz w:val="22"/>
        </w:rPr>
      </w:pPr>
    </w:p>
    <w:p w14:paraId="02849E73" w14:textId="3F4B095E" w:rsidR="00DB3E59" w:rsidRPr="007B2413" w:rsidRDefault="00DB3E59" w:rsidP="007B2413">
      <w:pPr>
        <w:rPr>
          <w:b/>
          <w:bCs/>
        </w:rPr>
      </w:pPr>
      <w:bookmarkStart w:id="805" w:name="_Ref146283522"/>
      <w:bookmarkStart w:id="806" w:name="_Toc146624902"/>
      <w:bookmarkStart w:id="807" w:name="_Toc179544005"/>
      <w:r w:rsidRPr="007B2413">
        <w:rPr>
          <w:b/>
          <w:bCs/>
        </w:rPr>
        <w:t xml:space="preserve">Table </w:t>
      </w:r>
      <w:r w:rsidRPr="007B2413">
        <w:rPr>
          <w:b/>
          <w:bCs/>
        </w:rPr>
        <w:fldChar w:fldCharType="begin"/>
      </w:r>
      <w:r w:rsidRPr="007B2413">
        <w:rPr>
          <w:b/>
          <w:bCs/>
        </w:rPr>
        <w:instrText xml:space="preserve"> SEQ Table \* ARABIC </w:instrText>
      </w:r>
      <w:r w:rsidRPr="007B2413">
        <w:rPr>
          <w:b/>
          <w:bCs/>
        </w:rPr>
        <w:fldChar w:fldCharType="separate"/>
      </w:r>
      <w:r w:rsidR="007F1966">
        <w:rPr>
          <w:b/>
          <w:bCs/>
          <w:noProof/>
        </w:rPr>
        <w:t>3</w:t>
      </w:r>
      <w:r w:rsidRPr="007B2413">
        <w:rPr>
          <w:b/>
          <w:bCs/>
        </w:rPr>
        <w:fldChar w:fldCharType="end"/>
      </w:r>
      <w:bookmarkEnd w:id="805"/>
      <w:r w:rsidRPr="007B2413">
        <w:rPr>
          <w:b/>
          <w:bCs/>
        </w:rPr>
        <w:t>. Cognitive impact and recovery of different substances</w:t>
      </w:r>
      <w:bookmarkEnd w:id="806"/>
      <w:bookmarkEnd w:id="807"/>
    </w:p>
    <w:tbl>
      <w:tblPr>
        <w:tblStyle w:val="GridTable4-Accent2"/>
        <w:tblW w:w="9634" w:type="dxa"/>
        <w:tblBorders>
          <w:top w:val="none" w:sz="0" w:space="0" w:color="auto"/>
          <w:left w:val="none" w:sz="0" w:space="0" w:color="auto"/>
          <w:bottom w:val="none" w:sz="0" w:space="0" w:color="auto"/>
          <w:right w:val="none" w:sz="0" w:space="0" w:color="auto"/>
          <w:insideH w:val="double" w:sz="6" w:space="0" w:color="28A1AC" w:themeColor="accent2"/>
          <w:insideV w:val="double" w:sz="6" w:space="0" w:color="28A1AC" w:themeColor="accent2"/>
        </w:tblBorders>
        <w:tblLayout w:type="fixed"/>
        <w:tblLook w:val="04A0" w:firstRow="1" w:lastRow="0" w:firstColumn="1" w:lastColumn="0" w:noHBand="0" w:noVBand="1"/>
      </w:tblPr>
      <w:tblGrid>
        <w:gridCol w:w="2263"/>
        <w:gridCol w:w="7371"/>
      </w:tblGrid>
      <w:tr w:rsidR="00DB3E59" w:rsidRPr="00076959" w14:paraId="33083D42" w14:textId="77777777" w:rsidTr="00AF0D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nil"/>
              <w:bottom w:val="nil"/>
              <w:right w:val="double" w:sz="4" w:space="0" w:color="28A1AC" w:themeColor="accent2"/>
            </w:tcBorders>
            <w:shd w:val="clear" w:color="auto" w:fill="000066"/>
          </w:tcPr>
          <w:p w14:paraId="34BF4991" w14:textId="77777777" w:rsidR="00DB3E59" w:rsidRPr="00076959" w:rsidRDefault="00DB3E59" w:rsidP="007B2413">
            <w:r w:rsidRPr="00076959">
              <w:t>Substance</w:t>
            </w:r>
          </w:p>
        </w:tc>
        <w:tc>
          <w:tcPr>
            <w:tcW w:w="7371" w:type="dxa"/>
            <w:tcBorders>
              <w:top w:val="nil"/>
              <w:left w:val="double" w:sz="4" w:space="0" w:color="28A1AC" w:themeColor="accent2"/>
              <w:bottom w:val="nil"/>
            </w:tcBorders>
            <w:shd w:val="clear" w:color="auto" w:fill="000066"/>
          </w:tcPr>
          <w:p w14:paraId="29761B76" w14:textId="77777777" w:rsidR="00DB3E59" w:rsidRPr="00076959" w:rsidRDefault="00DB3E59" w:rsidP="00B3088E">
            <w:pPr>
              <w:cnfStyle w:val="100000000000" w:firstRow="1" w:lastRow="0" w:firstColumn="0" w:lastColumn="0" w:oddVBand="0" w:evenVBand="0" w:oddHBand="0" w:evenHBand="0" w:firstRowFirstColumn="0" w:firstRowLastColumn="0" w:lastRowFirstColumn="0" w:lastRowLastColumn="0"/>
            </w:pPr>
            <w:r w:rsidRPr="00076959">
              <w:t>Summary of effect and cognitive recovery</w:t>
            </w:r>
            <w:r w:rsidRPr="00076959">
              <w:rPr>
                <w:rStyle w:val="FootnoteReference"/>
                <w:rFonts w:cstheme="minorHAnsi"/>
                <w:b w:val="0"/>
                <w:bCs w:val="0"/>
                <w:sz w:val="22"/>
              </w:rPr>
              <w:footnoteReference w:id="4"/>
            </w:r>
          </w:p>
        </w:tc>
      </w:tr>
      <w:tr w:rsidR="00DB3E59" w:rsidRPr="00076959" w14:paraId="72991C49" w14:textId="77777777" w:rsidTr="00AF0D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nil"/>
              <w:bottom w:val="nil"/>
            </w:tcBorders>
          </w:tcPr>
          <w:p w14:paraId="5E22DA14" w14:textId="77777777" w:rsidR="00DB3E59" w:rsidRPr="00076959" w:rsidRDefault="00DB3E59" w:rsidP="007B2413">
            <w:r w:rsidRPr="00076959">
              <w:t>Alcohol</w:t>
            </w:r>
            <w:r w:rsidRPr="00076959">
              <w:fldChar w:fldCharType="begin"/>
            </w:r>
            <w:r w:rsidRPr="00076959">
              <w:rPr>
                <w:b w:val="0"/>
                <w:bCs w:val="0"/>
              </w:rPr>
              <w:instrText xml:space="preserve"> ADDIN ZOTERO_ITEM CSL_CITATION {"citationID":"a2linqhnif4","properties":{"formattedCitation":"\\super 1,3,45,66,100\\nosupersub{}","plainCitation":"1,3,45,66,100","noteIndex":0},"citationItems":[{"id":12881,"uris":["http://zotero.org/groups/4745233/items/AL69YR82"],"itemData":{"id":12881,"type":"article-journal","container-title":"Drug and Alcohol Review","DOI":"10.1111/dar.12922","ISSN":"0959-5236, 1465-3362","issue":"4","journalAbbreviation":"Drug Alcohol Rev.","language":"en","page":"435-442","source":"DOI.org (Crossref)","title":"Prevalence of cognitive impairment in patients with substance use disorder","volume":"38","author":[{"family":"Bruijnen","given":"Carolien J. W. H."},{"family":"Dijkstra","given":"Boukje A. G."},{"family":"Walvoort","given":"Serge J. W."},{"family":"Markus","given":"Wiebren"},{"family":"VanDerNagel","given":"Joanne E. L."},{"family":"Kessels","given":"Roy P. C."},{"family":"DE Jong","given":"Cornelis A. J."}],"issued":{"date-parts":[["2019",5]]}}},{"id":14007,"uris":["http://zotero.org/groups/4745233/items/U3GGYCKU"],"itemData":{"id":14007,"type":"report","event-place":"Richmond, Victoria","language":"en","publisher":"Turning Point","publisher-place":"Richmond, Victoria","source":"Zotero","title":"Managing Cognitive Impairment in AOD Treatment: Practice Guidelines for Healthcare Professionals","URL":"https://www.turningpoint.org.au/treatment/clinicians/Managing-Cognitive-Impairment-in-AOD-Treatment-Guidelines","author":[{"family":"Manning","given":"Victoria"},{"family":"Gooden","given":"James"},{"family":"Cox","given":"Catherine"},{"family":"Whelan","given":"Danielle"},{"family":"Miroz","given":"Katherine"}],"issued":{"date-parts":[["2021"]]}}},{"id":14237,"uris":["http://zotero.org/groups/4745233/items/9GMG6ARW"],"itemData":{"id":14237,"type":"article-journal","abstract":"Alcohol use and misuse is increasing among women. Although the prevalence of drinking remains higher in men than women, the gender gap is narrowing. This narrative review focuses on the cognitive sequelae of alcohol consumption in women. Studies of acute alcohol effects on cognition indicate that women typically perform worse than men on tasks requiring divided attention, memory, and decision-making. Beneficial effects of moderate alcohol consumption on cognition have been reported; however, a number of studies have cautioned that other factors may be driving that association. Although chronic heavy drinking affects working memory, visuospatial abilities, balance, emotional processing, and social cognition in women and men, sex differences mark the severity and specific profile of functional deficits. The accelerated or compressed progression of alcohol-related problems and their consequences observed in women relative to men, referred to as “telescoping,” highlights sex differences in the pharmacokinetics, pharmacodynamics, cognitive, and psychological consequences of alcohol. Brain volume deficits affecting multiple systems, including frontolimbic and frontocerebellar networks, contribute to impairment. Taken together, sex-related differences highlight the complexity of this chronic disease in women and underscore the relevance of examining the roles of age, drinking patterns, duration of abstinence, medical history, and psychiatric comorbidities in defining and understanding alcohol-related cognitive impairment.","container-title":"Alcohol Research : Current Reviews","DOI":"10.35946/arcr.v40.2.03","ISSN":"2168-3492","issue":"2","journalAbbreviation":"Alcohol Res","note":"PMID: 32923307\nPMCID: PMC7473713","page":"03","source":"PubMed Central","title":"Alcohol’s unique effects on cognition in women: A 2020 (re)view to envision future research and treatment","title-short":"Alcohol’s Unique Effects on Cognition in Women","volume":"40","author":[{"family":"Fama","given":"Rosemary"},{"family":"Le Berre","given":"Anne-Pascale"},{"family":"Sullivan","given":"Edith V."}],"issued":{"date-parts":[["2020",9,10]]}}},{"id":14233,"uris":["http://zotero.org/groups/4745233/items/KWS2UZG7"],"itemData":{"id":14233,"type":"article-journal","abstract":"Context\nAlcohol consumption has escalated rapidly in many countries over the past decade. Evidence suggests a correlation between alcohol use and cognitive decline. We have systematically reviewed the concept and controversies, epidemiology, nosology, neuropathology and neurobiology, neuropsychology and management updates of alcohol-related dementia (ARD) in this paper.\n\nEvidence Acquisition\nWe retrieved papers for this review by searching the PubMed database for terms “alcohol and dementia”, “alcohol and cognitive impairment”, and “alcohol and wernicke-korsakoff” mentioned in the title of the published papers. A total of 131 studies showed up. Appropriate studies were shortlisted and included (n = 72). Cross-references if relevant were considered from the selected studies. Eligible articles were fully read by the authors and the results were compiled.\n\nResults\nThe prolonged and excessive use of alcohol may lead to structural and functional brain damage, leading to ARD. The cognitive deficits are most frequently observed in domains of visuospatial functions, memory and executive tasks, with a potential of partial recovery if abstinence is maintained. However, there are doubts regarding the etiopathogenesis, nosological status, prevalence and diagnostic criteria for ARD, due to difficulty in assessment and various confounding factors.\n\nConclusions\nWith growing cohort of young and middle-aged people, there is a probable risk of upsurge of ARD. Presently, there are dilemmas over the diagnosis of independent ARD. Thus, there is a need to develop evidence-based guidelines for diagnosis and management of ARD through further systematic studies.","container-title":"International Journal of High Risk Behaviors &amp; Addiction","DOI":"10.5812/ijhrba.27976","ISSN":"2251-8711","issue":"3","journalAbbreviation":"Int J High Risk Behav Addict","note":"PMID: 27818965\nPMCID: PMC5086415","page":"e27976","source":"PubMed Central","title":"Alcohol-related dementia and neurocognitive impairment: A review study","title-short":"Alcohol-Related Dementia and Neurocognitive Impairment","volume":"5","author":[{"family":"Sachdeva","given":"Ankur"},{"family":"Chandra","given":"Mina"},{"family":"Choudhary","given":"Mona"},{"family":"Dayal","given":"Prabhoo"},{"family":"Anand","given":"Kuljeet Singh"}],"issued":{"date-parts":[["2016",2,7]]}}},{"id":13629,"uris":["http://zotero.org/groups/4745233/items/4HN6258B"],"itemData":{"id":13629,"type":"article-journal","container-title":"The Lancet","DOI":"10.1016/S0140-6736(18)31310-2","ISSN":"0140-6736, 1474-547X","issue":"10152","journalAbbreviation":"The Lancet","language":"English","note":"publisher: Elsevier\nPMID: 30146330","page":"1015-1035","source":"www.thelancet.com","title":"Alcohol use and burden for 195 countries and territories, 1990–2016: a systematic analysis for the Global Burden of Disease Study 2016","title-short":"Alcohol use and burden for 195 countries and territories, 1990–2016","volume":"392","author":[{"family":"Griswold","given":"Max G."},{"family":"Fullman","given":"Nancy"},{"family":"Hawley","given":"Caitlin"},{"family":"Arian","given":"Nicholas"},{"family":"Zimsen","given":"Stephanie R. M."},{"family":"Tymeson","given":"Hayley D."},{"family":"Venkateswaran","given":"Vidhya"},{"family":"Tapp","given":"Austin Douglas"},{"family":"Forouzanfar","given":"Mohammad H."},{"family":"Salama","given":"Joseph S."},{"family":"Abate","given":"Kalkidan Hassen"},{"family":"Abate","given":"Degu"},{"family":"Abay","given":"Solomon M."},{"family":"Abbafati","given":"Cristiana"},{"family":"Abdulkader","given":"Rizwan Suliankatchi"},{"family":"Abebe","given":"Zegeye"},{"family":"Aboyans","given":"Victor"},{"family":"Abrar","given":"Mohammed Mehdi"},{"family":"Acharya","given":"Pawan"},{"family":"Adetokunboh","given":"Olatunji O."},{"family":"Adhikari","given":"Tara Ballav"},{"family":"Adsuar","given":"Jose C."},{"family":"Afarideh","given":"Mohsen"},{"family":"Agardh","given":"Emilie Elisabet"},{"family":"Agarwal","given":"Gina"},{"family":"Aghayan","given":"Sargis Aghasi"},{"family":"Agrawal","given":"Sutapa"},{"family":"Ahmed","given":"Muktar Beshir"},{"family":"Akibu","given":"Mohammed"},{"family":"Akinyemiju","given":"Tomi"},{"family":"Akseer","given":"Nadia"},{"family":"Asfoor","given":"Deena H. Al"},{"family":"Al-Aly","given":"Ziyad"},{"family":"Alahdab","given":"Fares"},{"family":"Alam","given":"Khurshid"},{"family":"Albujeer","given":"Ammar"},{"family":"Alene","given":"Kefyalew Addis"},{"family":"Ali","given":"Raghib"},{"family":"Ali","given":"Syed Danish"},{"family":"Alijanzadeh","given":"Mehran"},{"family":"Aljunid","given":"Syed Mohamed"},{"family":"Alkerwi","given":"Ala'a"},{"family":"Allebeck","given":"Peter"},{"family":"Alvis-Guzman","given":"Nelson"},{"family":"Amare","given":"Azmeraw T."},{"family":"Aminde","given":"Leopold N."},{"family":"Ammar","given":"Walid"},{"family":"Amoako","given":"Yaw Ampem"},{"family":"Amul","given":"Gianna Gayle Herrera"},{"family":"Andrei","given":"Catalina Liliana"},{"family":"Angus","given":"Colin"},{"family":"Ansha","given":"Mustafa Geleto"},{"family":"Antonio","given":"Carl Abelardo T."},{"family":"Aremu","given":"Olatunde"},{"family":"Ärnlöv","given":"Johan"},{"family":"Artaman","given":"Al"},{"family":"Aryal","given":"Krishna K."},{"family":"Assadi","given":"Reza"},{"family":"Ausloos","given":"Marcel"},{"family":"Avila-Burgos","given":"Leticia"},{"family":"Avokpaho","given":"Euripide F."},{"family":"Awasthi","given":"Ashish"},{"family":"Ayele","given":"Henok Tadesse"},{"family":"Ayer","given":"Rakesh"},{"family":"Ayuk","given":"Tambe B."},{"family":"Azzopardi","given":"Peter S."},{"family":"Badali","given":"Hamid"},{"family":"Badawi","given":"Alaa"},{"family":"Banach","given":"Maciej"},{"family":"Barker-Collo","given":"Suzanne Lyn"},{"family":"Barrero","given":"Lope H."},{"family":"Basaleem","given":"Huda"},{"family":"Baye","given":"Estifanos"},{"family":"Bazargan-Hejazi","given":"Shahrzad"},{"family":"Bedi","given":"Neeraj"},{"family":"Béjot","given":"Yannick"},{"family":"Belachew","given":"Abate Bekele"},{"family":"Belay","given":"Saba Abraham"},{"family":"Bennett","given":"Derrick A."},{"family":"Bensenor","given":"Isabela M."},{"family":"Bernabe","given":"Eduardo"},{"family":"Bernstein","given":"Robert S."},{"family":"Beyene","given":"Addisu Shunu"},{"family":"Beyranvand","given":"Tina"},{"family":"Bhaumik","given":"Soumyadeeep"},{"family":"Bhutta","given":"Zulfiqar A."},{"family":"Biadgo","given":"Belete"},{"family":"Bijani","given":"Ali"},{"family":"Bililign","given":"Nigus"},{"family":"Birlik","given":"Sait Mentes"},{"family":"Birungi","given":"Charles"},{"family":"Bizuneh","given":"Hailemichael"},{"family":"Bjerregaard","given":"Peter"},{"family":"Bjørge","given":"Tone"},{"family":"Borges","given":"Guilherme"},{"family":"Bosetti","given":"Cristina"},{"family":"Boufous","given":"Soufiane"},{"family":"Bragazzi","given":"Nicola Luigi"},{"family":"Brenner","given":"Hermann"},{"family":"Butt","given":"Zahid A."},{"family":"Cahuana-Hurtado","given":"Lucero"},{"family":"Calabria","given":"Bianca"},{"family":"Campos-Nonato","given":"Ismael R."},{"family":"Campuzano","given":"Julio Cesar"},{"family":"Carreras","given":"Giulia"},{"family":"Carrero","given":"Juan J."},{"family":"Carvalho","given":"Félix"},{"family":"Castañeda-Orjuela","given":"Carlos A."},{"family":"Rivas","given":"Jacqueline Castillo"},{"family":"Catalá-López","given":"Ferrán"},{"family":"Chang","given":"Jung-Chen"},{"family":"Charlson","given":"Fiona J."},{"family":"Chattopadhyay","given":"Aparajita"},{"family":"Chaturvedi","given":"Pankaj"},{"family":"Chowdhury","given":"Rajiv"},{"family":"Christopher","given":"Devasahayam J."},{"family":"Chung","given":"Sheng-Chia"},{"family":"Ciobanu","given":"Liliana G."},{"family":"Claro","given":"Rafael M."},{"family":"Conti","given":"Sara"},{"family":"Cousin","given":"Ewerton"},{"family":"Criqui","given":"Michael H."},{"family":"Dachew","given":"Berihun Assefa"},{"family":"Dargan","given":"Paul I."},{"family":"Daryani","given":"Ahmad"},{"family":"Neves","given":"José Das"},{"family":"Davletov","given":"Kairat"},{"family":"Castro","given":"Filipa De"},{"family":"Courten","given":"Barbora De"},{"family":"Neve","given":"Jan-Walter De"},{"family":"Degenhardt","given":"Louisa"},{"family":"Demoz","given":"Gebre Teklemariam"},{"family":"Jarlais","given":"Don C. Des"},{"family":"Dey","given":"Subhojit"},{"family":"Dhaliwal","given":"Rupinder Singh"},{"family":"Dharmaratne","given":"Samath Dhamminda"},{"family":"Dhimal","given":"Meghnath"},{"family":"Doku","given":"David Teye"},{"family":"Doyle","given":"Kerrie E."},{"family":"Dubey","given":"Manisha"},{"family":"Dubljanin","given":"Eleonora"},{"family":"Duncan","given":"Bruce B."},{"family":"Ebrahimi","given":"Hedyeh"},{"family":"Edessa","given":"Dumessa"},{"family":"Zaki","given":"Maysaa El Sayed"},{"family":"Ermakov","given":"Sergei Petrovich"},{"family":"Erskine","given":"Holly E."},{"family":"Esteghamati","given":"Alireza"},{"family":"Faramarzi","given":"Mahbobeh"},{"family":"Farioli","given":"Andrea"},{"family":"Faro","given":"Andre"},{"family":"Farvid","given":"Maryam S."},{"family":"Farzadfar","given":"Farshad"},{"family":"Feigin","given":"Valery L."},{"family":"Felisbino-Mendes","given":"Mariana Santos"},{"family":"Fernandes","given":"Eduarda"},{"family":"Ferrari","given":"Alize J."},{"family":"Ferri","given":"Cleusa P."},{"family":"Fijabi","given":"Daniel Obadare"},{"family":"Filip","given":"Irina"},{"family":"Finger","given":"Jonas David"},{"family":"Fischer","given":"Florian"},{"family":"Flaxman","given":"Abraham D."},{"family":"Franklin","given":"Richard Charles"},{"family":"Futran","given":"Neal D."},{"family":"Gallus","given":"Silvano"},{"family":"Ganji","given":"Morsaleh"},{"family":"Gankpe","given":"Fortune Gbetoho"},{"family":"Gebregergs","given":"Gebremedhin Berhe"},{"family":"Gebrehiwot","given":"Tsegaye Tewelde"},{"family":"Geleijnse","given":"Johanna M."},{"family":"Ghadimi","given":"Reza"},{"family":"Ghandour","given":"Lilian A."},{"family":"Ghimire","given":"Mamata"},{"family":"Gill","given":"Paramjit Singh"},{"family":"Ginawi","given":"Ibrahim Abdelmageed"},{"family":"Giref","given":"Ababi Zergaw Z."},{"family":"Gona","given":"Philimon N."},{"family":"Gopalani","given":"Sameer Vali"},{"family":"Gotay","given":"Carolyn C."},{"family":"Goulart","given":"Alessandra C."},{"family":"Greaves","given":"Felix"},{"family":"Grosso","given":"Giuseppe"},{"family":"Guo","given":"Yuming"},{"family":"Gupta","given":"Rahul"},{"family":"Gupta","given":"Rajeev"},{"family":"Gupta","given":"Vipin"},{"family":"Gutiérrez","given":"Reyna Alma"},{"family":"Gvs","given":"Murthy"},{"family":"Hafezi-Nejad","given":"Nima"},{"family":"Hagos","given":"Tekleberhan Beyene"},{"family":"Hailu","given":"Gessessew Bugssa"},{"family":"Hamadeh","given":"Randah R."},{"family":"Hamidi","given":"Samer"},{"family":"Hankey","given":"Graeme J."},{"family":"Harb","given":"Hilda L."},{"family":"Harikrishnan","given":"Sivadasanpillai"},{"family":"Haro","given":"Josep Maria"},{"family":"Hassen","given":"Hamid Yimam"},{"family":"Havmoeller","given":"Rasmus"},{"family":"Hay","given":"Simon I."},{"family":"Heibati","given":"Behzad"},{"family":"Henok","given":"Andualem"},{"family":"Heredia-Pi","given":"Ileana"},{"family":"Hernández-Llanes","given":"Norberto Francisco"},{"family":"Herteliu","given":"Claudiu"},{"family":"Hibstu","given":"Desalegn Ts Tsegaw"},{"family":"Hoogar","given":"Praveen"},{"family":"Horita","given":"Nobuyuki"},{"family":"Hosgood","given":"H. Dean"},{"family":"Hosseini","given":"Mostafa"},{"family":"Hostiuc","given":"Mihaela"},{"family":"Hu","given":"Guoqing"},{"family":"Huang","given":"Hsiang"},{"family":"Husseini","given":"Abdullatif"},{"family":"Idrisov","given":"Bulat"},{"family":"Ileanu","given":"Bogdan Vasile"},{"family":"Ilesanmi","given":"Olayinka Stephen"},{"family":"Irvani","given":"Seyed Sina Naghibi"},{"family":"Islam","given":"Sheikh Mohammed Shariful"},{"family":"Jackson","given":"Maria D."},{"family":"Jakovljevic","given":"Mihajlo"},{"family":"Jalu","given":"Moti Tolera"},{"family":"Jayatilleke","given":"Achala Upendra"},{"family":"Jha","given":"Ravi Prakash"},{"family":"Jonas","given":"Jost B."},{"family":"Jozwiak","given":"Jacek Jerzy"},{"family":"Kabir","given":"Zubair"},{"family":"Kadel","given":"Rajendra"},{"family":"Kahsay","given":"Amaha"},{"family":"Kapil","given":"Umesh"},{"family":"Kasaeian","given":"Amir"},{"family":"Kassa","given":"Tesfaye D. Dessale"},{"family":"Katikireddi","given":"Srinivasa Vittal"},{"family":"Kawakami","given":"Norito"},{"family":"Kebede","given":"Seifu"},{"family":"Kefale","given":"Adane Teshome"},{"family":"Keiyoro","given":"Peter Njenga"},{"family":"Kengne","given":"Andre Pascal"},{"family":"Khader","given":"Yousef"},{"family":"Khafaie","given":"Morteza Abdullatif"},{"family":"Khalil","given":"Ibrahim A."},{"family":"Khan","given":"Md Nuruzzaman"},{"family":"Khang","given":"Young-Ho"},{"family":"Khater","given":"Mona M."},{"family":"Khubchandani","given":"Jagdish"},{"family":"Kim","given":"Cho-Il"},{"family":"Kim","given":"Daniel"},{"family":"Kim","given":"Yun Jin"},{"family":"Kimokoti","given":"Ruth W."},{"family":"Kisa","given":"Adnan"},{"family":"Kivimäki","given":"Mika"},{"family":"Kochhar","given":"Sonali"},{"family":"Kosen","given":"Soewarta"},{"family":"Koul","given":"Parvaiz A."},{"family":"Koyanagi","given":"Ai"},{"family":"Krishan","given":"Kewal"},{"family":"Defo","given":"Barthelemy Kuate"},{"family":"Bicer","given":"Burcu Kucuk"},{"family":"Kulkarni","given":"Veena S."},{"family":"Kumar","given":"Pushpendra"},{"family":"Lafranconi","given":"Alessandra"},{"family":"Balaji","given":"Arjun Lakshmana"},{"family":"Lalloo","given":"Ratilal"},{"family":"Lallukka","given":"Tea"},{"family":"Lam","given":"Hilton"},{"family":"Lami","given":"Faris Hasan"},{"family":"Lan","given":"Qing"},{"family":"Lang","given":"Justin J."},{"family":"Lansky","given":"Sonia"},{"family":"Larsson","given":"Anders O."},{"family":"Latifi","given":"Arman"},{"family":"Leasher","given":"Janet L."},{"family":"Lee","given":"Paul H."},{"family":"Leigh","given":"James"},{"family":"Leinsalu","given":"Mall"},{"family":"Leung","given":"Janni"},{"family":"Levi","given":"Miriam"},{"family":"Li","given":"Yichong"},{"family":"Lim","given":"Lee-Ling"},{"family":"Linn","given":"Shai"},{"family":"Liu","given":"Shiwei"},{"family":"Lobato-Cordero","given":"Andrea"},{"family":"Lopez","given":"Alan D."},{"family":"Lorkowski","given":"Stefan"},{"family":"Lotufo","given":"Paulo A."},{"family":"Macarayan","given":"Erlyn Rachelle King"},{"family":"Machado","given":"Isis Eloah"},{"family":"Madotto","given":"Fabiana"},{"family":"Razek","given":"Hassan Magdy Abd El"},{"family":"Razek","given":"Muhammed Magdy Abd El"},{"family":"Majdan","given":"Marek"},{"family":"Majdzadeh","given":"Reza"},{"family":"Majeed","given":"Azeem"},{"family":"Malekzadeh","given":"Reza"},{"family":"Malta","given":"Deborah Carvalho"},{"family":"Mapoma","given":"Chabila Christopher"},{"family":"Martinez-Raga","given":"Jose"},{"family":"Maulik","given":"Pallab K."},{"family":"Mazidi","given":"Mohsen"},{"family":"Mckee","given":"Martin"},{"family":"Mehta","given":"Varshil"},{"family":"Meier","given":"Toni"},{"family":"Mekonen","given":"Tesfa"},{"family":"Meles","given":"Kidanu Gebremariam"},{"family":"Melese","given":"Addisu"},{"family":"Memiah","given":"Peter T. N."},{"family":"Mendoza","given":"Walter"},{"family":"Mengistu","given":"Desalegn Tadese"},{"family":"Mensah","given":"George A."},{"family":"Meretoja","given":"Tuomo J."},{"family":"Mezgebe","given":"Haftay Berhane"},{"family":"Miazgowski","given":"Tomasz"},{"family":"Miller","given":"Ted R."},{"family":"Mini","given":"Gk"},{"family":"Mirica","given":"Andreea"},{"family":"Mirrakhimov","given":"Erkin M."},{"family":"Moazen","given":"Babak"},{"family":"Mohammad","given":"Karzan Abdulmuhsin"},{"family":"Mohammadifard","given":"Noushin"},{"family":"Mohammed","given":"Shafiu"},{"family":"Monasta","given":"Lorenzo"},{"family":"Moraga","given":"Paula"},{"family":"Morawska","given":"Lidia"},{"family":"Mousavi","given":"Seyyed Meysam"},{"family":"Mukhopadhyay","given":"Satinath"},{"family":"Musa","given":"Kamarul Imran"},{"family":"Naheed","given":"Aliya"},{"family":"Naik","given":"Gurudatta"},{"family":"Najafi","given":"Farid"},{"family":"Nangia","given":"Vinay"},{"family":"Nansseu","given":"Jobert Richie"},{"family":"Nayak","given":"Mudavath Siva Durga Prasad"},{"family":"Nejjari","given":"Chakib"},{"family":"Neupane","given":"Subas"},{"family":"Neupane","given":"Sudan Prasad"},{"family":"Ngunjiri","given":"Josephine W."},{"family":"Nguyen","given":"Cuong Tat"},{"family":"Nguyen","given":"Long Hoang"},{"family":"Nguyen","given":"Trang Huyen"},{"family":"Ningrum","given":"Dina Nur Anggraini"},{"family":"Nirayo","given":"Yirga Legesse"},{"family":"Noubiap","given":"Jean Jacques"},{"family":"Ofori-Asenso","given":"Richard"},{"family":"Ogbo","given":"Felix Akpojene"},{"family":"Oh","given":"In-Hwan"},{"family":"Oladimeji","given":"Olanrewaju"},{"family":"Olagunju","given":"Andrew T."},{"family":"Olivares","given":"Pedro R."},{"family":"Olusanya","given":"Bolajoko Olubukunola"},{"family":"Olusanya","given":"Jacob Olusegun"},{"family":"Oommen","given":"Anu Mary"},{"family":"Oren","given":"Eyal"},{"family":"Orpana","given":"Heather M."},{"family":"Ortega-Altamirano","given":"Doris D. V."},{"family":"Ortiz","given":"Justin R."},{"family":"Ota","given":"Erika"},{"family":"Owolabi","given":"Mayowa Ojo"},{"family":"Oyekale","given":"Abayomi Samuel"},{"family":"A","given":"Mahesh P."},{"family":"Pana","given":"Adrian"},{"family":"Park","given":"Eun-Kee"},{"family":"Parry","given":"Charles D. H."},{"family":"Parsian","given":"Hadi"},{"family":"Patle","given":"Ajay"},{"family":"Patton","given":"George C."},{"family":"Paudel","given":"Deepak"},{"family":"Petzold","given":"Max"},{"family":"Phillips","given":"Michael R."},{"family":"Pillay","given":"Julian David"},{"family":"Postma","given":"Maarten J."},{"family":"Pourmalek","given":"Farshad"},{"family":"Prabhakaran","given":"Dorairaj"},{"family":"Qorbani","given":"Mostafa"},{"family":"Radfar","given":"Amir"},{"family":"Rafay","given":"Anwar"},{"family":"Rafiei","given":"Alireza"},{"family":"Rahim","given":"Fakher"},{"family":"Rahimi-Movaghar","given":"Afarin"},{"family":"Rahman","given":"Mahfuzar"},{"family":"Rahman","given":"Muhammad Aziz"},{"family":"Rai","given":"Rajesh Kumar"},{"family":"Rajsic","given":"Sasa"},{"family":"Raju","given":"Sree Bhushan"},{"family":"Ram","given":"Usha"},{"family":"Rana","given":"Saleem M."},{"family":"Ranabhat","given":"Chhabi Lal"},{"family":"Rawaf","given":"David Laith"},{"family":"Rawaf","given":"Salman"},{"family":"Reiner","given":"Robert C."},{"family":"Reis","given":"Cesar"},{"family":"Renzaho","given":"Andre M. N."},{"family":"Rezai","given":"Mohammad Sadegh"},{"family":"Roever","given":"Leonardo"},{"family":"Ronfani","given":"Luca"},{"family":"Room","given":"Robin"},{"family":"Roshandel","given":"Gholamreza"},{"family":"Rostami","given":"Ali"},{"family":"Roth","given":"Gregory A."},{"family":"Roy","given":"Ambuj"},{"family":"Sabde","given":"Yogesh Damodar"},{"family":"Saddik","given":"Basema"},{"family":"Safiri","given":"Saeid"},{"family":"Sahebkar","given":"Amirhossein"},{"family":"Salama","given":"Joseph S."},{"family":"Saleem","given":"Zikria"},{"family":"Salomon","given":"Joshua A."},{"family":"Salvi","given":"Sundeep Santosh"},{"family":"Sanabria","given":"Juan"},{"family":"Sanchez-Niño","given":"Maria Dolores"},{"family":"Santomauro","given":"Damian Francesco"},{"family":"Santos","given":"Itamar S."},{"family":"Milicevic","given":"Milena M. M. Santric"},{"family":"Sarker","given":"Abdur Razzaque"},{"family":"Sarmiento-Suárez","given":"Rodrigo"},{"family":"Sarrafzadegan","given":"Nizal"},{"family":"Sartorius","given":"Benn"},{"family":"Satpathy","given":"Maheswar"},{"family":"Sawhney","given":"Monika"},{"family":"Saxena","given":"Sonia"},{"family":"Saylan","given":"Mete"},{"family":"Schaub","given":"Michael P."},{"family":"Schmidt","given":"Maria Inês"},{"family":"Schneider","given":"Ione J. C."},{"family":"Schöttker","given":"Ben"},{"family":"Schutte","given":"Aletta Elisabeth"},{"family":"Schwendicke","given":"Falk"},{"family":"Sepanlou","given":"Sadaf G."},{"family":"Shaikh","given":"Masood Ali"},{"family":"Sharif","given":"Mehdi"},{"family":"She","given":"Jun"},{"family":"Sheikh","given":"Aziz"},{"family":"Shen","given":"Jiabin"},{"family":"Shiferaw","given":"Mekonnen Sisay"},{"family":"Shigematsu","given":"Mika"},{"family":"Shiri","given":"Rahman"},{"family":"Shishani","given":"Kawkab"},{"family":"Shiue","given":"Ivy"},{"family":"Shukla","given":"Sharvari Rahul"},{"family":"Sigfusdottir","given":"Inga Dora"},{"family":"Silva","given":"Diego Augusto Santos"},{"family":"Silva","given":"Natacha Torres Da"},{"family":"Silveira","given":"Dayane Gabriele Alves"},{"family":"Sinha","given":"Dhirendra Narain"},{"family":"Sitas","given":"Freddy"},{"family":"Filho","given":"Adauto Martins Soares"},{"family":"Soofi","given":"Moslem"},{"family":"Sorensen","given":"Reed J. D."},{"family":"Soriano","given":"Joan B."},{"family":"Sreeramareddy","given":"Chandrashekhar T."},{"family":"Steckling","given":"Nadine"},{"family":"Stein","given":"Dan J."},{"family":"Sufiyan","given":"Mu'awiyyah Babale"},{"family":"Sur","given":"Patrick J."},{"family":"Sykes","given":"Bryan L."},{"family":"Tabarés-Seisdedos","given":"Rafael"},{"family":"Tabuchi","given":"Takahiro"},{"family":"Tavakkoli","given":"Mohammad"},{"family":"Tehrani-Banihashemi","given":"Arash"},{"family":"Tekle","given":"Merhawi Gebremedhin"},{"family":"Thapa","given":"Subash"},{"family":"Thomas","given":"Nihal"},{"family":"Topor-Madry","given":"Roman"},{"family":"Topouzis","given":"Fotis"},{"family":"Tran","given":"Bach Xuan"},{"family":"Troeger","given":"Christopher E."},{"family":"Truelsen","given":"Thomas Clement"},{"family":"Tsilimparis","given":"Nikolaos"},{"family":"Tyrovolas","given":"Stefanos"},{"family":"Ukwaja","given":"Kingsley Nnanna"},{"family":"Ullah","given":"Irfan"},{"family":"Uthman","given":"Olalekan A."},{"family":"Valdez","given":"Pascual R."},{"family":"Boven","given":"Job F. M. Van"},{"family":"Vasankari","given":"Tommi Juhani"},{"family":"Venketasubramanian","given":"Narayanaswamy"},{"family":"Violante","given":"Francesco S."},{"family":"Vladimirov","given":"Sergey Konstantinovitch"},{"family":"Vlassov","given":"Vasily"},{"family":"Vollset","given":"Stein Emil"},{"family":"Vos","given":"Theo"},{"family":"Wagnew","given":"Fasil Wagnew Shiferaw"},{"family":"Waheed","given":"Yasir"},{"family":"Wang","given":"Yuan-Pang"},{"family":"Weiderpass","given":"Elisabete"},{"family":"Weldegebreal","given":"Fitsum"},{"family":"Weldegwergs","given":"Kidu Gidey"},{"family":"Werdecker","given":"Andrea"},{"family":"Westerman","given":"Ronny"},{"family":"Whiteford","given":"Harvey A."},{"family":"Widecka","given":"Justyna"},{"family":"Wijeratne","given":"Tissa"},{"family":"Wyper","given":"Grant M. A."},{"family":"Xu","given":"Gelin"},{"family":"Yamada","given":"Tomohide"},{"family":"Yano","given":"Yuichiro"},{"family":"Ye","given":"Pengpeng"},{"family":"Yimer","given":"Ebrahim M."},{"family":"Yip","given":"Paul"},{"family":"Yirsaw","given":"Biruck Desalegn"},{"family":"Yisma","given":"Engida"},{"family":"Yonemoto","given":"Naohiro"},{"family":"Yoon","given":"Seok-Jun"},{"family":"Yotebieng","given":"Marcel"},{"family":"Younis","given":"Mustafa Z."},{"family":"Zachariah","given":"Geevar"},{"family":"Zaidi","given":"Zoubida"},{"family":"Zamani","given":"Mohammad"},{"family":"Zhang","given":"Xueying"},{"family":"Zodpey","given":"Sanjay"},{"family":"Mokdad","given":"Ali H."},{"family":"Naghavi","given":"Mohsen"},{"family":"Murray","given":"Christopher J. L."},{"family":"Gakidou","given":"Emmanuela"}],"issued":{"date-parts":[["2018",9,22]]}}}],"schema":"https://github.com/citation-style-language/schema/raw/master/csl-citation.json"} </w:instrText>
            </w:r>
            <w:r w:rsidRPr="00076959">
              <w:fldChar w:fldCharType="separate"/>
            </w:r>
            <w:r w:rsidRPr="00076959">
              <w:rPr>
                <w:b w:val="0"/>
                <w:bCs w:val="0"/>
                <w:vertAlign w:val="superscript"/>
              </w:rPr>
              <w:t>1,3,45,66,100</w:t>
            </w:r>
            <w:r w:rsidRPr="00076959">
              <w:fldChar w:fldCharType="end"/>
            </w:r>
          </w:p>
        </w:tc>
        <w:tc>
          <w:tcPr>
            <w:tcW w:w="7371" w:type="dxa"/>
            <w:tcBorders>
              <w:top w:val="nil"/>
              <w:bottom w:val="nil"/>
            </w:tcBorders>
          </w:tcPr>
          <w:p w14:paraId="7A150794" w14:textId="77777777" w:rsidR="00DB3E59" w:rsidRPr="00076959" w:rsidRDefault="00DB3E59" w:rsidP="007B2413">
            <w:pPr>
              <w:cnfStyle w:val="000000100000" w:firstRow="0" w:lastRow="0" w:firstColumn="0" w:lastColumn="0" w:oddVBand="0" w:evenVBand="0" w:oddHBand="1" w:evenHBand="0" w:firstRowFirstColumn="0" w:firstRowLastColumn="0" w:lastRowFirstColumn="0" w:lastRowLastColumn="0"/>
            </w:pPr>
            <w:r w:rsidRPr="00076959">
              <w:t xml:space="preserve">Acute intoxication is associated with impulsivity, behaviour changes, difficulty focusing and recalling, slowed processing, and lack of insight. </w:t>
            </w:r>
          </w:p>
          <w:p w14:paraId="13D0C290" w14:textId="77777777" w:rsidR="00DB3E59" w:rsidRPr="00076959" w:rsidRDefault="00DB3E59" w:rsidP="007B2413">
            <w:pPr>
              <w:cnfStyle w:val="000000100000" w:firstRow="0" w:lastRow="0" w:firstColumn="0" w:lastColumn="0" w:oddVBand="0" w:evenVBand="0" w:oddHBand="1" w:evenHBand="0" w:firstRowFirstColumn="0" w:firstRowLastColumn="0" w:lastRowFirstColumn="0" w:lastRowLastColumn="0"/>
            </w:pPr>
            <w:r w:rsidRPr="00076959">
              <w:t xml:space="preserve">Long-term effects on executive functioning, visuospatial awareness, attention, processing speed, and short-term memory. </w:t>
            </w:r>
          </w:p>
          <w:p w14:paraId="4AC4C349" w14:textId="77777777" w:rsidR="00DB3E59" w:rsidRPr="00076959" w:rsidRDefault="00DB3E59" w:rsidP="007B2413">
            <w:pPr>
              <w:cnfStyle w:val="000000100000" w:firstRow="0" w:lastRow="0" w:firstColumn="0" w:lastColumn="0" w:oddVBand="0" w:evenVBand="0" w:oddHBand="1" w:evenHBand="0" w:firstRowFirstColumn="0" w:firstRowLastColumn="0" w:lastRowFirstColumn="0" w:lastRowLastColumn="0"/>
            </w:pPr>
            <w:r w:rsidRPr="00076959">
              <w:t xml:space="preserve">Cognitive recovery begins just days after stopping use, but the time needed for full cognitive recovery is not clear. </w:t>
            </w:r>
          </w:p>
          <w:p w14:paraId="7984B177" w14:textId="77777777" w:rsidR="00DB3E59" w:rsidRPr="00076959" w:rsidRDefault="00DB3E59" w:rsidP="007B2413">
            <w:pPr>
              <w:cnfStyle w:val="000000100000" w:firstRow="0" w:lastRow="0" w:firstColumn="0" w:lastColumn="0" w:oddVBand="0" w:evenVBand="0" w:oddHBand="1" w:evenHBand="0" w:firstRowFirstColumn="0" w:firstRowLastColumn="0" w:lastRowFirstColumn="0" w:lastRowLastColumn="0"/>
            </w:pPr>
            <w:r w:rsidRPr="00076959">
              <w:t xml:space="preserve">Associated with a range of conditions including FASD, TBI, stroke, nerve and organ damage, and AINCD. </w:t>
            </w:r>
          </w:p>
        </w:tc>
      </w:tr>
      <w:tr w:rsidR="00DB3E59" w:rsidRPr="00076959" w14:paraId="061A72E7" w14:textId="77777777" w:rsidTr="00AF0D41">
        <w:tc>
          <w:tcPr>
            <w:cnfStyle w:val="001000000000" w:firstRow="0" w:lastRow="0" w:firstColumn="1" w:lastColumn="0" w:oddVBand="0" w:evenVBand="0" w:oddHBand="0" w:evenHBand="0" w:firstRowFirstColumn="0" w:firstRowLastColumn="0" w:lastRowFirstColumn="0" w:lastRowLastColumn="0"/>
            <w:tcW w:w="2263" w:type="dxa"/>
            <w:tcBorders>
              <w:top w:val="nil"/>
              <w:bottom w:val="nil"/>
            </w:tcBorders>
          </w:tcPr>
          <w:p w14:paraId="76DF18AC" w14:textId="77777777" w:rsidR="00DB3E59" w:rsidRPr="00076959" w:rsidRDefault="00DB3E59" w:rsidP="007B2413">
            <w:r w:rsidRPr="00076959">
              <w:t>Cannabis</w:t>
            </w:r>
            <w:r w:rsidRPr="00076959">
              <w:fldChar w:fldCharType="begin"/>
            </w:r>
            <w:r w:rsidRPr="00076959">
              <w:rPr>
                <w:b w:val="0"/>
                <w:bCs w:val="0"/>
              </w:rPr>
              <w:instrText xml:space="preserve"> ADDIN ZOTERO_ITEM CSL_CITATION {"citationID":"a6epcst68o","properties":{"formattedCitation":"\\super 3,101\\nosupersub{}","plainCitation":"3,101","noteIndex":0},"citationItems":[{"id":14223,"uris":["http://zotero.org/groups/4745233/items/XAS4DCHB"],"itemData":{"id":14223,"type":"article-journal","abstract":"In recent years, several jurisdictions have revised their regulation policy toward both medical and recreational use of cannabis. These changes have elicited concerns regarding how legalization impacts academic achievement and work performance. This review evaluates the acute and long-term (residual) association between cannabis use and cognitive functioning that underlies poor academic and work performance. Relative to other reviews, this article focuses on cross-over randomized controlled trials and prospective designs given that they allow to test the impairing effects of cannabis exposure at the within-subject level. Acute cannabis cognitive effects are discussed separately for known confounding factors such as levels of delta-9-tetrahydrocannabinol (Δ9-THC), Δ9-THC:cannabidiol ratio, previous cannabis use and, comorbidity with psychosis-spectrum disorders. The cognitive residual effects of cannabis are detailed in relation to duration of abstinence, frequency of use, comorbidity with psychosis-spectrum disorders, types of cognitive domains assessed, and age of cannabis use initiation. Moreover, considering the fact that adequate longitudinal studies can make inferences about causality between cannabis use and impaired cognitive functioning when disentangling between-subject from within-subject variation, proofs for the three main non-mutually exclusive hypotheses about this relationship will be presented: i) the cognitive vulnerability hypothesis as part of the more general common antecedent hypothesis, ii) the concurrent cannabis impairing hypothesis, and iii) the neurotoxic hypothesis of cannabis. Current research provides evidence for mild to moderate acute cannabis effects on episodic and working memory, processing speed, and executive functions. Mild residual impairing effects were also observed in these exact same cognitive domains, suggesting that adverse effects following cannabis intoxication persist at least days or weeks following cannabis abstinence. Relative to adult-onset, adolescent-onset cannabis use seems to explain the dose-response relationship and is associated with longer lasting residual effects even in mild users (","container-title":"Frontiers in Psychiatry","ISSN":"1664-0640","source":"Frontiers","title":"Cannabis and cognitive functioning: From acute to residual effects, from randomized controlled trials to prospective designs","title-short":"Cannabis and Cognitive Functioning","URL":"https://www.frontiersin.org/articles/10.3389/fpsyt.2021.596601","volume":"12","author":[{"family":"Bourque","given":"Josiane"},{"family":"Potvin","given":"Stéphane"}],"accessed":{"date-parts":[["2022",10,5]]},"issued":{"date-parts":[["2021"]]}}},{"id":14007,"uris":["http://zotero.org/groups/4745233/items/U3GGYCKU"],"itemData":{"id":14007,"type":"report","event-place":"Richmond, Victoria","language":"en","publisher":"Turning Point","publisher-place":"Richmond, Victoria","source":"Zotero","title":"Managing Cognitive Impairment in AOD Treatment: Practice Guidelines for Healthcare Professionals","URL":"https://www.turningpoint.org.au/treatment/clinicians/Managing-Cognitive-Impairment-in-AOD-Treatment-Guidelines","author":[{"family":"Manning","given":"Victoria"},{"family":"Gooden","given":"James"},{"family":"Cox","given":"Catherine"},{"family":"Whelan","given":"Danielle"},{"family":"Miroz","given":"Katherine"}],"issued":{"date-parts":[["2021"]]}}}],"schema":"https://github.com/citation-style-language/schema/raw/master/csl-citation.json"} </w:instrText>
            </w:r>
            <w:r w:rsidRPr="00076959">
              <w:fldChar w:fldCharType="separate"/>
            </w:r>
            <w:r w:rsidRPr="00076959">
              <w:rPr>
                <w:b w:val="0"/>
                <w:bCs w:val="0"/>
                <w:vertAlign w:val="superscript"/>
              </w:rPr>
              <w:t>3,101</w:t>
            </w:r>
            <w:r w:rsidRPr="00076959">
              <w:fldChar w:fldCharType="end"/>
            </w:r>
          </w:p>
        </w:tc>
        <w:tc>
          <w:tcPr>
            <w:tcW w:w="7371" w:type="dxa"/>
            <w:tcBorders>
              <w:top w:val="nil"/>
              <w:bottom w:val="nil"/>
            </w:tcBorders>
          </w:tcPr>
          <w:p w14:paraId="67C27DEF" w14:textId="77777777" w:rsidR="00DB3E59" w:rsidRPr="00076959" w:rsidRDefault="00DB3E59" w:rsidP="007B2413">
            <w:pPr>
              <w:cnfStyle w:val="000000000000" w:firstRow="0" w:lastRow="0" w:firstColumn="0" w:lastColumn="0" w:oddVBand="0" w:evenVBand="0" w:oddHBand="0" w:evenHBand="0" w:firstRowFirstColumn="0" w:firstRowLastColumn="0" w:lastRowFirstColumn="0" w:lastRowLastColumn="0"/>
            </w:pPr>
            <w:r w:rsidRPr="00076959">
              <w:t>Short-term use is associated with altered psychomotor function (coordination and movement), lack of attention/concentration, and reduced processing speed, learning, and memory.</w:t>
            </w:r>
          </w:p>
          <w:p w14:paraId="2B6638FB" w14:textId="77777777" w:rsidR="00DB3E59" w:rsidRPr="00076959" w:rsidRDefault="00DB3E59" w:rsidP="007B2413">
            <w:pPr>
              <w:cnfStyle w:val="000000000000" w:firstRow="0" w:lastRow="0" w:firstColumn="0" w:lastColumn="0" w:oddVBand="0" w:evenVBand="0" w:oddHBand="0" w:evenHBand="0" w:firstRowFirstColumn="0" w:firstRowLastColumn="0" w:lastRowFirstColumn="0" w:lastRowLastColumn="0"/>
            </w:pPr>
            <w:r w:rsidRPr="00076959">
              <w:t>Long-term effects are most consistently seen with verbal learning and memory.</w:t>
            </w:r>
          </w:p>
          <w:p w14:paraId="0BA4B207" w14:textId="77777777" w:rsidR="00DB3E59" w:rsidRPr="00076959" w:rsidRDefault="00DB3E59" w:rsidP="007B2413">
            <w:pPr>
              <w:cnfStyle w:val="000000000000" w:firstRow="0" w:lastRow="0" w:firstColumn="0" w:lastColumn="0" w:oddVBand="0" w:evenVBand="0" w:oddHBand="0" w:evenHBand="0" w:firstRowFirstColumn="0" w:firstRowLastColumn="0" w:lastRowFirstColumn="0" w:lastRowLastColumn="0"/>
            </w:pPr>
            <w:r w:rsidRPr="00076959">
              <w:t xml:space="preserve">The tetrahydrocannabinol (THC) component causes the negative cognitive impacts. </w:t>
            </w:r>
          </w:p>
          <w:p w14:paraId="484E7CE7" w14:textId="77777777" w:rsidR="00DB3E59" w:rsidRPr="00076959" w:rsidRDefault="00DB3E59" w:rsidP="007B2413">
            <w:pPr>
              <w:cnfStyle w:val="000000000000" w:firstRow="0" w:lastRow="0" w:firstColumn="0" w:lastColumn="0" w:oddVBand="0" w:evenVBand="0" w:oddHBand="0" w:evenHBand="0" w:firstRowFirstColumn="0" w:firstRowLastColumn="0" w:lastRowFirstColumn="0" w:lastRowLastColumn="0"/>
            </w:pPr>
            <w:r w:rsidRPr="00076959">
              <w:t xml:space="preserve">Cognitive recovery can occur within a few weeks of stopping use; however, this depends on the frequency and duration of use, age when use started, and length of abstinence. </w:t>
            </w:r>
          </w:p>
        </w:tc>
      </w:tr>
      <w:tr w:rsidR="00DB3E59" w:rsidRPr="00076959" w14:paraId="2E0A6341" w14:textId="77777777" w:rsidTr="00AF0D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nil"/>
              <w:bottom w:val="nil"/>
            </w:tcBorders>
          </w:tcPr>
          <w:p w14:paraId="3FB6B83F" w14:textId="77777777" w:rsidR="00DB3E59" w:rsidRPr="00076959" w:rsidRDefault="00DB3E59" w:rsidP="007B2413">
            <w:pPr>
              <w:rPr>
                <w:b w:val="0"/>
                <w:bCs w:val="0"/>
              </w:rPr>
            </w:pPr>
            <w:r w:rsidRPr="00076959">
              <w:t>Stimulants</w:t>
            </w:r>
            <w:r w:rsidRPr="00076959">
              <w:fldChar w:fldCharType="begin"/>
            </w:r>
            <w:r w:rsidRPr="00076959">
              <w:rPr>
                <w:b w:val="0"/>
                <w:bCs w:val="0"/>
              </w:rPr>
              <w:instrText xml:space="preserve"> ADDIN ZOTERO_ITEM CSL_CITATION {"citationID":"a26tpksqt0d","properties":{"formattedCitation":"\\super 1,3\\nosupersub{}","plainCitation":"1,3","noteIndex":0},"citationItems":[{"id":12881,"uris":["http://zotero.org/groups/4745233/items/AL69YR82"],"itemData":{"id":12881,"type":"article-journal","container-title":"Drug and Alcohol Review","DOI":"10.1111/dar.12922","ISSN":"0959-5236, 1465-3362","issue":"4","journalAbbreviation":"Drug Alcohol Rev.","language":"en","page":"435-442","source":"DOI.org (Crossref)","title":"Prevalence of cognitive impairment in patients with substance use disorder","volume":"38","author":[{"family":"Bruijnen","given":"Carolien J. W. H."},{"family":"Dijkstra","given":"Boukje A. G."},{"family":"Walvoort","given":"Serge J. W."},{"family":"Markus","given":"Wiebren"},{"family":"VanDerNagel","given":"Joanne E. L."},{"family":"Kessels","given":"Roy P. C."},{"family":"DE Jong","given":"Cornelis A. J."}],"issued":{"date-parts":[["2019",5]]}}},{"id":14007,"uris":["http://zotero.org/groups/4745233/items/U3GGYCKU"],"itemData":{"id":14007,"type":"report","event-place":"Richmond, Victoria","language":"en","publisher":"Turning Point","publisher-place":"Richmond, Victoria","source":"Zotero","title":"Managing Cognitive Impairment in AOD Treatment: Practice Guidelines for Healthcare Professionals","URL":"https://www.turningpoint.org.au/treatment/clinicians/Managing-Cognitive-Impairment-in-AOD-Treatment-Guidelines","author":[{"family":"Manning","given":"Victoria"},{"family":"Gooden","given":"James"},{"family":"Cox","given":"Catherine"},{"family":"Whelan","given":"Danielle"},{"family":"Miroz","given":"Katherine"}],"issued":{"date-parts":[["2021"]]}}}],"schema":"https://github.com/citation-style-language/schema/raw/master/csl-citation.json"} </w:instrText>
            </w:r>
            <w:r w:rsidRPr="00076959">
              <w:fldChar w:fldCharType="separate"/>
            </w:r>
            <w:r w:rsidRPr="00076959">
              <w:rPr>
                <w:b w:val="0"/>
                <w:bCs w:val="0"/>
                <w:vertAlign w:val="superscript"/>
              </w:rPr>
              <w:t>1,3</w:t>
            </w:r>
            <w:r w:rsidRPr="00076959">
              <w:fldChar w:fldCharType="end"/>
            </w:r>
          </w:p>
          <w:p w14:paraId="5FC728CB" w14:textId="77777777" w:rsidR="00DB3E59" w:rsidRPr="00076959" w:rsidRDefault="00DB3E59" w:rsidP="007B2413">
            <w:pPr>
              <w:rPr>
                <w:b w:val="0"/>
                <w:bCs w:val="0"/>
              </w:rPr>
            </w:pPr>
            <w:r w:rsidRPr="00076959">
              <w:rPr>
                <w:b w:val="0"/>
                <w:bCs w:val="0"/>
              </w:rPr>
              <w:t>(eg ecstasy, amphetamines/</w:t>
            </w:r>
          </w:p>
          <w:p w14:paraId="7674E0C4" w14:textId="77777777" w:rsidR="00DB3E59" w:rsidRPr="00076959" w:rsidRDefault="00DB3E59" w:rsidP="007B2413">
            <w:pPr>
              <w:rPr>
                <w:b w:val="0"/>
                <w:bCs w:val="0"/>
              </w:rPr>
            </w:pPr>
            <w:r w:rsidRPr="00076959">
              <w:rPr>
                <w:b w:val="0"/>
                <w:bCs w:val="0"/>
              </w:rPr>
              <w:t>methamphetamine or cocaine)</w:t>
            </w:r>
          </w:p>
        </w:tc>
        <w:tc>
          <w:tcPr>
            <w:tcW w:w="7371" w:type="dxa"/>
            <w:tcBorders>
              <w:top w:val="nil"/>
              <w:bottom w:val="nil"/>
            </w:tcBorders>
          </w:tcPr>
          <w:p w14:paraId="7CDFA40E" w14:textId="77777777" w:rsidR="00DB3E59" w:rsidRPr="00076959" w:rsidRDefault="00DB3E59" w:rsidP="007B2413">
            <w:pPr>
              <w:cnfStyle w:val="000000100000" w:firstRow="0" w:lastRow="0" w:firstColumn="0" w:lastColumn="0" w:oddVBand="0" w:evenVBand="0" w:oddHBand="1" w:evenHBand="0" w:firstRowFirstColumn="0" w:firstRowLastColumn="0" w:lastRowFirstColumn="0" w:lastRowLastColumn="0"/>
            </w:pPr>
            <w:r w:rsidRPr="00076959">
              <w:t xml:space="preserve">Short- and long-term impacts of heavy use include reduced attention, language, memory, learning, and executive function (like planning and inhibition). In low doses, acute use may enhance cognitive function. </w:t>
            </w:r>
          </w:p>
          <w:p w14:paraId="2AA599CF" w14:textId="77777777" w:rsidR="00DB3E59" w:rsidRPr="00076959" w:rsidRDefault="00DB3E59" w:rsidP="007B2413">
            <w:pPr>
              <w:cnfStyle w:val="000000100000" w:firstRow="0" w:lastRow="0" w:firstColumn="0" w:lastColumn="0" w:oddVBand="0" w:evenVBand="0" w:oddHBand="1" w:evenHBand="0" w:firstRowFirstColumn="0" w:firstRowLastColumn="0" w:lastRowFirstColumn="0" w:lastRowLastColumn="0"/>
            </w:pPr>
            <w:r w:rsidRPr="00076959">
              <w:t>Cognitive recovery takes from a month to a year after which cognitive function often returns to a person’s ‘usual’ level.</w:t>
            </w:r>
          </w:p>
        </w:tc>
      </w:tr>
      <w:tr w:rsidR="00DB3E59" w:rsidRPr="00076959" w14:paraId="382A5AA0" w14:textId="77777777" w:rsidTr="00AF0D41">
        <w:tc>
          <w:tcPr>
            <w:cnfStyle w:val="001000000000" w:firstRow="0" w:lastRow="0" w:firstColumn="1" w:lastColumn="0" w:oddVBand="0" w:evenVBand="0" w:oddHBand="0" w:evenHBand="0" w:firstRowFirstColumn="0" w:firstRowLastColumn="0" w:lastRowFirstColumn="0" w:lastRowLastColumn="0"/>
            <w:tcW w:w="2263" w:type="dxa"/>
            <w:tcBorders>
              <w:top w:val="nil"/>
              <w:bottom w:val="nil"/>
            </w:tcBorders>
          </w:tcPr>
          <w:p w14:paraId="5F8E9246" w14:textId="77777777" w:rsidR="00DB3E59" w:rsidRPr="00076959" w:rsidRDefault="00DB3E59" w:rsidP="007B2413">
            <w:r w:rsidRPr="00076959">
              <w:lastRenderedPageBreak/>
              <w:t>Opioids</w:t>
            </w:r>
            <w:r w:rsidRPr="00076959">
              <w:fldChar w:fldCharType="begin"/>
            </w:r>
            <w:r w:rsidRPr="00076959">
              <w:instrText xml:space="preserve"> ADDIN ZOTERO_ITEM CSL_CITATION {"citationID":"QW4IenGY","properties":{"formattedCitation":"\\super 1,3\\nosupersub{}","plainCitation":"1,3","noteIndex":0},"citationItems":[{"id":12881,"uris":["http://zotero.org/groups/4745233/items/AL69YR82"],"itemData":{"id":12881,"type":"article-journal","container-title":"Drug and Alcohol Review","DOI":"10.1111/dar.12922","ISSN":"0959-5236, 1465-3362","issue":"4","journalAbbreviation":"Drug Alcohol Rev.","language":"en","page":"435-442","source":"DOI.org (Crossref)","title":"Prevalence of cognitive impairment in patients with substance use disorder","volume":"38","author":[{"family":"Bruijnen","given":"Carolien J. W. H."},{"family":"Dijkstra","given":"Boukje A. G."},{"family":"Walvoort","given":"Serge J. W."},{"family":"Markus","given":"Wiebren"},{"family":"VanDerNagel","given":"Joanne E. L."},{"family":"Kessels","given":"Roy P. C."},{"family":"DE Jong","given":"Cornelis A. J."}],"issued":{"date-parts":[["2019",5]]}}},{"id":14007,"uris":["http://zotero.org/groups/4745233/items/U3GGYCKU"],"itemData":{"id":14007,"type":"report","event-place":"Richmond, Victoria","language":"en","publisher":"Turning Point","publisher-place":"Richmond, Victoria","source":"Zotero","title":"Managing Cognitive Impairment in AOD Treatment: Practice Guidelines for Healthcare Professionals","URL":"https://www.turningpoint.org.au/treatment/clinicians/Managing-Cognitive-Impairment-in-AOD-Treatment-Guidelines","author":[{"family":"Manning","given":"Victoria"},{"family":"Gooden","given":"James"},{"family":"Cox","given":"Catherine"},{"family":"Whelan","given":"Danielle"},{"family":"Miroz","given":"Katherine"}],"issued":{"date-parts":[["2021"]]}}}],"schema":"https://github.com/citation-style-language/schema/raw/master/csl-citation.json"} </w:instrText>
            </w:r>
            <w:r w:rsidRPr="00076959">
              <w:fldChar w:fldCharType="separate"/>
            </w:r>
            <w:r w:rsidRPr="00076959">
              <w:rPr>
                <w:vertAlign w:val="superscript"/>
              </w:rPr>
              <w:t>1,3</w:t>
            </w:r>
            <w:r w:rsidRPr="00076959">
              <w:fldChar w:fldCharType="end"/>
            </w:r>
          </w:p>
          <w:p w14:paraId="7B8E6337" w14:textId="77777777" w:rsidR="00DB3E59" w:rsidRPr="00076959" w:rsidRDefault="00DB3E59" w:rsidP="007B2413">
            <w:r w:rsidRPr="00076959">
              <w:t>(eg heroin, morphine or fentanyl)</w:t>
            </w:r>
          </w:p>
        </w:tc>
        <w:tc>
          <w:tcPr>
            <w:tcW w:w="7371" w:type="dxa"/>
            <w:tcBorders>
              <w:top w:val="nil"/>
              <w:bottom w:val="nil"/>
            </w:tcBorders>
          </w:tcPr>
          <w:p w14:paraId="20812261" w14:textId="77777777" w:rsidR="00DB3E59" w:rsidRPr="00076959" w:rsidRDefault="00DB3E59" w:rsidP="007B2413">
            <w:pPr>
              <w:cnfStyle w:val="000000000000" w:firstRow="0" w:lastRow="0" w:firstColumn="0" w:lastColumn="0" w:oddVBand="0" w:evenVBand="0" w:oddHBand="0" w:evenHBand="0" w:firstRowFirstColumn="0" w:firstRowLastColumn="0" w:lastRowFirstColumn="0" w:lastRowLastColumn="0"/>
            </w:pPr>
            <w:r w:rsidRPr="00076959">
              <w:t>Short-term use affects working memory and executive function (particularly flexibility and impulsivity).</w:t>
            </w:r>
          </w:p>
          <w:p w14:paraId="15109E36" w14:textId="77777777" w:rsidR="00DB3E59" w:rsidRPr="00076959" w:rsidRDefault="00DB3E59" w:rsidP="007B2413">
            <w:pPr>
              <w:cnfStyle w:val="000000000000" w:firstRow="0" w:lastRow="0" w:firstColumn="0" w:lastColumn="0" w:oddVBand="0" w:evenVBand="0" w:oddHBand="0" w:evenHBand="0" w:firstRowFirstColumn="0" w:firstRowLastColumn="0" w:lastRowFirstColumn="0" w:lastRowLastColumn="0"/>
            </w:pPr>
            <w:r w:rsidRPr="00076959">
              <w:t xml:space="preserve">Long-term use is associated with attention, processing speed, memory, executive function (inhibition, decision making), and visuospatial issues. </w:t>
            </w:r>
          </w:p>
          <w:p w14:paraId="39922F38" w14:textId="77777777" w:rsidR="00DB3E59" w:rsidRPr="00076959" w:rsidRDefault="00DB3E59" w:rsidP="007B2413">
            <w:pPr>
              <w:cnfStyle w:val="000000000000" w:firstRow="0" w:lastRow="0" w:firstColumn="0" w:lastColumn="0" w:oddVBand="0" w:evenVBand="0" w:oddHBand="0" w:evenHBand="0" w:firstRowFirstColumn="0" w:firstRowLastColumn="0" w:lastRowFirstColumn="0" w:lastRowLastColumn="0"/>
            </w:pPr>
            <w:r w:rsidRPr="00076959">
              <w:t>While some aspects recover, some cognitive impacts can remain even a year after stopping use.</w:t>
            </w:r>
          </w:p>
        </w:tc>
      </w:tr>
      <w:tr w:rsidR="00DB3E59" w:rsidRPr="00076959" w14:paraId="6A147FB6" w14:textId="77777777" w:rsidTr="00AF0D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nil"/>
              <w:bottom w:val="nil"/>
            </w:tcBorders>
          </w:tcPr>
          <w:p w14:paraId="4BE37973" w14:textId="77777777" w:rsidR="00DB3E59" w:rsidRPr="00076959" w:rsidRDefault="00DB3E59" w:rsidP="007B2413">
            <w:r w:rsidRPr="00076959">
              <w:t>Some medications associated with opioid substitution treatment (OST)</w:t>
            </w:r>
            <w:r w:rsidRPr="00076959">
              <w:fldChar w:fldCharType="begin"/>
            </w:r>
            <w:r w:rsidRPr="00076959">
              <w:instrText xml:space="preserve"> ADDIN ZOTERO_ITEM CSL_CITATION {"citationID":"a2i82d4beqj","properties":{"formattedCitation":"\\super 3,102\\nosupersub{}","plainCitation":"3,102","noteIndex":0},"citationItems":[{"id":13422,"uris":["http://zotero.org/groups/4745233/items/LEGHBZYL"],"itemData":{"id":13422,"type":"document","publisher":"New Zealand Research Review","title":"Opioid Substitution Therapy: Effects on Cognitive and Psychomotor Function","URL":"https://www.researchreview.co.nz/getmedia/db558a04-678c-43f1-90a6-99e6392cff2c/Educational-Series-OST-and-Cognitive-Function.pdf.aspx?ext=.pdf","author":[{"family":"Griffiths","given":"Peter"}],"accessed":{"date-parts":[["2022",11,28]]},"issued":{"date-parts":[["2018"]]}}},{"id":14007,"uris":["http://zotero.org/groups/4745233/items/U3GGYCKU"],"itemData":{"id":14007,"type":"report","event-place":"Richmond, Victoria","language":"en","publisher":"Turning Point","publisher-place":"Richmond, Victoria","source":"Zotero","title":"Managing Cognitive Impairment in AOD Treatment: Practice Guidelines for Healthcare Professionals","URL":"https://www.turningpoint.org.au/treatment/clinicians/Managing-Cognitive-Impairment-in-AOD-Treatment-Guidelines","author":[{"family":"Manning","given":"Victoria"},{"family":"Gooden","given":"James"},{"family":"Cox","given":"Catherine"},{"family":"Whelan","given":"Danielle"},{"family":"Miroz","given":"Katherine"}],"issued":{"date-parts":[["2021"]]}}}],"schema":"https://github.com/citation-style-language/schema/raw/master/csl-citation.json"} </w:instrText>
            </w:r>
            <w:r w:rsidRPr="00076959">
              <w:fldChar w:fldCharType="separate"/>
            </w:r>
            <w:r w:rsidRPr="00076959">
              <w:rPr>
                <w:vertAlign w:val="superscript"/>
              </w:rPr>
              <w:t>3,102</w:t>
            </w:r>
            <w:r w:rsidRPr="00076959">
              <w:fldChar w:fldCharType="end"/>
            </w:r>
          </w:p>
        </w:tc>
        <w:tc>
          <w:tcPr>
            <w:tcW w:w="7371" w:type="dxa"/>
            <w:tcBorders>
              <w:top w:val="nil"/>
              <w:bottom w:val="nil"/>
            </w:tcBorders>
          </w:tcPr>
          <w:p w14:paraId="70B71BFF" w14:textId="77777777" w:rsidR="00DB3E59" w:rsidRPr="00076959" w:rsidRDefault="00DB3E59" w:rsidP="007B2413">
            <w:pPr>
              <w:cnfStyle w:val="000000100000" w:firstRow="0" w:lastRow="0" w:firstColumn="0" w:lastColumn="0" w:oddVBand="0" w:evenVBand="0" w:oddHBand="1" w:evenHBand="0" w:firstRowFirstColumn="0" w:firstRowLastColumn="0" w:lastRowFirstColumn="0" w:lastRowLastColumn="0"/>
            </w:pPr>
            <w:r w:rsidRPr="00076959">
              <w:t>Can cause cognitive impairment (particularly in executive function, speed, attention, and memory), but to a lesser extent than opioids.</w:t>
            </w:r>
          </w:p>
          <w:p w14:paraId="3BBA0311" w14:textId="77777777" w:rsidR="00DB3E59" w:rsidRPr="00076959" w:rsidRDefault="00DB3E59" w:rsidP="007B2413">
            <w:pPr>
              <w:cnfStyle w:val="000000100000" w:firstRow="0" w:lastRow="0" w:firstColumn="0" w:lastColumn="0" w:oddVBand="0" w:evenVBand="0" w:oddHBand="1" w:evenHBand="0" w:firstRowFirstColumn="0" w:firstRowLastColumn="0" w:lastRowFirstColumn="0" w:lastRowLastColumn="0"/>
            </w:pPr>
            <w:r w:rsidRPr="00076959">
              <w:t xml:space="preserve">People who switch from opioids to OST often experience improved cognitive function. </w:t>
            </w:r>
          </w:p>
        </w:tc>
      </w:tr>
      <w:tr w:rsidR="00DB3E59" w:rsidRPr="00076959" w14:paraId="493C0A57" w14:textId="77777777" w:rsidTr="00AF0D41">
        <w:tc>
          <w:tcPr>
            <w:cnfStyle w:val="001000000000" w:firstRow="0" w:lastRow="0" w:firstColumn="1" w:lastColumn="0" w:oddVBand="0" w:evenVBand="0" w:oddHBand="0" w:evenHBand="0" w:firstRowFirstColumn="0" w:firstRowLastColumn="0" w:lastRowFirstColumn="0" w:lastRowLastColumn="0"/>
            <w:tcW w:w="2263" w:type="dxa"/>
            <w:tcBorders>
              <w:top w:val="nil"/>
              <w:bottom w:val="nil"/>
            </w:tcBorders>
          </w:tcPr>
          <w:p w14:paraId="2F744F78" w14:textId="77777777" w:rsidR="00DB3E59" w:rsidRPr="00076959" w:rsidRDefault="00DB3E59" w:rsidP="007B2413">
            <w:r w:rsidRPr="00076959">
              <w:t>Benzodiazepines</w:t>
            </w:r>
            <w:r w:rsidRPr="00076959">
              <w:fldChar w:fldCharType="begin"/>
            </w:r>
            <w:r w:rsidRPr="00076959">
              <w:instrText xml:space="preserve"> ADDIN ZOTERO_ITEM CSL_CITATION {"citationID":"alkk8sa1oq","properties":{"formattedCitation":"\\super 3,103,104\\nosupersub{}","plainCitation":"3,103,104","noteIndex":0},"citationItems":[{"id":14221,"uris":["http://zotero.org/groups/4745233/items/63DUQXRG"],"itemData":{"id":14221,"type":"article-journal","abstract":"This study presents an updated meta-analysis of the effects of benzodiazepines on cognitive functioning in long-term, current users of these agents, those who have recently withdrawn and on those who have successfully abstained following withdrawal. The study represents an update of the previous meta-analyses published by our group.A comprehensive search of the computerized databases Medline and PsycINFO was undertaken to identify studies that assessed the cognitive effects of benzodiazepines published up to 28 November 2016 (the date of the last update). Nineteen studies (eight studies published since the previous meta-analyses and 11 studies included in the previous studies) were included.The results of the analysis for current users revealed statistically significant, negative effects for the cognitive domains of working memory, processing speed, divided attention, visuoconstruction, recent memory, and expressive language. For those who had withdrawn and successfully abstained following withdrawal, deficits were observed for the domains of recent memory, processing speed, visuoconstruction, divided attention, working memory, and sustained attention.The results of the study are important in that they corroborate the mounting evidence that a range of neuropsychological functions are impaired as a result of long-term benzodiazepine use, and that these are likely to persist even following withdrawal. The findings highlight the residual neurocognitive compromise associated with long-term benzodiazepine therapy as well as the important clinical implications of these results.","container-title":"Archives of Clinical Neuropsychology","DOI":"10.1093/arclin/acx120","ISSN":"1873-5843","issue":"7","journalAbbreviation":"Archives of Clinical Neuropsychology","page":"901-911","source":"Silverchair","title":"The residual medium and long-term cognitive effects of Benzodiazepine use: An updated meta-analysis","title-short":"The Residual Medium and Long-term Cognitive Effects of Benzodiazepine Use","volume":"33","author":[{"family":"Crowe","given":"Simon F"},{"family":"Stranks","given":"Elizabeth K"}],"issued":{"date-parts":[["2018",11,1]]}}},{"id":14007,"uris":["http://zotero.org/groups/4745233/items/U3GGYCKU"],"itemData":{"id":14007,"type":"report","event-place":"Richmond, Victoria","language":"en","publisher":"Turning Point","publisher-place":"Richmond, Victoria","source":"Zotero","title":"Managing Cognitive Impairment in AOD Treatment: Practice Guidelines for Healthcare Professionals","URL":"https://www.turningpoint.org.au/treatment/clinicians/Managing-Cognitive-Impairment-in-AOD-Treatment-Guidelines","author":[{"family":"Manning","given":"Victoria"},{"family":"Gooden","given":"James"},{"family":"Cox","given":"Catherine"},{"family":"Whelan","given":"Danielle"},{"family":"Miroz","given":"Katherine"}],"issued":{"date-parts":[["2021"]]}}},{"id":14220,"uris":["http://zotero.org/groups/4745233/items/9YIXI8FX"],"itemData":{"id":14220,"type":"article-journal","abstract":"Background and Aims. Benzodiazepines have been widely used for long periods of time despite their adverse effects. The acute effects on cognition are well established. However, less is known about the long-term effects. This study critically reviewed existing evidence of the association between long-term exposure to benzodiazepines and risk of cognitive decline in adults. Methods. A systematic review with narrative synthesis was conducted. PubMed and PsycINFO databases were searched using combinations of keywords related to “benzodiazepines” and “cognitive function” from database inception to 12 February 2018 to identify prospective longitudinal studies. The records were evaluated for relevance according to the inclusion and exclusion criteria. Results. Fourteen studies involving 2145 long-term benzodiazepine users were included. Meta-analysis was not undertaken because the combined result would not be meaningful as the included studies differed in several key aspects such as frequency and duration of benzodiazepine use, follow-up periods, cognitive domains, cognitive tests, scoring systems, and statistical analysis. The definition of long-term benzodiazepine use was problematic in all the studies. The exposure was determined by measures which were assumed to represent the whole period in-between the follow-ups. Only 3 of the 14 studies provided support for an association between long-term benzodiazepine use and cognitive decline with a small to medium effect size. However, these three studies used different methods to assess the strength of this association. Global cognitive functioning, verbal memory, intelligence, psychomotor speed, and speed of processing were the cognitive domains affected which also varied across these three studies. Conclusions. Little evidence of an association between long-term benzodiazepine use and a higher risk of cognitive decline among the general adult population was found. However, discrepancies among the results and inconsistencies regarding the cognitive domains affected and methodological limitations prevent definite conclusions. Therefore, future research with prospective studies specially designed would be of great value.","container-title":"Journal of Addiction","DOI":"10.1155/2020/1569456","ISSN":"2090-7834","language":"en","note":"publisher: Hindawi","page":"e1569456","source":"www.hindawi.com","title":"Is long-term Benzodiazepine use a risk factor for cognitive decline? Results of a systematic review","title-short":"Is Long-Term Benzodiazepine Use a Risk Factor for Cognitive Decline?","volume":"2020","author":[{"family":"Nader","given":"Danilo"},{"family":"Gowing","given":"Linda"}],"issued":{"date-parts":[["2020",1,24]]}}}],"schema":"https://github.com/citation-style-language/schema/raw/master/csl-citation.json"} </w:instrText>
            </w:r>
            <w:r w:rsidRPr="00076959">
              <w:fldChar w:fldCharType="separate"/>
            </w:r>
            <w:r w:rsidRPr="00076959">
              <w:rPr>
                <w:vertAlign w:val="superscript"/>
              </w:rPr>
              <w:t>3,103,104</w:t>
            </w:r>
            <w:r w:rsidRPr="00076959">
              <w:fldChar w:fldCharType="end"/>
            </w:r>
          </w:p>
        </w:tc>
        <w:tc>
          <w:tcPr>
            <w:tcW w:w="7371" w:type="dxa"/>
            <w:tcBorders>
              <w:top w:val="nil"/>
              <w:bottom w:val="nil"/>
            </w:tcBorders>
          </w:tcPr>
          <w:p w14:paraId="1C198D15" w14:textId="77777777" w:rsidR="00DB3E59" w:rsidRPr="00076959" w:rsidRDefault="00DB3E59" w:rsidP="007B2413">
            <w:pPr>
              <w:cnfStyle w:val="000000000000" w:firstRow="0" w:lastRow="0" w:firstColumn="0" w:lastColumn="0" w:oddVBand="0" w:evenVBand="0" w:oddHBand="0" w:evenHBand="0" w:firstRowFirstColumn="0" w:firstRowLastColumn="0" w:lastRowFirstColumn="0" w:lastRowLastColumn="0"/>
            </w:pPr>
            <w:r w:rsidRPr="00076959">
              <w:t>Short-term effects are sedative-like including decreased concentration.</w:t>
            </w:r>
          </w:p>
          <w:p w14:paraId="1B4613FB" w14:textId="77777777" w:rsidR="00DB3E59" w:rsidRPr="00076959" w:rsidRDefault="00DB3E59" w:rsidP="007B2413">
            <w:pPr>
              <w:cnfStyle w:val="000000000000" w:firstRow="0" w:lastRow="0" w:firstColumn="0" w:lastColumn="0" w:oddVBand="0" w:evenVBand="0" w:oddHBand="0" w:evenHBand="0" w:firstRowFirstColumn="0" w:firstRowLastColumn="0" w:lastRowFirstColumn="0" w:lastRowLastColumn="0"/>
            </w:pPr>
            <w:r w:rsidRPr="00076959">
              <w:t>Commonly prescribed and used recreationally but can have lingering impacts for months or years after stopping use on memory, processing speed, language, visuospatial function, and attention.</w:t>
            </w:r>
          </w:p>
          <w:p w14:paraId="6A79443F" w14:textId="77777777" w:rsidR="00DB3E59" w:rsidRPr="00076959" w:rsidRDefault="00DB3E59" w:rsidP="007B2413">
            <w:pPr>
              <w:cnfStyle w:val="000000000000" w:firstRow="0" w:lastRow="0" w:firstColumn="0" w:lastColumn="0" w:oddVBand="0" w:evenVBand="0" w:oddHBand="0" w:evenHBand="0" w:firstRowFirstColumn="0" w:firstRowLastColumn="0" w:lastRowFirstColumn="0" w:lastRowLastColumn="0"/>
            </w:pPr>
            <w:r w:rsidRPr="00076959">
              <w:t xml:space="preserve">Careful consideration of risks and benefits in partnership with tāngata whai ora are required when prescribing. </w:t>
            </w:r>
          </w:p>
        </w:tc>
      </w:tr>
      <w:tr w:rsidR="00DB3E59" w:rsidRPr="00076959" w14:paraId="25D8605A" w14:textId="77777777" w:rsidTr="00AF0D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nil"/>
              <w:bottom w:val="nil"/>
            </w:tcBorders>
          </w:tcPr>
          <w:p w14:paraId="1F658333" w14:textId="77777777" w:rsidR="00DB3E59" w:rsidRPr="00076959" w:rsidRDefault="00DB3E59" w:rsidP="007B2413">
            <w:r w:rsidRPr="00076959">
              <w:t>Novel psychoactive substances</w:t>
            </w:r>
            <w:r w:rsidRPr="00076959">
              <w:fldChar w:fldCharType="begin"/>
            </w:r>
            <w:r w:rsidRPr="00076959">
              <w:instrText xml:space="preserve"> ADDIN ZOTERO_ITEM CSL_CITATION {"citationID":"aktdi2tmh6","properties":{"formattedCitation":"\\super 3,105\\nosupersub{}","plainCitation":"3,105","noteIndex":0},"citationItems":[{"id":14007,"uris":["http://zotero.org/groups/4745233/items/U3GGYCKU"],"itemData":{"id":14007,"type":"report","event-place":"Richmond, Victoria","language":"en","publisher":"Turning Point","publisher-place":"Richmond, Victoria","source":"Zotero","title":"Managing Cognitive Impairment in AOD Treatment: Practice Guidelines for Healthcare Professionals","URL":"https://www.turningpoint.org.au/treatment/clinicians/Managing-Cognitive-Impairment-in-AOD-Treatment-Guidelines","author":[{"family":"Manning","given":"Victoria"},{"family":"Gooden","given":"James"},{"family":"Cox","given":"Catherine"},{"family":"Whelan","given":"Danielle"},{"family":"Miroz","given":"Katherine"}],"issued":{"date-parts":[["2021"]]}}},{"id":13614,"uris":["http://zotero.org/groups/4745233/items/J5DJ4S8I"],"itemData":{"id":13614,"type":"webpage","language":"en","title":"Drug Index","URL":"https://www.drugfoundation.org.nz/info/drug-index/","author":[{"literal":"NZ Drug Foundation"}],"accessed":{"date-parts":[["2022",12,21]]}}}],"schema":"https://github.com/citation-style-language/schema/raw/master/csl-citation.json"} </w:instrText>
            </w:r>
            <w:r w:rsidRPr="00076959">
              <w:fldChar w:fldCharType="separate"/>
            </w:r>
            <w:r w:rsidRPr="00076959">
              <w:rPr>
                <w:vertAlign w:val="superscript"/>
              </w:rPr>
              <w:t>3,105</w:t>
            </w:r>
            <w:r w:rsidRPr="00076959">
              <w:fldChar w:fldCharType="end"/>
            </w:r>
          </w:p>
          <w:p w14:paraId="1466FBF8" w14:textId="77777777" w:rsidR="00DB3E59" w:rsidRPr="00076959" w:rsidRDefault="00DB3E59" w:rsidP="007B2413">
            <w:r w:rsidRPr="00076959">
              <w:t>(eg synthetic cannabinoids or cathinones)</w:t>
            </w:r>
          </w:p>
        </w:tc>
        <w:tc>
          <w:tcPr>
            <w:tcW w:w="7371" w:type="dxa"/>
            <w:tcBorders>
              <w:top w:val="nil"/>
              <w:bottom w:val="nil"/>
            </w:tcBorders>
          </w:tcPr>
          <w:p w14:paraId="4DDD14A9" w14:textId="77777777" w:rsidR="00DB3E59" w:rsidRPr="00076959" w:rsidRDefault="00DB3E59" w:rsidP="007B2413">
            <w:pPr>
              <w:cnfStyle w:val="000000100000" w:firstRow="0" w:lastRow="0" w:firstColumn="0" w:lastColumn="0" w:oddVBand="0" w:evenVBand="0" w:oddHBand="1" w:evenHBand="0" w:firstRowFirstColumn="0" w:firstRowLastColumn="0" w:lastRowFirstColumn="0" w:lastRowLastColumn="0"/>
            </w:pPr>
            <w:r w:rsidRPr="00076959">
              <w:t xml:space="preserve">Due to batch differences in content and potency, effects are varied and have a high potential for overdose. </w:t>
            </w:r>
          </w:p>
          <w:p w14:paraId="356E80BF" w14:textId="77777777" w:rsidR="00DB3E59" w:rsidRPr="00076959" w:rsidRDefault="00DB3E59" w:rsidP="007B2413">
            <w:pPr>
              <w:cnfStyle w:val="000000100000" w:firstRow="0" w:lastRow="0" w:firstColumn="0" w:lastColumn="0" w:oddVBand="0" w:evenVBand="0" w:oddHBand="1" w:evenHBand="0" w:firstRowFirstColumn="0" w:firstRowLastColumn="0" w:lastRowFirstColumn="0" w:lastRowLastColumn="0"/>
            </w:pPr>
            <w:r w:rsidRPr="00076959">
              <w:t>Synthetic cannabinoids have stronger negative effects than regular cannabis.</w:t>
            </w:r>
          </w:p>
          <w:p w14:paraId="6B4DE1B2" w14:textId="77777777" w:rsidR="00DB3E59" w:rsidRPr="00076959" w:rsidRDefault="00DB3E59" w:rsidP="007B2413">
            <w:pPr>
              <w:cnfStyle w:val="000000100000" w:firstRow="0" w:lastRow="0" w:firstColumn="0" w:lastColumn="0" w:oddVBand="0" w:evenVBand="0" w:oddHBand="1" w:evenHBand="0" w:firstRowFirstColumn="0" w:firstRowLastColumn="0" w:lastRowFirstColumn="0" w:lastRowLastColumn="0"/>
            </w:pPr>
            <w:r w:rsidRPr="00076959">
              <w:t xml:space="preserve">Long-term effects on cognition are not known.   </w:t>
            </w:r>
          </w:p>
        </w:tc>
      </w:tr>
      <w:tr w:rsidR="00DB3E59" w:rsidRPr="00076959" w14:paraId="01E3759C" w14:textId="77777777" w:rsidTr="00AF0D41">
        <w:tc>
          <w:tcPr>
            <w:cnfStyle w:val="001000000000" w:firstRow="0" w:lastRow="0" w:firstColumn="1" w:lastColumn="0" w:oddVBand="0" w:evenVBand="0" w:oddHBand="0" w:evenHBand="0" w:firstRowFirstColumn="0" w:firstRowLastColumn="0" w:lastRowFirstColumn="0" w:lastRowLastColumn="0"/>
            <w:tcW w:w="2263" w:type="dxa"/>
            <w:tcBorders>
              <w:top w:val="nil"/>
              <w:bottom w:val="nil"/>
            </w:tcBorders>
          </w:tcPr>
          <w:p w14:paraId="78F52BBE" w14:textId="77777777" w:rsidR="00DB3E59" w:rsidRPr="00076959" w:rsidRDefault="00DB3E59" w:rsidP="007B2413">
            <w:r w:rsidRPr="00076959">
              <w:t>Hallucinogens</w:t>
            </w:r>
            <w:r w:rsidRPr="00076959">
              <w:fldChar w:fldCharType="begin"/>
            </w:r>
            <w:r w:rsidRPr="00076959">
              <w:instrText xml:space="preserve"> ADDIN ZOTERO_ITEM CSL_CITATION {"citationID":"a1m6l5479o6","properties":{"formattedCitation":"\\super 105\\uc0\\u8211{}107\\nosupersub{}","plainCitation":"105–107","noteIndex":0},"citationItems":[{"id":14219,"uris":["http://zotero.org/groups/4745233/items/TPI4YEHI"],"itemData":{"id":14219,"type":"article-journal","abstract":"Lysergic acid diethylamide (LSD) was studied from the 1950s to the 1970s to evaluate behavioral and personality changes, as well as remission of psychiatric symptoms in various disorders. LSD was used in the treatment of anxiety, depression, psychosomatic diseases and addiction. However, most of the studies were not performed under contemporary standards, and it has taken several decades for a resurgence of interest in LSD research and its therapeutic potential for psychiatry. The aim of this review is to identify controlled and randomized clinical trials that assess the potential use of LSD in psychiatry. PRISMA guidelines for systematic review were followed. A literature search of PubMed and Psychedelic bibliography from Multidisciplinary Association for Psychedelic Studies (MAPS) databases was performed as well as a manual search of references from evaluated studies. Only randomized-controlled clinical trials were included. Study quality was systematically calculated by using the Cochrane Collaboration Tool for assessing risk of bias. A final selection of 11 articles was made after considering inclusion and exclusion criteria. LSD was administered to 567 patients in a dose ranging from 20 to 800 mcg. Despite the design heterogeneity of clinical trials, positive results were observed, thus revealing the therapeutic potential of LSD to reduce psychiatric symptomatology, mainly in alcoholism. The vast majority of authors describe significant and positive short-term changes in patients, despite the fact that in some studies an important homogenization was observed between the LSD treatment group and control group at long-term follow-up. Multiple variables regarding LSD treatment therapeutic approach and quality of experience were revealed and related to therapeutic outcomes. LSD is revealed as a potential therapeutic agent in psychiatry; the evidence to date is strongest for the use of LSD in the treatment of alcoholism. Despite the difficulty of designing proper double blind clinical trials with this substance, new studies that conform to modern standards are necessary in order to strengthen our knowledge on its use and open new doors in the future.","container-title":"Frontiers in Psychiatry","ISSN":"1664-0640","source":"Frontiers","title":"Therapeutic use of LSD in psychiatry: A systematic review of randomized-controlled clinical trials","title-short":"Therapeutic Use of LSD in Psychiatry","URL":"https://www.frontiersin.org/articles/10.3389/fpsyt.2019.00943","volume":"10","author":[{"family":"Fuentes","given":"Juan José"},{"family":"Fonseca","given":"Francina"},{"family":"Elices","given":"Matilde"},{"family":"Farré","given":"Magí"},{"family":"Torrens","given":"Marta"}],"accessed":{"date-parts":[["2022",12,21]]},"issued":{"date-parts":[["2020"]]}}},{"id":14218,"uris":["http://zotero.org/groups/4745233/items/CZ9KM2P2"],"itemData":{"id":14218,"type":"webpage","abstract":"How Do Hallucinogens Work? Classic hallucinogens are thought to produce their perception-altering effects by acting on neural circuits in the brain that use the neurotransmitter serotonin (Passie, 2008; Nichols, 2004; Schindler, 2012; Lee, 2012). Specifically, some of their most prominent effects occur in the prefrontal cortex—an area involved in mood, cognition, and perception—as well as other regions important in regulating arousal and physiological responses to stress and panic.","container-title":"National Institute on Drug Abuse","language":"en","title":"How do hallucinogens (LSD, Psilocybin, Peyote, DMT, and Ayahuasca) affect the brain and body?","URL":"https://nida.nih.gov/publications/research-reports/hallucinogens-dissociative-drugs/how-do-hallucinogens-lsd-psilocybin-peyote-dmt-ayahuasca-affect-brain-body","author":[{"literal":"National Institute on Drug Abuse"}],"accessed":{"date-parts":[["2022",12,21]]},"issued":{"date-parts":[["2015"]]}}},{"id":13614,"uris":["http://zotero.org/groups/4745233/items/J5DJ4S8I"],"itemData":{"id":13614,"type":"webpage","language":"en","title":"Drug Index","URL":"https://www.drugfoundation.org.nz/info/drug-index/","author":[{"literal":"NZ Drug Foundation"}],"accessed":{"date-parts":[["2022",12,21]]}}}],"schema":"https://github.com/citation-style-language/schema/raw/master/csl-citation.json"} </w:instrText>
            </w:r>
            <w:r w:rsidRPr="00076959">
              <w:fldChar w:fldCharType="separate"/>
            </w:r>
            <w:r w:rsidRPr="00076959">
              <w:rPr>
                <w:vertAlign w:val="superscript"/>
              </w:rPr>
              <w:t>105–107</w:t>
            </w:r>
            <w:r w:rsidRPr="00076959">
              <w:fldChar w:fldCharType="end"/>
            </w:r>
          </w:p>
          <w:p w14:paraId="709C0A10" w14:textId="77777777" w:rsidR="00DB3E59" w:rsidRPr="00076959" w:rsidRDefault="00DB3E59" w:rsidP="007B2413">
            <w:r w:rsidRPr="00076959">
              <w:t>(eg LSD or NBOme)</w:t>
            </w:r>
          </w:p>
        </w:tc>
        <w:tc>
          <w:tcPr>
            <w:tcW w:w="7371" w:type="dxa"/>
            <w:tcBorders>
              <w:top w:val="nil"/>
              <w:bottom w:val="nil"/>
            </w:tcBorders>
          </w:tcPr>
          <w:p w14:paraId="2D3AF356" w14:textId="77777777" w:rsidR="00DB3E59" w:rsidRPr="00076959" w:rsidRDefault="00DB3E59" w:rsidP="007B2413">
            <w:pPr>
              <w:cnfStyle w:val="000000000000" w:firstRow="0" w:lastRow="0" w:firstColumn="0" w:lastColumn="0" w:oddVBand="0" w:evenVBand="0" w:oddHBand="0" w:evenHBand="0" w:firstRowFirstColumn="0" w:firstRowLastColumn="0" w:lastRowFirstColumn="0" w:lastRowLastColumn="0"/>
            </w:pPr>
            <w:r w:rsidRPr="00076959">
              <w:t>Short-term impacts on perception of reality, thinking rationally, and communication, with rapid shifts in mood.</w:t>
            </w:r>
          </w:p>
          <w:p w14:paraId="4995F6E5" w14:textId="77777777" w:rsidR="00DB3E59" w:rsidRPr="00076959" w:rsidRDefault="00DB3E59" w:rsidP="007B2413">
            <w:pPr>
              <w:cnfStyle w:val="000000000000" w:firstRow="0" w:lastRow="0" w:firstColumn="0" w:lastColumn="0" w:oddVBand="0" w:evenVBand="0" w:oddHBand="0" w:evenHBand="0" w:firstRowFirstColumn="0" w:firstRowLastColumn="0" w:lastRowFirstColumn="0" w:lastRowLastColumn="0"/>
            </w:pPr>
            <w:r w:rsidRPr="00076959">
              <w:t>Long-term impacts are not clear.</w:t>
            </w:r>
          </w:p>
          <w:p w14:paraId="192D8211" w14:textId="77777777" w:rsidR="00DB3E59" w:rsidRPr="00076959" w:rsidRDefault="00DB3E59" w:rsidP="007B2413">
            <w:pPr>
              <w:cnfStyle w:val="000000000000" w:firstRow="0" w:lastRow="0" w:firstColumn="0" w:lastColumn="0" w:oddVBand="0" w:evenVBand="0" w:oddHBand="0" w:evenHBand="0" w:firstRowFirstColumn="0" w:firstRowLastColumn="0" w:lastRowFirstColumn="0" w:lastRowLastColumn="0"/>
            </w:pPr>
            <w:r w:rsidRPr="00076959">
              <w:lastRenderedPageBreak/>
              <w:t>Cognitive function improves quickly with decreased use.</w:t>
            </w:r>
          </w:p>
        </w:tc>
      </w:tr>
      <w:tr w:rsidR="00DB3E59" w:rsidRPr="00076959" w14:paraId="39AB1819" w14:textId="77777777" w:rsidTr="00AF0D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nil"/>
              <w:bottom w:val="nil"/>
            </w:tcBorders>
          </w:tcPr>
          <w:p w14:paraId="0E239454" w14:textId="77777777" w:rsidR="00DB3E59" w:rsidRPr="00076959" w:rsidRDefault="00DB3E59" w:rsidP="007B2413">
            <w:r w:rsidRPr="00076959">
              <w:lastRenderedPageBreak/>
              <w:t>Inhalants or solvents</w:t>
            </w:r>
            <w:r w:rsidRPr="00076959">
              <w:fldChar w:fldCharType="begin"/>
            </w:r>
            <w:r w:rsidRPr="00076959">
              <w:instrText xml:space="preserve"> ADDIN ZOTERO_ITEM CSL_CITATION {"citationID":"a158kob5cif","properties":{"formattedCitation":"\\super 3,108\\nosupersub{}","plainCitation":"3,108","noteIndex":0},"citationItems":[{"id":12568,"uris":["http://zotero.org/groups/4745233/items/QRRH958N"],"itemData":{"id":12568,"type":"article-journal","container-title":"The Lancet","DOI":"10.1016/S0140-6736(17)31466-6","ISSN":"0140-6736, 1474-547X","issue":"10087","journalAbbreviation":"The Lancet","language":"English","note":"publisher: Elsevier\nPMID: 28635603","page":"2371-2372","source":"www.thelancet.com","title":"Exposure to lead in petrol and increased incidence of dementia","volume":"389","author":[{"family":"Laidlaw","given":"Mark A. S."},{"family":"Poropat","given":"Arthur E."},{"family":"Ball","given":"Andy"},{"family":"Mielke","given":"Howard W."}],"issued":{"date-parts":[["2017",6,17]]}}},{"id":14007,"uris":["http://zotero.org/groups/4745233/items/U3GGYCKU"],"itemData":{"id":14007,"type":"report","event-place":"Richmond, Victoria","language":"en","publisher":"Turning Point","publisher-place":"Richmond, Victoria","source":"Zotero","title":"Managing Cognitive Impairment in AOD Treatment: Practice Guidelines for Healthcare Professionals","URL":"https://www.turningpoint.org.au/treatment/clinicians/Managing-Cognitive-Impairment-in-AOD-Treatment-Guidelines","author":[{"family":"Manning","given":"Victoria"},{"family":"Gooden","given":"James"},{"family":"Cox","given":"Catherine"},{"family":"Whelan","given":"Danielle"},{"family":"Miroz","given":"Katherine"}],"issued":{"date-parts":[["2021"]]}}}],"schema":"https://github.com/citation-style-language/schema/raw/master/csl-citation.json"} </w:instrText>
            </w:r>
            <w:r w:rsidRPr="00076959">
              <w:fldChar w:fldCharType="separate"/>
            </w:r>
            <w:r w:rsidRPr="00076959">
              <w:rPr>
                <w:vertAlign w:val="superscript"/>
              </w:rPr>
              <w:t>3,108</w:t>
            </w:r>
            <w:r w:rsidRPr="00076959">
              <w:fldChar w:fldCharType="end"/>
            </w:r>
          </w:p>
          <w:p w14:paraId="05FE05E8" w14:textId="77777777" w:rsidR="00DB3E59" w:rsidRPr="00076959" w:rsidRDefault="00DB3E59" w:rsidP="007B2413">
            <w:r w:rsidRPr="00076959">
              <w:t>(eg paint, petrol or glue)</w:t>
            </w:r>
          </w:p>
        </w:tc>
        <w:tc>
          <w:tcPr>
            <w:tcW w:w="7371" w:type="dxa"/>
            <w:tcBorders>
              <w:top w:val="nil"/>
              <w:bottom w:val="nil"/>
            </w:tcBorders>
          </w:tcPr>
          <w:p w14:paraId="7D353FE9" w14:textId="77777777" w:rsidR="00DB3E59" w:rsidRPr="00076959" w:rsidRDefault="00DB3E59" w:rsidP="007B2413">
            <w:pPr>
              <w:cnfStyle w:val="000000100000" w:firstRow="0" w:lastRow="0" w:firstColumn="0" w:lastColumn="0" w:oddVBand="0" w:evenVBand="0" w:oddHBand="1" w:evenHBand="0" w:firstRowFirstColumn="0" w:firstRowLastColumn="0" w:lastRowFirstColumn="0" w:lastRowLastColumn="0"/>
            </w:pPr>
            <w:r w:rsidRPr="00076959">
              <w:t>Problematic toluene and petrol use can lead to short- and long-term impairments in language, processing speed, attention, learning, memory, coordination, and executive function.</w:t>
            </w:r>
          </w:p>
          <w:p w14:paraId="7EE1DB68" w14:textId="77777777" w:rsidR="00DB3E59" w:rsidRPr="00076959" w:rsidRDefault="00DB3E59" w:rsidP="007B2413">
            <w:pPr>
              <w:cnfStyle w:val="000000100000" w:firstRow="0" w:lastRow="0" w:firstColumn="0" w:lastColumn="0" w:oddVBand="0" w:evenVBand="0" w:oddHBand="1" w:evenHBand="0" w:firstRowFirstColumn="0" w:firstRowLastColumn="0" w:lastRowFirstColumn="0" w:lastRowLastColumn="0"/>
            </w:pPr>
            <w:r w:rsidRPr="00076959">
              <w:t>Memory and executive function may take months to years to fully recover.</w:t>
            </w:r>
          </w:p>
        </w:tc>
      </w:tr>
      <w:tr w:rsidR="00DB3E59" w:rsidRPr="00076959" w14:paraId="5DB040E8" w14:textId="77777777" w:rsidTr="00AF0D41">
        <w:tc>
          <w:tcPr>
            <w:cnfStyle w:val="001000000000" w:firstRow="0" w:lastRow="0" w:firstColumn="1" w:lastColumn="0" w:oddVBand="0" w:evenVBand="0" w:oddHBand="0" w:evenHBand="0" w:firstRowFirstColumn="0" w:firstRowLastColumn="0" w:lastRowFirstColumn="0" w:lastRowLastColumn="0"/>
            <w:tcW w:w="2263" w:type="dxa"/>
            <w:tcBorders>
              <w:top w:val="nil"/>
              <w:bottom w:val="nil"/>
            </w:tcBorders>
          </w:tcPr>
          <w:p w14:paraId="73C83F89" w14:textId="77777777" w:rsidR="00DB3E59" w:rsidRPr="00076959" w:rsidRDefault="00DB3E59" w:rsidP="007B2413">
            <w:r w:rsidRPr="00076959">
              <w:t>Ketamine</w:t>
            </w:r>
            <w:r w:rsidRPr="00076959">
              <w:fldChar w:fldCharType="begin"/>
            </w:r>
            <w:r w:rsidRPr="00076959">
              <w:instrText xml:space="preserve"> ADDIN ZOTERO_ITEM CSL_CITATION {"citationID":"an6g5gv6qe","properties":{"formattedCitation":"\\super 3\\nosupersub{}","plainCitation":"3","noteIndex":0},"citationItems":[{"id":14007,"uris":["http://zotero.org/groups/4745233/items/U3GGYCKU"],"itemData":{"id":14007,"type":"report","event-place":"Richmond, Victoria","language":"en","publisher":"Turning Point","publisher-place":"Richmond, Victoria","source":"Zotero","title":"Managing Cognitive Impairment in AOD Treatment: Practice Guidelines for Healthcare Professionals","URL":"https://www.turningpoint.org.au/treatment/clinicians/Managing-Cognitive-Impairment-in-AOD-Treatment-Guidelines","author":[{"family":"Manning","given":"Victoria"},{"family":"Gooden","given":"James"},{"family":"Cox","given":"Catherine"},{"family":"Whelan","given":"Danielle"},{"family":"Miroz","given":"Katherine"}],"issued":{"date-parts":[["2021"]]}}}],"schema":"https://github.com/citation-style-language/schema/raw/master/csl-citation.json"} </w:instrText>
            </w:r>
            <w:r w:rsidRPr="00076959">
              <w:fldChar w:fldCharType="separate"/>
            </w:r>
            <w:r w:rsidRPr="00076959">
              <w:rPr>
                <w:vertAlign w:val="superscript"/>
              </w:rPr>
              <w:t>3</w:t>
            </w:r>
            <w:r w:rsidRPr="00076959">
              <w:fldChar w:fldCharType="end"/>
            </w:r>
          </w:p>
        </w:tc>
        <w:tc>
          <w:tcPr>
            <w:tcW w:w="7371" w:type="dxa"/>
            <w:tcBorders>
              <w:top w:val="nil"/>
              <w:bottom w:val="nil"/>
            </w:tcBorders>
          </w:tcPr>
          <w:p w14:paraId="643A5D68" w14:textId="77777777" w:rsidR="00DB3E59" w:rsidRPr="00076959" w:rsidRDefault="00DB3E59" w:rsidP="007B2413">
            <w:pPr>
              <w:cnfStyle w:val="000000000000" w:firstRow="0" w:lastRow="0" w:firstColumn="0" w:lastColumn="0" w:oddVBand="0" w:evenVBand="0" w:oddHBand="0" w:evenHBand="0" w:firstRowFirstColumn="0" w:firstRowLastColumn="0" w:lastRowFirstColumn="0" w:lastRowLastColumn="0"/>
            </w:pPr>
            <w:r w:rsidRPr="00076959">
              <w:t>Frequent and high levels of use are associated with short-term effects on memory, planning, and visuospatial problems. Long-term use particularly affects visuospatial and memory domains.</w:t>
            </w:r>
          </w:p>
          <w:p w14:paraId="2E1E5BB0" w14:textId="77777777" w:rsidR="00DB3E59" w:rsidRPr="00076959" w:rsidRDefault="00DB3E59" w:rsidP="007B2413">
            <w:pPr>
              <w:cnfStyle w:val="000000000000" w:firstRow="0" w:lastRow="0" w:firstColumn="0" w:lastColumn="0" w:oddVBand="0" w:evenVBand="0" w:oddHBand="0" w:evenHBand="0" w:firstRowFirstColumn="0" w:firstRowLastColumn="0" w:lastRowFirstColumn="0" w:lastRowLastColumn="0"/>
            </w:pPr>
            <w:r w:rsidRPr="00076959">
              <w:t xml:space="preserve">Cognitive function returns to a person’s ‘usual’ level after stopping use though timing is unclear. </w:t>
            </w:r>
          </w:p>
        </w:tc>
      </w:tr>
      <w:tr w:rsidR="00DB3E59" w:rsidRPr="00076959" w14:paraId="76EF747D" w14:textId="77777777" w:rsidTr="00AF0D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nil"/>
              <w:bottom w:val="nil"/>
            </w:tcBorders>
          </w:tcPr>
          <w:p w14:paraId="4DB6F98B" w14:textId="77777777" w:rsidR="00DB3E59" w:rsidRPr="00076959" w:rsidRDefault="00DB3E59" w:rsidP="007B2413">
            <w:r w:rsidRPr="00076959">
              <w:t>GHB</w:t>
            </w:r>
            <w:r w:rsidRPr="00076959">
              <w:fldChar w:fldCharType="begin"/>
            </w:r>
            <w:r w:rsidRPr="00076959">
              <w:instrText xml:space="preserve"> ADDIN ZOTERO_ITEM CSL_CITATION {"citationID":"ab2d6gieoj","properties":{"formattedCitation":"\\super 3\\nosupersub{}","plainCitation":"3","noteIndex":0},"citationItems":[{"id":14007,"uris":["http://zotero.org/groups/4745233/items/U3GGYCKU"],"itemData":{"id":14007,"type":"report","event-place":"Richmond, Victoria","language":"en","publisher":"Turning Point","publisher-place":"Richmond, Victoria","source":"Zotero","title":"Managing Cognitive Impairment in AOD Treatment: Practice Guidelines for Healthcare Professionals","URL":"https://www.turningpoint.org.au/treatment/clinicians/Managing-Cognitive-Impairment-in-AOD-Treatment-Guidelines","author":[{"family":"Manning","given":"Victoria"},{"family":"Gooden","given":"James"},{"family":"Cox","given":"Catherine"},{"family":"Whelan","given":"Danielle"},{"family":"Miroz","given":"Katherine"}],"issued":{"date-parts":[["2021"]]}}}],"schema":"https://github.com/citation-style-language/schema/raw/master/csl-citation.json"} </w:instrText>
            </w:r>
            <w:r w:rsidRPr="00076959">
              <w:fldChar w:fldCharType="separate"/>
            </w:r>
            <w:r w:rsidRPr="00076959">
              <w:rPr>
                <w:vertAlign w:val="superscript"/>
              </w:rPr>
              <w:t>3</w:t>
            </w:r>
            <w:r w:rsidRPr="00076959">
              <w:fldChar w:fldCharType="end"/>
            </w:r>
          </w:p>
        </w:tc>
        <w:tc>
          <w:tcPr>
            <w:tcW w:w="7371" w:type="dxa"/>
            <w:tcBorders>
              <w:top w:val="nil"/>
              <w:bottom w:val="nil"/>
            </w:tcBorders>
          </w:tcPr>
          <w:p w14:paraId="7F902D99" w14:textId="77777777" w:rsidR="00DB3E59" w:rsidRPr="00076959" w:rsidRDefault="00DB3E59" w:rsidP="007B2413">
            <w:pPr>
              <w:cnfStyle w:val="000000100000" w:firstRow="0" w:lastRow="0" w:firstColumn="0" w:lastColumn="0" w:oddVBand="0" w:evenVBand="0" w:oddHBand="1" w:evenHBand="0" w:firstRowFirstColumn="0" w:firstRowLastColumn="0" w:lastRowFirstColumn="0" w:lastRowLastColumn="0"/>
            </w:pPr>
            <w:r w:rsidRPr="00076959">
              <w:t xml:space="preserve">GHB has a high likelihood of overdose and loss of consciousness which impacts cognitive function. </w:t>
            </w:r>
          </w:p>
          <w:p w14:paraId="59323A32" w14:textId="77777777" w:rsidR="00DB3E59" w:rsidRPr="00076959" w:rsidRDefault="00DB3E59" w:rsidP="007B2413">
            <w:pPr>
              <w:cnfStyle w:val="000000100000" w:firstRow="0" w:lastRow="0" w:firstColumn="0" w:lastColumn="0" w:oddVBand="0" w:evenVBand="0" w:oddHBand="1" w:evenHBand="0" w:firstRowFirstColumn="0" w:firstRowLastColumn="0" w:lastRowFirstColumn="0" w:lastRowLastColumn="0"/>
            </w:pPr>
            <w:r w:rsidRPr="00076959">
              <w:t xml:space="preserve">There can be lasting cognitive impacts from repeated periods of overdose or unconsciousness. </w:t>
            </w:r>
          </w:p>
        </w:tc>
      </w:tr>
      <w:tr w:rsidR="00DB3E59" w:rsidRPr="00076959" w14:paraId="370D0B50" w14:textId="77777777" w:rsidTr="00AF0D41">
        <w:tc>
          <w:tcPr>
            <w:cnfStyle w:val="001000000000" w:firstRow="0" w:lastRow="0" w:firstColumn="1" w:lastColumn="0" w:oddVBand="0" w:evenVBand="0" w:oddHBand="0" w:evenHBand="0" w:firstRowFirstColumn="0" w:firstRowLastColumn="0" w:lastRowFirstColumn="0" w:lastRowLastColumn="0"/>
            <w:tcW w:w="2263" w:type="dxa"/>
            <w:tcBorders>
              <w:top w:val="nil"/>
              <w:bottom w:val="double" w:sz="4" w:space="0" w:color="28A1AC" w:themeColor="accent2"/>
            </w:tcBorders>
          </w:tcPr>
          <w:p w14:paraId="5B54E7EE" w14:textId="77777777" w:rsidR="00DB3E59" w:rsidRPr="00076959" w:rsidRDefault="00DB3E59" w:rsidP="007B2413">
            <w:r w:rsidRPr="00076959">
              <w:t>Tobacco and vaping</w:t>
            </w:r>
            <w:r w:rsidRPr="00076959">
              <w:fldChar w:fldCharType="begin"/>
            </w:r>
            <w:r w:rsidRPr="00076959">
              <w:instrText xml:space="preserve"> ADDIN ZOTERO_ITEM CSL_CITATION {"citationID":"a11edugde9l","properties":{"formattedCitation":"\\super 109\\nosupersub{}","plainCitation":"109","noteIndex":0},"citationItems":[{"id":13415,"uris":["http://zotero.org/groups/4745233/items/KZJ9WHEL"],"itemData":{"id":13415,"type":"article-journal","abstract":"Given the large availability of nicotinic acetylcholine receptors (nAChRs) throughout the brain, and the wide range of neurotransmitter systems affected (norepinephrine, serotonin and dopamine), nicotine influences a wide variety of cognitive domains such as sensorial, motor, attentional, executive, learning and memory. This article reviews current state of the art research on the effects of nicotine upon cognition. There are different neurobiological mechanisms involved in acute/chronic smoking and nicotine abstinence. Smoking reinforcement could be due to the initial cognitive improvement, that is, individuals can learn that smoking temporarily increases cognitive functioning (improving some components of attention and memory). These acute nicotine effects improve (i) cognitive performance above smokers' normal levels, and (ii) cognitive disruption resulting from nicotine abstinence. Both neurobiological effects act as reinforcers to nicotine use, greatly contributing to the development of nicotine dependence. However, heavy smoking is associated with cognitive impairment and cognitive decline in middle age. Future clinical research should investigate the role of positive and negative cognitive effects of nicotine in smoking cessation treatment. This is clearly an important scientific issue, with insufficient current data from which to draw definitive conclusions.","container-title":"Current Drug Abuse Reviews","DOI":"10.2174/1874473709666160803101633","journalAbbreviation":"Current Drug Abuse Reviews","page":"1-1","source":"ResearchGate","title":"Smoking and Cognition","volume":"09","author":[{"family":"Campos","given":"Marcela"},{"family":"Serebrisky","given":"Debora"},{"family":"Castaldelli-Maia","given":"João"}],"issued":{"date-parts":[["2016",8,3]]}}}],"schema":"https://github.com/citation-style-language/schema/raw/master/csl-citation.json"} </w:instrText>
            </w:r>
            <w:r w:rsidRPr="00076959">
              <w:fldChar w:fldCharType="separate"/>
            </w:r>
            <w:r w:rsidRPr="00076959">
              <w:rPr>
                <w:vertAlign w:val="superscript"/>
              </w:rPr>
              <w:t>109</w:t>
            </w:r>
            <w:r w:rsidRPr="00076959">
              <w:fldChar w:fldCharType="end"/>
            </w:r>
          </w:p>
        </w:tc>
        <w:tc>
          <w:tcPr>
            <w:tcW w:w="7371" w:type="dxa"/>
            <w:tcBorders>
              <w:top w:val="nil"/>
              <w:bottom w:val="double" w:sz="4" w:space="0" w:color="28A1AC" w:themeColor="accent2"/>
            </w:tcBorders>
          </w:tcPr>
          <w:p w14:paraId="63526D80" w14:textId="77777777" w:rsidR="00DB3E59" w:rsidRPr="00076959" w:rsidRDefault="00DB3E59" w:rsidP="007B2413">
            <w:pPr>
              <w:cnfStyle w:val="000000000000" w:firstRow="0" w:lastRow="0" w:firstColumn="0" w:lastColumn="0" w:oddVBand="0" w:evenVBand="0" w:oddHBand="0" w:evenHBand="0" w:firstRowFirstColumn="0" w:firstRowLastColumn="0" w:lastRowFirstColumn="0" w:lastRowLastColumn="0"/>
            </w:pPr>
            <w:r w:rsidRPr="00076959">
              <w:t xml:space="preserve">Acute tobacco use can enhance cognitive function. However, using tobacco with other substances like alcohol can increase the negative cognitive effects compared to using the substance alone. </w:t>
            </w:r>
          </w:p>
          <w:p w14:paraId="6C3FB1BF" w14:textId="77777777" w:rsidR="00DB3E59" w:rsidRPr="00076959" w:rsidRDefault="00DB3E59" w:rsidP="007B2413">
            <w:pPr>
              <w:cnfStyle w:val="000000000000" w:firstRow="0" w:lastRow="0" w:firstColumn="0" w:lastColumn="0" w:oddVBand="0" w:evenVBand="0" w:oddHBand="0" w:evenHBand="0" w:firstRowFirstColumn="0" w:firstRowLastColumn="0" w:lastRowFirstColumn="0" w:lastRowLastColumn="0"/>
            </w:pPr>
            <w:r w:rsidRPr="00076959">
              <w:t xml:space="preserve">Nicotine withdrawal is associated with decreased cognitive function which persists for several weeks. </w:t>
            </w:r>
          </w:p>
          <w:p w14:paraId="6292DBF4" w14:textId="77777777" w:rsidR="00DB3E59" w:rsidRPr="00076959" w:rsidRDefault="00DB3E59" w:rsidP="007B2413">
            <w:pPr>
              <w:cnfStyle w:val="000000000000" w:firstRow="0" w:lastRow="0" w:firstColumn="0" w:lastColumn="0" w:oddVBand="0" w:evenVBand="0" w:oddHBand="0" w:evenHBand="0" w:firstRowFirstColumn="0" w:firstRowLastColumn="0" w:lastRowFirstColumn="0" w:lastRowLastColumn="0"/>
            </w:pPr>
            <w:r w:rsidRPr="00076959">
              <w:t xml:space="preserve">The cognitive effects of vaping are still emerging so long-term effects are unknown. </w:t>
            </w:r>
          </w:p>
        </w:tc>
      </w:tr>
    </w:tbl>
    <w:p w14:paraId="0A77D694" w14:textId="77777777" w:rsidR="00DB3E59" w:rsidRPr="00076959" w:rsidRDefault="00DB3E59" w:rsidP="00DB3E59">
      <w:pPr>
        <w:rPr>
          <w:rFonts w:cstheme="minorHAnsi"/>
          <w:sz w:val="22"/>
        </w:rPr>
      </w:pPr>
    </w:p>
    <w:p w14:paraId="326FAF6D" w14:textId="77777777" w:rsidR="00DB3E59" w:rsidRDefault="00DB3E59" w:rsidP="00DB3E59"/>
    <w:p w14:paraId="602B4315" w14:textId="55970A71" w:rsidR="00135934" w:rsidRDefault="00DB3E59" w:rsidP="002928ED">
      <w:pPr>
        <w:spacing w:before="0" w:after="160" w:line="259" w:lineRule="auto"/>
      </w:pPr>
      <w:r>
        <w:br w:type="page"/>
      </w:r>
      <w:bookmarkStart w:id="808" w:name="_Toc179467088"/>
      <w:bookmarkStart w:id="809" w:name="_Toc179467165"/>
      <w:bookmarkStart w:id="810" w:name="_Toc179467239"/>
      <w:bookmarkStart w:id="811" w:name="_Toc179467424"/>
      <w:bookmarkStart w:id="812" w:name="_Toc179467664"/>
    </w:p>
    <w:bookmarkEnd w:id="542"/>
    <w:bookmarkEnd w:id="543"/>
    <w:bookmarkEnd w:id="544"/>
    <w:bookmarkEnd w:id="808"/>
    <w:bookmarkEnd w:id="809"/>
    <w:bookmarkEnd w:id="810"/>
    <w:bookmarkEnd w:id="811"/>
    <w:bookmarkEnd w:id="812"/>
    <w:p w14:paraId="744BB647" w14:textId="7A82035A" w:rsidR="002928ED" w:rsidRDefault="002928ED" w:rsidP="00247027">
      <w:pPr>
        <w:sectPr w:rsidR="002928ED" w:rsidSect="001F3843">
          <w:headerReference w:type="default" r:id="rId30"/>
          <w:footerReference w:type="default" r:id="rId31"/>
          <w:pgSz w:w="11906" w:h="16838" w:code="9"/>
          <w:pgMar w:top="1134" w:right="1134" w:bottom="1134" w:left="1134" w:header="1304" w:footer="454" w:gutter="0"/>
          <w:cols w:space="708"/>
          <w:titlePg/>
          <w:docGrid w:linePitch="360"/>
        </w:sectPr>
      </w:pPr>
    </w:p>
    <w:p w14:paraId="179CBBA1" w14:textId="1A0DE2F7" w:rsidR="004A4A6A" w:rsidRPr="00201348" w:rsidRDefault="00201348" w:rsidP="00201348">
      <w:pPr>
        <w:pStyle w:val="Dividerheading"/>
        <w:ind w:left="0"/>
        <w:rPr>
          <w:color w:val="0C818E" w:themeColor="accent1"/>
        </w:rPr>
      </w:pPr>
      <w:r w:rsidRPr="00201348">
        <w:rPr>
          <w:noProof/>
          <w:color w:val="0C818E" w:themeColor="accent1"/>
        </w:rPr>
        <w:lastRenderedPageBreak/>
        <w:drawing>
          <wp:anchor distT="0" distB="0" distL="114300" distR="114300" simplePos="0" relativeHeight="251750400" behindDoc="1" locked="0" layoutInCell="1" allowOverlap="1" wp14:anchorId="7562C1ED" wp14:editId="379C9600">
            <wp:simplePos x="0" y="0"/>
            <wp:positionH relativeFrom="column">
              <wp:posOffset>-720090</wp:posOffset>
            </wp:positionH>
            <wp:positionV relativeFrom="paragraph">
              <wp:posOffset>-1079500</wp:posOffset>
            </wp:positionV>
            <wp:extent cx="7559040" cy="9749155"/>
            <wp:effectExtent l="0" t="0" r="3810" b="4445"/>
            <wp:wrapNone/>
            <wp:docPr id="1596974659"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974659" name="Picture 4">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559040" cy="9749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C29072" w14:textId="77777777" w:rsidR="00B76EAA" w:rsidRPr="00B3088E" w:rsidRDefault="00B76EAA" w:rsidP="00B3088E">
      <w:pPr>
        <w:pStyle w:val="Section2Heading1"/>
      </w:pPr>
      <w:bookmarkStart w:id="813" w:name="_Toc179468550"/>
      <w:bookmarkStart w:id="814" w:name="_Toc179483246"/>
      <w:bookmarkStart w:id="815" w:name="_Toc179486314"/>
      <w:bookmarkStart w:id="816" w:name="_Toc179487919"/>
      <w:bookmarkStart w:id="817" w:name="_Toc179489222"/>
      <w:bookmarkStart w:id="818" w:name="_Toc179531347"/>
      <w:bookmarkStart w:id="819" w:name="_Toc179536020"/>
      <w:bookmarkStart w:id="820" w:name="_Toc179537859"/>
      <w:bookmarkStart w:id="821" w:name="_Toc179537923"/>
      <w:bookmarkStart w:id="822" w:name="_Toc179538090"/>
      <w:bookmarkStart w:id="823" w:name="_Toc179538903"/>
      <w:bookmarkStart w:id="824" w:name="_Toc179539221"/>
      <w:bookmarkStart w:id="825" w:name="_Toc179539337"/>
      <w:bookmarkStart w:id="826" w:name="_Toc179539475"/>
      <w:bookmarkStart w:id="827" w:name="_Toc179539572"/>
      <w:bookmarkStart w:id="828" w:name="_Toc179539657"/>
      <w:bookmarkStart w:id="829" w:name="_Toc179539747"/>
      <w:bookmarkStart w:id="830" w:name="_Toc179540431"/>
      <w:bookmarkStart w:id="831" w:name="_Toc179541776"/>
      <w:bookmarkStart w:id="832" w:name="_Toc179542968"/>
      <w:bookmarkStart w:id="833" w:name="_Toc180571296"/>
      <w:r w:rsidRPr="00B3088E">
        <w:t>Part 2: Cognitive screening and support for tangata whai ora and whānau</w:t>
      </w:r>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r w:rsidRPr="00B3088E">
        <w:t xml:space="preserve"> </w:t>
      </w:r>
    </w:p>
    <w:p w14:paraId="72D6D073" w14:textId="7D32F048" w:rsidR="00FE11FA" w:rsidRDefault="00FE11FA" w:rsidP="00FE11FA">
      <w:pPr>
        <w:pStyle w:val="Dividerheading"/>
        <w:ind w:left="0"/>
        <w:rPr>
          <w:b w:val="0"/>
          <w:color w:val="0C818E" w:themeColor="accent1"/>
        </w:rPr>
      </w:pPr>
    </w:p>
    <w:p w14:paraId="3607B820" w14:textId="77777777" w:rsidR="00B729E0" w:rsidRPr="00201348" w:rsidRDefault="004A4A6A" w:rsidP="00201348">
      <w:pPr>
        <w:pStyle w:val="Dividerheading"/>
        <w:ind w:left="0"/>
        <w:rPr>
          <w:color w:val="0C818E" w:themeColor="accent1"/>
        </w:rPr>
      </w:pPr>
      <w:r w:rsidRPr="00201348">
        <w:rPr>
          <w:color w:val="0C818E" w:themeColor="accent1"/>
        </w:rPr>
        <w:t xml:space="preserve"> </w:t>
      </w:r>
    </w:p>
    <w:p w14:paraId="612F7046" w14:textId="77777777" w:rsidR="00DF19E5" w:rsidRDefault="00DF19E5">
      <w:pPr>
        <w:spacing w:before="0" w:after="160" w:line="259" w:lineRule="auto"/>
      </w:pPr>
      <w:r>
        <w:br w:type="page"/>
      </w:r>
    </w:p>
    <w:p w14:paraId="3D18DD94" w14:textId="77777777" w:rsidR="00BE750A" w:rsidRPr="00C8726B" w:rsidRDefault="00BE750A" w:rsidP="007B2413">
      <w:bookmarkStart w:id="834" w:name="_Toc175317951"/>
      <w:bookmarkStart w:id="835" w:name="_Toc179465236"/>
      <w:bookmarkStart w:id="836" w:name="_Toc179467038"/>
      <w:bookmarkStart w:id="837" w:name="_Toc179467095"/>
      <w:bookmarkStart w:id="838" w:name="_Toc179467172"/>
      <w:bookmarkStart w:id="839" w:name="_Toc179467246"/>
      <w:bookmarkStart w:id="840" w:name="_Toc179467431"/>
      <w:bookmarkStart w:id="841" w:name="_Toc179467671"/>
      <w:bookmarkStart w:id="842" w:name="_Toc179468046"/>
      <w:bookmarkStart w:id="843" w:name="_Toc179468308"/>
      <w:bookmarkStart w:id="844" w:name="_Toc179468551"/>
      <w:r w:rsidRPr="00C8726B">
        <w:lastRenderedPageBreak/>
        <w:t xml:space="preserve">This section includes: </w:t>
      </w:r>
    </w:p>
    <w:p w14:paraId="7DF9503A" w14:textId="77777777" w:rsidR="00BE750A" w:rsidRPr="00C8726B" w:rsidRDefault="00BE750A" w:rsidP="007B2413">
      <w:pPr>
        <w:pStyle w:val="Bulletpoint"/>
      </w:pPr>
      <w:r w:rsidRPr="00C8726B">
        <w:t>an overview of an ideal cognitive screening and support pathway</w:t>
      </w:r>
    </w:p>
    <w:p w14:paraId="6087BCA0" w14:textId="77777777" w:rsidR="00BE750A" w:rsidRPr="00C8726B" w:rsidRDefault="00BE750A" w:rsidP="007B2413">
      <w:pPr>
        <w:pStyle w:val="Bulletpoint"/>
      </w:pPr>
      <w:r w:rsidRPr="00C8726B">
        <w:t>helpful information to guide practice in screening and providing support</w:t>
      </w:r>
    </w:p>
    <w:p w14:paraId="525C3432" w14:textId="77777777" w:rsidR="00BE750A" w:rsidRPr="00C8726B" w:rsidRDefault="00BE750A" w:rsidP="007B2413">
      <w:pPr>
        <w:pStyle w:val="Bulletpoint"/>
      </w:pPr>
      <w:r w:rsidRPr="00C8726B">
        <w:t xml:space="preserve">guidance on relevant questions to ask as part of a comprehensive assessment </w:t>
      </w:r>
    </w:p>
    <w:p w14:paraId="364B357C" w14:textId="77777777" w:rsidR="00BE750A" w:rsidRPr="00C8726B" w:rsidRDefault="00BE750A" w:rsidP="007B2413">
      <w:pPr>
        <w:pStyle w:val="Bulletpoint"/>
      </w:pPr>
      <w:r w:rsidRPr="00C8726B">
        <w:t>how to screen for cognitive impairment and referral considerations</w:t>
      </w:r>
    </w:p>
    <w:p w14:paraId="7E4FAF48" w14:textId="77777777" w:rsidR="00BE750A" w:rsidRPr="00C8726B" w:rsidRDefault="00BE750A" w:rsidP="007B2413">
      <w:pPr>
        <w:pStyle w:val="Bulletpoint"/>
      </w:pPr>
      <w:r w:rsidRPr="00C8726B">
        <w:t>the support options available for people experiencing cognitive impairment.</w:t>
      </w:r>
    </w:p>
    <w:p w14:paraId="52046A2C" w14:textId="77777777" w:rsidR="00BE750A" w:rsidRPr="009F7760" w:rsidRDefault="00BE750A" w:rsidP="00B3088E">
      <w:pPr>
        <w:pStyle w:val="Section2Heading2"/>
      </w:pPr>
      <w:bookmarkStart w:id="845" w:name="_Toc172095779"/>
      <w:bookmarkStart w:id="846" w:name="_Toc178780110"/>
      <w:bookmarkStart w:id="847" w:name="_Toc178838876"/>
      <w:bookmarkStart w:id="848" w:name="_Toc178839063"/>
      <w:bookmarkStart w:id="849" w:name="_Toc178839184"/>
      <w:bookmarkStart w:id="850" w:name="_Toc178839412"/>
      <w:bookmarkStart w:id="851" w:name="_Toc178841622"/>
      <w:bookmarkStart w:id="852" w:name="_Toc179198182"/>
      <w:bookmarkStart w:id="853" w:name="_Toc179198430"/>
      <w:bookmarkStart w:id="854" w:name="_Toc179198538"/>
      <w:bookmarkStart w:id="855" w:name="_Toc179198645"/>
      <w:bookmarkStart w:id="856" w:name="_Toc179446089"/>
      <w:bookmarkStart w:id="857" w:name="_Toc179447120"/>
      <w:bookmarkStart w:id="858" w:name="_Toc179448660"/>
      <w:bookmarkStart w:id="859" w:name="_Toc179448821"/>
      <w:bookmarkStart w:id="860" w:name="_Toc179449208"/>
      <w:bookmarkStart w:id="861" w:name="_Toc179452911"/>
      <w:bookmarkStart w:id="862" w:name="_Toc179461424"/>
      <w:bookmarkStart w:id="863" w:name="_Toc179461868"/>
      <w:bookmarkStart w:id="864" w:name="_Toc179483247"/>
      <w:bookmarkStart w:id="865" w:name="_Toc179486315"/>
      <w:bookmarkStart w:id="866" w:name="_Toc179487920"/>
      <w:bookmarkStart w:id="867" w:name="_Toc179489223"/>
      <w:bookmarkStart w:id="868" w:name="_Toc179531348"/>
      <w:bookmarkStart w:id="869" w:name="_Toc179536021"/>
      <w:bookmarkStart w:id="870" w:name="_Toc179537860"/>
      <w:bookmarkStart w:id="871" w:name="_Toc179537924"/>
      <w:bookmarkStart w:id="872" w:name="_Toc179538091"/>
      <w:bookmarkStart w:id="873" w:name="_Toc179538904"/>
      <w:bookmarkStart w:id="874" w:name="_Toc179539222"/>
      <w:bookmarkStart w:id="875" w:name="_Toc179539338"/>
      <w:bookmarkStart w:id="876" w:name="_Toc179539476"/>
      <w:bookmarkStart w:id="877" w:name="_Toc179539573"/>
      <w:bookmarkStart w:id="878" w:name="_Toc179539658"/>
      <w:bookmarkStart w:id="879" w:name="_Toc179539748"/>
      <w:bookmarkStart w:id="880" w:name="_Toc179540432"/>
      <w:bookmarkStart w:id="881" w:name="_Toc179541777"/>
      <w:bookmarkStart w:id="882" w:name="_Toc179542969"/>
      <w:bookmarkStart w:id="883" w:name="_Toc180571297"/>
      <w:r w:rsidRPr="009F7760">
        <w:t>Overview: Ideal cognitive screening and support pathway in AOD services</w:t>
      </w:r>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p>
    <w:p w14:paraId="0E69EE22" w14:textId="6F0737DA" w:rsidR="00BE750A" w:rsidRPr="00C8726B" w:rsidRDefault="00BE750A" w:rsidP="007B2413">
      <w:r w:rsidRPr="00C8726B">
        <w:t>Clear service pathways are needed to guide the screening, assessment, and support process for cognitive impairment.</w:t>
      </w:r>
      <w:r w:rsidRPr="00C8726B">
        <w:fldChar w:fldCharType="begin"/>
      </w:r>
      <w:r w:rsidRPr="00C8726B">
        <w:instrText xml:space="preserve"> ADDIN ZOTERO_ITEM CSL_CITATION {"citationID":"a5kqpkdjc7","properties":{"formattedCitation":"\\super 110\\nosupersub{}","plainCitation":"110","noteIndex":0},"citationItems":[{"id":14217,"uris":["http://zotero.org/groups/4745233/items/NLI84WZB"],"itemData":{"id":14217,"type":"article-journal","abstract":"Objectives:Cognitive impairment is common in individuals with substance use disorders (SUDs), yet no evidence-based guidelines exist regarding the most appropriate screening measure for use in this population. This systematic review aimed to (1) describe different cognitive screening measures used in adults with SUDs, (2) identify substance use populations and contexts these tools are utilised in, (3) review diagnostic accuracy of these screening measures versus an accepted objective reference standard, and (4) evaluate methodology of included studies for risk of bias.Methods:Online databases (PsycINFO, MEDLINE, Embase, and CINAHL) were searched for relevant studies according to pre-determined criteria, and risk of bias and applicability was assessed using the Quality Assessment of Diagnostic Accuracy Studies–2 (QUADAS–2). At each review phase, dual screening, extraction, and quality ratings were performed.Results:Fourteen studies met inclusion, identifying 10 unique cognitive screening tools. The Montreal Cognitive Assessment (MoCA) was the most common, and two novel screening tools (Brief Evaluation of Alcohol-Related Neuropsychological Impairments [BEARNI] and Brief Executive Function Assessment Tool [BEAT]) were specifically developed for use within SUD populations. Twelve studies reported on classification accuracy and relevant psychometric parameters (e.g., sensitivity and specificity). While several tools yielded acceptable to outstanding classification accuracy, there was poor adherence to the Standards for Reporting Diagnostic Accuracy Studies (STARD) across all studies, with high or unclear risk of methodological bias.Conclusions:While some screening tools exhibit promise for use within SUD populations, further evaluation with stronger methodological design and reporting is required. Clinical recommendations and future directions for research are discussed.","container-title":"Journal of the International Neuropsychological Society","DOI":"10.1017/S135561772100103X","ISSN":"1355-6177, 1469-7661","issue":"7","language":"en","note":"publisher: Cambridge University Press","page":"756-779","source":"Cambridge University Press","title":"Screening tools for cognitive impairment in adults with substance use disorders: A systematic review","title-short":"Screening Tools for Cognitive Impairment in Adults with Substance Use Disorders","volume":"28","author":[{"family":"Ko","given":"Katherine Y."},{"family":"Ridley","given":"Nicole"},{"family":"Bryce","given":"Shayden D."},{"family":"Allott","given":"Kelly"},{"family":"Smith","given":"Angela"},{"family":"Kamminga","given":"Jody"}],"issued":{"date-parts":[["2022",8]]}}}],"schema":"https://github.com/citation-style-language/schema/raw/master/csl-citation.json"} </w:instrText>
      </w:r>
      <w:r w:rsidRPr="00C8726B">
        <w:fldChar w:fldCharType="separate"/>
      </w:r>
      <w:r w:rsidRPr="00C8726B">
        <w:rPr>
          <w:szCs w:val="24"/>
          <w:vertAlign w:val="superscript"/>
        </w:rPr>
        <w:t>110</w:t>
      </w:r>
      <w:r w:rsidRPr="00C8726B">
        <w:fldChar w:fldCharType="end"/>
      </w:r>
      <w:r w:rsidRPr="00C8726B">
        <w:t xml:space="preserve"> </w:t>
      </w:r>
      <w:r w:rsidRPr="00C8726B">
        <w:fldChar w:fldCharType="begin"/>
      </w:r>
      <w:r w:rsidRPr="00C8726B">
        <w:instrText xml:space="preserve"> REF _Ref145854757 \h  \* MERGEFORMAT </w:instrText>
      </w:r>
      <w:r w:rsidRPr="00C8726B">
        <w:fldChar w:fldCharType="separate"/>
      </w:r>
      <w:r w:rsidR="007F1966">
        <w:t>Table</w:t>
      </w:r>
      <w:r w:rsidR="007F1966" w:rsidRPr="0028086F">
        <w:t xml:space="preserve"> </w:t>
      </w:r>
      <w:r w:rsidR="007F1966">
        <w:rPr>
          <w:noProof/>
        </w:rPr>
        <w:t>4</w:t>
      </w:r>
      <w:r w:rsidRPr="00C8726B">
        <w:fldChar w:fldCharType="end"/>
      </w:r>
      <w:r w:rsidRPr="00C8726B">
        <w:t xml:space="preserve"> covers an ideal pathway that factors in cognitive screening and support. Culture should be considered at all points of the process.</w:t>
      </w:r>
    </w:p>
    <w:p w14:paraId="10E14128" w14:textId="695FA96E" w:rsidR="00BE750A" w:rsidRDefault="00BE750A" w:rsidP="00B3088E">
      <w:pPr>
        <w:pStyle w:val="Figure"/>
      </w:pPr>
      <w:bookmarkStart w:id="884" w:name="_Ref145854757"/>
      <w:bookmarkStart w:id="885" w:name="_Toc146624903"/>
      <w:bookmarkStart w:id="886" w:name="_Toc179544006"/>
      <w:r>
        <w:t>Table</w:t>
      </w:r>
      <w:r w:rsidRPr="0028086F">
        <w:t xml:space="preserve"> </w:t>
      </w:r>
      <w:r>
        <w:fldChar w:fldCharType="begin"/>
      </w:r>
      <w:r>
        <w:instrText xml:space="preserve"> SEQ Table \* ARABIC </w:instrText>
      </w:r>
      <w:r>
        <w:fldChar w:fldCharType="separate"/>
      </w:r>
      <w:r w:rsidR="007F1966">
        <w:rPr>
          <w:noProof/>
        </w:rPr>
        <w:t>4</w:t>
      </w:r>
      <w:r>
        <w:fldChar w:fldCharType="end"/>
      </w:r>
      <w:bookmarkEnd w:id="884"/>
      <w:r>
        <w:t>.</w:t>
      </w:r>
      <w:r w:rsidRPr="0028086F">
        <w:t xml:space="preserve"> Ideal cognitive screening and support pathway</w:t>
      </w:r>
      <w:bookmarkEnd w:id="885"/>
      <w:bookmarkEnd w:id="886"/>
    </w:p>
    <w:tbl>
      <w:tblPr>
        <w:tblStyle w:val="GridTable4-Accent3"/>
        <w:tblW w:w="9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Caption w:val="Ideal service pathway"/>
        <w:tblDescription w:val="Pathway diagram includes 6 phases in aOD services including cognitive screening and support. Phase 1 is entering a service and building relationships. Phase 2 is gathering information as part of a comprehensive assesssment. Phase 3 is cognitive screening. Phase 4 is neuropsychologicla assessment (where indicated and resourcing permits). Phase 5 is integrated support plan. Phase 6 is community support. "/>
      </w:tblPr>
      <w:tblGrid>
        <w:gridCol w:w="924"/>
        <w:gridCol w:w="8521"/>
      </w:tblGrid>
      <w:tr w:rsidR="00BE750A" w:rsidRPr="0050260E" w14:paraId="3A0E52EB" w14:textId="77777777" w:rsidTr="00234887">
        <w:trPr>
          <w:cnfStyle w:val="100000000000" w:firstRow="1" w:lastRow="0" w:firstColumn="0" w:lastColumn="0" w:oddVBand="0" w:evenVBand="0" w:oddHBand="0" w:evenHBand="0" w:firstRowFirstColumn="0" w:firstRowLastColumn="0" w:lastRowFirstColumn="0" w:lastRowLastColumn="0"/>
        </w:trPr>
        <w:tc>
          <w:tcPr>
            <w:tcW w:w="865" w:type="dxa"/>
            <w:tcBorders>
              <w:right w:val="double" w:sz="4" w:space="0" w:color="003399" w:themeColor="accent3"/>
            </w:tcBorders>
            <w:shd w:val="clear" w:color="auto" w:fill="000066"/>
          </w:tcPr>
          <w:p w14:paraId="2C8D54DA" w14:textId="77777777" w:rsidR="00BE750A" w:rsidRPr="0050260E" w:rsidRDefault="00BE750A" w:rsidP="007B2413">
            <w:r w:rsidRPr="0050260E">
              <w:t>Phase</w:t>
            </w:r>
          </w:p>
        </w:tc>
        <w:tc>
          <w:tcPr>
            <w:tcW w:w="8580" w:type="dxa"/>
            <w:tcBorders>
              <w:left w:val="double" w:sz="4" w:space="0" w:color="003399" w:themeColor="accent3"/>
            </w:tcBorders>
            <w:shd w:val="clear" w:color="auto" w:fill="000066"/>
          </w:tcPr>
          <w:p w14:paraId="44FD0750" w14:textId="77777777" w:rsidR="00BE750A" w:rsidRPr="0050260E" w:rsidRDefault="00BE750A" w:rsidP="007B2413">
            <w:r w:rsidRPr="0050260E">
              <w:t>Actions</w:t>
            </w:r>
          </w:p>
        </w:tc>
      </w:tr>
      <w:tr w:rsidR="00BE750A" w:rsidRPr="0050260E" w14:paraId="7A2DEB7C" w14:textId="77777777" w:rsidTr="00234887">
        <w:trPr>
          <w:cnfStyle w:val="000000100000" w:firstRow="0" w:lastRow="0" w:firstColumn="0" w:lastColumn="0" w:oddVBand="0" w:evenVBand="0" w:oddHBand="1" w:evenHBand="0" w:firstRowFirstColumn="0" w:firstRowLastColumn="0" w:lastRowFirstColumn="0" w:lastRowLastColumn="0"/>
        </w:trPr>
        <w:tc>
          <w:tcPr>
            <w:tcW w:w="865" w:type="dxa"/>
            <w:tcBorders>
              <w:right w:val="double" w:sz="4" w:space="0" w:color="003399" w:themeColor="accent3"/>
            </w:tcBorders>
          </w:tcPr>
          <w:p w14:paraId="528FC674" w14:textId="77777777" w:rsidR="00BE750A" w:rsidRPr="007B2413" w:rsidRDefault="00BE750A" w:rsidP="00234887">
            <w:pPr>
              <w:rPr>
                <w:b/>
                <w:bCs/>
                <w:szCs w:val="24"/>
              </w:rPr>
            </w:pPr>
            <w:r w:rsidRPr="007B2413">
              <w:rPr>
                <w:b/>
                <w:bCs/>
                <w:szCs w:val="24"/>
              </w:rPr>
              <w:t>1</w:t>
            </w:r>
          </w:p>
        </w:tc>
        <w:tc>
          <w:tcPr>
            <w:tcW w:w="8580" w:type="dxa"/>
            <w:tcBorders>
              <w:left w:val="double" w:sz="4" w:space="0" w:color="003399" w:themeColor="accent3"/>
            </w:tcBorders>
          </w:tcPr>
          <w:p w14:paraId="70BD3C1C" w14:textId="77777777" w:rsidR="00BE750A" w:rsidRPr="007B2413" w:rsidRDefault="00BE750A" w:rsidP="007B2413">
            <w:pPr>
              <w:rPr>
                <w:b/>
                <w:bCs/>
              </w:rPr>
            </w:pPr>
            <w:r w:rsidRPr="007B2413">
              <w:rPr>
                <w:b/>
                <w:bCs/>
              </w:rPr>
              <w:t>Enter service</w:t>
            </w:r>
          </w:p>
          <w:p w14:paraId="26B7F48F" w14:textId="77777777" w:rsidR="00BE750A" w:rsidRPr="0050260E" w:rsidRDefault="00BE750A" w:rsidP="007B2413">
            <w:pPr>
              <w:pStyle w:val="Bulletpoint"/>
              <w:rPr>
                <w:b/>
                <w:bCs/>
              </w:rPr>
            </w:pPr>
            <w:r w:rsidRPr="0050260E">
              <w:t>For tangata whai ora who identify this as helpful, offer karakia or a way to open (like a daily affirmation or prayer they prefer) and the space for mihimihi, followed by whakawhanaungatanga. Ongoing whakawhanaungatanga is important to continue building relationships and trust to ensure tāngata whai ora and whānau feel safe and comfortable.</w:t>
            </w:r>
            <w:r w:rsidRPr="0050260E">
              <w:fldChar w:fldCharType="begin"/>
            </w:r>
            <w:r w:rsidRPr="0050260E">
              <w:instrText xml:space="preserve"> ADDIN ZOTERO_ITEM CSL_CITATION {"citationID":"a1df21tjqm5","properties":{"formattedCitation":"\\super 111\\nosupersub{}","plainCitation":"111","noteIndex":0},"citationItems":[{"id":13610,"uris":["http://zotero.org/groups/4745233/items/EFWPJSJ5"],"itemData":{"id":13610,"type":"article-journal","abstract":"Health professionals play an important role in addressing indigenous health inequalities. This paper describes the further development and a new conceptualisation of the Meihana model (2007) and the Hui process (2011), which together have formed the indigenous health framework in the University of Otago, Christchurch undergraduate medical education programme for 4th-6th year medical students over the past 5 years. The components of the framework are defined followed by description of their application to clinical assessment. The indigenous health framework has been evaluated by medical students, health practitioners, Maori patients and whanau over this time and has been rated favourably as a clinically relevant framework that supports health practitioners to work effectively with Maori patients and whanau.","container-title":"The New Zealand Medical Journal","ISSN":"1175-8716","issue":"1393","journalAbbreviation":"N Z Med J","language":"eng","note":"PMID: 24816961","page":"107-119","source":"PubMed","title":"Improving Maori health through clinical assessment: Waikare o te Waka o Meihana","title-short":"Improving Maori health through clinical assessment","volume":"127","author":[{"family":"Pitama","given":"Suzanne"},{"family":"Huria","given":"Tania"},{"family":"Lacey","given":"Cameron"}],"issued":{"date-parts":[["2014",5,2]]}}}],"schema":"https://github.com/citation-style-language/schema/raw/master/csl-citation.json"} </w:instrText>
            </w:r>
            <w:r w:rsidRPr="0050260E">
              <w:fldChar w:fldCharType="separate"/>
            </w:r>
            <w:r w:rsidRPr="0050260E">
              <w:rPr>
                <w:rFonts w:cs="Arial"/>
                <w:vertAlign w:val="superscript"/>
              </w:rPr>
              <w:t>111</w:t>
            </w:r>
            <w:r w:rsidRPr="0050260E">
              <w:fldChar w:fldCharType="end"/>
            </w:r>
            <w:r w:rsidRPr="0050260E">
              <w:t xml:space="preserve"> Relationships are fundamental for people from all cultures.</w:t>
            </w:r>
          </w:p>
        </w:tc>
      </w:tr>
      <w:tr w:rsidR="00BE750A" w:rsidRPr="0050260E" w14:paraId="07CE6796" w14:textId="77777777" w:rsidTr="00234887">
        <w:tc>
          <w:tcPr>
            <w:tcW w:w="865" w:type="dxa"/>
            <w:tcBorders>
              <w:right w:val="double" w:sz="4" w:space="0" w:color="003399" w:themeColor="accent3"/>
            </w:tcBorders>
          </w:tcPr>
          <w:p w14:paraId="4EAFF692" w14:textId="77777777" w:rsidR="00BE750A" w:rsidRPr="007B2413" w:rsidRDefault="00BE750A" w:rsidP="00234887">
            <w:pPr>
              <w:rPr>
                <w:b/>
                <w:bCs/>
                <w:szCs w:val="24"/>
              </w:rPr>
            </w:pPr>
            <w:r w:rsidRPr="007B2413">
              <w:rPr>
                <w:b/>
                <w:bCs/>
                <w:szCs w:val="24"/>
              </w:rPr>
              <w:t>2</w:t>
            </w:r>
          </w:p>
        </w:tc>
        <w:tc>
          <w:tcPr>
            <w:tcW w:w="8580" w:type="dxa"/>
            <w:tcBorders>
              <w:left w:val="double" w:sz="4" w:space="0" w:color="003399" w:themeColor="accent3"/>
            </w:tcBorders>
          </w:tcPr>
          <w:p w14:paraId="4F932910" w14:textId="77777777" w:rsidR="00BE750A" w:rsidRPr="007B2413" w:rsidRDefault="00BE750A" w:rsidP="007B2413">
            <w:pPr>
              <w:rPr>
                <w:b/>
                <w:bCs/>
              </w:rPr>
            </w:pPr>
            <w:r w:rsidRPr="007B2413">
              <w:rPr>
                <w:b/>
                <w:bCs/>
              </w:rPr>
              <w:t xml:space="preserve">Gather information as part of a comprehensive assessment </w:t>
            </w:r>
          </w:p>
          <w:p w14:paraId="5B9B2579" w14:textId="77777777" w:rsidR="00BE750A" w:rsidRPr="0050260E" w:rsidRDefault="00BE750A" w:rsidP="007B2413">
            <w:pPr>
              <w:pStyle w:val="Bulletpoint"/>
              <w:rPr>
                <w:b/>
                <w:bCs/>
              </w:rPr>
            </w:pPr>
            <w:r w:rsidRPr="0050260E">
              <w:t>Seek informed consent from tāngata whai ora to gather and access information such as from primary care, hospital records, or school reports.</w:t>
            </w:r>
          </w:p>
          <w:p w14:paraId="69F98AEA" w14:textId="77777777" w:rsidR="00BE750A" w:rsidRPr="0050260E" w:rsidRDefault="00BE750A" w:rsidP="007B2413">
            <w:pPr>
              <w:pStyle w:val="Bulletpoint"/>
              <w:rPr>
                <w:b/>
                <w:bCs/>
              </w:rPr>
            </w:pPr>
            <w:r w:rsidRPr="0050260E">
              <w:t xml:space="preserve">Gather a range of information about a person’s context. Take a conversational approach and allow time for storytelling. </w:t>
            </w:r>
          </w:p>
          <w:p w14:paraId="25532BCB" w14:textId="77777777" w:rsidR="00BE750A" w:rsidRPr="0050260E" w:rsidRDefault="00BE750A" w:rsidP="007B2413">
            <w:pPr>
              <w:pStyle w:val="Bulletpoint"/>
            </w:pPr>
            <w:r w:rsidRPr="0050260E">
              <w:t xml:space="preserve">Include cultural assessments to understand people’s needs and use this to guide the screening and support process. </w:t>
            </w:r>
          </w:p>
          <w:p w14:paraId="02C3DD19" w14:textId="77777777" w:rsidR="00BE750A" w:rsidRPr="0050260E" w:rsidRDefault="00BE750A" w:rsidP="007B2413">
            <w:pPr>
              <w:pStyle w:val="Bulletpoint"/>
              <w:rPr>
                <w:b/>
                <w:bCs/>
              </w:rPr>
            </w:pPr>
            <w:r w:rsidRPr="0050260E">
              <w:lastRenderedPageBreak/>
              <w:t xml:space="preserve">Involve whānau if the tangata whai ora wishes and ask about their needs (including of dependent children). </w:t>
            </w:r>
          </w:p>
          <w:p w14:paraId="2F05AD19" w14:textId="77777777" w:rsidR="00BE750A" w:rsidRPr="0050260E" w:rsidRDefault="00BE750A" w:rsidP="007B2413">
            <w:pPr>
              <w:pStyle w:val="Bulletpoint"/>
            </w:pPr>
            <w:r w:rsidRPr="0050260E">
              <w:t xml:space="preserve">Provide manaaki (support, care) and reassurance along the way and offer breaks throughout steps 2 to 4 as needed. </w:t>
            </w:r>
          </w:p>
        </w:tc>
      </w:tr>
      <w:tr w:rsidR="00BE750A" w:rsidRPr="0050260E" w14:paraId="17C9C8E2" w14:textId="77777777" w:rsidTr="00234887">
        <w:trPr>
          <w:cnfStyle w:val="000000100000" w:firstRow="0" w:lastRow="0" w:firstColumn="0" w:lastColumn="0" w:oddVBand="0" w:evenVBand="0" w:oddHBand="1" w:evenHBand="0" w:firstRowFirstColumn="0" w:firstRowLastColumn="0" w:lastRowFirstColumn="0" w:lastRowLastColumn="0"/>
        </w:trPr>
        <w:tc>
          <w:tcPr>
            <w:tcW w:w="865" w:type="dxa"/>
            <w:tcBorders>
              <w:right w:val="double" w:sz="4" w:space="0" w:color="003399" w:themeColor="accent3"/>
            </w:tcBorders>
          </w:tcPr>
          <w:p w14:paraId="1468A542" w14:textId="77777777" w:rsidR="00BE750A" w:rsidRPr="007B2413" w:rsidRDefault="00BE750A" w:rsidP="00234887">
            <w:pPr>
              <w:rPr>
                <w:b/>
                <w:bCs/>
                <w:szCs w:val="24"/>
              </w:rPr>
            </w:pPr>
            <w:r w:rsidRPr="007B2413">
              <w:rPr>
                <w:b/>
                <w:bCs/>
                <w:szCs w:val="24"/>
              </w:rPr>
              <w:lastRenderedPageBreak/>
              <w:t>3</w:t>
            </w:r>
          </w:p>
        </w:tc>
        <w:tc>
          <w:tcPr>
            <w:tcW w:w="8580" w:type="dxa"/>
            <w:tcBorders>
              <w:left w:val="double" w:sz="4" w:space="0" w:color="003399" w:themeColor="accent3"/>
            </w:tcBorders>
          </w:tcPr>
          <w:p w14:paraId="0D989E8F" w14:textId="77777777" w:rsidR="00BE750A" w:rsidRPr="007B2413" w:rsidRDefault="00BE750A" w:rsidP="007B2413">
            <w:pPr>
              <w:rPr>
                <w:b/>
                <w:bCs/>
              </w:rPr>
            </w:pPr>
            <w:r w:rsidRPr="007B2413">
              <w:rPr>
                <w:b/>
                <w:bCs/>
              </w:rPr>
              <w:t xml:space="preserve">Cognitive screening </w:t>
            </w:r>
          </w:p>
          <w:p w14:paraId="330795AA" w14:textId="77777777" w:rsidR="00BE750A" w:rsidRPr="0050260E" w:rsidRDefault="00BE750A" w:rsidP="007B2413">
            <w:pPr>
              <w:pStyle w:val="Bulletpoint"/>
              <w:rPr>
                <w:b/>
                <w:bCs/>
              </w:rPr>
            </w:pPr>
            <w:r w:rsidRPr="0050260E">
              <w:t xml:space="preserve">Trained workers in AOD services should use an appropriate cognitive screening tool. See the cognitive screening section for more detailed options. </w:t>
            </w:r>
          </w:p>
          <w:p w14:paraId="450559B3" w14:textId="77777777" w:rsidR="00BE750A" w:rsidRPr="0050260E" w:rsidRDefault="00BE750A" w:rsidP="007B2413">
            <w:pPr>
              <w:pStyle w:val="Bulletpoint"/>
              <w:rPr>
                <w:b/>
                <w:bCs/>
              </w:rPr>
            </w:pPr>
            <w:r w:rsidRPr="0050260E">
              <w:t xml:space="preserve">In some residential services it may be necessary or clinically indicated to screen for cognitive impairment prior to entering the service. </w:t>
            </w:r>
          </w:p>
          <w:p w14:paraId="794EF1AE" w14:textId="77777777" w:rsidR="00BE750A" w:rsidRPr="0050260E" w:rsidRDefault="00BE750A" w:rsidP="007B2413">
            <w:pPr>
              <w:pStyle w:val="Bulletpoint"/>
              <w:rPr>
                <w:b/>
                <w:bCs/>
              </w:rPr>
            </w:pPr>
            <w:r w:rsidRPr="0050260E">
              <w:t>Interpret screening results amongst all other contextual information. Seek supervision and support for interpretation if needed to ensure safety.</w:t>
            </w:r>
          </w:p>
          <w:p w14:paraId="649A8F41" w14:textId="77777777" w:rsidR="00BE750A" w:rsidRPr="0050260E" w:rsidRDefault="00BE750A" w:rsidP="007B2413">
            <w:pPr>
              <w:pStyle w:val="Bulletpoint"/>
              <w:rPr>
                <w:b/>
                <w:bCs/>
              </w:rPr>
            </w:pPr>
            <w:r w:rsidRPr="0050260E">
              <w:t>Provide screening results back to tāngata whai ora and whānau in an understandable format using a trauma-informed and strengths-based approach.</w:t>
            </w:r>
          </w:p>
          <w:p w14:paraId="187691F3" w14:textId="77777777" w:rsidR="00BE750A" w:rsidRPr="0050260E" w:rsidRDefault="00BE750A" w:rsidP="007B2413">
            <w:pPr>
              <w:pStyle w:val="Bulletpoint"/>
              <w:rPr>
                <w:b/>
                <w:bCs/>
              </w:rPr>
            </w:pPr>
            <w:r w:rsidRPr="0050260E">
              <w:t>If required, discuss referral for a neuropsychological assessment.</w:t>
            </w:r>
          </w:p>
        </w:tc>
      </w:tr>
      <w:tr w:rsidR="00BE750A" w:rsidRPr="0050260E" w14:paraId="1082E13C" w14:textId="77777777" w:rsidTr="00234887">
        <w:tc>
          <w:tcPr>
            <w:tcW w:w="865" w:type="dxa"/>
            <w:tcBorders>
              <w:right w:val="double" w:sz="4" w:space="0" w:color="003399" w:themeColor="accent3"/>
            </w:tcBorders>
          </w:tcPr>
          <w:p w14:paraId="332C4305" w14:textId="77777777" w:rsidR="00BE750A" w:rsidRPr="007B2413" w:rsidRDefault="00BE750A" w:rsidP="007B2413">
            <w:pPr>
              <w:rPr>
                <w:b/>
                <w:bCs/>
              </w:rPr>
            </w:pPr>
            <w:r w:rsidRPr="007B2413">
              <w:rPr>
                <w:b/>
                <w:bCs/>
              </w:rPr>
              <w:t>4</w:t>
            </w:r>
          </w:p>
        </w:tc>
        <w:tc>
          <w:tcPr>
            <w:tcW w:w="8580" w:type="dxa"/>
            <w:tcBorders>
              <w:left w:val="double" w:sz="4" w:space="0" w:color="003399" w:themeColor="accent3"/>
            </w:tcBorders>
          </w:tcPr>
          <w:p w14:paraId="4413E424" w14:textId="77777777" w:rsidR="00BE750A" w:rsidRPr="00A440F4" w:rsidRDefault="00BE750A" w:rsidP="00234887">
            <w:pPr>
              <w:rPr>
                <w:szCs w:val="24"/>
              </w:rPr>
            </w:pPr>
            <w:r w:rsidRPr="00A440F4">
              <w:rPr>
                <w:b/>
                <w:bCs/>
                <w:szCs w:val="24"/>
              </w:rPr>
              <w:t xml:space="preserve">Neuropsychological assessment </w:t>
            </w:r>
            <w:r w:rsidRPr="00A440F4">
              <w:rPr>
                <w:szCs w:val="24"/>
              </w:rPr>
              <w:t>(where indicated and resourcing permits)</w:t>
            </w:r>
          </w:p>
          <w:p w14:paraId="4A24244D" w14:textId="77777777" w:rsidR="00BE750A" w:rsidRPr="0050260E" w:rsidRDefault="00BE750A" w:rsidP="007B2413">
            <w:pPr>
              <w:pStyle w:val="Bulletpoint"/>
              <w:rPr>
                <w:b/>
                <w:bCs/>
              </w:rPr>
            </w:pPr>
            <w:r w:rsidRPr="0050260E">
              <w:t>Gather previous assessment information.</w:t>
            </w:r>
          </w:p>
          <w:p w14:paraId="6791750A" w14:textId="77777777" w:rsidR="00BE750A" w:rsidRPr="0050260E" w:rsidRDefault="00BE750A" w:rsidP="007B2413">
            <w:pPr>
              <w:pStyle w:val="Bulletpoint"/>
              <w:rPr>
                <w:b/>
                <w:bCs/>
              </w:rPr>
            </w:pPr>
            <w:r w:rsidRPr="0050260E">
              <w:t>Refer for a neuropsychological assessment if needed and if the tangata whai ora wishes.</w:t>
            </w:r>
          </w:p>
          <w:p w14:paraId="5243DD05" w14:textId="77777777" w:rsidR="00BE750A" w:rsidRPr="0050260E" w:rsidRDefault="00BE750A" w:rsidP="007B2413">
            <w:pPr>
              <w:pStyle w:val="Bulletpoint"/>
            </w:pPr>
            <w:r w:rsidRPr="0050260E">
              <w:t>Provide results of the neuropsychological assessment back to tāngata whai ora and whānau.</w:t>
            </w:r>
          </w:p>
        </w:tc>
      </w:tr>
      <w:tr w:rsidR="00BE750A" w:rsidRPr="0050260E" w14:paraId="1F8167B8" w14:textId="77777777" w:rsidTr="00234887">
        <w:trPr>
          <w:cnfStyle w:val="000000100000" w:firstRow="0" w:lastRow="0" w:firstColumn="0" w:lastColumn="0" w:oddVBand="0" w:evenVBand="0" w:oddHBand="1" w:evenHBand="0" w:firstRowFirstColumn="0" w:firstRowLastColumn="0" w:lastRowFirstColumn="0" w:lastRowLastColumn="0"/>
        </w:trPr>
        <w:tc>
          <w:tcPr>
            <w:tcW w:w="865" w:type="dxa"/>
            <w:tcBorders>
              <w:right w:val="double" w:sz="4" w:space="0" w:color="003399" w:themeColor="accent3"/>
            </w:tcBorders>
          </w:tcPr>
          <w:p w14:paraId="08077B2A" w14:textId="77777777" w:rsidR="00BE750A" w:rsidRPr="007B2413" w:rsidRDefault="00BE750A" w:rsidP="00234887">
            <w:pPr>
              <w:rPr>
                <w:b/>
                <w:bCs/>
                <w:szCs w:val="24"/>
              </w:rPr>
            </w:pPr>
            <w:r w:rsidRPr="007B2413">
              <w:rPr>
                <w:b/>
                <w:bCs/>
                <w:szCs w:val="24"/>
              </w:rPr>
              <w:t>5</w:t>
            </w:r>
          </w:p>
        </w:tc>
        <w:tc>
          <w:tcPr>
            <w:tcW w:w="8580" w:type="dxa"/>
            <w:tcBorders>
              <w:left w:val="double" w:sz="4" w:space="0" w:color="003399" w:themeColor="accent3"/>
            </w:tcBorders>
          </w:tcPr>
          <w:p w14:paraId="220CAEDC" w14:textId="77777777" w:rsidR="00BE750A" w:rsidRPr="007B2413" w:rsidRDefault="00BE750A" w:rsidP="007B2413">
            <w:pPr>
              <w:rPr>
                <w:b/>
                <w:bCs/>
              </w:rPr>
            </w:pPr>
            <w:r w:rsidRPr="007B2413">
              <w:rPr>
                <w:b/>
                <w:bCs/>
              </w:rPr>
              <w:t>Integrated support plan</w:t>
            </w:r>
          </w:p>
          <w:p w14:paraId="5B9CF507" w14:textId="77777777" w:rsidR="00BE750A" w:rsidRPr="0050260E" w:rsidRDefault="00BE750A" w:rsidP="007B2413">
            <w:pPr>
              <w:pStyle w:val="Bulletpoint"/>
              <w:rPr>
                <w:b/>
                <w:bCs/>
              </w:rPr>
            </w:pPr>
            <w:r w:rsidRPr="0050260E">
              <w:t>Determine the most appropriate support plan based on tāngata whai ora wants, needs, worldviews, and strengths.</w:t>
            </w:r>
          </w:p>
          <w:p w14:paraId="2F70F5D8" w14:textId="77777777" w:rsidR="00BE750A" w:rsidRPr="0050260E" w:rsidRDefault="00BE750A" w:rsidP="007B2413">
            <w:pPr>
              <w:pStyle w:val="Bulletpoint"/>
            </w:pPr>
            <w:r w:rsidRPr="0050260E">
              <w:t>Ensure whānau are connected with good quality information and support.</w:t>
            </w:r>
          </w:p>
          <w:p w14:paraId="1B943351" w14:textId="77777777" w:rsidR="00BE750A" w:rsidRPr="0050260E" w:rsidRDefault="00BE750A" w:rsidP="007B2413">
            <w:pPr>
              <w:pStyle w:val="Bulletpoint"/>
            </w:pPr>
            <w:r w:rsidRPr="0050260E">
              <w:t>Link in with and refer to other services as needed for integrated support.</w:t>
            </w:r>
          </w:p>
        </w:tc>
      </w:tr>
      <w:tr w:rsidR="00BE750A" w:rsidRPr="0050260E" w14:paraId="0F6BC4C2" w14:textId="77777777" w:rsidTr="00234887">
        <w:tc>
          <w:tcPr>
            <w:tcW w:w="865" w:type="dxa"/>
            <w:tcBorders>
              <w:bottom w:val="double" w:sz="4" w:space="0" w:color="003399" w:themeColor="accent3"/>
              <w:right w:val="double" w:sz="4" w:space="0" w:color="003399" w:themeColor="accent3"/>
            </w:tcBorders>
          </w:tcPr>
          <w:p w14:paraId="4274C7A6" w14:textId="77777777" w:rsidR="00BE750A" w:rsidRPr="007B2413" w:rsidRDefault="00BE750A" w:rsidP="007B2413">
            <w:pPr>
              <w:rPr>
                <w:b/>
                <w:bCs/>
              </w:rPr>
            </w:pPr>
            <w:r w:rsidRPr="007B2413">
              <w:rPr>
                <w:b/>
                <w:bCs/>
              </w:rPr>
              <w:lastRenderedPageBreak/>
              <w:t>6</w:t>
            </w:r>
          </w:p>
        </w:tc>
        <w:tc>
          <w:tcPr>
            <w:tcW w:w="8580" w:type="dxa"/>
            <w:tcBorders>
              <w:left w:val="double" w:sz="4" w:space="0" w:color="003399" w:themeColor="accent3"/>
              <w:bottom w:val="double" w:sz="4" w:space="0" w:color="003399" w:themeColor="accent3"/>
            </w:tcBorders>
          </w:tcPr>
          <w:p w14:paraId="151C01ED" w14:textId="77777777" w:rsidR="00BE750A" w:rsidRPr="007B2413" w:rsidRDefault="00BE750A" w:rsidP="007B2413">
            <w:pPr>
              <w:rPr>
                <w:b/>
                <w:bCs/>
              </w:rPr>
            </w:pPr>
            <w:r w:rsidRPr="007B2413">
              <w:rPr>
                <w:b/>
                <w:bCs/>
              </w:rPr>
              <w:t>Community support</w:t>
            </w:r>
          </w:p>
          <w:p w14:paraId="6E8293AC" w14:textId="77777777" w:rsidR="00BE750A" w:rsidRPr="0050260E" w:rsidRDefault="00BE750A" w:rsidP="007B2413">
            <w:pPr>
              <w:pStyle w:val="Bulletpoint"/>
            </w:pPr>
            <w:r w:rsidRPr="0050260E">
              <w:t>Needs assessment – determine eligibility for community support.</w:t>
            </w:r>
          </w:p>
          <w:p w14:paraId="22681EA1" w14:textId="77777777" w:rsidR="00BE750A" w:rsidRPr="0050260E" w:rsidRDefault="00BE750A" w:rsidP="007B2413">
            <w:pPr>
              <w:pStyle w:val="Bulletpoint"/>
            </w:pPr>
            <w:r w:rsidRPr="0050260E">
              <w:t>Link tāngata whai ora and whānau with community and culturally relevant organisations.</w:t>
            </w:r>
          </w:p>
        </w:tc>
      </w:tr>
    </w:tbl>
    <w:p w14:paraId="71D993E5" w14:textId="77777777" w:rsidR="00B3088E" w:rsidRDefault="00B3088E" w:rsidP="007B2413"/>
    <w:p w14:paraId="3467F7C8" w14:textId="042DF340" w:rsidR="00BE750A" w:rsidRPr="00BF34C7" w:rsidRDefault="00BE750A" w:rsidP="007B2413">
      <w:r w:rsidRPr="00BF34C7">
        <w:t>While Table 4 presents an ideal pathway, in practice this isn’t necessarily a linear pathway. For example, comprehensive assessment can occur alongside and as part of whakawhanaungatanga. Also, repeated cognitive screening may be necessary (for example due to substance use or other situational factors) before determining if a neuropsychological assessment is needed.</w:t>
      </w:r>
    </w:p>
    <w:p w14:paraId="13B2BAD5" w14:textId="3D3C59FC" w:rsidR="005B44D9" w:rsidRPr="00B3088E" w:rsidRDefault="00BE750A" w:rsidP="00B3088E">
      <w:pPr>
        <w:pStyle w:val="Section2Heading2"/>
      </w:pPr>
      <w:bookmarkStart w:id="887" w:name="_Toc172095780"/>
      <w:bookmarkStart w:id="888" w:name="_Toc178780111"/>
      <w:bookmarkStart w:id="889" w:name="_Toc178838877"/>
      <w:bookmarkStart w:id="890" w:name="_Toc178839064"/>
      <w:bookmarkStart w:id="891" w:name="_Toc178839185"/>
      <w:bookmarkStart w:id="892" w:name="_Toc178839413"/>
      <w:bookmarkStart w:id="893" w:name="_Toc178841623"/>
      <w:bookmarkStart w:id="894" w:name="_Toc179198183"/>
      <w:bookmarkStart w:id="895" w:name="_Toc179198431"/>
      <w:bookmarkStart w:id="896" w:name="_Toc179198539"/>
      <w:bookmarkStart w:id="897" w:name="_Toc179198646"/>
      <w:bookmarkStart w:id="898" w:name="_Toc179446090"/>
      <w:bookmarkStart w:id="899" w:name="_Toc179447121"/>
      <w:bookmarkStart w:id="900" w:name="_Toc179448661"/>
      <w:bookmarkStart w:id="901" w:name="_Toc179448822"/>
      <w:bookmarkStart w:id="902" w:name="_Toc179449209"/>
      <w:bookmarkStart w:id="903" w:name="_Toc179452912"/>
      <w:bookmarkStart w:id="904" w:name="_Toc179461425"/>
      <w:bookmarkStart w:id="905" w:name="_Toc179461869"/>
      <w:bookmarkStart w:id="906" w:name="_Toc179483248"/>
      <w:bookmarkStart w:id="907" w:name="_Toc179486316"/>
      <w:bookmarkStart w:id="908" w:name="_Toc179487921"/>
      <w:bookmarkStart w:id="909" w:name="_Toc179489224"/>
      <w:bookmarkStart w:id="910" w:name="_Toc179531349"/>
      <w:bookmarkStart w:id="911" w:name="_Toc179536022"/>
      <w:bookmarkStart w:id="912" w:name="_Toc179537861"/>
      <w:bookmarkStart w:id="913" w:name="_Toc179537925"/>
      <w:bookmarkStart w:id="914" w:name="_Toc179538092"/>
      <w:bookmarkStart w:id="915" w:name="_Toc179538905"/>
      <w:bookmarkStart w:id="916" w:name="_Toc179539223"/>
      <w:bookmarkStart w:id="917" w:name="_Toc179539339"/>
      <w:bookmarkStart w:id="918" w:name="_Toc179539477"/>
      <w:bookmarkStart w:id="919" w:name="_Toc179539574"/>
      <w:bookmarkStart w:id="920" w:name="_Toc179539659"/>
      <w:bookmarkStart w:id="921" w:name="_Toc179539749"/>
      <w:bookmarkStart w:id="922" w:name="_Toc179540433"/>
      <w:bookmarkStart w:id="923" w:name="_Toc179541778"/>
      <w:bookmarkStart w:id="924" w:name="_Toc179542970"/>
      <w:bookmarkStart w:id="925" w:name="_Toc180571298"/>
      <w:r w:rsidRPr="00942906">
        <w:t>Information to guide practice across screening and support</w:t>
      </w:r>
      <w:bookmarkStart w:id="926" w:name="_Toc144657423"/>
      <w:bookmarkStart w:id="927" w:name="_Toc145670698"/>
      <w:bookmarkStart w:id="928" w:name="_Toc145854312"/>
      <w:bookmarkStart w:id="929" w:name="_Toc146024242"/>
      <w:bookmarkStart w:id="930" w:name="_Toc146624822"/>
      <w:bookmarkStart w:id="931" w:name="_Toc146714183"/>
      <w:bookmarkStart w:id="932" w:name="_Toc178780112"/>
      <w:bookmarkStart w:id="933" w:name="_Toc178838878"/>
      <w:bookmarkStart w:id="934" w:name="_Toc178839065"/>
      <w:bookmarkStart w:id="935" w:name="_Toc178839186"/>
      <w:bookmarkStart w:id="936" w:name="_Toc178839414"/>
      <w:bookmarkStart w:id="937" w:name="_Toc178841624"/>
      <w:bookmarkStart w:id="938" w:name="_Toc179198184"/>
      <w:bookmarkStart w:id="939" w:name="_Toc179198432"/>
      <w:bookmarkStart w:id="940" w:name="_Toc179198540"/>
      <w:bookmarkStart w:id="941" w:name="_Toc179198647"/>
      <w:bookmarkStart w:id="942" w:name="_Toc179446091"/>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p>
    <w:p w14:paraId="0404964C" w14:textId="77777777" w:rsidR="00B3088E" w:rsidRDefault="00B3088E" w:rsidP="00BE750A">
      <w:pPr>
        <w:rPr>
          <w:b/>
          <w:bCs/>
          <w:color w:val="1E7880" w:themeColor="accent2" w:themeShade="BF"/>
          <w:szCs w:val="24"/>
        </w:rPr>
      </w:pPr>
    </w:p>
    <w:p w14:paraId="17102535" w14:textId="5FA625CA" w:rsidR="00BE750A" w:rsidRPr="00A440F4" w:rsidRDefault="00BE750A" w:rsidP="00BE750A">
      <w:pPr>
        <w:rPr>
          <w:b/>
          <w:bCs/>
          <w:color w:val="1E7880" w:themeColor="accent2" w:themeShade="BF"/>
          <w:sz w:val="28"/>
          <w:szCs w:val="28"/>
        </w:rPr>
      </w:pPr>
      <w:r w:rsidRPr="00A440F4">
        <w:rPr>
          <w:b/>
          <w:bCs/>
          <w:color w:val="1E7880" w:themeColor="accent2" w:themeShade="BF"/>
          <w:sz w:val="28"/>
          <w:szCs w:val="28"/>
        </w:rPr>
        <w:t>Use a culturally safe approach when working with people from diverse cultures</w:t>
      </w:r>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p>
    <w:p w14:paraId="245C3AFE" w14:textId="19172A24" w:rsidR="00367595" w:rsidRPr="00B3088E" w:rsidRDefault="00003072" w:rsidP="00003072">
      <w:pPr>
        <w:pStyle w:val="IntenseQuote"/>
        <w:rPr>
          <w:rFonts w:asciiTheme="minorHAnsi" w:hAnsiTheme="minorHAnsi" w:cstheme="minorHAnsi"/>
          <w:color w:val="auto"/>
          <w:sz w:val="24"/>
          <w:szCs w:val="24"/>
        </w:rPr>
      </w:pPr>
      <w:r w:rsidRPr="00B3088E">
        <w:rPr>
          <w:rFonts w:asciiTheme="minorHAnsi" w:hAnsiTheme="minorHAnsi" w:cstheme="minorHAnsi"/>
          <w:noProof/>
          <w:color w:val="auto"/>
          <w:sz w:val="24"/>
          <w:szCs w:val="24"/>
        </w:rPr>
        <w:drawing>
          <wp:anchor distT="0" distB="0" distL="114300" distR="114300" simplePos="0" relativeHeight="251773952" behindDoc="0" locked="0" layoutInCell="1" allowOverlap="1" wp14:anchorId="2FCE10EC" wp14:editId="3433D401">
            <wp:simplePos x="0" y="0"/>
            <wp:positionH relativeFrom="column">
              <wp:posOffset>-759460</wp:posOffset>
            </wp:positionH>
            <wp:positionV relativeFrom="paragraph">
              <wp:posOffset>652780</wp:posOffset>
            </wp:positionV>
            <wp:extent cx="2249805" cy="939165"/>
            <wp:effectExtent l="7620" t="0" r="5715" b="5715"/>
            <wp:wrapSquare wrapText="bothSides"/>
            <wp:docPr id="117757013" name="Picture 1177570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773956" name="Picture 287773956">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2249805" cy="939165"/>
                    </a:xfrm>
                    <a:prstGeom prst="rect">
                      <a:avLst/>
                    </a:prstGeom>
                  </pic:spPr>
                </pic:pic>
              </a:graphicData>
            </a:graphic>
            <wp14:sizeRelH relativeFrom="page">
              <wp14:pctWidth>0</wp14:pctWidth>
            </wp14:sizeRelH>
            <wp14:sizeRelV relativeFrom="page">
              <wp14:pctHeight>0</wp14:pctHeight>
            </wp14:sizeRelV>
          </wp:anchor>
        </w:drawing>
      </w:r>
      <w:r w:rsidRPr="00B3088E">
        <w:rPr>
          <w:rFonts w:asciiTheme="minorHAnsi" w:hAnsiTheme="minorHAnsi" w:cstheme="minorHAnsi"/>
          <w:color w:val="auto"/>
          <w:sz w:val="24"/>
          <w:szCs w:val="24"/>
        </w:rPr>
        <w:t>Reflect on, acknowledge, and challenge your own biases and practices when working with people from diverse cultures and practice in a culturally safe manner. Resist deficit stereotypes that lead to bias in clinical decision-making. Work to actively recognise and eliminate racism from practice as this is a barrier for many tāngata whai ora, especially tāngata whai ora Māori.</w:t>
      </w:r>
      <w:r w:rsidRPr="00B3088E">
        <w:rPr>
          <w:rFonts w:asciiTheme="minorHAnsi" w:hAnsiTheme="minorHAnsi" w:cstheme="minorHAnsi"/>
          <w:color w:val="auto"/>
          <w:sz w:val="24"/>
          <w:szCs w:val="24"/>
        </w:rPr>
        <w:fldChar w:fldCharType="begin"/>
      </w:r>
      <w:r w:rsidRPr="00B3088E">
        <w:rPr>
          <w:rFonts w:asciiTheme="minorHAnsi" w:hAnsiTheme="minorHAnsi" w:cstheme="minorHAnsi"/>
          <w:color w:val="auto"/>
          <w:sz w:val="24"/>
          <w:szCs w:val="24"/>
        </w:rPr>
        <w:instrText xml:space="preserve"> ADDIN ZOTERO_ITEM CSL_CITATION {"citationID":"a16lk9p4fo2","properties":{"formattedCitation":"\\super 112,113\\nosupersub{}","plainCitation":"112,113","noteIndex":0},"citationItems":[{"id":13636,"uris":["http://zotero.org/groups/4745233/items/T4NK3YUD"],"itemData":{"id":13636,"type":"article-journal","abstract":"Objective: This paper aims to synthesise the broader perspectives of Māori patients and their whānau (extended family, family group) of their treatment within the public health system. Our research question was ‘What are the experiences of Māori in the public health and/or hospital system in Aotearoa New Zealand?’ Methods: A systematic search using PRISMA protocols and reflexive typology organised around the categories of Māori, public healthcare and qualitative research identified 14 papers that covered all three categories. We undertook a qualitative metasynthesis on these papers using a critical community psychology approach. Results: Māori patients and whānau from the included papers mention both barriers and facilitators to health. We categorised barriers as organisational structures, staff interactions and practical considerations. Facilitators were categorised as the provision of whānau support in the form of practical assistance, emotional care and health system navigation. Conclusions: For many Māori, the existing public health system is experienced as hostile and alienating. Whānau members provide support to mitigate this, but it comes as a cost to whānau. Implications for public health: Public health providers must find ways to ensure that Māori consistently experience positive, high-quality healthcare interactions that support Māori ways of being.","container-title":"Australian and New Zealand Journal of Public Health","DOI":"10.1111/1753-6405.12971","ISSN":"1753-6405","issue":"3","language":"en","note":"_eprint: https://onlinelibrary.wiley.com/doi/pdf/10.1111/1753-6405.12971","page":"193-200","source":"Wiley Online Library","title":"Experiences of Māori of Aotearoa New Zealand's public health system: a systematic review of two decades of published qualitative research","title-short":"Experiences of Māori of Aotearoa New Zealand's public health system","volume":"44","author":[{"family":"Graham","given":"Rebekah"},{"family":"Masters-Awatere","given":"Bridgette"}],"issued":{"date-parts":[["2020"]]}}},{"id":8766,"uris":["http://zotero.org/groups/4406622/items/GR48E7SF"],"itemData":{"id":8766,"type":"article-journal","abstract":"BACKGROUND: Racism is an underlying cause of ethnic health inequities both in Aotearoa New Zealand and internationally. It is timely to synthesise racism and health research within New Zealand particularly given the current policy environment and shift towards addressing the health effects of racism.\nAIM: To review quantitative research examining self-reported experiences of racial discrimination and associations with measures of health (health conditions, health risk, health status and healthcare) in New Zealand.\nMETHODS: MEDLINE, PsycINFO, Web of Science and CINAHL databases were searched for studies reporting on associations between experiences of racism and health.\nRESULTS: The systematic review identified 24 quantitative studies reporting associations between self-reported racial discrimination across a wide range of health measures including mental health, physical health, self-rated health, wellbeing, individual level health risks, and healthcare indicators.\nCONCLUSIONS: Quantitative racism and health research in New Zealand consistently finds that self-reported racial discrimination is associated with a range of poorer health outcomes and reduced access to and quality of healthcare. This review confirms that experience of racial discrimination is an important determinant of health in New Zealand, as it is internationally. There is a pressing need for effectively designed interventions to address the impacts of racism on health.","container-title":"The New Zealand Medical Journal","ISSN":"1175-8716","issue":"1521","journalAbbreviation":"N Z Med J","language":"eng","note":"PMID: 32994637","page":"55-68","source":"PubMed","title":"Racism and health in Aotearoa New Zealand: a systematic review of quantitative studies","title-short":"Racism and health in Aotearoa New Zealand","volume":"133","author":[{"family":"Talamaivao","given":"Natalie"},{"family":"Harris","given":"Ricci"},{"family":"Cormack","given":"Donna"},{"family":"Paine","given":"Sarah-Jane"},{"family":"King","given":"Paula"}],"issued":{"date-parts":[["2020",9,4]]}}}],"schema":"https://github.com/citation-style-language/schema/raw/master/csl-citation.json"} </w:instrText>
      </w:r>
      <w:r w:rsidRPr="00B3088E">
        <w:rPr>
          <w:rFonts w:asciiTheme="minorHAnsi" w:hAnsiTheme="minorHAnsi" w:cstheme="minorHAnsi"/>
          <w:color w:val="auto"/>
          <w:sz w:val="24"/>
          <w:szCs w:val="24"/>
        </w:rPr>
        <w:fldChar w:fldCharType="separate"/>
      </w:r>
      <w:r w:rsidRPr="00B3088E">
        <w:rPr>
          <w:rFonts w:asciiTheme="minorHAnsi" w:hAnsiTheme="minorHAnsi" w:cstheme="minorHAnsi"/>
          <w:color w:val="auto"/>
          <w:sz w:val="24"/>
          <w:szCs w:val="24"/>
          <w:vertAlign w:val="superscript"/>
        </w:rPr>
        <w:t>112,113</w:t>
      </w:r>
      <w:r w:rsidRPr="00B3088E">
        <w:rPr>
          <w:rFonts w:asciiTheme="minorHAnsi" w:hAnsiTheme="minorHAnsi" w:cstheme="minorHAnsi"/>
          <w:color w:val="auto"/>
          <w:sz w:val="24"/>
          <w:szCs w:val="24"/>
        </w:rPr>
        <w:fldChar w:fldCharType="end"/>
      </w:r>
      <w:r w:rsidRPr="00B3088E">
        <w:rPr>
          <w:rFonts w:asciiTheme="minorHAnsi" w:hAnsiTheme="minorHAnsi" w:cstheme="minorHAnsi"/>
          <w:color w:val="auto"/>
          <w:sz w:val="24"/>
          <w:szCs w:val="24"/>
        </w:rPr>
        <w:t xml:space="preserve"> This is essential for a comfortable screening and support process. </w:t>
      </w:r>
    </w:p>
    <w:p w14:paraId="0581FB47" w14:textId="77777777" w:rsidR="007A6CDE" w:rsidRPr="00096857" w:rsidRDefault="007A6CDE" w:rsidP="007B2413">
      <w:r w:rsidRPr="00096857">
        <w:t>A person’s identity and culture should not be assumed. For example, due to historical trauma and colonisation not everyone who identifies as Māori will have an understanding of Te Ao Māori.</w:t>
      </w:r>
      <w:r w:rsidRPr="00096857">
        <w:fldChar w:fldCharType="begin"/>
      </w:r>
      <w:r w:rsidRPr="00096857">
        <w:instrText xml:space="preserve"> ADDIN ZOTERO_ITEM CSL_CITATION {"citationID":"a10t5ov246a","properties":{"formattedCitation":"\\super 114\\nosupersub{}","plainCitation":"114","noteIndex":0},"citationItems":[{"id":14040,"uris":["http://zotero.org/groups/4745233/items/2DZV6296"],"itemData":{"id":14040,"type":"article-journal","abstract":"This article presents and discusses the development of a kaupapa Māori (Māori centred) values based intervention, Whai Tikanga. The article briefly describes western perspectives of values based practice utilised within psychology, and discusses Māori perspectives of values as kaipuripuri (holders of traditional knowledge) with a deep connection to whakapapa kōrero (traditional Māori narratives). The application of the Whai Tikanga Values Card Sort (WT-VCS) will also be introduced. The authors propose that the WT-VCS exemplifies the importance of values centred approaches to engagement within the therapeutic context with Māori, building shared cultural understanding, and engaging in the transmission of Māori knowledge in the therapeutic context as a source and method of traditional healing.","container-title":"New Zealand Journal of Psychology","ISSN":"0112109X","issue":"3","note":"publisher: New Zealand Psychological Society","page":"46-54","source":"EBSCOhost","title":"Whai tikanga: The application of a culturally relevant value centred approach","title-short":"Whai tikanga","volume":"46","author":[{"family":"McLachlan","given":"Andre"},{"family":"Wirihana","given":"Rebecca"},{"family":"Huriwai","given":"Terry"}],"issued":{"date-parts":[["2017",10]]}}}],"schema":"https://github.com/citation-style-language/schema/raw/master/csl-citation.json"} </w:instrText>
      </w:r>
      <w:r w:rsidRPr="00096857">
        <w:fldChar w:fldCharType="separate"/>
      </w:r>
      <w:r w:rsidRPr="00096857">
        <w:rPr>
          <w:szCs w:val="24"/>
          <w:vertAlign w:val="superscript"/>
        </w:rPr>
        <w:t>114</w:t>
      </w:r>
      <w:r w:rsidRPr="00096857">
        <w:fldChar w:fldCharType="end"/>
      </w:r>
      <w:r w:rsidRPr="00096857">
        <w:t xml:space="preserve"> </w:t>
      </w:r>
    </w:p>
    <w:p w14:paraId="66918CC9" w14:textId="77777777" w:rsidR="007A6CDE" w:rsidRPr="00096857" w:rsidRDefault="007A6CDE" w:rsidP="007B2413">
      <w:r w:rsidRPr="00096857">
        <w:t>Prioritise cultural assessments. Check how people identify and what processes they need to engage and feel safe. Ensure the correct processes are followed during cognitive screening and support.</w:t>
      </w:r>
    </w:p>
    <w:p w14:paraId="78D2EB7C" w14:textId="77777777" w:rsidR="007A6CDE" w:rsidRPr="00096857" w:rsidRDefault="007A6CDE" w:rsidP="007B2413">
      <w:r w:rsidRPr="00096857">
        <w:lastRenderedPageBreak/>
        <w:t xml:space="preserve">Where possible, kaimahi (workers) from the person’s own culture can assist with engagement and correct processes. Where this is not possible, seek cultural supervision or advice from specialist cultural organisations, especially when interpreting cognitive screening information. </w:t>
      </w:r>
    </w:p>
    <w:p w14:paraId="4EA0E689" w14:textId="77777777" w:rsidR="007A6CDE" w:rsidRPr="00096857" w:rsidRDefault="007A6CDE" w:rsidP="007B2413">
      <w:r w:rsidRPr="00096857">
        <w:t>Cultural frameworks can be helpful to guide assessment and screening processes. Examples for tāngata whai ora Māori are Te Whare Tapa Whā,</w:t>
      </w:r>
      <w:r w:rsidRPr="00096857">
        <w:fldChar w:fldCharType="begin"/>
      </w:r>
      <w:r w:rsidRPr="00096857">
        <w:instrText xml:space="preserve"> ADDIN ZOTERO_ITEM CSL_CITATION {"citationID":"a1209ql320g","properties":{"formattedCitation":"\\super 34\\nosupersub{}","plainCitation":"34","noteIndex":0},"citationItems":[{"id":5567,"uris":["http://zotero.org/groups/2824487/items/DUYXSU8J"],"itemData":{"id":5567,"type":"book","publisher":"Oxford University Press","title":"Whaiora: Maori Health Development","URL":"https://www.wheelers.co.nz/books/9780195584035-whaiora-maori-health-development/","author":[{"family":"Durie","given":"M"}],"accessed":{"date-parts":[["2021",8,6]]},"issued":{"date-parts":[["1994"]]}}}],"schema":"https://github.com/citation-style-language/schema/raw/master/csl-citation.json"} </w:instrText>
      </w:r>
      <w:r w:rsidRPr="00096857">
        <w:fldChar w:fldCharType="separate"/>
      </w:r>
      <w:r w:rsidRPr="00096857">
        <w:rPr>
          <w:szCs w:val="24"/>
          <w:vertAlign w:val="superscript"/>
        </w:rPr>
        <w:t>34</w:t>
      </w:r>
      <w:r w:rsidRPr="00096857">
        <w:fldChar w:fldCharType="end"/>
      </w:r>
      <w:r w:rsidRPr="00096857">
        <w:t xml:space="preserve"> the Meihana model,</w:t>
      </w:r>
      <w:r w:rsidRPr="00096857">
        <w:fldChar w:fldCharType="begin"/>
      </w:r>
      <w:r w:rsidRPr="00096857">
        <w:instrText xml:space="preserve"> ADDIN ZOTERO_ITEM CSL_CITATION {"citationID":"a118j3g4k13","properties":{"formattedCitation":"\\super 115\\nosupersub{}","plainCitation":"115","noteIndex":0},"citationItems":[{"id":14215,"uris":["http://zotero.org/groups/4745233/items/RHU67DDZ"],"itemData":{"id":14215,"type":"article-journal","abstract":"This paper documents a joint initiative of clinical practice educators from four tertiary institutions and their engagement in the design and development of a proposed Hauora Māori Clinical Guide for Psychologists, which outlines how to apply the Hui Process and Meihana Model to applied psychology. It describes the ability for this proposed Hauora Maori Clinical Guide for Psychologists to assist clinicians, professional psychology training programmes and institutions in meeting the expectations of the Health Practitioners Act and The New Zealand Psychologists Board’s (NZPB) Standards and Procedures document. It presents how this proposed guide can support the implementation of clinical and cultural competence and the Code of Ethics for Psychologists Working in New Zealand. It also provides an opportunity for the psychology profession to demonstrate responsivity to Te Tiriti o Waitangi obligations.","container-title":"New Zealand Journal of Psychology","ISSN":"0112-109X","issue":"3","language":"en","note":"Accepted: 2019-05-07T23:18:41Z\npublisher: New Zealand Psychological Society","page":"7-19","source":"researchcommons.waikato.ac.nz","title":"A proposed hauora Māori clinical guide for psychologists: Using the hui process and meihana model in clinical assessment and formulation","title-short":"A proposed hauora Māori clinical guide for psychologists","volume":"46","author":[{"family":"Pitama","given":"Suzanne G."},{"family":"Bennett","given":"Simon T."},{"family":"Waitoki","given":"Waikaremoana"},{"family":"Haitana","given":"Tracy N."},{"family":"Valentine","given":"Hukarere"},{"family":"Pahiina","given":"John"},{"family":"Taylor","given":"Joanne E."},{"family":"Tassell-Matamua","given":"Natasha"},{"family":"Rowe","given":"Luke"},{"family":"Beckert","given":"Lutz"},{"family":"Palmer","given":"Suetonia C."},{"family":"Huria","given":"Tania M."},{"family":"Lacey","given":"Cameron J."},{"family":"McLachlan","given":"Andre"}],"issued":{"date-parts":[["2017"]]}}}],"schema":"https://github.com/citation-style-language/schema/raw/master/csl-citation.json"} </w:instrText>
      </w:r>
      <w:r w:rsidRPr="00096857">
        <w:fldChar w:fldCharType="separate"/>
      </w:r>
      <w:r w:rsidRPr="00096857">
        <w:rPr>
          <w:szCs w:val="24"/>
          <w:vertAlign w:val="superscript"/>
        </w:rPr>
        <w:t>115</w:t>
      </w:r>
      <w:r w:rsidRPr="00096857">
        <w:fldChar w:fldCharType="end"/>
      </w:r>
      <w:r w:rsidRPr="00096857">
        <w:t xml:space="preserve"> the Hui process,</w:t>
      </w:r>
      <w:r w:rsidRPr="00096857">
        <w:fldChar w:fldCharType="begin"/>
      </w:r>
      <w:r w:rsidRPr="00096857">
        <w:instrText xml:space="preserve"> ADDIN ZOTERO_ITEM CSL_CITATION {"citationID":"a2ad0l2h5ki","properties":{"formattedCitation":"\\super 115\\nosupersub{}","plainCitation":"115","noteIndex":0},"citationItems":[{"id":14215,"uris":["http://zotero.org/groups/4745233/items/RHU67DDZ"],"itemData":{"id":14215,"type":"article-journal","abstract":"This paper documents a joint initiative of clinical practice educators from four tertiary institutions and their engagement in the design and development of a proposed Hauora Māori Clinical Guide for Psychologists, which outlines how to apply the Hui Process and Meihana Model to applied psychology. It describes the ability for this proposed Hauora Maori Clinical Guide for Psychologists to assist clinicians, professional psychology training programmes and institutions in meeting the expectations of the Health Practitioners Act and The New Zealand Psychologists Board’s (NZPB) Standards and Procedures document. It presents how this proposed guide can support the implementation of clinical and cultural competence and the Code of Ethics for Psychologists Working in New Zealand. It also provides an opportunity for the psychology profession to demonstrate responsivity to Te Tiriti o Waitangi obligations.","container-title":"New Zealand Journal of Psychology","ISSN":"0112-109X","issue":"3","language":"en","note":"Accepted: 2019-05-07T23:18:41Z\npublisher: New Zealand Psychological Society","page":"7-19","source":"researchcommons.waikato.ac.nz","title":"A proposed hauora Māori clinical guide for psychologists: Using the hui process and meihana model in clinical assessment and formulation","title-short":"A proposed hauora Māori clinical guide for psychologists","volume":"46","author":[{"family":"Pitama","given":"Suzanne G."},{"family":"Bennett","given":"Simon T."},{"family":"Waitoki","given":"Waikaremoana"},{"family":"Haitana","given":"Tracy N."},{"family":"Valentine","given":"Hukarere"},{"family":"Pahiina","given":"John"},{"family":"Taylor","given":"Joanne E."},{"family":"Tassell-Matamua","given":"Natasha"},{"family":"Rowe","given":"Luke"},{"family":"Beckert","given":"Lutz"},{"family":"Palmer","given":"Suetonia C."},{"family":"Huria","given":"Tania M."},{"family":"Lacey","given":"Cameron J."},{"family":"McLachlan","given":"Andre"}],"issued":{"date-parts":[["2017"]]}}}],"schema":"https://github.com/citation-style-language/schema/raw/master/csl-citation.json"} </w:instrText>
      </w:r>
      <w:r w:rsidRPr="00096857">
        <w:fldChar w:fldCharType="separate"/>
      </w:r>
      <w:r w:rsidRPr="00096857">
        <w:rPr>
          <w:szCs w:val="24"/>
          <w:vertAlign w:val="superscript"/>
        </w:rPr>
        <w:t>115</w:t>
      </w:r>
      <w:r w:rsidRPr="00096857">
        <w:fldChar w:fldCharType="end"/>
      </w:r>
      <w:r w:rsidRPr="00096857">
        <w:t xml:space="preserve"> or Te Waka Kuaka.</w:t>
      </w:r>
      <w:r w:rsidRPr="00096857">
        <w:fldChar w:fldCharType="begin"/>
      </w:r>
      <w:r w:rsidRPr="00096857">
        <w:instrText xml:space="preserve"> ADDIN ZOTERO_ITEM CSL_CITATION {"citationID":"a1f2gat4lrr","properties":{"formattedCitation":"\\super 116\\nosupersub{}","plainCitation":"116","noteIndex":0},"citationItems":[{"id":13693,"uris":["http://zotero.org/groups/4745233/items/QJUR7RJ8"],"itemData":{"id":13693,"type":"article-journal","abstract":"The importance of tools for the measurement of outcomes and needs in traumatic brain injury is well recognised. The development of tools for these injuries in indigenous communities has been limited despite the well-documented disparity of brain injury. The wairua theory of traumatic brain injury (TBI) in Māori proposes that a culturally defined injury occurs in tandem with the physical injury. A cultural response is therefore indicated. This research investigates a Māori method used in the development of cultural needs assessment tool designed to further examine needs associated with the culturally determined injury and in preparation for formal validation. Whakawhiti kōrero is a method used to develop better statements in the development of the assessment tool. Four wānanga (traditional fora) were held including one with whānau (extended family) with experience of traumatic brain injury. The approach was well received. A final version, Te Waka Kuaka, is now ready for validation. Whakawhiti kōrero is an indigenous method used in the development of cultural needs assessment tool in Māori traumatic brain injury. This method is likely to have wider applicability, such as Mental Health and Addictions Services, to ensure robust process of outcome measure and needs assessment development.","container-title":"Behavioural Neurology","DOI":"10.1155/2015/137402","ISSN":"0953-4180","language":"en","note":"publisher: Hindawi","page":"e137402","source":"www.hindawi.com","title":"Whakawhiti Kōrero, a Method for the Development of a Cultural Assessment Tool, Te Waka Kuaka, in Māori Traumatic Brain Injury","volume":"2015","author":[{"family":"Elder","given":"Hinemoa"},{"family":"Kersten","given":"Paula"}],"issued":{"date-parts":[["2015",10,21]]}}}],"schema":"https://github.com/citation-style-language/schema/raw/master/csl-citation.json"} </w:instrText>
      </w:r>
      <w:r w:rsidRPr="00096857">
        <w:fldChar w:fldCharType="separate"/>
      </w:r>
      <w:r w:rsidRPr="00096857">
        <w:rPr>
          <w:szCs w:val="24"/>
          <w:vertAlign w:val="superscript"/>
        </w:rPr>
        <w:t>116</w:t>
      </w:r>
      <w:r w:rsidRPr="00096857">
        <w:fldChar w:fldCharType="end"/>
      </w:r>
    </w:p>
    <w:p w14:paraId="0DB90498" w14:textId="77777777" w:rsidR="007A6CDE" w:rsidRPr="00096857" w:rsidRDefault="007A6CDE" w:rsidP="007B2413">
      <w:r w:rsidRPr="00096857">
        <w:t>The Hui process is a basic model, likened to the whakatau process, that includes karakia tīmatanga, mihimihi (initial greeting engagement), whakawhanaungatanga (making a connection), kaupapa (the main purpose of the encounter), and karakia whakamutunga (closing the session).</w:t>
      </w:r>
      <w:r w:rsidRPr="00096857">
        <w:fldChar w:fldCharType="begin"/>
      </w:r>
      <w:r w:rsidRPr="00096857">
        <w:instrText xml:space="preserve"> ADDIN ZOTERO_ITEM CSL_CITATION {"citationID":"a2jb1nj7ea5","properties":{"formattedCitation":"\\super 111,115\\nosupersub{}","plainCitation":"111,115","noteIndex":0},"citationItems":[{"id":14215,"uris":["http://zotero.org/groups/4745233/items/RHU67DDZ"],"itemData":{"id":14215,"type":"article-journal","abstract":"This paper documents a joint initiative of clinical practice educators from four tertiary institutions and their engagement in the design and development of a proposed Hauora Māori Clinical Guide for Psychologists, which outlines how to apply the Hui Process and Meihana Model to applied psychology. It describes the ability for this proposed Hauora Maori Clinical Guide for Psychologists to assist clinicians, professional psychology training programmes and institutions in meeting the expectations of the Health Practitioners Act and The New Zealand Psychologists Board’s (NZPB) Standards and Procedures document. It presents how this proposed guide can support the implementation of clinical and cultural competence and the Code of Ethics for Psychologists Working in New Zealand. It also provides an opportunity for the psychology profession to demonstrate responsivity to Te Tiriti o Waitangi obligations.","container-title":"New Zealand Journal of Psychology","ISSN":"0112-109X","issue":"3","language":"en","note":"Accepted: 2019-05-07T23:18:41Z\npublisher: New Zealand Psychological Society","page":"7-19","source":"researchcommons.waikato.ac.nz","title":"A proposed hauora Māori clinical guide for psychologists: Using the hui process and meihana model in clinical assessment and formulation","title-short":"A proposed hauora Māori clinical guide for psychologists","volume":"46","author":[{"family":"Pitama","given":"Suzanne G."},{"family":"Bennett","given":"Simon T."},{"family":"Waitoki","given":"Waikaremoana"},{"family":"Haitana","given":"Tracy N."},{"family":"Valentine","given":"Hukarere"},{"family":"Pahiina","given":"John"},{"family":"Taylor","given":"Joanne E."},{"family":"Tassell-Matamua","given":"Natasha"},{"family":"Rowe","given":"Luke"},{"family":"Beckert","given":"Lutz"},{"family":"Palmer","given":"Suetonia C."},{"family":"Huria","given":"Tania M."},{"family":"Lacey","given":"Cameron J."},{"family":"McLachlan","given":"Andre"}],"issued":{"date-parts":[["2017"]]}}},{"id":13610,"uris":["http://zotero.org/groups/4745233/items/EFWPJSJ5"],"itemData":{"id":13610,"type":"article-journal","abstract":"Health professionals play an important role in addressing indigenous health inequalities. This paper describes the further development and a new conceptualisation of the Meihana model (2007) and the Hui process (2011), which together have formed the indigenous health framework in the University of Otago, Christchurch undergraduate medical education programme for 4th-6th year medical students over the past 5 years. The components of the framework are defined followed by description of their application to clinical assessment. The indigenous health framework has been evaluated by medical students, health practitioners, Maori patients and whanau over this time and has been rated favourably as a clinically relevant framework that supports health practitioners to work effectively with Maori patients and whanau.","container-title":"The New Zealand Medical Journal","ISSN":"1175-8716","issue":"1393","journalAbbreviation":"N Z Med J","language":"eng","note":"PMID: 24816961","page":"107-119","source":"PubMed","title":"Improving Maori health through clinical assessment: Waikare o te Waka o Meihana","title-short":"Improving Maori health through clinical assessment","volume":"127","author":[{"family":"Pitama","given":"Suzanne"},{"family":"Huria","given":"Tania"},{"family":"Lacey","given":"Cameron"}],"issued":{"date-parts":[["2014",5,2]]}}}],"schema":"https://github.com/citation-style-language/schema/raw/master/csl-citation.json"} </w:instrText>
      </w:r>
      <w:r w:rsidRPr="00096857">
        <w:fldChar w:fldCharType="separate"/>
      </w:r>
      <w:r w:rsidRPr="00096857">
        <w:rPr>
          <w:vertAlign w:val="superscript"/>
        </w:rPr>
        <w:t>111,115</w:t>
      </w:r>
      <w:r w:rsidRPr="00096857">
        <w:fldChar w:fldCharType="end"/>
      </w:r>
      <w:r w:rsidRPr="00096857">
        <w:t xml:space="preserve"> The kaupapa part of the Hui process is where comprehensive assessment, cognitive screening, or support sits. Te Whare Tapa Whā, the Meihana model, or Te Waka Kuaka can be used to gather information as part of this. Appendix A contains more information about the Meihana model and Te Waka Kuaka.</w:t>
      </w:r>
    </w:p>
    <w:p w14:paraId="0DF1E123" w14:textId="77777777" w:rsidR="007A6CDE" w:rsidRDefault="007A6CDE" w:rsidP="007B2413">
      <w:r w:rsidRPr="00096857">
        <w:t>Appendix B contains frameworks that may be helpful for Pasifika peoples including the Fonofale and Fonua Ola model. While there is great diversity amongst Pasifika peoples, it is helpful to be aware of common values including family, collectivism, spirituality, reciprocity, love, consensus, and respect.</w:t>
      </w:r>
      <w:r w:rsidRPr="00096857">
        <w:fldChar w:fldCharType="begin"/>
      </w:r>
      <w:r w:rsidRPr="00096857">
        <w:instrText xml:space="preserve"> ADDIN ZOTERO_ITEM CSL_CITATION {"citationID":"91OCVTXe","properties":{"formattedCitation":"\\super 117,118\\nosupersub{}","plainCitation":"117,118","noteIndex":0},"citationItems":[{"id":13366,"uris":["http://zotero.org/groups/4745233/items/9UAFM939"],"itemData":{"id":13366,"type":"article-journal","language":"en","page":"110","source":"Zotero","title":"Bula Sautu – A window on quality 2021: Pacific health in the year of COVID-19","author":[{"literal":"Health Quality &amp; Safety Commission New Zealand"}],"issued":{"date-parts":[["2021"]]}}},{"id":13577,"uris":["http://zotero.org/groups/4745233/items/N53XRSL2"],"itemData":{"id":13577,"type":"report","title":"Yavu: Foundations of Pacific engagement","URL":"https://www.mpp.govt.nz/assets/Resources/Yavu-Booklet.pdf","author":[{"literal":"Ministry of Pacific Peoples"}],"accessed":{"date-parts":[["2023",1,10]]},"issued":{"date-parts":[["2022"]]}}}],"schema":"https://github.com/citation-style-language/schema/raw/master/csl-citation.json"} </w:instrText>
      </w:r>
      <w:r w:rsidRPr="00096857">
        <w:fldChar w:fldCharType="separate"/>
      </w:r>
      <w:r w:rsidRPr="00096857">
        <w:rPr>
          <w:szCs w:val="24"/>
          <w:vertAlign w:val="superscript"/>
        </w:rPr>
        <w:t>117,118</w:t>
      </w:r>
      <w:r w:rsidRPr="00096857">
        <w:fldChar w:fldCharType="end"/>
      </w:r>
      <w:r w:rsidRPr="00096857">
        <w:t xml:space="preserve"> Religion plays a central role in the identity of many Pasifika peoples.</w:t>
      </w:r>
      <w:r w:rsidRPr="00096857">
        <w:fldChar w:fldCharType="begin"/>
      </w:r>
      <w:r w:rsidRPr="00096857">
        <w:instrText xml:space="preserve"> ADDIN ZOTERO_ITEM CSL_CITATION {"citationID":"9XTPetv0","properties":{"formattedCitation":"\\super 119\\nosupersub{}","plainCitation":"119","noteIndex":0},"citationItems":[{"id":14208,"uris":["http://zotero.org/groups/4745233/items/BXPCIFAN"],"itemData":{"id":14208,"type":"article-journal","abstract":"We describe and validate the Pacific Identity and Wellbeing Scale (PIWBS). The PIWBS is a culturally appropriate self-report measure assessing a five-factor model of Pacific identity and wellbeing. Items and construct definitions were developed through qualitative interviews, review of psychological theories, and previous research on Pacific concepts of ethnic identity and wellbeing. Exploratory and confirmatory factor analyses supported the model (Study 1 N = 143; Study 2 N = 443). The proposed five-factor model of Pacific identity and wellbeing includes scales assessing (1) Perceived Familial Wellbeing, (2) Perceived Societal Wellbeing, (3) Pacific Connectedness and Belonging, (4) Religious Centrality and Embeddedness, and (5) Group Membership Evaluation. The PIWBS provides a culturally appropriate valid and reliable assessment tool that can be used for within-cultural research for Pacific peoples from a Pacific perspective. A copy of the PIWBS and scoring instructions for its use are included.","container-title":"Social Indicators Research","DOI":"10.1007/s11205-012-0041-9","journalAbbreviation":"Social Indicators Research","source":"ResearchGate","title":"The Pacific Identity and Wellbeing Scale (PIWBS): A culturally-appropriate self-report measure for Pacific peoples in New Zealand","title-short":"The Pacific Identity and Wellbeing Scale (PIWBS)","volume":"112","author":[{"family":"Manuela","given":"Sam"},{"family":"Sibley","given":"Chris"}],"issued":{"date-parts":[["2012",5,1]]}}}],"schema":"https://github.com/citation-style-language/schema/raw/master/csl-citation.json"} </w:instrText>
      </w:r>
      <w:r w:rsidRPr="00096857">
        <w:fldChar w:fldCharType="separate"/>
      </w:r>
      <w:r w:rsidRPr="00096857">
        <w:rPr>
          <w:szCs w:val="24"/>
          <w:vertAlign w:val="superscript"/>
        </w:rPr>
        <w:t>119</w:t>
      </w:r>
      <w:r w:rsidRPr="00096857">
        <w:fldChar w:fldCharType="end"/>
      </w:r>
    </w:p>
    <w:p w14:paraId="6825C543" w14:textId="77777777" w:rsidR="00A440F4" w:rsidRPr="00096857" w:rsidRDefault="00A440F4" w:rsidP="007B2413"/>
    <w:p w14:paraId="1356ABBF" w14:textId="77777777" w:rsidR="007A6CDE" w:rsidRPr="00A440F4" w:rsidRDefault="007A6CDE" w:rsidP="007A6CDE">
      <w:pPr>
        <w:rPr>
          <w:b/>
          <w:bCs/>
          <w:color w:val="1E7880" w:themeColor="accent2" w:themeShade="BF"/>
          <w:sz w:val="28"/>
          <w:szCs w:val="24"/>
        </w:rPr>
      </w:pPr>
      <w:bookmarkStart w:id="943" w:name="_Toc144657424"/>
      <w:bookmarkStart w:id="944" w:name="_Toc145670699"/>
      <w:bookmarkStart w:id="945" w:name="_Toc145854313"/>
      <w:bookmarkStart w:id="946" w:name="_Toc146024243"/>
      <w:bookmarkStart w:id="947" w:name="_Toc146624823"/>
      <w:bookmarkStart w:id="948" w:name="_Toc146714184"/>
      <w:bookmarkStart w:id="949" w:name="_Toc178780113"/>
      <w:bookmarkStart w:id="950" w:name="_Toc178838879"/>
      <w:bookmarkStart w:id="951" w:name="_Toc178839066"/>
      <w:bookmarkStart w:id="952" w:name="_Toc178839187"/>
      <w:bookmarkStart w:id="953" w:name="_Toc178839415"/>
      <w:bookmarkStart w:id="954" w:name="_Toc178841625"/>
      <w:bookmarkStart w:id="955" w:name="_Toc179198185"/>
      <w:bookmarkStart w:id="956" w:name="_Toc179198433"/>
      <w:bookmarkStart w:id="957" w:name="_Toc179198541"/>
      <w:bookmarkStart w:id="958" w:name="_Toc179198648"/>
      <w:bookmarkStart w:id="959" w:name="_Toc179446092"/>
      <w:r w:rsidRPr="00A440F4">
        <w:rPr>
          <w:b/>
          <w:bCs/>
          <w:color w:val="1E7880" w:themeColor="accent2" w:themeShade="BF"/>
          <w:sz w:val="28"/>
          <w:szCs w:val="24"/>
        </w:rPr>
        <w:t>Check for and encourage the use of EPAs</w:t>
      </w:r>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p>
    <w:p w14:paraId="7F07826B" w14:textId="77777777" w:rsidR="007A6CDE" w:rsidRPr="00E97FE1" w:rsidRDefault="007A6CDE" w:rsidP="007B2413">
      <w:r w:rsidRPr="00E97FE1">
        <w:t>An enduring power of attorney (EPA) is something all adults over 18 should have in place in case they can’t make decisions about their personal affairs. There are two types of EPAs – one for finances and property, and the other for personal care and welfare.</w:t>
      </w:r>
      <w:r w:rsidRPr="00E97FE1">
        <w:fldChar w:fldCharType="begin"/>
      </w:r>
      <w:r w:rsidRPr="00E97FE1">
        <w:instrText xml:space="preserve"> ADDIN ZOTERO_ITEM CSL_CITATION {"citationID":"a2j9i9k9oeg","properties":{"formattedCitation":"\\super 120\\nosupersub{}","plainCitation":"120","noteIndex":0},"citationItems":[{"id":12547,"uris":["http://zotero.org/groups/4745233/items/VSJBVSA7"],"itemData":{"id":12547,"type":"webpage","container-title":"New Zealand Law Society | Te Kāhui Ture o Aotearoa","language":"en","title":"Powers of attorney","URL":"https://www.lawsociety.org.nz/for-the-public/common-legal-issues/powers-of-attorney/","author":[{"literal":"New Zealand Law Society"}],"accessed":{"date-parts":[["2023",9,3]]},"issued":{"date-parts":[["2020",1,23]]}}}],"schema":"https://github.com/citation-style-language/schema/raw/master/csl-citation.json"} </w:instrText>
      </w:r>
      <w:r w:rsidRPr="00E97FE1">
        <w:fldChar w:fldCharType="separate"/>
      </w:r>
      <w:r w:rsidRPr="00E97FE1">
        <w:rPr>
          <w:rFonts w:cs="Arial"/>
          <w:szCs w:val="24"/>
          <w:vertAlign w:val="superscript"/>
        </w:rPr>
        <w:t>120</w:t>
      </w:r>
      <w:r w:rsidRPr="00E97FE1">
        <w:fldChar w:fldCharType="end"/>
      </w:r>
    </w:p>
    <w:p w14:paraId="5E234060" w14:textId="77777777" w:rsidR="007A6CDE" w:rsidRDefault="007A6CDE" w:rsidP="007B2413">
      <w:r w:rsidRPr="00E97FE1">
        <w:t xml:space="preserve">As cognitive impairment can impact on people’s decision-making capacity, it is very important to be aware if tāngata </w:t>
      </w:r>
      <w:r>
        <w:t>whai ora</w:t>
      </w:r>
      <w:r w:rsidRPr="00E97FE1">
        <w:t xml:space="preserve"> have an EPA. </w:t>
      </w:r>
    </w:p>
    <w:p w14:paraId="3D0EE3EA" w14:textId="174B5190" w:rsidR="007B2413" w:rsidRDefault="00217E72" w:rsidP="00217E72">
      <w:pPr>
        <w:pStyle w:val="Bodycopy"/>
        <w:rPr>
          <w:sz w:val="24"/>
          <w:szCs w:val="24"/>
        </w:rPr>
      </w:pPr>
      <w:r>
        <w:rPr>
          <w:noProof/>
        </w:rPr>
        <w:lastRenderedPageBreak/>
        <mc:AlternateContent>
          <mc:Choice Requires="wps">
            <w:drawing>
              <wp:inline distT="0" distB="0" distL="0" distR="0" wp14:anchorId="2CCCD22C" wp14:editId="38B47188">
                <wp:extent cx="5939790" cy="5400675"/>
                <wp:effectExtent l="0" t="0" r="22860" b="28575"/>
                <wp:docPr id="6719316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790" cy="5400675"/>
                        </a:xfrm>
                        <a:prstGeom prst="rect">
                          <a:avLst/>
                        </a:prstGeom>
                        <a:solidFill>
                          <a:schemeClr val="bg1">
                            <a:lumMod val="95000"/>
                          </a:schemeClr>
                        </a:solidFill>
                        <a:ln w="9525">
                          <a:solidFill>
                            <a:srgbClr val="000000"/>
                          </a:solidFill>
                          <a:miter lim="800000"/>
                          <a:headEnd/>
                          <a:tailEnd/>
                        </a:ln>
                      </wps:spPr>
                      <wps:txbx>
                        <w:txbxContent>
                          <w:p w14:paraId="34BA40A6" w14:textId="77777777" w:rsidR="00217E72" w:rsidRPr="007B2413" w:rsidRDefault="00217E72" w:rsidP="00217E72">
                            <w:pPr>
                              <w:rPr>
                                <w:szCs w:val="24"/>
                              </w:rPr>
                            </w:pPr>
                            <w:r w:rsidRPr="007B2413">
                              <w:rPr>
                                <w:szCs w:val="24"/>
                              </w:rPr>
                              <w:t xml:space="preserve">An EPA can only be appointed if people have the capacity to understand what an EPA is and how they would choose their EPA. </w:t>
                            </w:r>
                          </w:p>
                          <w:p w14:paraId="684EE9A8" w14:textId="77777777" w:rsidR="00217E72" w:rsidRPr="007B2413" w:rsidRDefault="00217E72" w:rsidP="00217E72">
                            <w:pPr>
                              <w:rPr>
                                <w:szCs w:val="24"/>
                              </w:rPr>
                            </w:pPr>
                            <w:r w:rsidRPr="007B2413">
                              <w:rPr>
                                <w:szCs w:val="24"/>
                              </w:rPr>
                              <w:t xml:space="preserve">An EPA only becomes ‘active’ when people are unable to make decisions for themselves. This is confirmed by a medical assessment. </w:t>
                            </w:r>
                          </w:p>
                          <w:p w14:paraId="3666CB91" w14:textId="77777777" w:rsidR="00217E72" w:rsidRPr="007B2413" w:rsidRDefault="00217E72" w:rsidP="00217E72">
                            <w:pPr>
                              <w:rPr>
                                <w:szCs w:val="24"/>
                              </w:rPr>
                            </w:pPr>
                            <w:r w:rsidRPr="007B2413">
                              <w:rPr>
                                <w:szCs w:val="24"/>
                              </w:rPr>
                              <w:t xml:space="preserve">Having an </w:t>
                            </w:r>
                            <w:r w:rsidRPr="007B2413">
                              <w:rPr>
                                <w:bCs/>
                                <w:szCs w:val="24"/>
                              </w:rPr>
                              <w:t>EPA</w:t>
                            </w:r>
                            <w:r w:rsidRPr="007B2413">
                              <w:rPr>
                                <w:szCs w:val="24"/>
                              </w:rPr>
                              <w:t xml:space="preserve"> means that the person’s chosen ‘attorney’ makes decisions for them, depending on what instructions the person has for them. An attorney in this context does not need to be a lawyer but is someone the person trusts. </w:t>
                            </w:r>
                          </w:p>
                          <w:p w14:paraId="209C44FB" w14:textId="77777777" w:rsidR="00217E72" w:rsidRPr="007B2413" w:rsidRDefault="00217E72" w:rsidP="00217E72">
                            <w:pPr>
                              <w:rPr>
                                <w:szCs w:val="24"/>
                              </w:rPr>
                            </w:pPr>
                            <w:r w:rsidRPr="007B2413">
                              <w:rPr>
                                <w:szCs w:val="24"/>
                              </w:rPr>
                              <w:t>If people lose capacity and don’t have an EPA in place, then an application can be made to the Court for a PPPR Act order(s). The Court will then appoint a property and/or welfare guardian for the person who reports back to the Court regularly.  </w:t>
                            </w:r>
                          </w:p>
                          <w:p w14:paraId="260F19B7" w14:textId="77777777" w:rsidR="00217E72" w:rsidRPr="007B2413" w:rsidRDefault="00217E72" w:rsidP="00217E72">
                            <w:pPr>
                              <w:rPr>
                                <w:szCs w:val="24"/>
                              </w:rPr>
                            </w:pPr>
                            <w:r w:rsidRPr="007B2413">
                              <w:rPr>
                                <w:szCs w:val="24"/>
                              </w:rPr>
                              <w:t xml:space="preserve">If people regain capacity in the future (such as through treatment for problematic substance use and cognitive rehabilitation), the EPA can be deactivated with written notice. </w:t>
                            </w:r>
                          </w:p>
                          <w:p w14:paraId="2C5A54BA" w14:textId="77777777" w:rsidR="00217E72" w:rsidRPr="007B2413" w:rsidRDefault="00217E72" w:rsidP="00217E72">
                            <w:pPr>
                              <w:rPr>
                                <w:color w:val="000000" w:themeColor="text1"/>
                                <w:szCs w:val="24"/>
                              </w:rPr>
                            </w:pPr>
                            <w:r w:rsidRPr="007B2413">
                              <w:rPr>
                                <w:szCs w:val="24"/>
                              </w:rPr>
                              <w:t xml:space="preserve">The </w:t>
                            </w:r>
                            <w:hyperlink r:id="rId34" w:history="1">
                              <w:r w:rsidRPr="007B2413">
                                <w:rPr>
                                  <w:rStyle w:val="Hyperlink"/>
                                  <w:color w:val="000000" w:themeColor="text1"/>
                                  <w:szCs w:val="24"/>
                                </w:rPr>
                                <w:t>Office for Seniors website has more information on EPAs and forms required to set up an EPA</w:t>
                              </w:r>
                            </w:hyperlink>
                            <w:r w:rsidRPr="007B2413">
                              <w:rPr>
                                <w:szCs w:val="24"/>
                              </w:rPr>
                              <w:t xml:space="preserve">. </w:t>
                            </w:r>
                            <w:r w:rsidRPr="007B2413">
                              <w:rPr>
                                <w:b/>
                                <w:bCs/>
                                <w:szCs w:val="24"/>
                                <w:u w:val="single"/>
                              </w:rPr>
                              <w:t>There is also a</w:t>
                            </w:r>
                            <w:r w:rsidRPr="007B2413">
                              <w:rPr>
                                <w:szCs w:val="24"/>
                                <w:u w:val="single"/>
                              </w:rPr>
                              <w:t xml:space="preserve"> </w:t>
                            </w:r>
                            <w:hyperlink r:id="rId35" w:history="1">
                              <w:r w:rsidRPr="007B2413">
                                <w:rPr>
                                  <w:rStyle w:val="Hyperlink"/>
                                  <w:color w:val="000000" w:themeColor="text1"/>
                                  <w:szCs w:val="24"/>
                                </w:rPr>
                                <w:t>webpage covering the requirements for changing or ending an EPA</w:t>
                              </w:r>
                            </w:hyperlink>
                            <w:r w:rsidRPr="007B2413">
                              <w:rPr>
                                <w:color w:val="000000" w:themeColor="text1"/>
                                <w:szCs w:val="24"/>
                              </w:rPr>
                              <w:t xml:space="preserve">. </w:t>
                            </w:r>
                            <w:hyperlink r:id="rId36" w:history="1">
                              <w:r w:rsidRPr="007B2413">
                                <w:rPr>
                                  <w:rStyle w:val="Hyperlink"/>
                                  <w:color w:val="000000" w:themeColor="text1"/>
                                  <w:szCs w:val="24"/>
                                </w:rPr>
                                <w:t>The Public Trust website enables people to make their EPA online.</w:t>
                              </w:r>
                            </w:hyperlink>
                            <w:r w:rsidRPr="007B2413">
                              <w:rPr>
                                <w:color w:val="000000" w:themeColor="text1"/>
                                <w:szCs w:val="24"/>
                              </w:rPr>
                              <w:t xml:space="preserve"> </w:t>
                            </w:r>
                          </w:p>
                          <w:p w14:paraId="207135D8" w14:textId="77777777" w:rsidR="00217E72" w:rsidRPr="007B2413" w:rsidRDefault="00217E72" w:rsidP="00217E72">
                            <w:pPr>
                              <w:rPr>
                                <w:szCs w:val="24"/>
                              </w:rPr>
                            </w:pPr>
                            <w:r w:rsidRPr="007B2413">
                              <w:rPr>
                                <w:szCs w:val="24"/>
                              </w:rPr>
                              <w:t>Note: Some cultures may not be familiar with or comfortable using legal processes and whānau may have expectations around support and decision making. Ensure all legal processes are properly explained.</w:t>
                            </w:r>
                          </w:p>
                        </w:txbxContent>
                      </wps:txbx>
                      <wps:bodyPr rot="0" vert="horz" wrap="square" lIns="91440" tIns="45720" rIns="91440" bIns="45720" anchor="t" anchorCtr="0">
                        <a:noAutofit/>
                      </wps:bodyPr>
                    </wps:wsp>
                  </a:graphicData>
                </a:graphic>
              </wp:inline>
            </w:drawing>
          </mc:Choice>
          <mc:Fallback>
            <w:pict>
              <v:shape w14:anchorId="2CCCD22C" id="_x0000_s1029" type="#_x0000_t202" style="width:467.7pt;height:42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" fillcolor="#f2f2f2 [3052]">
                <v:textbox>
                  <w:txbxContent>
                    <w:p w14:paraId="34BA40A6" w14:textId="77777777" w:rsidR="00217E72" w:rsidRPr="007B2413" w:rsidRDefault="00217E72" w:rsidP="00217E72">
                      <w:pPr>
                        <w:rPr>
                          <w:szCs w:val="24"/>
                        </w:rPr>
                      </w:pPr>
                      <w:r w:rsidRPr="007B2413">
                        <w:rPr>
                          <w:szCs w:val="24"/>
                        </w:rPr>
                        <w:t xml:space="preserve">An EPA can only be appointed if people have the capacity to understand what an EPA is and how they would choose their EPA. </w:t>
                      </w:r>
                    </w:p>
                    <w:p w14:paraId="684EE9A8" w14:textId="77777777" w:rsidR="00217E72" w:rsidRPr="007B2413" w:rsidRDefault="00217E72" w:rsidP="00217E72">
                      <w:pPr>
                        <w:rPr>
                          <w:szCs w:val="24"/>
                        </w:rPr>
                      </w:pPr>
                      <w:r w:rsidRPr="007B2413">
                        <w:rPr>
                          <w:szCs w:val="24"/>
                        </w:rPr>
                        <w:t xml:space="preserve">An EPA only becomes ‘active’ when people are unable to make decisions for themselves. This is confirmed by a medical assessment. </w:t>
                      </w:r>
                    </w:p>
                    <w:p w14:paraId="3666CB91" w14:textId="77777777" w:rsidR="00217E72" w:rsidRPr="007B2413" w:rsidRDefault="00217E72" w:rsidP="00217E72">
                      <w:pPr>
                        <w:rPr>
                          <w:szCs w:val="24"/>
                        </w:rPr>
                      </w:pPr>
                      <w:r w:rsidRPr="007B2413">
                        <w:rPr>
                          <w:szCs w:val="24"/>
                        </w:rPr>
                        <w:t xml:space="preserve">Having an </w:t>
                      </w:r>
                      <w:r w:rsidRPr="007B2413">
                        <w:rPr>
                          <w:bCs/>
                          <w:szCs w:val="24"/>
                        </w:rPr>
                        <w:t>EPA</w:t>
                      </w:r>
                      <w:r w:rsidRPr="007B2413">
                        <w:rPr>
                          <w:szCs w:val="24"/>
                        </w:rPr>
                        <w:t xml:space="preserve"> means that the person’s chosen ‘attorney’ makes decisions for them, depending on what instructions the person has for them. An attorney in this context does not need to be a lawyer but is someone the person trusts. </w:t>
                      </w:r>
                    </w:p>
                    <w:p w14:paraId="209C44FB" w14:textId="77777777" w:rsidR="00217E72" w:rsidRPr="007B2413" w:rsidRDefault="00217E72" w:rsidP="00217E72">
                      <w:pPr>
                        <w:rPr>
                          <w:szCs w:val="24"/>
                        </w:rPr>
                      </w:pPr>
                      <w:r w:rsidRPr="007B2413">
                        <w:rPr>
                          <w:szCs w:val="24"/>
                        </w:rPr>
                        <w:t>If people lose capacity and don’t have an EPA in place, then an application can be made to the Court for a PPPR Act order(s). The Court will then appoint a property and/or welfare guardian for the person who reports back to the Court regularly.  </w:t>
                      </w:r>
                    </w:p>
                    <w:p w14:paraId="260F19B7" w14:textId="77777777" w:rsidR="00217E72" w:rsidRPr="007B2413" w:rsidRDefault="00217E72" w:rsidP="00217E72">
                      <w:pPr>
                        <w:rPr>
                          <w:szCs w:val="24"/>
                        </w:rPr>
                      </w:pPr>
                      <w:r w:rsidRPr="007B2413">
                        <w:rPr>
                          <w:szCs w:val="24"/>
                        </w:rPr>
                        <w:t xml:space="preserve">If people regain capacity in the future (such as through treatment for problematic substance use and cognitive rehabilitation), the EPA can be deactivated with written notice. </w:t>
                      </w:r>
                    </w:p>
                    <w:p w14:paraId="2C5A54BA" w14:textId="77777777" w:rsidR="00217E72" w:rsidRPr="007B2413" w:rsidRDefault="00217E72" w:rsidP="00217E72">
                      <w:pPr>
                        <w:rPr>
                          <w:color w:val="000000" w:themeColor="text1"/>
                          <w:szCs w:val="24"/>
                        </w:rPr>
                      </w:pPr>
                      <w:r w:rsidRPr="007B2413">
                        <w:rPr>
                          <w:szCs w:val="24"/>
                        </w:rPr>
                        <w:t xml:space="preserve">The </w:t>
                      </w:r>
                      <w:hyperlink r:id="rId37" w:history="1">
                        <w:r w:rsidRPr="007B2413">
                          <w:rPr>
                            <w:rStyle w:val="Hyperlink"/>
                            <w:color w:val="000000" w:themeColor="text1"/>
                            <w:szCs w:val="24"/>
                          </w:rPr>
                          <w:t>Office for Seniors website has more information on EPAs and forms required to set up an EPA</w:t>
                        </w:r>
                      </w:hyperlink>
                      <w:r w:rsidRPr="007B2413">
                        <w:rPr>
                          <w:szCs w:val="24"/>
                        </w:rPr>
                        <w:t xml:space="preserve">. </w:t>
                      </w:r>
                      <w:r w:rsidRPr="007B2413">
                        <w:rPr>
                          <w:b/>
                          <w:bCs/>
                          <w:szCs w:val="24"/>
                          <w:u w:val="single"/>
                        </w:rPr>
                        <w:t>There is also a</w:t>
                      </w:r>
                      <w:r w:rsidRPr="007B2413">
                        <w:rPr>
                          <w:szCs w:val="24"/>
                          <w:u w:val="single"/>
                        </w:rPr>
                        <w:t xml:space="preserve"> </w:t>
                      </w:r>
                      <w:hyperlink r:id="rId38" w:history="1">
                        <w:r w:rsidRPr="007B2413">
                          <w:rPr>
                            <w:rStyle w:val="Hyperlink"/>
                            <w:color w:val="000000" w:themeColor="text1"/>
                            <w:szCs w:val="24"/>
                          </w:rPr>
                          <w:t>webpage covering the requirements for changing or ending an EPA</w:t>
                        </w:r>
                      </w:hyperlink>
                      <w:r w:rsidRPr="007B2413">
                        <w:rPr>
                          <w:color w:val="000000" w:themeColor="text1"/>
                          <w:szCs w:val="24"/>
                        </w:rPr>
                        <w:t xml:space="preserve">. </w:t>
                      </w:r>
                      <w:hyperlink r:id="rId39" w:history="1">
                        <w:r w:rsidRPr="007B2413">
                          <w:rPr>
                            <w:rStyle w:val="Hyperlink"/>
                            <w:color w:val="000000" w:themeColor="text1"/>
                            <w:szCs w:val="24"/>
                          </w:rPr>
                          <w:t>The Public Trust website enables people to make their EPA online.</w:t>
                        </w:r>
                      </w:hyperlink>
                      <w:r w:rsidRPr="007B2413">
                        <w:rPr>
                          <w:color w:val="000000" w:themeColor="text1"/>
                          <w:szCs w:val="24"/>
                        </w:rPr>
                        <w:t xml:space="preserve"> </w:t>
                      </w:r>
                    </w:p>
                    <w:p w14:paraId="207135D8" w14:textId="77777777" w:rsidR="00217E72" w:rsidRPr="007B2413" w:rsidRDefault="00217E72" w:rsidP="00217E72">
                      <w:pPr>
                        <w:rPr>
                          <w:szCs w:val="24"/>
                        </w:rPr>
                      </w:pPr>
                      <w:r w:rsidRPr="007B2413">
                        <w:rPr>
                          <w:szCs w:val="24"/>
                        </w:rPr>
                        <w:t>Note: Some cultures may not be familiar with or comfortable using legal processes and whānau may have expectations around support and decision making. Ensure all legal processes are properly explained.</w:t>
                      </w:r>
                    </w:p>
                  </w:txbxContent>
                </v:textbox>
                <w10:anchorlock/>
              </v:shape>
            </w:pict>
          </mc:Fallback>
        </mc:AlternateContent>
      </w:r>
    </w:p>
    <w:p w14:paraId="359880A4" w14:textId="118882CE" w:rsidR="00217E72" w:rsidRDefault="007A6CDE" w:rsidP="00217E72">
      <w:pPr>
        <w:pStyle w:val="Bodycopy"/>
      </w:pPr>
      <w:r w:rsidRPr="007B2413">
        <w:rPr>
          <w:sz w:val="24"/>
          <w:szCs w:val="24"/>
        </w:rPr>
        <w:t>Creating an EPA requires legal advice and usually incurs a cost. People who don’t have a lawyer or who need support with costs can enquire about options at their local Citizens Advice Bureau, Public Trust office, or Community Law Centre.</w:t>
      </w:r>
    </w:p>
    <w:p w14:paraId="4BA14933" w14:textId="54FAEE77" w:rsidR="007A6CDE" w:rsidRDefault="007A6CDE" w:rsidP="00217E72">
      <w:pPr>
        <w:pStyle w:val="Bodycopy"/>
      </w:pPr>
    </w:p>
    <w:p w14:paraId="43E9C93F" w14:textId="77777777" w:rsidR="005146BD" w:rsidRPr="00A440F4" w:rsidRDefault="005146BD" w:rsidP="005146BD">
      <w:pPr>
        <w:rPr>
          <w:b/>
          <w:bCs/>
          <w:color w:val="1E7880" w:themeColor="accent2" w:themeShade="BF"/>
          <w:sz w:val="28"/>
          <w:szCs w:val="28"/>
        </w:rPr>
      </w:pPr>
      <w:bookmarkStart w:id="960" w:name="_Toc144657425"/>
      <w:bookmarkStart w:id="961" w:name="_Toc145670700"/>
      <w:bookmarkStart w:id="962" w:name="_Toc145854314"/>
      <w:bookmarkStart w:id="963" w:name="_Toc146024244"/>
      <w:bookmarkStart w:id="964" w:name="_Toc146624824"/>
      <w:bookmarkStart w:id="965" w:name="_Toc146714185"/>
      <w:bookmarkStart w:id="966" w:name="_Toc178780114"/>
      <w:bookmarkStart w:id="967" w:name="_Toc178838880"/>
      <w:bookmarkStart w:id="968" w:name="_Toc178839067"/>
      <w:bookmarkStart w:id="969" w:name="_Toc178839188"/>
      <w:bookmarkStart w:id="970" w:name="_Toc178839416"/>
      <w:bookmarkStart w:id="971" w:name="_Toc178841626"/>
      <w:bookmarkStart w:id="972" w:name="_Toc179198186"/>
      <w:bookmarkStart w:id="973" w:name="_Toc179198434"/>
      <w:bookmarkStart w:id="974" w:name="_Toc179198542"/>
      <w:bookmarkStart w:id="975" w:name="_Toc179198649"/>
      <w:bookmarkStart w:id="976" w:name="_Toc179446093"/>
      <w:r w:rsidRPr="00A440F4">
        <w:rPr>
          <w:b/>
          <w:bCs/>
          <w:noProof/>
          <w:color w:val="1E7880" w:themeColor="accent2" w:themeShade="BF"/>
          <w:sz w:val="28"/>
          <w:szCs w:val="28"/>
        </w:rPr>
        <w:drawing>
          <wp:anchor distT="0" distB="0" distL="114300" distR="114300" simplePos="0" relativeHeight="251778048" behindDoc="0" locked="0" layoutInCell="1" allowOverlap="1" wp14:anchorId="515F17E7" wp14:editId="4824D72D">
            <wp:simplePos x="0" y="0"/>
            <wp:positionH relativeFrom="column">
              <wp:posOffset>4725512</wp:posOffset>
            </wp:positionH>
            <wp:positionV relativeFrom="paragraph">
              <wp:posOffset>83404</wp:posOffset>
            </wp:positionV>
            <wp:extent cx="1287145" cy="1287145"/>
            <wp:effectExtent l="0" t="0" r="8255" b="8255"/>
            <wp:wrapSquare wrapText="bothSides"/>
            <wp:docPr id="12433605" name="Picture 124336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3605" name="Picture 1">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87145" cy="1287145"/>
                    </a:xfrm>
                    <a:prstGeom prst="rect">
                      <a:avLst/>
                    </a:prstGeom>
                  </pic:spPr>
                </pic:pic>
              </a:graphicData>
            </a:graphic>
            <wp14:sizeRelH relativeFrom="margin">
              <wp14:pctWidth>0</wp14:pctWidth>
            </wp14:sizeRelH>
            <wp14:sizeRelV relativeFrom="margin">
              <wp14:pctHeight>0</wp14:pctHeight>
            </wp14:sizeRelV>
          </wp:anchor>
        </w:drawing>
      </w:r>
      <w:r w:rsidRPr="00A440F4">
        <w:rPr>
          <w:b/>
          <w:bCs/>
          <w:color w:val="1E7880" w:themeColor="accent2" w:themeShade="BF"/>
          <w:sz w:val="28"/>
          <w:szCs w:val="28"/>
        </w:rPr>
        <w:t>Adapt communication to people’s needs</w:t>
      </w:r>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p>
    <w:p w14:paraId="7ADA5BDC" w14:textId="77777777" w:rsidR="005146BD" w:rsidRPr="001E0F30" w:rsidRDefault="005146BD" w:rsidP="00611B82">
      <w:pPr>
        <w:pStyle w:val="Bulletpoint"/>
        <w:rPr>
          <w:rStyle w:val="normaltextrun"/>
          <w:sz w:val="22"/>
        </w:rPr>
      </w:pPr>
      <w:r w:rsidRPr="007B2413">
        <w:rPr>
          <w:rStyle w:val="normaltextrun"/>
          <w:rFonts w:cs="Arial"/>
          <w:szCs w:val="24"/>
        </w:rPr>
        <w:t xml:space="preserve">Be flexible, tailor communication to the unique needs and style of the individual tangata whai ora and gauge what works for them. </w:t>
      </w:r>
      <w:r w:rsidRPr="001E0F30">
        <w:t>Encourage people to speak up about what help they need to engage. For example, telling other workers to speak slowly, or using more culturally relevant examples.</w:t>
      </w:r>
    </w:p>
    <w:p w14:paraId="26030F4B" w14:textId="77777777" w:rsidR="005146BD" w:rsidRPr="007B2413" w:rsidRDefault="005146BD" w:rsidP="00611B82">
      <w:pPr>
        <w:pStyle w:val="Bulletpoint"/>
        <w:rPr>
          <w:szCs w:val="24"/>
        </w:rPr>
      </w:pPr>
      <w:r w:rsidRPr="007B2413">
        <w:rPr>
          <w:szCs w:val="24"/>
        </w:rPr>
        <w:t xml:space="preserve">Use interpreters if needed to support people to use their language of choice. If required and available, an interpreter with experience in AOD services is ideal. Where possible, </w:t>
      </w:r>
      <w:r w:rsidRPr="007B2413">
        <w:rPr>
          <w:szCs w:val="24"/>
        </w:rPr>
        <w:lastRenderedPageBreak/>
        <w:t xml:space="preserve">have resources available in various languages and formats like Easy Read, braille, or </w:t>
      </w:r>
      <w:r w:rsidRPr="007B2413">
        <w:rPr>
          <w:rStyle w:val="eop"/>
          <w:rFonts w:cs="Arial"/>
          <w:szCs w:val="24"/>
        </w:rPr>
        <w:t>New Zealand Sign Language</w:t>
      </w:r>
      <w:r w:rsidRPr="007B2413">
        <w:rPr>
          <w:szCs w:val="24"/>
        </w:rPr>
        <w:t xml:space="preserve">. </w:t>
      </w:r>
    </w:p>
    <w:p w14:paraId="5E6E7A33" w14:textId="77777777" w:rsidR="005146BD" w:rsidRPr="007B2413" w:rsidRDefault="005146BD" w:rsidP="007B2413">
      <w:pPr>
        <w:pStyle w:val="Bulletpoint"/>
      </w:pPr>
      <w:r w:rsidRPr="007B2413">
        <w:rPr>
          <w:rStyle w:val="normaltextrun"/>
        </w:rPr>
        <w:t xml:space="preserve">Use concrete examples and words rather than abstract ideas. </w:t>
      </w:r>
    </w:p>
    <w:p w14:paraId="4F52DB15" w14:textId="77777777" w:rsidR="005146BD" w:rsidRPr="007B2413" w:rsidRDefault="005146BD" w:rsidP="007B2413">
      <w:pPr>
        <w:pStyle w:val="Bulletpoint"/>
        <w:rPr>
          <w:szCs w:val="24"/>
        </w:rPr>
      </w:pPr>
      <w:r w:rsidRPr="007B2413">
        <w:rPr>
          <w:rStyle w:val="normaltextrun"/>
          <w:rFonts w:cs="Arial"/>
          <w:szCs w:val="24"/>
        </w:rPr>
        <w:t>Use alternative media, for example writing down information, videos, and flash cards.</w:t>
      </w:r>
      <w:r w:rsidRPr="007B2413">
        <w:rPr>
          <w:rStyle w:val="eop"/>
          <w:rFonts w:cs="Arial"/>
          <w:szCs w:val="24"/>
        </w:rPr>
        <w:t> When using visuals ensure these are culturally appropriate.</w:t>
      </w:r>
      <w:r w:rsidRPr="007B2413">
        <w:rPr>
          <w:rStyle w:val="eop"/>
          <w:szCs w:val="24"/>
        </w:rPr>
        <w:t xml:space="preserve"> </w:t>
      </w:r>
      <w:r w:rsidRPr="007B2413">
        <w:rPr>
          <w:rStyle w:val="eop"/>
          <w:rFonts w:cs="Arial"/>
          <w:szCs w:val="24"/>
        </w:rPr>
        <w:t xml:space="preserve">Supplement verbal information with written information such as resources people can take away. </w:t>
      </w:r>
    </w:p>
    <w:p w14:paraId="38AB8554" w14:textId="77777777" w:rsidR="005146BD" w:rsidRPr="007B2413" w:rsidRDefault="005146BD" w:rsidP="007B2413">
      <w:pPr>
        <w:pStyle w:val="Bulletpoint"/>
        <w:rPr>
          <w:szCs w:val="24"/>
        </w:rPr>
      </w:pPr>
      <w:r w:rsidRPr="007B2413">
        <w:rPr>
          <w:rStyle w:val="normaltextrun"/>
          <w:rFonts w:cs="Arial"/>
          <w:szCs w:val="24"/>
        </w:rPr>
        <w:t xml:space="preserve">Give people the time and space to respond without interrupting. </w:t>
      </w:r>
      <w:r w:rsidRPr="007B2413">
        <w:rPr>
          <w:rStyle w:val="normaltextrun"/>
          <w:szCs w:val="24"/>
        </w:rPr>
        <w:t xml:space="preserve">This </w:t>
      </w:r>
      <w:r w:rsidRPr="007B2413">
        <w:rPr>
          <w:rStyle w:val="eop"/>
          <w:szCs w:val="24"/>
        </w:rPr>
        <w:t xml:space="preserve">is especially important if there are language barriers. </w:t>
      </w:r>
    </w:p>
    <w:p w14:paraId="2726B30C" w14:textId="77777777" w:rsidR="005146BD" w:rsidRPr="007B2413" w:rsidRDefault="005146BD" w:rsidP="007B2413">
      <w:pPr>
        <w:pStyle w:val="Bulletpoint"/>
      </w:pPr>
      <w:r w:rsidRPr="007B2413">
        <w:rPr>
          <w:rStyle w:val="normaltextrun"/>
        </w:rPr>
        <w:t>Check that people have understood what has been said or agreed.</w:t>
      </w:r>
      <w:r w:rsidRPr="007B2413">
        <w:rPr>
          <w:rStyle w:val="eop"/>
        </w:rPr>
        <w:t> </w:t>
      </w:r>
    </w:p>
    <w:p w14:paraId="12AF8A6F" w14:textId="77777777" w:rsidR="005146BD" w:rsidRPr="007B2413" w:rsidRDefault="005146BD" w:rsidP="007B2413">
      <w:pPr>
        <w:pStyle w:val="Bulletpoint"/>
        <w:rPr>
          <w:rStyle w:val="eop"/>
        </w:rPr>
      </w:pPr>
      <w:r w:rsidRPr="007B2413">
        <w:rPr>
          <w:rStyle w:val="normaltextrun"/>
        </w:rPr>
        <w:t>Keep information and sentences short and simple, avoid clinical jargon, and speak at a reasonable pace with a positive tone</w:t>
      </w:r>
      <w:r w:rsidRPr="007B2413">
        <w:rPr>
          <w:rStyle w:val="eop"/>
        </w:rPr>
        <w:t>.</w:t>
      </w:r>
    </w:p>
    <w:p w14:paraId="735E8B34" w14:textId="77777777" w:rsidR="005146BD" w:rsidRPr="001E0F30" w:rsidRDefault="005146BD" w:rsidP="00611B82">
      <w:pPr>
        <w:pStyle w:val="Bulletpoint"/>
        <w:rPr>
          <w:rStyle w:val="eop"/>
          <w:sz w:val="22"/>
        </w:rPr>
      </w:pPr>
      <w:r w:rsidRPr="001E0F30">
        <w:t>Check in with tāngata whai ora regularly to see how they are coping and if they need a break. A good rule of thumb is to check in at least every 15 minutes.</w:t>
      </w:r>
    </w:p>
    <w:p w14:paraId="6DA2A3EA" w14:textId="77777777" w:rsidR="00B3088E" w:rsidRDefault="005146BD" w:rsidP="00B3088E">
      <w:pPr>
        <w:pStyle w:val="Bulletpoint"/>
      </w:pPr>
      <w:r w:rsidRPr="001E0F30">
        <w:t xml:space="preserve">Where possible, use open rather than closed-ended questions within a conversational approach which can make the process more comfortable. </w:t>
      </w:r>
    </w:p>
    <w:p w14:paraId="1DA31797" w14:textId="46134DF6" w:rsidR="005146BD" w:rsidRPr="00B3088E" w:rsidRDefault="005146BD" w:rsidP="00B3088E">
      <w:pPr>
        <w:pStyle w:val="Bulletpoint"/>
      </w:pPr>
      <w:r w:rsidRPr="00611B82">
        <w:rPr>
          <w:rStyle w:val="BulletpointChar"/>
        </w:rPr>
        <w:t>When communicating with tāngata whai ora from rainbow communities, use gender neutral language like partner and parent, and use people’s preferred pronouns.</w:t>
      </w:r>
    </w:p>
    <w:bookmarkStart w:id="977" w:name="_Toc146624825"/>
    <w:bookmarkStart w:id="978" w:name="_Toc146714186"/>
    <w:bookmarkStart w:id="979" w:name="_Toc178780115"/>
    <w:bookmarkStart w:id="980" w:name="_Toc178838881"/>
    <w:bookmarkStart w:id="981" w:name="_Toc178839068"/>
    <w:bookmarkStart w:id="982" w:name="_Toc178839189"/>
    <w:bookmarkStart w:id="983" w:name="_Toc178839417"/>
    <w:bookmarkStart w:id="984" w:name="_Toc178841627"/>
    <w:bookmarkStart w:id="985" w:name="_Toc179198187"/>
    <w:bookmarkStart w:id="986" w:name="_Toc179198435"/>
    <w:bookmarkStart w:id="987" w:name="_Toc179198543"/>
    <w:bookmarkStart w:id="988" w:name="_Toc179198650"/>
    <w:bookmarkStart w:id="989" w:name="_Toc179446094"/>
    <w:p w14:paraId="720E1C4C" w14:textId="2D912AD4" w:rsidR="008B0F05" w:rsidRDefault="00B3088E" w:rsidP="005146BD">
      <w:pPr>
        <w:rPr>
          <w:b/>
          <w:bCs/>
          <w:color w:val="00C7C7" w:themeColor="accent5" w:themeTint="BF"/>
        </w:rPr>
      </w:pPr>
      <w:r w:rsidRPr="001E0F30">
        <w:rPr>
          <w:noProof/>
          <w:sz w:val="22"/>
        </w:rPr>
        <mc:AlternateContent>
          <mc:Choice Requires="wps">
            <w:drawing>
              <wp:inline distT="0" distB="0" distL="0" distR="0" wp14:anchorId="3524D7CB" wp14:editId="50079A6D">
                <wp:extent cx="6120130" cy="1301504"/>
                <wp:effectExtent l="0" t="0" r="13970" b="10795"/>
                <wp:docPr id="16507795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301504"/>
                        </a:xfrm>
                        <a:prstGeom prst="rect">
                          <a:avLst/>
                        </a:prstGeom>
                        <a:solidFill>
                          <a:schemeClr val="bg1">
                            <a:lumMod val="95000"/>
                          </a:schemeClr>
                        </a:solidFill>
                        <a:ln w="9525">
                          <a:solidFill>
                            <a:srgbClr val="000000"/>
                          </a:solidFill>
                          <a:miter lim="800000"/>
                          <a:headEnd/>
                          <a:tailEnd/>
                        </a:ln>
                      </wps:spPr>
                      <wps:txbx>
                        <w:txbxContent>
                          <w:p w14:paraId="4DC46208" w14:textId="77777777" w:rsidR="00B3088E" w:rsidRPr="00611B82" w:rsidRDefault="00B3088E" w:rsidP="00B3088E">
                            <w:pPr>
                              <w:rPr>
                                <w:b/>
                                <w:bCs/>
                              </w:rPr>
                            </w:pPr>
                            <w:r w:rsidRPr="00611B82">
                              <w:rPr>
                                <w:b/>
                                <w:bCs/>
                              </w:rPr>
                              <w:t>Setting up the right environment supports communication</w:t>
                            </w:r>
                          </w:p>
                          <w:p w14:paraId="01F19FEE" w14:textId="77777777" w:rsidR="00B3088E" w:rsidRPr="00611B82" w:rsidRDefault="00B3088E" w:rsidP="00B3088E">
                            <w:pPr>
                              <w:rPr>
                                <w:szCs w:val="24"/>
                              </w:rPr>
                            </w:pPr>
                            <w:r w:rsidRPr="00611B82">
                              <w:rPr>
                                <w:szCs w:val="24"/>
                              </w:rPr>
                              <w:t>Consider environmental adaptations that will support tāngata whai ora. Factors to consider include lighting (dim or bright), space (cluttered or tidy, open plan or closed off), and noise (background noise or quiet spaces).</w:t>
                            </w:r>
                          </w:p>
                        </w:txbxContent>
                      </wps:txbx>
                      <wps:bodyPr rot="0" vert="horz" wrap="square" lIns="91440" tIns="45720" rIns="91440" bIns="45720" anchor="t" anchorCtr="0">
                        <a:spAutoFit/>
                      </wps:bodyPr>
                    </wps:wsp>
                  </a:graphicData>
                </a:graphic>
              </wp:inline>
            </w:drawing>
          </mc:Choice>
          <mc:Fallback>
            <w:pict>
              <v:shape w14:anchorId="3524D7CB" id="_x0000_s1030" type="#_x0000_t202" style="width:481.9pt;height:1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" fillcolor="#f2f2f2 [3052]">
                <v:textbox style="mso-fit-shape-to-text:t">
                  <w:txbxContent>
                    <w:p w14:paraId="4DC46208" w14:textId="77777777" w:rsidR="00B3088E" w:rsidRPr="00611B82" w:rsidRDefault="00B3088E" w:rsidP="00B3088E">
                      <w:pPr>
                        <w:rPr>
                          <w:b/>
                          <w:bCs/>
                        </w:rPr>
                      </w:pPr>
                      <w:r w:rsidRPr="00611B82">
                        <w:rPr>
                          <w:b/>
                          <w:bCs/>
                        </w:rPr>
                        <w:t>Setting up the right environment supports communication</w:t>
                      </w:r>
                    </w:p>
                    <w:p w14:paraId="01F19FEE" w14:textId="77777777" w:rsidR="00B3088E" w:rsidRPr="00611B82" w:rsidRDefault="00B3088E" w:rsidP="00B3088E">
                      <w:pPr>
                        <w:rPr>
                          <w:szCs w:val="24"/>
                        </w:rPr>
                      </w:pPr>
                      <w:r w:rsidRPr="00611B82">
                        <w:rPr>
                          <w:szCs w:val="24"/>
                        </w:rPr>
                        <w:t>Consider environmental adaptations that will support tāngata whai ora. Factors to consider include lighting (dim or bright), space (cluttered or tidy, open plan or closed off), and noise (background noise or quiet spaces).</w:t>
                      </w:r>
                    </w:p>
                  </w:txbxContent>
                </v:textbox>
                <w10:anchorlock/>
              </v:shape>
            </w:pict>
          </mc:Fallback>
        </mc:AlternateContent>
      </w:r>
    </w:p>
    <w:p w14:paraId="62173191" w14:textId="77777777" w:rsidR="00B3088E" w:rsidRDefault="00B3088E" w:rsidP="005146BD">
      <w:pPr>
        <w:rPr>
          <w:b/>
          <w:bCs/>
          <w:color w:val="1E7880" w:themeColor="accent2" w:themeShade="BF"/>
        </w:rPr>
      </w:pPr>
    </w:p>
    <w:p w14:paraId="0DC7E686" w14:textId="13774823" w:rsidR="005146BD" w:rsidRPr="00A440F4" w:rsidRDefault="005146BD" w:rsidP="005146BD">
      <w:pPr>
        <w:rPr>
          <w:b/>
          <w:bCs/>
          <w:color w:val="1E7880" w:themeColor="accent2" w:themeShade="BF"/>
          <w:sz w:val="28"/>
          <w:szCs w:val="28"/>
        </w:rPr>
      </w:pPr>
      <w:r w:rsidRPr="00A440F4">
        <w:rPr>
          <w:b/>
          <w:bCs/>
          <w:color w:val="1E7880" w:themeColor="accent2" w:themeShade="BF"/>
          <w:sz w:val="28"/>
          <w:szCs w:val="28"/>
        </w:rPr>
        <w:t>Use trauma-informed approaches</w:t>
      </w:r>
      <w:bookmarkEnd w:id="977"/>
      <w:bookmarkEnd w:id="978"/>
      <w:bookmarkEnd w:id="979"/>
      <w:bookmarkEnd w:id="980"/>
      <w:bookmarkEnd w:id="981"/>
      <w:bookmarkEnd w:id="982"/>
      <w:bookmarkEnd w:id="983"/>
      <w:bookmarkEnd w:id="984"/>
      <w:bookmarkEnd w:id="985"/>
      <w:bookmarkEnd w:id="986"/>
      <w:bookmarkEnd w:id="987"/>
      <w:bookmarkEnd w:id="988"/>
      <w:bookmarkEnd w:id="989"/>
    </w:p>
    <w:p w14:paraId="48E36AC3" w14:textId="558D5D6D" w:rsidR="005146BD" w:rsidRDefault="005146BD" w:rsidP="00611B82">
      <w:pPr>
        <w:pStyle w:val="Bulletpoint"/>
        <w:rPr>
          <w:rFonts w:cs="Arial"/>
          <w:lang w:eastAsia="ko-KR"/>
        </w:rPr>
      </w:pPr>
      <w:r w:rsidRPr="008D0A6D">
        <w:t>Many people who use substances problematically have experienced psychological trauma.</w:t>
      </w:r>
      <w:r w:rsidRPr="008D0A6D">
        <w:fldChar w:fldCharType="begin"/>
      </w:r>
      <w:r w:rsidRPr="008D0A6D">
        <w:instrText xml:space="preserve"> ADDIN ZOTERO_ITEM CSL_CITATION {"citationID":"a7q8v99sc7","properties":{"formattedCitation":"\\super 121\\nosupersub{}","plainCitation":"121","noteIndex":0},"citationItems":[{"id":13589,"uris":["http://zotero.org/groups/4745233/items/BYJXIXMZ"],"itemData":{"id":13589,"type":"article-journal","abstract":"In this review, we discuss the relationship between childhood trauma, early-life stress, and substance use, abuse, and addiction. We further provide theories and neural studies to explain this relationship as well as potential treatment strategies for alcohol and drug abuse and addiction based on understanding types of early-life stressors that lead to both drug use and relapse.","container-title":"Current Psychology","DOI":"10.1007/s12144-018-9973-9","ISSN":"1936-4733","issue":"2","journalAbbreviation":"Curr Psychol","language":"en","page":"579-584","source":"Springer Link","title":"The relationship between childhood trauma, early-life stress, and alcohol and drug use, abuse, and addiction: An integrative review","title-short":"The relationship between childhood trauma, early-life stress, and alcohol and drug use, abuse, and addiction","volume":"40","author":[{"family":"Moustafa","given":"Ahmed A."},{"family":"Parkes","given":"Denise"},{"family":"Fitzgerald","given":"Louise"},{"family":"Underhill","given":"Dylan"},{"family":"Garami","given":"Julia"},{"family":"Levy-Gigi","given":"Einat"},{"family":"Stramecki","given":"Filip"},{"family":"Valikhani","given":"Ahmad"},{"family":"Frydecka","given":"Dorota"},{"family":"Misiak","given":"Blazej"}],"issued":{"date-parts":[["2021",2,1]]}}}],"schema":"https://github.com/citation-style-language/schema/raw/master/csl-citation.json"} </w:instrText>
      </w:r>
      <w:r w:rsidRPr="008D0A6D">
        <w:fldChar w:fldCharType="separate"/>
      </w:r>
      <w:r w:rsidRPr="008D0A6D">
        <w:rPr>
          <w:rFonts w:cs="Arial"/>
          <w:szCs w:val="24"/>
          <w:vertAlign w:val="superscript"/>
        </w:rPr>
        <w:t>121</w:t>
      </w:r>
      <w:r w:rsidRPr="008D0A6D">
        <w:fldChar w:fldCharType="end"/>
      </w:r>
      <w:r w:rsidRPr="008D0A6D">
        <w:t xml:space="preserve"> This is compounded by co-existing issues such as mental health challenges, or an intellectual, learning, developmental, and/or physical </w:t>
      </w:r>
      <w:r w:rsidRPr="008D0A6D">
        <w:rPr>
          <w:rFonts w:cs="Arial"/>
        </w:rPr>
        <w:t>disability.</w:t>
      </w:r>
      <w:r w:rsidRPr="008D0A6D">
        <w:rPr>
          <w:rFonts w:cs="Arial"/>
        </w:rPr>
        <w:fldChar w:fldCharType="begin"/>
      </w:r>
      <w:r w:rsidRPr="008D0A6D">
        <w:rPr>
          <w:rFonts w:cs="Arial"/>
        </w:rPr>
        <w:instrText xml:space="preserve"> ADDIN ZOTERO_ITEM CSL_CITATION {"citationID":"oFfzPPeg","properties":{"formattedCitation":"\\super 26,122,123\\nosupersub{}","plainCitation":"26,122,123","noteIndex":0},"citationItems":[{"id":13587,"uris":["http://zotero.org/groups/4745233/items/MKKP2QZJ"],"itemData":{"id":13587,"type":"article-journal","abstract":"Background People with an intellectual disability are more vulnerable to psychological trauma compared with the general population. The aim of this scoping review was to identify the current status of the literature on trauma that is specific to the experiences of adults with an intellectual disability, living in community settings. Methods A scoping review was conducted using the Arksey and O'Malley (International Journal of Social Research Methodology, 2005, 8, 19) framework. Forty-one international papers were reviewed spanning 2000–2020, and their quality assessed using the MMAT. Findings (1) Aggressive behaviours can be symptoms of trauma, (2) there are appropriate assessment tools for the impact of trauma, (3) evidence-based interventions for trauma may be effective, and (4) factors associated with disability can be experienced as traumatic. Conclusion There is a growing body of literature highlighting assessment needs and potential interventions for people with an intellectual disability who have experienced psychological trauma. Further research is needed to develop trauma-informed pathways.","container-title":"Journal of Applied Research in Intellectual Disabilities","DOI":"10.1111/jar.12872","ISSN":"1468-3148","issue":"4","language":"en","note":"_eprint: https://onlinelibrary.wiley.com/doi/pdf/10.1111/jar.12872","page":"927-949","source":"Wiley Online Library","title":"Trauma experiences of people with an intellectual disability and their implications: A scoping review","title-short":"Trauma experiences of people with an intellectual disability and their implications","volume":"34","author":[{"family":"McNally","given":"Paddy"},{"family":"Taggart","given":"Laurence"},{"family":"Shevlin","given":"Mark"}],"issued":{"date-parts":[["2021"]]}}},{"id":13586,"uris":["http://zotero.org/groups/4745233/items/PQAFAY23"],"itemData":{"id":13586,"type":"article-journal","abstract":"Traumatic life events have pervasive impacts on health and well-being. A growing body of literature shows that people with intellectual and developmental disabilities are disproportionately impacted by trauma. Trauma-informed care (TIC) is a philosophy of service provision that is committed to preventing traumatization and re-traumatization and promoting healing. This study explores the perceptions of 130 leaders in the field of intellectual and developmental disabilities services on the adoption and practice of TIC through the analysis of quantitative data. Results indicated a disconnect between the level of TIC integration and perceptions detailing how well organizations are currently performing in aspects of TIC. Barriers to TIC included high staff turnover, lack of accessible mental health providers, lack of affordable tra</w:instrText>
      </w:r>
      <w:r w:rsidRPr="008D0A6D">
        <w:rPr>
          <w:rFonts w:cs="Arial"/>
          <w:lang w:eastAsia="ko-KR"/>
        </w:rPr>
        <w:instrText xml:space="preserve">ining, stigma, and restrictive funding structures. Implications and recommendations for service organizations and educators are provided.","container-title":"Journal of intellectual disabilities: JOID","DOI":"10.1177/1744629520918086","ISSN":"1744-6309","issue":"4","journalAbbreviation":"J Intellect Disabil","language":"eng","note":"PMID: 32319343","page":"603-618","source":"PubMed","title":"Trauma-informed care in the context of intellectual and developmental disability services: Perceptions of service providers","title-short":"Trauma-informed care in the context of intellectual and developmental disability services","volume":"25","author":[{"family":"Rich","given":"Amanda J."},{"family":"DiGregorio","given":"Nikki"},{"family":"Strassle","given":"Carla"}],"issued":{"date-parts":[["2021",12]]}}},{"id":7462,"uris":["http://zotero.org/groups/4370511/items/TFYREHNR"],"itemData":{"id":7462,"type":"document","abstract":"Weaving together knowledge for wellbeing helps you recognise, understand and respond in a trauma-informed way for people with mental health and addiction needs","language":"en","title":"Weaving together knowledge for wellbeing | Trauma informed approaches","URL":"https://www.tepou.co.nz/resources/weaving-together-knowledge-for-wellbeing-trauma-informed-approaches","author":[{"literal":"Te Pou"}],"accessed":{"date-parts":[["2021",7,15]]},"issued":{"date-parts":[["2021"]]}}}],"schema":"https://github.com/citation-style-language/schema/raw/master/csl-citation.json"} </w:instrText>
      </w:r>
      <w:r w:rsidRPr="008D0A6D">
        <w:rPr>
          <w:rFonts w:cs="Arial"/>
        </w:rPr>
        <w:fldChar w:fldCharType="separate"/>
      </w:r>
      <w:r w:rsidRPr="008D0A6D">
        <w:rPr>
          <w:rFonts w:cs="Arial"/>
          <w:szCs w:val="24"/>
          <w:vertAlign w:val="superscript"/>
          <w:lang w:eastAsia="ko-KR"/>
        </w:rPr>
        <w:t>26,122,123</w:t>
      </w:r>
      <w:r w:rsidRPr="008D0A6D">
        <w:rPr>
          <w:rFonts w:cs="Arial"/>
        </w:rPr>
        <w:fldChar w:fldCharType="end"/>
      </w:r>
      <w:r w:rsidRPr="008D0A6D">
        <w:rPr>
          <w:rFonts w:cs="Arial"/>
          <w:lang w:eastAsia="ko-KR"/>
        </w:rPr>
        <w:t xml:space="preserve"> </w:t>
      </w:r>
    </w:p>
    <w:p w14:paraId="57838AA3" w14:textId="612AD5E7" w:rsidR="005146BD" w:rsidRPr="008D0A6D" w:rsidRDefault="005146BD" w:rsidP="00611B82">
      <w:pPr>
        <w:pStyle w:val="Bulletpoint"/>
        <w:rPr>
          <w:lang w:eastAsia="ko-KR"/>
        </w:rPr>
      </w:pPr>
      <w:r w:rsidRPr="008D0A6D">
        <w:rPr>
          <w:lang w:eastAsia="ko-KR"/>
        </w:rPr>
        <w:t>Māori have experienced significant trauma from colonisation and the impacts are ongoing (intergenerational trauma).</w:t>
      </w:r>
      <w:r w:rsidRPr="008D0A6D">
        <w:fldChar w:fldCharType="begin"/>
      </w:r>
      <w:r w:rsidRPr="008D0A6D">
        <w:rPr>
          <w:lang w:eastAsia="ko-KR"/>
        </w:rPr>
        <w:instrText xml:space="preserve"> ADDIN ZOTERO_ITEM CSL_CITATION {"citationID":"a1e9l28sopl","properties":{"</w:instrText>
      </w:r>
      <w:r w:rsidRPr="008D0A6D">
        <w:instrText xml:space="preserve">formattedCitation":"\\super 26,124,125\\nosupersub{}","plainCitation":"26,124,125","noteIndex":0},"citationItems":[{"id":7462,"uris":["http://zotero.org/groups/4370511/items/TFYREHNR"],"itemData":{"id":7462,"type":"document","abstract":"Weaving together knowledge for wellbeing helps you recognise, understand and respond in a trauma-informed way for people with mental health and addiction needs","language":"en","title":"Weaving together knowledge for wellbeing | Trauma informed approaches","URL":"https://www.tepou.co.nz/resources/weaving-together-knowledge-for-wellbeing-trauma-informed-approaches","author":[{"literal":"Te Pou"}],"accessed":{"date-parts":[["2021",7,15]]},"issued":{"date-parts":[["2021"]]}},"label":"page"},{"id":14121,"uris":["http://zotero.org/groups/4745233/items/YL3XYV3K"],"itemData":{"id":14121,"type":"document","publisher":"New Zealand Family Violence Clearinghouse","title":"Historical trauma and whānau violence","author":[{"family":"Pihama","given":"L"},{"family":"Cameron","given":"N"},{"family":"Te Nana","given":"R"}],"issued":{"date-parts":[["2019"]]}}},{"id":14122,"uris":["http://zotero.org/groups/4745233/items/VDDTAQA2"],"itemData":{"id":14122,"type":"article-journal","abstract":"We analyse the impact of land loss, through colonisation, on contemporary cultural wellbeing and health outcomes of Māori, the Indigenous population of Aotearoa New Zealand. In 1840, Māori legally owned all land in the country; by 2017, Māori owned just 5% of land. Ties to the land (whenua) have been identified as being critical to spirituality (wairua) and health (hauora). All tribes (iwi) experienced major land loss, but the timing, extent and nature of land loss differed across iwi. In some cases, land was confiscated following the New Zealand wars of the nineteenth century. We draw on recently derived data for historical landholdings of 70 (North Island) iwi to link the extent of historical landholdings, and whether land was confiscated, to contemporary outcomes for five cultural wellbeing and health outcomes for each iwi: te reo Māori (Māori language) proficiency, importance of involvement in Māori culture, visiting an ancestral marae (meeting place), difficulty in finding support for Māori cultural practices, and rates of regular smoking. We find that higher land retention within an iwi's rohe at the end of the nineteenth century is supportive of contemporary cultural wellbeing outcomes, while confiscation is linked to higher contemporary rates of smoking. The evidence is consistent with historical trauma having significant effects on the cultural wellbeing and health outcomes of Aotearoa New Zealand's Indigenous population over a century later.","container-title":"Social Science &amp; Medicine","DOI":"10.1016/j.socscimed.2022.114804","ISSN":"0277-9536","journalAbbreviation":"Social Science &amp; Medicine","page":"114804","source":"ScienceDirect","title":"Land loss and the intergenerational transmission of wellbeing: The experience of iwi in Aotearoa New Zealand","title-short":"Land loss and the intergenerational transmission of wellbeing","volume":"296","author":[{"family":"Thom","given":"Rowan Ropata Macgregor"},{"family":"Grimes","given":"Arthur"}],"issued":{"date-parts":[["2022",3,1]]}}}],"schema":"https://github.com/citation-style-language/schema/raw/master/csl-citation.json"} </w:instrText>
      </w:r>
      <w:r w:rsidRPr="008D0A6D">
        <w:fldChar w:fldCharType="separate"/>
      </w:r>
      <w:r w:rsidRPr="008D0A6D">
        <w:rPr>
          <w:szCs w:val="24"/>
          <w:vertAlign w:val="superscript"/>
        </w:rPr>
        <w:t>26,124,125</w:t>
      </w:r>
      <w:r w:rsidRPr="008D0A6D">
        <w:fldChar w:fldCharType="end"/>
      </w:r>
      <w:r w:rsidRPr="008D0A6D">
        <w:t xml:space="preserve"> Pasifika peoples, refugees and migrants, </w:t>
      </w:r>
      <w:r w:rsidRPr="008D0A6D">
        <w:lastRenderedPageBreak/>
        <w:t>people in contact with the justice system, and people in rainbow communities (particularly rainbow youth) are also more likely to have experienced trauma.</w:t>
      </w:r>
      <w:r w:rsidRPr="008D0A6D">
        <w:fldChar w:fldCharType="begin"/>
      </w:r>
      <w:r w:rsidRPr="008D0A6D">
        <w:instrText xml:space="preserve"> ADDIN ZOTERO_ITEM CSL_CITATION {"citationID":"ap6c3j5e2k","properties":{"formattedCitation":"\\super 26,126\\uc0\\u8211{}130\\nosupersub{}","plainCitation":"26,126–130","noteIndex":0},"citationItems":[{"id":7462,"uris":["http://zotero.org/groups/4370511/items/TFYREHNR"],"itemData":{"id":7462,"type":"document","abstract":"Weaving together knowledge for wellbeing helps you recognise, understand and respond in a trauma-informed way for people with mental health and addiction needs","language":"en","title":"Weaving together knowledge for wellbeing | Trauma informed approaches","URL":"https://www.tepou.co.nz/resources/weaving-together-knowledge-for-wellbeing-trauma-informed-approaches","author":[{"literal":"Te Pou"}],"accessed":{"date-parts":[["2021",7,15]]},"issued":{"date-parts":[["2021"]]}}},{"id":12592,"uris":["http://zotero.org/groups/4745233/items/A7GZXMYR"],"itemData":{"id":12592,"type":"report","title":"The health and wellbeing of takatāpui and rainbow young people who have been involved with Oranga Tamariki","URL":"https://static1.squarespace.com/static/5bdbb75ccef37259122e59aa/t/62f0493ef40d2b16900c5dde/1659914561676/Takat%C4%81pui+and+Rainbow+young+people+involved+with+Oranga+Tamariki_Youth19_.pdf","author":[{"literal":"The Youth19 Research Group"}],"accessed":{"date-parts":[["2023",2,3]]},"issued":{"date-parts":[["2022"]]}}},{"id":14123,"uris":["http://zotero.org/groups/4745233/items/IMQQTT3G"],"itemData":{"id":14123,"type":"article-journal","abstract":"Purpose of Review\nThe number of refugees across the globe continues to grow, leaving a large proportion of the global population in a vulnerable state of health. However, the number of robust clinical interventions has not kept apace. This paper provides a general review of literature on the trauma and violence that refugees face, the impact on health outcomes, and some of the promising models for clinical intervention.\n\nRecent Findings\nRefugees experience a cycle of trauma, violence, and distress that begins before migration and continues during migration and after resettlement. It has been challenging to develop robust clinical interventions due to the cumulative and cyclic effects of trauma, as well as the unique experiences of trauma that each refugee community and each refugee individual faces.\n\nSummary\nTrauma-informed care is a critical component of health care. Developing stronger guidelines for trauma-informed care will help clinicians better provide inclusive and equitable care for refugee patients.","container-title":"Current Trauma Reports","DOI":"10.1007/s40719-021-00217-x","ISSN":"2198-6096","issue":"4","journalAbbreviation":"Curr Trauma Rep","note":"PMID: 34804764\nPMCID: PMC8590436","page":"83-91","source":"PubMed Central","title":"Recognizing and Breaking the Cycle of Trauma and Violence Among Resettled Refugees","volume":"7","author":[{"family":"Shi","given":"Meilynn"},{"family":"Stey","given":"Anne"},{"family":"Tatebe","given":"Leah C."}],"issued":{"date-parts":[["2021"]]}}},{"id":14124,"uris":["http://zotero.org/groups/4745233/items/6KVBWCDL"],"itemData":{"id":14124,"type":"article-journal","abstract":"Aims and method This study aimed to identify predictors of symptom severity for post-traumatic stress disorder (PTSD) and depression in asylum seekers and refugees referred to a specialised mental health centre. Trauma exposure (number and domain of event), refugee status and severity of PTSD and depression were assessed in 688 refugees., Results Symptom severity of PTSD and depression was significantly associated with lack of refugee status and accumulation of traumatic events. Four domains of traumatic events (human rights abuse, lack of necessities, traumatic loss, and separation from others) were not uniquely associated with symptom severity. All factors taken together explained 11% of variance in PTSD and depression., Clinical implications To account for multiple predictors of symptom severity including multiple traumatic events, treatment for traumatised refugees may need to be multimodal and enable the processing of multiple traumatic memories within a reasonable time-frame.","container-title":"BJPsych Bulletin","DOI":"10.1192/pb.bp.114.047951","ISSN":"2056-4694","issue":"4","journalAbbreviation":"BJPsych Bull","note":"PMID: 26755950\nPMCID: PMC4706143","page":"178-182","source":"PubMed Central","title":"Trauma exposure and refugee status as predictors of mental health outcomes in treatment-seeking refugee</w:instrText>
      </w:r>
      <w:r w:rsidRPr="008D0A6D">
        <w:rPr>
          <w:lang w:eastAsia="ko-KR"/>
        </w:rPr>
        <w:instrText xml:space="preserve">s","volume":"39","author":[{"family":"Knipscheer","given":"Jeroen W."},{"family":"Sleijpen","given":"Marieke"},{"family":"Mooren","given":"Trudy"},{"family":"Heide","given":"F. Jackie June","non-dropping-particle":"ter"},{"family":"Aa","given":"Niels","non-dropping-particle":"van der"}],"issued":{"date-parts":[["2015",8]]}}},{"id":14125,"uris":["http://zotero.org/groups/4745233/items/6VFPYB3A"],"itemData":{"id":14125,"type":"webpage","abstract":"This study quantifies prisoners’ lifetime exposure to potentially traumatising events using data from the recent study on the comorbidity of mental health and substance abuse disorders.","language":"en-NZ","title":"New Zealand prisoners’ prior exposure to trauma","URL":"https://www.corrections.govt.nz/resources/research/journal/volume_5_issue_1_july_2017/new_zealand_prisoners_prior_exposure_to_trauma","author":[{"literal":"Ara Poutama Aotearoa: Department of Corrections"}],"accessed":{"date-parts":[["2023",8,31]]},"issued":{"date-parts":[["2017",7,28]]}}},{"id":14126,"uris":["http://zotero.org/groups/4745233/items/WRQNMEJ6"],"itemData":{"id":14126,"type":"report","title":"Pacific wellbeing Talanoa series one summary report – May 2021","URL":"https://www.mpp.govt.nz/assets/Reports/Pacific-Wellbeing-Strategy-2022/MPP-Report-PWS-Talanoa-Series-May2021.pdf","author":[{"literal":"Ministry for Pacific Peoples"}],"issued":{"date-parts":[["2021"]]}}}],"schema":"https://github.com/citation-style-language/schema/raw/master/csl-citation.json"} </w:instrText>
      </w:r>
      <w:r w:rsidRPr="008D0A6D">
        <w:fldChar w:fldCharType="separate"/>
      </w:r>
      <w:r w:rsidRPr="008D0A6D">
        <w:rPr>
          <w:szCs w:val="24"/>
          <w:vertAlign w:val="superscript"/>
          <w:lang w:eastAsia="ko-KR"/>
        </w:rPr>
        <w:t>26,126–130</w:t>
      </w:r>
      <w:r w:rsidRPr="008D0A6D">
        <w:fldChar w:fldCharType="end"/>
      </w:r>
      <w:r w:rsidRPr="008D0A6D">
        <w:rPr>
          <w:lang w:eastAsia="ko-KR"/>
        </w:rPr>
        <w:t xml:space="preserve"> </w:t>
      </w:r>
    </w:p>
    <w:p w14:paraId="6C6A7A36" w14:textId="03C89545" w:rsidR="005146BD" w:rsidRPr="008D0A6D" w:rsidRDefault="00B3088E" w:rsidP="005146BD">
      <w:pPr>
        <w:pStyle w:val="Bodycopy"/>
        <w:ind w:left="720"/>
        <w:rPr>
          <w:rFonts w:cs="Arial"/>
          <w:szCs w:val="22"/>
          <w:lang w:eastAsia="ko-KR"/>
        </w:rPr>
      </w:pPr>
      <w:r>
        <w:rPr>
          <w:noProof/>
        </w:rPr>
        <mc:AlternateContent>
          <mc:Choice Requires="wps">
            <w:drawing>
              <wp:inline distT="0" distB="0" distL="0" distR="0" wp14:anchorId="41131B95" wp14:editId="572A8519">
                <wp:extent cx="5467350" cy="5295900"/>
                <wp:effectExtent l="0" t="0" r="19050" b="19050"/>
                <wp:docPr id="1480389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5295900"/>
                        </a:xfrm>
                        <a:prstGeom prst="rect">
                          <a:avLst/>
                        </a:prstGeom>
                        <a:solidFill>
                          <a:schemeClr val="bg1">
                            <a:lumMod val="95000"/>
                          </a:schemeClr>
                        </a:solidFill>
                        <a:ln w="9525">
                          <a:solidFill>
                            <a:srgbClr val="000000"/>
                          </a:solidFill>
                          <a:miter lim="800000"/>
                          <a:headEnd/>
                          <a:tailEnd/>
                        </a:ln>
                      </wps:spPr>
                      <wps:txbx>
                        <w:txbxContent>
                          <w:p w14:paraId="5A3A3450" w14:textId="77777777" w:rsidR="00B3088E" w:rsidRPr="00965659" w:rsidRDefault="00B3088E" w:rsidP="00B3088E">
                            <w:r w:rsidRPr="00965659">
                              <w:rPr>
                                <w:lang w:eastAsia="ko-KR"/>
                              </w:rPr>
                              <w:t>A trauma-informed approach focuses on what has happened in a person’s past and how this has impacted and shaped the person. It requires workers to recognise and understand that trauma manife</w:t>
                            </w:r>
                            <w:r w:rsidRPr="00965659">
                              <w:t>sts in many ways and to actively work to avoid retraumatising people.</w:t>
                            </w:r>
                            <w:r w:rsidRPr="00965659">
                              <w:fldChar w:fldCharType="begin"/>
                            </w:r>
                            <w:r w:rsidRPr="00965659">
                              <w:instrText xml:space="preserve"> ADDIN ZOTERO_ITEM CSL_CITATION {"citationID":"m1jyQ6Ly","properties":{"formattedCitation":"\\super 26,131\\nosupersub{}","plainCitation":"26,131","noteIndex":0},"citationItems":[{"id":12677,"uris":["http://zotero.org/groups/4745233/items/YKMKX7KD"],"itemData":{"id":12677,"type":"article-journal","abstract":"Trauma and adverse childhood experiences can have lifelong effects on emotional, behavioral, and physical health. Health providers, along with state and federal policy makers, are calling for increasing trauma-informed care and trauma-informed approaches across health, social service, and education sectors. Occupational therapy practitioners are likely to work with individuals with a history of trauma across many settings, and it is imperative to have a working knowledge of ways to support these individuals. This article outlines basic principles related to trauma, trauma-informed approaches, and research that may assist practitioners in understanding how trauma-informed approaches align with core tenets of occupational therapy and how to facilitate best care for those they serve across all settings and environments.","language":"en","page":"9","source":"Zotero","title":"Understanding and Applying Trauma-Informed Approaches Across Occupational Therapy Settings","author":[{"family":"Fette","given":"Claudette"}],"issued":{"date-parts":[["2019"]]}}},{"id":7462,"uris":["http://zotero.org/groups/4370511/items/TFYREHNR"],"itemData":{"id":7462,"type":"document","abstract":"Weaving together knowledge for wellbeing helps you recognise, understand and respond in a trauma-informed way for people with mental health and addiction needs","language":"en","title":"Weaving together knowledge for wellbeing | Trauma informed approaches","URL":"https://www.tepou.co.nz/resources/weaving-together-knowledge-for-wellbeing-trauma-informed-approaches","author":[{"literal":"Te Pou"}],"accessed":{"date-parts":[["2021",7,15]]},"issued":{"date-parts":[["2021"]]}}}],"schema":"https://github.com/citation-style-language/schema/raw/master/csl-citation.json"} </w:instrText>
                            </w:r>
                            <w:r w:rsidRPr="00965659">
                              <w:fldChar w:fldCharType="separate"/>
                            </w:r>
                            <w:r w:rsidRPr="00965659">
                              <w:rPr>
                                <w:rFonts w:cs="Arial"/>
                                <w:vertAlign w:val="superscript"/>
                              </w:rPr>
                              <w:t>26,131</w:t>
                            </w:r>
                            <w:r w:rsidRPr="00965659">
                              <w:fldChar w:fldCharType="end"/>
                            </w:r>
                            <w:r w:rsidRPr="00965659">
                              <w:t xml:space="preserve"> </w:t>
                            </w:r>
                          </w:p>
                          <w:p w14:paraId="05F5BF07" w14:textId="77777777" w:rsidR="00B3088E" w:rsidRPr="00965659" w:rsidRDefault="00B3088E" w:rsidP="00B3088E">
                            <w:r w:rsidRPr="00965659">
                              <w:t>Asking some tāngata whai ora about their history can potentially be retraumatising. Therefore, some people who have experienced trauma may have unexpected or negative reactions to cognitive screening or assessment questions. Clinical judgement should be used about whether cognitive screening or assessment should continue if tāngata whai ora and whānau appear distressed and people should be linked with appropriate support if needed.</w:t>
                            </w:r>
                            <w:r w:rsidRPr="00965659">
                              <w:fldChar w:fldCharType="begin"/>
                            </w:r>
                            <w:r w:rsidRPr="00965659">
                              <w:instrText xml:space="preserve"> ADDIN ZOTERO_ITEM CSL_CITATION {"citationID":"L7Ebjf8G","properties":{"formattedCitation":"\\super 54\\nosupersub{}","plainCitation":"54","noteIndex":0},"citationItems":[{"id":14216,"uris":["http://zotero.org/groups/4745233/items/866CDPL8"],"itemData":{"id":14216,"type":"report","publisher":"Addiction Technology Transfer Center Network","title":"Traumatic brain injury and substance use disorders: Making the connections","URL":"https://attcnetwork.org/sites/default/files/2021-11/TBI%20%20SUD%20Toolkit%20FINAL%2011.05.2021.pdf","author":[{"family":"Lemsky","given":"Carolyn"}],"collection-editor":[{"family":"Stilen","given":"P"},{"family":"Heitkamp","given":"T"}],"accessed":{"date-parts":[["2022",12,15]]},"issued":{"date-parts":[["2021"]]}}}],"schema":"https://github.com/citation-style-language/schema/raw/master/csl-citation.json"} </w:instrText>
                            </w:r>
                            <w:r w:rsidRPr="00965659">
                              <w:fldChar w:fldCharType="separate"/>
                            </w:r>
                            <w:r w:rsidRPr="00965659">
                              <w:rPr>
                                <w:rFonts w:cs="Arial"/>
                                <w:vertAlign w:val="superscript"/>
                              </w:rPr>
                              <w:t>54</w:t>
                            </w:r>
                            <w:r w:rsidRPr="00965659">
                              <w:fldChar w:fldCharType="end"/>
                            </w:r>
                            <w:r w:rsidRPr="00965659">
                              <w:t xml:space="preserve"> The way results are shared can also be retraumatising; therefore, always share results back with people using a strengths-based approach. </w:t>
                            </w:r>
                          </w:p>
                          <w:p w14:paraId="3FAE1A7A" w14:textId="77777777" w:rsidR="00B3088E" w:rsidRPr="00965659" w:rsidRDefault="00B3088E" w:rsidP="00B3088E">
                            <w:r w:rsidRPr="00965659">
                              <w:t xml:space="preserve">Check if tāngata whai ora have had previous bad experiences with screening or assessment in health settings. This includes mistrust of clinical processes (like Māori may have due to colonisation) or people (like discrimination or abuse). Take the time to understand what happened for the person and how you can build trust and improve on previous experiences. </w:t>
                            </w:r>
                          </w:p>
                          <w:p w14:paraId="153A973C" w14:textId="77777777" w:rsidR="00B3088E" w:rsidRPr="00965659" w:rsidRDefault="00B3088E" w:rsidP="00B3088E">
                            <w:r w:rsidRPr="00965659">
                              <w:t>An example of approaching sensitive topics in a trauma-informed way is to prepare tāngata whai ora for what you might ask. For example, “In the second part of this session I’m going to ask questions about the trauma that happened to you during your teenage years. Is there anything I can do to help you prepare for this?”</w:t>
                            </w:r>
                          </w:p>
                        </w:txbxContent>
                      </wps:txbx>
                      <wps:bodyPr rot="0" vert="horz" wrap="square" lIns="91440" tIns="45720" rIns="91440" bIns="45720" anchor="t" anchorCtr="0">
                        <a:noAutofit/>
                      </wps:bodyPr>
                    </wps:wsp>
                  </a:graphicData>
                </a:graphic>
              </wp:inline>
            </w:drawing>
          </mc:Choice>
          <mc:Fallback>
            <w:pict>
              <v:shape w14:anchorId="41131B95" id="_x0000_s1031" type="#_x0000_t202" style="width:430.5pt;height:4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" fillcolor="#f2f2f2 [3052]">
                <v:textbox>
                  <w:txbxContent>
                    <w:p w14:paraId="5A3A3450" w14:textId="77777777" w:rsidR="00B3088E" w:rsidRPr="00965659" w:rsidRDefault="00B3088E" w:rsidP="00B3088E">
                      <w:r w:rsidRPr="00965659">
                        <w:rPr>
                          <w:lang w:eastAsia="ko-KR"/>
                        </w:rPr>
                        <w:t>A trauma-informed approach focuses on what has happened in a person’s past and how this has impacted and shaped the person. It requires workers to recognise and understand that trauma manife</w:t>
                      </w:r>
                      <w:r w:rsidRPr="00965659">
                        <w:t>sts in many ways and to actively work to avoid retraumatising people.</w:t>
                      </w:r>
                      <w:r w:rsidRPr="00965659">
                        <w:fldChar w:fldCharType="begin"/>
                      </w:r>
                      <w:r w:rsidRPr="00965659">
                        <w:instrText xml:space="preserve"> ADDIN ZOTERO_ITEM CSL_CITATION {"citationID":"m1jyQ6Ly","properties":{"formattedCitation":"\\super 26,131\\nosupersub{}","plainCitation":"26,131","noteIndex":0},"citationItems":[{"id":12677,"uris":["http://zotero.org/groups/4745233/items/YKMKX7KD"],"itemData":{"id":12677,"type":"article-journal","abstract":"Trauma and adverse childhood experiences can have lifelong effects on emotional, behavioral, and physical health. Health providers, along with state and federal policy makers, are calling for increasing trauma-informed care and trauma-informed approaches across health, social service, and education sectors. Occupational therapy practitioners are likely to work with individuals with a history of trauma across many settings, and it is imperative to have a working knowledge of ways to support these individuals. This article outlines basic principles related to trauma, trauma-informed approaches, and research that may assist practitioners in understanding how trauma-informed approaches align with core tenets of occupational therapy and how to facilitate best care for those they serve across all settings and environments.","language":"en","page":"9","source":"Zotero","title":"Understanding and Applying Trauma-Informed Approaches Across Occupational Therapy Settings","author":[{"family":"Fette","given":"Claudette"}],"issued":{"date-parts":[["2019"]]}}},{"id":7462,"uris":["http://zotero.org/groups/4370511/items/TFYREHNR"],"itemData":{"id":7462,"type":"document","abstract":"Weaving together knowledge for wellbeing helps you recognise, understand and respond in a trauma-informed way for people with mental health and addiction needs","language":"en","title":"Weaving together knowledge for wellbeing | Trauma informed approaches","URL":"https://www.tepou.co.nz/resources/weaving-together-knowledge-for-wellbeing-trauma-informed-approaches","author":[{"literal":"Te Pou"}],"accessed":{"date-parts":[["2021",7,15]]},"issued":{"date-parts":[["2021"]]}}}],"schema":"https://github.com/citation-style-language/schema/raw/master/csl-citation.json"} </w:instrText>
                      </w:r>
                      <w:r w:rsidRPr="00965659">
                        <w:fldChar w:fldCharType="separate"/>
                      </w:r>
                      <w:r w:rsidRPr="00965659">
                        <w:rPr>
                          <w:rFonts w:cs="Arial"/>
                          <w:vertAlign w:val="superscript"/>
                        </w:rPr>
                        <w:t>26,131</w:t>
                      </w:r>
                      <w:r w:rsidRPr="00965659">
                        <w:fldChar w:fldCharType="end"/>
                      </w:r>
                      <w:r w:rsidRPr="00965659">
                        <w:t xml:space="preserve"> </w:t>
                      </w:r>
                    </w:p>
                    <w:p w14:paraId="05F5BF07" w14:textId="77777777" w:rsidR="00B3088E" w:rsidRPr="00965659" w:rsidRDefault="00B3088E" w:rsidP="00B3088E">
                      <w:r w:rsidRPr="00965659">
                        <w:t>Asking some tāngata whai ora about their history can potentially be retraumatising. Therefore, some people who have experienced trauma may have unexpected or negative reactions to cognitive screening or assessment questions. Clinical judgement should be used about whether cognitive screening or assessment should continue if tāngata whai ora and whānau appear distressed and people should be linked with appropriate support if needed.</w:t>
                      </w:r>
                      <w:r w:rsidRPr="00965659">
                        <w:fldChar w:fldCharType="begin"/>
                      </w:r>
                      <w:r w:rsidRPr="00965659">
                        <w:instrText xml:space="preserve"> ADDIN ZOTERO_ITEM CSL_CITATION {"citationID":"L7Ebjf8G","properties":{"formattedCitation":"\\super 54\\nosupersub{}","plainCitation":"54","noteIndex":0},"citationItems":[{"id":14216,"uris":["http://zotero.org/groups/4745233/items/866CDPL8"],"itemData":{"id":14216,"type":"report","publisher":"Addiction Technology Transfer Center Network","title":"Traumatic brain injury and substance use disorders: Making the connections","URL":"https://attcnetwork.org/sites/default/files/2021-11/TBI%20%20SUD%20Toolkit%20FINAL%2011.05.2021.pdf","author":[{"family":"Lemsky","given":"Carolyn"}],"collection-editor":[{"family":"Stilen","given":"P"},{"family":"Heitkamp","given":"T"}],"accessed":{"date-parts":[["2022",12,15]]},"issued":{"date-parts":[["2021"]]}}}],"schema":"https://github.com/citation-style-language/schema/raw/master/csl-citation.json"} </w:instrText>
                      </w:r>
                      <w:r w:rsidRPr="00965659">
                        <w:fldChar w:fldCharType="separate"/>
                      </w:r>
                      <w:r w:rsidRPr="00965659">
                        <w:rPr>
                          <w:rFonts w:cs="Arial"/>
                          <w:vertAlign w:val="superscript"/>
                        </w:rPr>
                        <w:t>54</w:t>
                      </w:r>
                      <w:r w:rsidRPr="00965659">
                        <w:fldChar w:fldCharType="end"/>
                      </w:r>
                      <w:r w:rsidRPr="00965659">
                        <w:t xml:space="preserve"> The way results are shared can also be retraumatising; therefore, always share results back with people using a strengths-based approach. </w:t>
                      </w:r>
                    </w:p>
                    <w:p w14:paraId="3FAE1A7A" w14:textId="77777777" w:rsidR="00B3088E" w:rsidRPr="00965659" w:rsidRDefault="00B3088E" w:rsidP="00B3088E">
                      <w:r w:rsidRPr="00965659">
                        <w:t xml:space="preserve">Check if tāngata whai ora have had previous bad experiences with screening or assessment in health settings. This includes mistrust of clinical processes (like Māori may have due to colonisation) or people (like discrimination or abuse). Take the time to understand what happened for the person and how you can build trust and improve on previous experiences. </w:t>
                      </w:r>
                    </w:p>
                    <w:p w14:paraId="153A973C" w14:textId="77777777" w:rsidR="00B3088E" w:rsidRPr="00965659" w:rsidRDefault="00B3088E" w:rsidP="00B3088E">
                      <w:r w:rsidRPr="00965659">
                        <w:t>An example of approaching sensitive topics in a trauma-informed way is to prepare tāngata whai ora for what you might ask. For example, “In the second part of this session I’m going to ask questions about the trauma that happened to you during your teenage years. Is there anything I can do to help you prepare for this?”</w:t>
                      </w:r>
                    </w:p>
                  </w:txbxContent>
                </v:textbox>
                <w10:anchorlock/>
              </v:shape>
            </w:pict>
          </mc:Fallback>
        </mc:AlternateContent>
      </w:r>
    </w:p>
    <w:p w14:paraId="42425BBB" w14:textId="26FD281A" w:rsidR="00611B82" w:rsidRDefault="00611B82" w:rsidP="005B1FAB">
      <w:pPr>
        <w:rPr>
          <w:b/>
          <w:bCs/>
          <w:color w:val="1E7880" w:themeColor="accent2" w:themeShade="BF"/>
        </w:rPr>
      </w:pPr>
      <w:bookmarkStart w:id="990" w:name="_Toc146624826"/>
      <w:bookmarkStart w:id="991" w:name="_Toc146714187"/>
      <w:bookmarkStart w:id="992" w:name="_Toc178780116"/>
      <w:bookmarkStart w:id="993" w:name="_Toc178838882"/>
      <w:bookmarkStart w:id="994" w:name="_Toc178839069"/>
      <w:bookmarkStart w:id="995" w:name="_Toc178839190"/>
      <w:bookmarkStart w:id="996" w:name="_Toc178839418"/>
      <w:bookmarkStart w:id="997" w:name="_Toc178841628"/>
      <w:bookmarkStart w:id="998" w:name="_Toc179198188"/>
      <w:bookmarkStart w:id="999" w:name="_Toc179198436"/>
      <w:bookmarkStart w:id="1000" w:name="_Toc179198544"/>
      <w:bookmarkStart w:id="1001" w:name="_Toc179198651"/>
      <w:bookmarkStart w:id="1002" w:name="_Toc179446095"/>
    </w:p>
    <w:p w14:paraId="6B648D6F" w14:textId="50B4C6FB" w:rsidR="005B1FAB" w:rsidRPr="00A440F4" w:rsidRDefault="005B1FAB" w:rsidP="005B1FAB">
      <w:pPr>
        <w:rPr>
          <w:b/>
          <w:bCs/>
          <w:color w:val="1E7880" w:themeColor="accent2" w:themeShade="BF"/>
          <w:sz w:val="28"/>
          <w:szCs w:val="28"/>
        </w:rPr>
      </w:pPr>
      <w:r w:rsidRPr="00A440F4">
        <w:rPr>
          <w:b/>
          <w:bCs/>
          <w:noProof/>
          <w:color w:val="1E7880" w:themeColor="accent2" w:themeShade="BF"/>
          <w:sz w:val="28"/>
          <w:szCs w:val="28"/>
        </w:rPr>
        <w:drawing>
          <wp:anchor distT="0" distB="0" distL="114300" distR="114300" simplePos="0" relativeHeight="251783168" behindDoc="0" locked="0" layoutInCell="1" allowOverlap="1" wp14:anchorId="3C9732E2" wp14:editId="27B255A9">
            <wp:simplePos x="0" y="0"/>
            <wp:positionH relativeFrom="margin">
              <wp:align>right</wp:align>
            </wp:positionH>
            <wp:positionV relativeFrom="paragraph">
              <wp:posOffset>219075</wp:posOffset>
            </wp:positionV>
            <wp:extent cx="1583690" cy="1583690"/>
            <wp:effectExtent l="0" t="0" r="0" b="0"/>
            <wp:wrapSquare wrapText="bothSides"/>
            <wp:docPr id="1206209662" name="Picture 12062096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209662" name="Picture 1">
                      <a:extLst>
                        <a:ext uri="{C183D7F6-B498-43B3-948B-1728B52AA6E4}">
                          <adec:decorative xmlns:adec="http://schemas.microsoft.com/office/drawing/2017/decorative" val="1"/>
                        </a:ext>
                      </a:extLst>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83690" cy="1583690"/>
                    </a:xfrm>
                    <a:prstGeom prst="rect">
                      <a:avLst/>
                    </a:prstGeom>
                  </pic:spPr>
                </pic:pic>
              </a:graphicData>
            </a:graphic>
            <wp14:sizeRelH relativeFrom="margin">
              <wp14:pctWidth>0</wp14:pctWidth>
            </wp14:sizeRelH>
            <wp14:sizeRelV relativeFrom="margin">
              <wp14:pctHeight>0</wp14:pctHeight>
            </wp14:sizeRelV>
          </wp:anchor>
        </w:drawing>
      </w:r>
      <w:r w:rsidRPr="00A440F4">
        <w:rPr>
          <w:b/>
          <w:bCs/>
          <w:color w:val="1E7880" w:themeColor="accent2" w:themeShade="BF"/>
          <w:sz w:val="28"/>
          <w:szCs w:val="28"/>
        </w:rPr>
        <w:t>Involve whānau in screening and assessment processes</w:t>
      </w:r>
      <w:bookmarkEnd w:id="990"/>
      <w:bookmarkEnd w:id="991"/>
      <w:bookmarkEnd w:id="992"/>
      <w:bookmarkEnd w:id="993"/>
      <w:bookmarkEnd w:id="994"/>
      <w:bookmarkEnd w:id="995"/>
      <w:bookmarkEnd w:id="996"/>
      <w:bookmarkEnd w:id="997"/>
      <w:bookmarkEnd w:id="998"/>
      <w:bookmarkEnd w:id="999"/>
      <w:bookmarkEnd w:id="1000"/>
      <w:bookmarkEnd w:id="1001"/>
      <w:bookmarkEnd w:id="1002"/>
      <w:r w:rsidRPr="00A440F4">
        <w:rPr>
          <w:b/>
          <w:bCs/>
          <w:color w:val="1E7880" w:themeColor="accent2" w:themeShade="BF"/>
          <w:sz w:val="28"/>
          <w:szCs w:val="28"/>
        </w:rPr>
        <w:t xml:space="preserve"> </w:t>
      </w:r>
    </w:p>
    <w:p w14:paraId="0B92D5E9" w14:textId="77777777" w:rsidR="005B1FAB" w:rsidRPr="00997C30" w:rsidRDefault="005B1FAB" w:rsidP="00611B82">
      <w:pPr>
        <w:pStyle w:val="Bulletpoint"/>
        <w:rPr>
          <w:rFonts w:cs="Arial"/>
        </w:rPr>
      </w:pPr>
      <w:r w:rsidRPr="00997C30">
        <w:t xml:space="preserve">Whānau provide valuable contextual information and can help fill in gaps especially if the tangata whai ora has challenges with insight or determining the impacts on them. Therefore, </w:t>
      </w:r>
      <w:r w:rsidRPr="00997C30">
        <w:rPr>
          <w:rFonts w:cs="Arial"/>
        </w:rPr>
        <w:t xml:space="preserve">if the tangata whai ora agrees, it is helpful to include whānau in the comprehensive assessment, cognitive screening, and neuropsychological assessment process. </w:t>
      </w:r>
    </w:p>
    <w:p w14:paraId="1B25056B" w14:textId="77777777" w:rsidR="005B1FAB" w:rsidRPr="00997C30" w:rsidRDefault="005B1FAB" w:rsidP="00611B82">
      <w:pPr>
        <w:pStyle w:val="Bulletpoint"/>
      </w:pPr>
      <w:r w:rsidRPr="00997C30">
        <w:lastRenderedPageBreak/>
        <w:t>Whānau involvement may not be appropriate for everyone. It is up to the person to determine who their whānau is and if it is helpful for them to be involved.</w:t>
      </w:r>
      <w:r w:rsidRPr="00997C30">
        <w:rPr>
          <w:rFonts w:cs="Arial"/>
        </w:rPr>
        <w:t xml:space="preserve"> Discuss and agree on issues like confidentiality and sharing of information. </w:t>
      </w:r>
    </w:p>
    <w:p w14:paraId="764D8F11" w14:textId="77777777" w:rsidR="005B1FAB" w:rsidRPr="00997C30" w:rsidRDefault="005B1FAB" w:rsidP="00611B82">
      <w:pPr>
        <w:pStyle w:val="Bulletpoint"/>
      </w:pPr>
      <w:r w:rsidRPr="00997C30">
        <w:t xml:space="preserve">Some tāngata whai ora may not have whānau with them but may have others for support. For example, people with a learning or intellectual disability may have support workers or meeting assistants present. </w:t>
      </w:r>
    </w:p>
    <w:p w14:paraId="18767E08" w14:textId="77777777" w:rsidR="005B1FAB" w:rsidRPr="00997C30" w:rsidRDefault="005B1FAB" w:rsidP="00611B82">
      <w:pPr>
        <w:pStyle w:val="Bulletpoint"/>
      </w:pPr>
      <w:r w:rsidRPr="00997C30">
        <w:t xml:space="preserve">In some cultures (like many Asian cultures), people may feel an obligation to include their whānau even if they do not want to. This can affect people’s responses which might be changed to avoid upsetting whānau. Therefore, offer one-on-one sessions to the tangata whai ora alongside collective sessions. </w:t>
      </w:r>
    </w:p>
    <w:p w14:paraId="14CDC051" w14:textId="77777777" w:rsidR="005B1FAB" w:rsidRPr="00997C30" w:rsidRDefault="005B1FAB" w:rsidP="00611B82">
      <w:pPr>
        <w:pStyle w:val="Bulletpoint"/>
      </w:pPr>
      <w:r w:rsidRPr="00997C30">
        <w:t>Consider the needs of parents and caregivers who may need support with childcare to be fully involved in screening and assessment processes.</w:t>
      </w:r>
    </w:p>
    <w:p w14:paraId="34579AE0" w14:textId="77777777" w:rsidR="005B1FAB" w:rsidRPr="00997C30" w:rsidRDefault="005B1FAB" w:rsidP="00611B82">
      <w:r w:rsidRPr="00997C30">
        <w:t xml:space="preserve">If the tangata whai ora wants whānau involved, take the following steps to bring them safely into the process. </w:t>
      </w:r>
    </w:p>
    <w:p w14:paraId="2AEAF7B6" w14:textId="77777777" w:rsidR="00611B82" w:rsidRDefault="005B1FAB" w:rsidP="00611B82">
      <w:pPr>
        <w:pStyle w:val="Bulletpoint"/>
      </w:pPr>
      <w:r w:rsidRPr="00997C30">
        <w:t>Ask the chosen whānau member(s) if and how they would like to be involved in the process. Explain what the process involves.</w:t>
      </w:r>
    </w:p>
    <w:p w14:paraId="06EF7F74" w14:textId="315527F7" w:rsidR="005B1FAB" w:rsidRPr="00997C30" w:rsidRDefault="005B1FAB" w:rsidP="00611B82">
      <w:pPr>
        <w:pStyle w:val="Bulletpoint"/>
      </w:pPr>
      <w:r w:rsidRPr="00997C30">
        <w:t>Explain the privacy rights of the person they are supporting and that you have been given consent to discuss their case with them.</w:t>
      </w:r>
    </w:p>
    <w:p w14:paraId="2CF940DC" w14:textId="77777777" w:rsidR="005B1FAB" w:rsidRPr="00997C30" w:rsidRDefault="005B1FAB" w:rsidP="00611B82">
      <w:pPr>
        <w:pStyle w:val="Bulletpoint"/>
      </w:pPr>
      <w:r w:rsidRPr="00997C30">
        <w:t xml:space="preserve">Offer an appointment kanohi ki te kanohi (in-person) if possible (especially for the initial meeting) or online if appropriate. </w:t>
      </w:r>
    </w:p>
    <w:p w14:paraId="713A08D7" w14:textId="77777777" w:rsidR="005B1FAB" w:rsidRDefault="005B1FAB" w:rsidP="00611B82">
      <w:pPr>
        <w:pStyle w:val="Bulletpoint"/>
      </w:pPr>
      <w:r w:rsidRPr="00997C30">
        <w:t xml:space="preserve">Check with the tangata whai ora and whānau member(s) if they would like combined or separate sessions. If separate, explain that whānau feedback will be shared with the person they are supporting. </w:t>
      </w:r>
    </w:p>
    <w:p w14:paraId="1CD929A3" w14:textId="77777777" w:rsidR="00DB72C6" w:rsidRPr="00DB72C6" w:rsidRDefault="00DB72C6" w:rsidP="00DB72C6"/>
    <w:p w14:paraId="5A7226E6" w14:textId="77777777" w:rsidR="005B1FAB" w:rsidRPr="00A440F4" w:rsidRDefault="005B1FAB" w:rsidP="005B1FAB">
      <w:pPr>
        <w:rPr>
          <w:b/>
          <w:bCs/>
          <w:color w:val="1E7880" w:themeColor="accent2" w:themeShade="BF"/>
          <w:sz w:val="28"/>
          <w:szCs w:val="28"/>
        </w:rPr>
      </w:pPr>
      <w:bookmarkStart w:id="1003" w:name="_Toc146624827"/>
      <w:bookmarkStart w:id="1004" w:name="_Toc146714188"/>
      <w:bookmarkStart w:id="1005" w:name="_Toc178780117"/>
      <w:bookmarkStart w:id="1006" w:name="_Toc178838883"/>
      <w:bookmarkStart w:id="1007" w:name="_Toc178839070"/>
      <w:bookmarkStart w:id="1008" w:name="_Toc178839191"/>
      <w:bookmarkStart w:id="1009" w:name="_Toc178839419"/>
      <w:bookmarkStart w:id="1010" w:name="_Toc178841629"/>
      <w:bookmarkStart w:id="1011" w:name="_Toc179198189"/>
      <w:bookmarkStart w:id="1012" w:name="_Toc179198437"/>
      <w:bookmarkStart w:id="1013" w:name="_Toc179198545"/>
      <w:bookmarkStart w:id="1014" w:name="_Toc179198652"/>
      <w:bookmarkStart w:id="1015" w:name="_Toc179446096"/>
      <w:r w:rsidRPr="00A440F4">
        <w:rPr>
          <w:b/>
          <w:bCs/>
          <w:color w:val="1E7880" w:themeColor="accent2" w:themeShade="BF"/>
          <w:sz w:val="28"/>
          <w:szCs w:val="28"/>
        </w:rPr>
        <w:t>Safely support tāngata whai ora experiencing challenging behaviour</w:t>
      </w:r>
      <w:bookmarkEnd w:id="1003"/>
      <w:bookmarkEnd w:id="1004"/>
      <w:bookmarkEnd w:id="1005"/>
      <w:bookmarkEnd w:id="1006"/>
      <w:bookmarkEnd w:id="1007"/>
      <w:bookmarkEnd w:id="1008"/>
      <w:bookmarkEnd w:id="1009"/>
      <w:bookmarkEnd w:id="1010"/>
      <w:bookmarkEnd w:id="1011"/>
      <w:bookmarkEnd w:id="1012"/>
      <w:bookmarkEnd w:id="1013"/>
      <w:bookmarkEnd w:id="1014"/>
      <w:bookmarkEnd w:id="1015"/>
    </w:p>
    <w:p w14:paraId="684B3D10" w14:textId="77777777" w:rsidR="005B1FAB" w:rsidRPr="008C58E0" w:rsidRDefault="005B1FAB" w:rsidP="00611B82">
      <w:r w:rsidRPr="008C58E0">
        <w:t>Tāngata whai ora experiencing cognitive impairment and/or problematic substance use may express their needs in diverse ways, which may sometimes come across as challenging behaviour. Impairment of executive function can lead to problems with impulsivity. Safety is paramount – follow organisation-specific guidelines for tāngata whai ora</w:t>
      </w:r>
      <w:r w:rsidRPr="008C58E0">
        <w:rPr>
          <w:rFonts w:cs="Arial"/>
        </w:rPr>
        <w:t xml:space="preserve"> </w:t>
      </w:r>
      <w:r w:rsidRPr="008C58E0">
        <w:t>and workers’ safety.</w:t>
      </w:r>
      <w:r w:rsidRPr="008C58E0">
        <w:rPr>
          <w:color w:val="2B579A"/>
        </w:rPr>
        <w:fldChar w:fldCharType="begin"/>
      </w:r>
      <w:r w:rsidRPr="008C58E0">
        <w:instrText xml:space="preserve"> ADDIN ZOTERO_ITEM CSL_CITATION {"citationID":"Bhr3GA8R","properties":{"formattedCitation":"\\super 3\\nosupersub{}","plainCitation":"3","noteIndex":0},"citationItems":[{"id":14007,"uris":["http://zotero.org/groups/4745233/items/U3GGYCKU"],"itemData":{"id":14007,"type":"report","event-place":"Richmond, Victoria","language":"en","publisher":"Turning Point","publisher-place":"Richmond, Victoria","source":"Zotero","title":"Managing Cognitive Impairment in AOD Treatment: Practice Guidelines for Healthcare Professionals","URL":"https://www.turningpoint.org.au/treatment/clinicians/Managing-Cognitive-Impairment-in-AOD-Treatment-Guidelines","author":[{"family":"Manning","given":"Victoria"},{"family":"Gooden","given":"James"},{"family":"Cox","given":"Catherine"},{"family":"Whelan","given":"Danielle"},{"family":"Miroz","given":"Katherine"}],"issued":{"date-parts":[["2021"]]}}}],"schema":"https://github.com/citation-style-language/schema/raw/master/csl-citation.json"} </w:instrText>
      </w:r>
      <w:r w:rsidRPr="008C58E0">
        <w:rPr>
          <w:color w:val="2B579A"/>
        </w:rPr>
        <w:fldChar w:fldCharType="separate"/>
      </w:r>
      <w:r w:rsidRPr="008C58E0">
        <w:rPr>
          <w:rFonts w:cs="Arial"/>
          <w:vertAlign w:val="superscript"/>
        </w:rPr>
        <w:t>3</w:t>
      </w:r>
      <w:r w:rsidRPr="008C58E0">
        <w:rPr>
          <w:color w:val="2B579A"/>
        </w:rPr>
        <w:fldChar w:fldCharType="end"/>
      </w:r>
    </w:p>
    <w:p w14:paraId="29728427" w14:textId="77777777" w:rsidR="005B1FAB" w:rsidRPr="008C58E0" w:rsidRDefault="005B1FAB" w:rsidP="00611B82">
      <w:pPr>
        <w:pStyle w:val="Bulletpoint"/>
      </w:pPr>
      <w:r w:rsidRPr="008C58E0">
        <w:t>While it is sometimes appropriate to ignore a behaviour,</w:t>
      </w:r>
      <w:r w:rsidRPr="008C58E0">
        <w:rPr>
          <w:color w:val="2B579A"/>
          <w:shd w:val="clear" w:color="auto" w:fill="E6E6E6"/>
        </w:rPr>
        <w:fldChar w:fldCharType="begin"/>
      </w:r>
      <w:r w:rsidRPr="008C58E0">
        <w:instrText xml:space="preserve"> ADDIN ZOTERO_ITEM CSL_CITATION {"citationID":"eEtLGvpX","properties":{"formattedCitation":"\\super 3\\nosupersub{}","plainCitation":"3","noteIndex":0},"citationItems":[{"id":14007,"uris":["http://zotero.org/groups/4745233/items/U3GGYCKU"],"itemData":{"id":14007,"type":"report","event-place":"Richmond, Victoria","language":"en","publisher":"Turning Point","publisher-place":"Richmond, Victoria","source":"Zotero","title":"Managing Cognitive Impairment in AOD Treatment: Practice Guidelines for Healthcare Professionals","URL":"https://www.turningpoint.org.au/treatment/clinicians/Managing-Cognitive-Impairment-in-AOD-Treatment-Guidelines","author":[{"family":"Manning","given":"Victoria"},{"family":"Gooden","given":"James"},{"family":"Cox","given":"Catherine"},{"family":"Whelan","given":"Danielle"},{"family":"Miroz","given":"Katherine"}],"issued":{"date-parts":[["2021"]]}}}],"schema":"https://github.com/citation-style-language/schema/raw/master/csl-citation.json"} </w:instrText>
      </w:r>
      <w:r w:rsidRPr="008C58E0">
        <w:rPr>
          <w:color w:val="2B579A"/>
          <w:shd w:val="clear" w:color="auto" w:fill="E6E6E6"/>
        </w:rPr>
        <w:fldChar w:fldCharType="separate"/>
      </w:r>
      <w:r w:rsidRPr="008C58E0">
        <w:rPr>
          <w:rFonts w:cs="Arial"/>
          <w:vertAlign w:val="superscript"/>
        </w:rPr>
        <w:t>3</w:t>
      </w:r>
      <w:r w:rsidRPr="008C58E0">
        <w:rPr>
          <w:color w:val="2B579A"/>
          <w:shd w:val="clear" w:color="auto" w:fill="E6E6E6"/>
        </w:rPr>
        <w:fldChar w:fldCharType="end"/>
      </w:r>
      <w:r w:rsidRPr="008C58E0">
        <w:t xml:space="preserve"> allow time for tāngata whai ora to express their needs.</w:t>
      </w:r>
      <w:r w:rsidRPr="008C58E0">
        <w:rPr>
          <w:vertAlign w:val="superscript"/>
        </w:rPr>
        <w:fldChar w:fldCharType="begin"/>
      </w:r>
      <w:r w:rsidRPr="008C58E0">
        <w:instrText xml:space="preserve"> ADDIN ZOTERO_ITEM CSL_CITATION {"citationID":"6L0z19WO","properties":{"formattedCitation":"\\super 132\\nosupersub{}","plainCitation":"132","noteIndex":0},"citationItems":[{"id":13495,"uris":["http://zotero.org/groups/4745233/items/K58SS2PA"],"itemData":{"id":13495,"type":"webpage","abstract":"Older people with specific communication needs have an increased risk of experiencing functional decline in hospital.","language":"en","license":"http://www2.health.vic.gov.au/copyright","note":"Last Modified: 2015-10-05T19:11:34+1100\npublisher: State Government of Victoria, Australia","title":"Communicating with older people who have diverse needs","URL":"https://www.health.vic.gov.au/patient-care/communicating-with-older-people-who-have-diverse-needs","author":[{"literal":"Victoria State Government Department of Health"}],"accessed":{"date-parts":[["2022",10,28]]},"issued":{"date-parts":[["2015"]]}}}],"schema":"https://github.com/citation-style-language/schema/raw/master/csl-citation.json"} </w:instrText>
      </w:r>
      <w:r w:rsidRPr="008C58E0">
        <w:rPr>
          <w:vertAlign w:val="superscript"/>
        </w:rPr>
        <w:fldChar w:fldCharType="separate"/>
      </w:r>
      <w:r w:rsidRPr="008C58E0">
        <w:rPr>
          <w:vertAlign w:val="superscript"/>
        </w:rPr>
        <w:t>132</w:t>
      </w:r>
      <w:r w:rsidRPr="008C58E0">
        <w:rPr>
          <w:vertAlign w:val="superscript"/>
        </w:rPr>
        <w:fldChar w:fldCharType="end"/>
      </w:r>
      <w:r w:rsidRPr="008C58E0">
        <w:t xml:space="preserve"> Good relationships and rapport are important to support </w:t>
      </w:r>
      <w:r w:rsidRPr="008C58E0">
        <w:lastRenderedPageBreak/>
        <w:t xml:space="preserve">this. Taking a trauma-informed approach can help to understand behaviours and ensure safe boundaries. </w:t>
      </w:r>
    </w:p>
    <w:p w14:paraId="294490E1" w14:textId="77777777" w:rsidR="005B1FAB" w:rsidRPr="008C58E0" w:rsidRDefault="005B1FAB" w:rsidP="00611B82">
      <w:pPr>
        <w:pStyle w:val="Bulletpoint"/>
      </w:pPr>
      <w:r w:rsidRPr="008C58E0">
        <w:t>As cognitive screening and neuropsychological assessment can be challenging for everyone, lookout for signs of increasing frustration and ask people what would help.</w:t>
      </w:r>
    </w:p>
    <w:p w14:paraId="4676D0DE" w14:textId="77777777" w:rsidR="005B1FAB" w:rsidRPr="008C58E0" w:rsidRDefault="005B1FAB" w:rsidP="00611B82">
      <w:pPr>
        <w:pStyle w:val="Bulletpoint"/>
      </w:pPr>
      <w:r w:rsidRPr="008C58E0">
        <w:t>De-escalate the situation and remove or avoid provoking situations where possible.</w:t>
      </w:r>
      <w:r w:rsidRPr="008C58E0">
        <w:rPr>
          <w:vertAlign w:val="superscript"/>
        </w:rPr>
        <w:fldChar w:fldCharType="begin"/>
      </w:r>
      <w:r w:rsidRPr="008C58E0">
        <w:rPr>
          <w:vertAlign w:val="superscript"/>
        </w:rPr>
        <w:instrText xml:space="preserve"> ADDIN ZOTERO_ITEM CSL_CITATION {"citationID":"kfbTGsnd","properties":{"formattedCitation":"\\super 3\\nosupersub{}","plainCitation":"3","noteIndex":0},"citationItems":[{"id":14007,"uris":["http://zotero.org/groups/4745233/items/U3GGYCKU"],"itemData":{"id":14007,"type":"report","event-place":"Richmond, Victoria","language":"en","publisher":"Turning Point","publisher-place":"Richmond, Victoria","source":"Zotero","title":"Managing Cognitive Impairment in AOD Treatment: Practice Guidelines for Healthcare Professionals","URL":"https://www.turningpoint.org.au/treatment/clinicians/Managing-Cognitive-Impairment-in-AOD-Treatment-Guidelines","author":[{"family":"Manning","given":"Victoria"},{"family":"Gooden","given":"James"},{"family":"Cox","given":"Catherine"},{"family":"Whelan","given":"Danielle"},{"family":"Miroz","given":"Katherine"}],"issued":{"date-parts":[["2021"]]}}}],"schema":"https://github.com/citation-style-language/schema/raw/master/csl-citation.json"} </w:instrText>
      </w:r>
      <w:r w:rsidRPr="008C58E0">
        <w:rPr>
          <w:vertAlign w:val="superscript"/>
        </w:rPr>
        <w:fldChar w:fldCharType="separate"/>
      </w:r>
      <w:r w:rsidRPr="008C58E0">
        <w:rPr>
          <w:vertAlign w:val="superscript"/>
        </w:rPr>
        <w:t>3</w:t>
      </w:r>
      <w:r w:rsidRPr="008C58E0">
        <w:rPr>
          <w:vertAlign w:val="superscript"/>
        </w:rPr>
        <w:fldChar w:fldCharType="end"/>
      </w:r>
      <w:r w:rsidRPr="008C58E0">
        <w:t xml:space="preserve"> </w:t>
      </w:r>
    </w:p>
    <w:p w14:paraId="5737B947" w14:textId="77777777" w:rsidR="005B1FAB" w:rsidRPr="008C58E0" w:rsidRDefault="005B1FAB" w:rsidP="00611B82">
      <w:pPr>
        <w:pStyle w:val="Bulletpoint"/>
      </w:pPr>
      <w:r w:rsidRPr="008C58E0">
        <w:t xml:space="preserve">If challenging behaviour impacts on a person’s daily functioning and ability to access services, consider and discuss referral to another specialist service if necessary. </w:t>
      </w:r>
    </w:p>
    <w:p w14:paraId="0FBEF436" w14:textId="2817C0D9" w:rsidR="00DB72C6" w:rsidRDefault="005B1FAB" w:rsidP="00DB72C6">
      <w:pPr>
        <w:pStyle w:val="Bulletpoint"/>
      </w:pPr>
      <w:r w:rsidRPr="008C58E0">
        <w:t>Debrief with other workers to support worker wellbeing.</w:t>
      </w:r>
      <w:r w:rsidRPr="008C58E0">
        <w:rPr>
          <w:color w:val="2B579A"/>
          <w:shd w:val="clear" w:color="auto" w:fill="E6E6E6"/>
        </w:rPr>
        <w:fldChar w:fldCharType="begin"/>
      </w:r>
      <w:r w:rsidRPr="008C58E0">
        <w:instrText xml:space="preserve"> ADDIN ZOTERO_ITEM CSL_CITATION {"citationID":"v2jWMXG3","properties":{"formattedCitation":"\\super 3\\nosupersub{}","plainCitation":"3","noteIndex":0},"citationItems":[{"id":14007,"uris":["http://zotero.org/groups/4745233/items/U3GGYCKU"],"itemData":{"id":14007,"type":"report","event-place":"Richmond, Victoria","language":"en","publisher":"Turning Point","publisher-place":"Richmond, Victoria","source":"Zotero","title":"Managing Cognitive Impairment in AOD Treatment: Practice Guidelines for Healthcare Professionals","URL":"https://www.turningpoint.org.au/treatment/clinicians/Managing-Cognitive-Impairment-in-AOD-Treatment-Guidelines","author":[{"family":"Manning","given":"Victoria"},{"family":"Gooden","given":"James"},{"family":"Cox","given":"Catherine"},{"family":"Whelan","given":"Danielle"},{"family":"Miroz","given":"Katherine"}],"issued":{"date-parts":[["2021"]]}}}],"schema":"https://github.com/citation-style-language/schema/raw/master/csl-citation.json"} </w:instrText>
      </w:r>
      <w:r w:rsidRPr="008C58E0">
        <w:rPr>
          <w:color w:val="2B579A"/>
          <w:shd w:val="clear" w:color="auto" w:fill="E6E6E6"/>
        </w:rPr>
        <w:fldChar w:fldCharType="separate"/>
      </w:r>
      <w:r w:rsidRPr="008C58E0">
        <w:rPr>
          <w:rFonts w:cs="Arial"/>
          <w:vertAlign w:val="superscript"/>
        </w:rPr>
        <w:t>3</w:t>
      </w:r>
      <w:r w:rsidRPr="008C58E0">
        <w:rPr>
          <w:color w:val="2B579A"/>
          <w:shd w:val="clear" w:color="auto" w:fill="E6E6E6"/>
        </w:rPr>
        <w:fldChar w:fldCharType="end"/>
      </w:r>
      <w:r w:rsidRPr="008C58E0">
        <w:t xml:space="preserve"> </w:t>
      </w:r>
    </w:p>
    <w:p w14:paraId="79E19F51" w14:textId="77777777" w:rsidR="00DB72C6" w:rsidRPr="00DB72C6" w:rsidRDefault="00DB72C6" w:rsidP="00DB72C6"/>
    <w:p w14:paraId="472FFECB" w14:textId="77777777" w:rsidR="00AA2E07" w:rsidRPr="00A440F4" w:rsidRDefault="00AA2E07" w:rsidP="00A440F4">
      <w:pPr>
        <w:pStyle w:val="Section2Heading2"/>
      </w:pPr>
      <w:bookmarkStart w:id="1016" w:name="_Toc172095781"/>
      <w:bookmarkStart w:id="1017" w:name="_Toc178780118"/>
      <w:bookmarkStart w:id="1018" w:name="_Toc178838884"/>
      <w:bookmarkStart w:id="1019" w:name="_Toc178839071"/>
      <w:bookmarkStart w:id="1020" w:name="_Toc178839192"/>
      <w:bookmarkStart w:id="1021" w:name="_Toc178839420"/>
      <w:bookmarkStart w:id="1022" w:name="_Toc178841630"/>
      <w:bookmarkStart w:id="1023" w:name="_Toc179198190"/>
      <w:bookmarkStart w:id="1024" w:name="_Toc179198438"/>
      <w:bookmarkStart w:id="1025" w:name="_Toc179198546"/>
      <w:bookmarkStart w:id="1026" w:name="_Toc179198653"/>
      <w:bookmarkStart w:id="1027" w:name="_Toc179446097"/>
      <w:bookmarkStart w:id="1028" w:name="_Toc179447122"/>
      <w:bookmarkStart w:id="1029" w:name="_Toc179448662"/>
      <w:bookmarkStart w:id="1030" w:name="_Toc179448823"/>
      <w:bookmarkStart w:id="1031" w:name="_Toc179449210"/>
      <w:bookmarkStart w:id="1032" w:name="_Toc179452913"/>
      <w:bookmarkStart w:id="1033" w:name="_Toc179461426"/>
      <w:bookmarkStart w:id="1034" w:name="_Toc179461870"/>
      <w:bookmarkStart w:id="1035" w:name="_Toc179486317"/>
      <w:bookmarkStart w:id="1036" w:name="_Toc179487922"/>
      <w:bookmarkStart w:id="1037" w:name="_Toc179489225"/>
      <w:bookmarkStart w:id="1038" w:name="_Toc179531350"/>
      <w:bookmarkStart w:id="1039" w:name="_Toc179536023"/>
      <w:bookmarkStart w:id="1040" w:name="_Toc179537862"/>
      <w:bookmarkStart w:id="1041" w:name="_Toc179537926"/>
      <w:bookmarkStart w:id="1042" w:name="_Toc179538093"/>
      <w:bookmarkStart w:id="1043" w:name="_Toc179538906"/>
      <w:bookmarkStart w:id="1044" w:name="_Toc179539224"/>
      <w:bookmarkStart w:id="1045" w:name="_Toc179539340"/>
      <w:bookmarkStart w:id="1046" w:name="_Toc179539478"/>
      <w:bookmarkStart w:id="1047" w:name="_Toc179539575"/>
      <w:bookmarkStart w:id="1048" w:name="_Toc179539660"/>
      <w:bookmarkStart w:id="1049" w:name="_Toc179539750"/>
      <w:bookmarkStart w:id="1050" w:name="_Toc179540434"/>
      <w:bookmarkStart w:id="1051" w:name="_Toc179541779"/>
      <w:bookmarkStart w:id="1052" w:name="_Toc179542971"/>
      <w:bookmarkStart w:id="1053" w:name="_Toc180571299"/>
      <w:r w:rsidRPr="00A440F4">
        <w:t>Information gathering as part of a comprehensive assessment</w:t>
      </w:r>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r w:rsidRPr="00A440F4">
        <w:t xml:space="preserve">  </w:t>
      </w:r>
    </w:p>
    <w:p w14:paraId="174E818C" w14:textId="7BE33B8C" w:rsidR="00AA2E07" w:rsidRPr="00A76C34" w:rsidRDefault="00AA2E07" w:rsidP="00DB72C6">
      <w:pPr>
        <w:pStyle w:val="Bulletpoint"/>
        <w:rPr>
          <w:rFonts w:cs="Arial"/>
        </w:rPr>
      </w:pPr>
      <w:r w:rsidRPr="00A76C34">
        <w:t xml:space="preserve">Use your standard service information gathering checklist or tool to gather contextual information to understand a person’s situation. This section is not a full guide to comprehensive assessments. </w:t>
      </w:r>
      <w:r w:rsidRPr="00A76C34">
        <w:fldChar w:fldCharType="begin"/>
      </w:r>
      <w:r w:rsidRPr="00A76C34">
        <w:instrText xml:space="preserve"> REF _Ref146118656 \h </w:instrText>
      </w:r>
      <w:r>
        <w:instrText xml:space="preserve"> \* MERGEFORMAT </w:instrText>
      </w:r>
      <w:r w:rsidRPr="00A76C34">
        <w:fldChar w:fldCharType="separate"/>
      </w:r>
      <w:r w:rsidR="007F1966" w:rsidRPr="007F1966">
        <w:rPr>
          <w:noProof/>
        </w:rPr>
        <mc:AlternateContent>
          <mc:Choice Requires="wps">
            <w:drawing>
              <wp:inline distT="0" distB="0" distL="0" distR="0" wp14:anchorId="25A6AE36" wp14:editId="06761A7F">
                <wp:extent cx="6190615" cy="1404620"/>
                <wp:effectExtent l="0" t="0" r="19685" b="19685"/>
                <wp:docPr id="5626835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404620"/>
                        </a:xfrm>
                        <a:prstGeom prst="rect">
                          <a:avLst/>
                        </a:prstGeom>
                        <a:solidFill>
                          <a:schemeClr val="bg2"/>
                        </a:solidFill>
                        <a:ln w="9525">
                          <a:solidFill>
                            <a:srgbClr val="000000"/>
                          </a:solidFill>
                          <a:miter lim="800000"/>
                          <a:headEnd/>
                          <a:tailEnd/>
                        </a:ln>
                      </wps:spPr>
                      <wps:txbx>
                        <w:txbxContent>
                          <w:p w14:paraId="35565872" w14:textId="77777777" w:rsidR="007F1966" w:rsidRPr="00611B82" w:rsidRDefault="007F1966" w:rsidP="00611B82">
                            <w:pPr>
                              <w:rPr>
                                <w:b/>
                                <w:bCs/>
                              </w:rPr>
                            </w:pPr>
                            <w:r w:rsidRPr="00611B82">
                              <w:rPr>
                                <w:b/>
                                <w:bCs/>
                              </w:rPr>
                              <w:t xml:space="preserve">Presentation </w:t>
                            </w:r>
                          </w:p>
                          <w:p w14:paraId="4C8BCEFA" w14:textId="77777777" w:rsidR="007F1966" w:rsidRPr="00F64FBE" w:rsidRDefault="007F1966" w:rsidP="00611B82">
                            <w:r w:rsidRPr="00F64FBE">
                              <w:t xml:space="preserve">To understand if the person is presenting with cognitive concerns, ask whether the person has experienced any changes or difficulties with any of the following: </w:t>
                            </w:r>
                          </w:p>
                          <w:p w14:paraId="2A902430" w14:textId="77777777" w:rsidR="007F1966" w:rsidRPr="00F64FBE" w:rsidRDefault="007F1966" w:rsidP="00611B82">
                            <w:r w:rsidRPr="00F64FBE">
                              <w:t xml:space="preserve">remembering things, organising yourself, making decisions, planning ahead, interacting with others, focusing on tasks and maintaining focus, following directions or multiple steps, regulating behaviour, communicating ideas, or finding your way around.  </w:t>
                            </w:r>
                          </w:p>
                        </w:txbxContent>
                      </wps:txbx>
                      <wps:bodyPr rot="0" vert="horz" wrap="square" lIns="91440" tIns="45720" rIns="91440" bIns="45720" anchor="t" anchorCtr="0">
                        <a:spAutoFit/>
                      </wps:bodyPr>
                    </wps:wsp>
                  </a:graphicData>
                </a:graphic>
              </wp:inline>
            </w:drawing>
          </mc:Choice>
          <mc:Fallback>
            <w:pict>
              <v:shapetype w14:anchorId="25A6AE36" id="_x0000_t202" coordsize="21600,21600" o:spt="202" path="m,l,21600r21600,l21600,xe">
                <v:stroke joinstyle="miter"/>
                <v:path gradientshapeok="t" o:connecttype="rect"/>
              </v:shapetype>
              <v:shape id="_x0000_s1032" type="#_x0000_t202" style="width:487.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" fillcolor="#f6f4ec [3214]">
                <v:textbox style="mso-fit-shape-to-text:t">
                  <w:txbxContent>
                    <w:p w14:paraId="35565872" w14:textId="77777777" w:rsidR="007F1966" w:rsidRPr="00611B82" w:rsidRDefault="007F1966" w:rsidP="00611B82">
                      <w:pPr>
                        <w:rPr>
                          <w:b/>
                          <w:bCs/>
                        </w:rPr>
                      </w:pPr>
                      <w:r w:rsidRPr="00611B82">
                        <w:rPr>
                          <w:b/>
                          <w:bCs/>
                        </w:rPr>
                        <w:t xml:space="preserve">Presentation </w:t>
                      </w:r>
                    </w:p>
                    <w:p w14:paraId="4C8BCEFA" w14:textId="77777777" w:rsidR="007F1966" w:rsidRPr="00F64FBE" w:rsidRDefault="007F1966" w:rsidP="00611B82">
                      <w:r w:rsidRPr="00F64FBE">
                        <w:t xml:space="preserve">To understand if the person is presenting with cognitive concerns, ask whether the person has experienced any changes or difficulties with any of the following: </w:t>
                      </w:r>
                    </w:p>
                    <w:p w14:paraId="2A902430" w14:textId="77777777" w:rsidR="007F1966" w:rsidRPr="00F64FBE" w:rsidRDefault="007F1966" w:rsidP="00611B82">
                      <w:r w:rsidRPr="00F64FBE">
                        <w:t xml:space="preserve">remembering things, organising yourself, making decisions, planning ahead, interacting with others, focusing on tasks and maintaining focus, following directions or multiple steps, regulating behaviour, communicating ideas, or finding your way around.  </w:t>
                      </w:r>
                    </w:p>
                  </w:txbxContent>
                </v:textbox>
                <w10:anchorlock/>
              </v:shape>
            </w:pict>
          </mc:Fallback>
        </mc:AlternateContent>
      </w:r>
      <w:r w:rsidR="007F1966" w:rsidRPr="00611B82">
        <w:t>Table</w:t>
      </w:r>
      <w:r w:rsidR="007F1966" w:rsidRPr="00611B82">
        <w:rPr>
          <w:noProof/>
        </w:rPr>
        <w:t xml:space="preserve"> </w:t>
      </w:r>
      <w:r w:rsidR="007F1966">
        <w:rPr>
          <w:noProof/>
        </w:rPr>
        <w:t>5</w:t>
      </w:r>
      <w:r w:rsidRPr="00A76C34">
        <w:fldChar w:fldCharType="end"/>
      </w:r>
      <w:r w:rsidRPr="00A76C34">
        <w:t xml:space="preserve"> contains questions to ask as part of a comprehensive assessment that are important for understanding cognition and cognitive impairment.</w:t>
      </w:r>
      <w:r w:rsidRPr="00A76C34">
        <w:fldChar w:fldCharType="begin"/>
      </w:r>
      <w:r w:rsidRPr="00A76C34">
        <w:instrText xml:space="preserve"> ADDIN ZOTERO_ITEM CSL_CITATION {"citationID":"a27ipu2avmo","properties":{"formattedCitation":"\\super 3,133\\nosupersub{}","plainCitation":"3,133","noteIndex":0},"citationItems":[{"id":14184,"uris":["http://zotero.org/groups/4745233/items/TUQ48Y78"],"itemData":{"id":14184,"type":"report","event-place":"Wellington","publisher":"Matua Raki","publisher-place":"Wellington","title":"Mental health and addiction screening and assessment","author":[{"family":"Matua Raki","given":""}],"issued":{"date-parts":[["2016"]]}}},{"id":14007,"uris":["http://zotero.org/groups/4745233/items/U3GGYCKU"],"itemData":{"id":14007,"type":"report","event-place":"Richmond, Victoria","language":"en","publisher":"Turning Point","publisher-place":"Richmond, Victoria","source":"Zotero","title":"Managing Cognitive Impairment in AOD Treatment: Practice Guidelines for Healthcare Professionals","URL":"https://www.turningpoint.org.au/treatment/clinicians/Managing-Cognitive-Impairment-in-AOD-Treatment-Guidelines","author":[{"family":"Manning","given":"Victoria"},{"family":"Gooden","given":"James"},{"family":"Cox","given":"Catherine"},{"family":"Whelan","given":"Danielle"},{"family":"Miroz","given":"Katherine"}],"issued":{"date-parts":[["2021"]]}}}],"schema":"https://github.com/citation-style-language/schema/raw/master/csl-citation.json"} </w:instrText>
      </w:r>
      <w:r w:rsidRPr="00A76C34">
        <w:fldChar w:fldCharType="separate"/>
      </w:r>
      <w:r w:rsidRPr="00A76C34">
        <w:rPr>
          <w:rFonts w:cs="Arial"/>
          <w:vertAlign w:val="superscript"/>
        </w:rPr>
        <w:t>3,133</w:t>
      </w:r>
      <w:r w:rsidRPr="00A76C34">
        <w:fldChar w:fldCharType="end"/>
      </w:r>
      <w:r w:rsidRPr="00A76C34">
        <w:t xml:space="preserve"> </w:t>
      </w:r>
    </w:p>
    <w:p w14:paraId="39CC9C7F" w14:textId="77777777" w:rsidR="00AA2E07" w:rsidRPr="00611B82" w:rsidRDefault="00AA2E07" w:rsidP="00DB72C6">
      <w:pPr>
        <w:pStyle w:val="Bulletpoint"/>
      </w:pPr>
      <w:r w:rsidRPr="00611B82">
        <w:t>This information is helpful for interpreting information alongside cognitive screening tools, determining the need for a neuropsychological assessment or other referrals, and informing next steps. Cognitive screening can form part of the comprehensive assessment (towards the end of the process) or can happen afterwards.</w:t>
      </w:r>
    </w:p>
    <w:p w14:paraId="799C764C" w14:textId="77777777" w:rsidR="00AA2E07" w:rsidRPr="00A76C34" w:rsidRDefault="00AA2E07" w:rsidP="00DB72C6">
      <w:pPr>
        <w:pStyle w:val="Bulletpoint"/>
      </w:pPr>
      <w:r w:rsidRPr="00A76C34">
        <w:t>Where possible and if you have consent, access previous records (like medical records, school reports, and other historical information) to avoid tāngata whai ora having to repeat themselves. Check with the person if the records are still correct.</w:t>
      </w:r>
    </w:p>
    <w:p w14:paraId="02732A5D" w14:textId="77777777" w:rsidR="00AA2E07" w:rsidRPr="00A76C34" w:rsidRDefault="00AA2E07" w:rsidP="00DB72C6">
      <w:pPr>
        <w:pStyle w:val="Bulletpoint"/>
      </w:pPr>
      <w:r w:rsidRPr="00A76C34">
        <w:t xml:space="preserve">For further guidance on comprehensive assessments refer to </w:t>
      </w:r>
      <w:hyperlink r:id="rId42">
        <w:r w:rsidRPr="00DB72C6">
          <w:rPr>
            <w:rStyle w:val="Hyperlink"/>
            <w:szCs w:val="24"/>
          </w:rPr>
          <w:t>Mental Health and Addiction: Screening and Assessment</w:t>
        </w:r>
      </w:hyperlink>
      <w:r w:rsidRPr="00DB72C6">
        <w:rPr>
          <w:szCs w:val="24"/>
        </w:rPr>
        <w:t xml:space="preserve"> and </w:t>
      </w:r>
      <w:hyperlink r:id="rId43" w:history="1">
        <w:r w:rsidRPr="00DB72C6">
          <w:rPr>
            <w:rStyle w:val="Hyperlink"/>
            <w:szCs w:val="24"/>
          </w:rPr>
          <w:t>Te Ariari o te Oranga</w:t>
        </w:r>
      </w:hyperlink>
      <w:r w:rsidRPr="00DB72C6">
        <w:rPr>
          <w:szCs w:val="24"/>
        </w:rPr>
        <w:t>.</w:t>
      </w:r>
      <w:r w:rsidRPr="00DB72C6">
        <w:rPr>
          <w:szCs w:val="24"/>
        </w:rPr>
        <w:fldChar w:fldCharType="begin"/>
      </w:r>
      <w:r w:rsidRPr="00DB72C6">
        <w:rPr>
          <w:szCs w:val="24"/>
        </w:rPr>
        <w:instrText xml:space="preserve"> ADDIN ZOTERO_ITEM CSL_CITATION {"citationID":"a28dhrd1jhf","properties":{"formattedCitation":"\\super 133,134\\nosupersub{}","plainCitation":"133,134","noteIndex":0},"citationItems":[{"id":14184,"uris":["http://zotero.org/groups/4745233/items/TUQ48Y78"],"itemData":{"id":14184,"type":"report","event-place":"Wellington","publisher":"Matua Raki","publisher-place":"Wellington","title":"Mental health and addiction screening and assessment","author":[{"family":"Matua Raki","given":""}],"issued":{"date-parts":[["2016"]]}}},{"id":14260,"uris":["http://zotero.org/groups/4745233/items/MVKPMURG"],"itemData":{"id":14260,"type":"report","event-place":"Wellington","publisher":"Ministry of Health","publisher-place":"Wellington","title":"Te Ariari o te Oranga: The Assessment and Management of People with Co-existing Mental Health and Substance Use Problems 2010","URL":"https://www.health.govt.nz/system/files/documents/publications/te-ariari-o-te-orang-teariari-13-04-10.pdf","author":[{"family":"Todd","given":"Fraser C"}],"issued":{"date-parts":[["2010"]]}}}],"schema":"https://github.com/citation-style-language/schema/raw/master/csl-citation.json"} </w:instrText>
      </w:r>
      <w:r w:rsidRPr="00DB72C6">
        <w:rPr>
          <w:szCs w:val="24"/>
        </w:rPr>
        <w:fldChar w:fldCharType="separate"/>
      </w:r>
      <w:r w:rsidRPr="00DB72C6">
        <w:rPr>
          <w:rFonts w:cs="Arial"/>
          <w:szCs w:val="24"/>
          <w:vertAlign w:val="superscript"/>
        </w:rPr>
        <w:t>133,134</w:t>
      </w:r>
      <w:r w:rsidRPr="00DB72C6">
        <w:rPr>
          <w:szCs w:val="24"/>
        </w:rPr>
        <w:fldChar w:fldCharType="end"/>
      </w:r>
    </w:p>
    <w:p w14:paraId="16FBE7E4" w14:textId="77777777" w:rsidR="00AA2E07" w:rsidRDefault="00AA2E07" w:rsidP="00AA2E07">
      <w:pPr>
        <w:rPr>
          <w:b/>
          <w:bCs/>
          <w:color w:val="00C7C7" w:themeColor="accent5" w:themeTint="BF"/>
        </w:rPr>
      </w:pPr>
      <w:bookmarkStart w:id="1054" w:name="_Toc178780119"/>
      <w:bookmarkStart w:id="1055" w:name="_Toc178838885"/>
      <w:bookmarkStart w:id="1056" w:name="_Toc178839072"/>
      <w:bookmarkStart w:id="1057" w:name="_Toc178839193"/>
      <w:bookmarkStart w:id="1058" w:name="_Toc178839421"/>
      <w:bookmarkStart w:id="1059" w:name="_Toc178841631"/>
      <w:bookmarkStart w:id="1060" w:name="_Toc179198191"/>
      <w:bookmarkStart w:id="1061" w:name="_Toc179198439"/>
      <w:bookmarkStart w:id="1062" w:name="_Toc179198547"/>
      <w:bookmarkStart w:id="1063" w:name="_Toc179198654"/>
      <w:bookmarkStart w:id="1064" w:name="_Toc179446098"/>
    </w:p>
    <w:p w14:paraId="1455DF1F" w14:textId="77777777" w:rsidR="00DB72C6" w:rsidRDefault="00DB72C6" w:rsidP="00AA2E07">
      <w:pPr>
        <w:rPr>
          <w:b/>
          <w:bCs/>
          <w:color w:val="00C7C7" w:themeColor="accent5" w:themeTint="BF"/>
        </w:rPr>
      </w:pPr>
    </w:p>
    <w:p w14:paraId="445293C7" w14:textId="77777777" w:rsidR="00DB72C6" w:rsidRDefault="00DB72C6" w:rsidP="00AA2E07">
      <w:pPr>
        <w:rPr>
          <w:b/>
          <w:bCs/>
          <w:color w:val="00C7C7" w:themeColor="accent5" w:themeTint="BF"/>
        </w:rPr>
      </w:pPr>
    </w:p>
    <w:p w14:paraId="162F1FC5" w14:textId="77777777" w:rsidR="00DB72C6" w:rsidRDefault="00DB72C6" w:rsidP="00AA2E07">
      <w:pPr>
        <w:rPr>
          <w:b/>
          <w:bCs/>
          <w:color w:val="00C7C7" w:themeColor="accent5" w:themeTint="BF"/>
        </w:rPr>
      </w:pPr>
    </w:p>
    <w:p w14:paraId="15167427" w14:textId="77777777" w:rsidR="00DB72C6" w:rsidRDefault="00DB72C6" w:rsidP="00AA2E07">
      <w:pPr>
        <w:rPr>
          <w:b/>
          <w:bCs/>
          <w:color w:val="00C7C7" w:themeColor="accent5" w:themeTint="BF"/>
        </w:rPr>
      </w:pPr>
    </w:p>
    <w:p w14:paraId="172CE2DE" w14:textId="629205F8" w:rsidR="00AA2E07" w:rsidRPr="00A440F4" w:rsidRDefault="00AA2E07" w:rsidP="00AA2E07">
      <w:pPr>
        <w:rPr>
          <w:b/>
          <w:bCs/>
          <w:color w:val="1E7880" w:themeColor="accent2" w:themeShade="BF"/>
          <w:sz w:val="28"/>
          <w:szCs w:val="28"/>
        </w:rPr>
      </w:pPr>
      <w:r w:rsidRPr="00A440F4">
        <w:rPr>
          <w:b/>
          <w:bCs/>
          <w:color w:val="1E7880" w:themeColor="accent2" w:themeShade="BF"/>
          <w:sz w:val="28"/>
          <w:szCs w:val="28"/>
        </w:rPr>
        <w:t>Comprehensive assessment questions</w:t>
      </w:r>
      <w:bookmarkEnd w:id="1054"/>
      <w:bookmarkEnd w:id="1055"/>
      <w:bookmarkEnd w:id="1056"/>
      <w:bookmarkEnd w:id="1057"/>
      <w:bookmarkEnd w:id="1058"/>
      <w:bookmarkEnd w:id="1059"/>
      <w:bookmarkEnd w:id="1060"/>
      <w:bookmarkEnd w:id="1061"/>
      <w:bookmarkEnd w:id="1062"/>
      <w:bookmarkEnd w:id="1063"/>
      <w:bookmarkEnd w:id="1064"/>
    </w:p>
    <w:bookmarkStart w:id="1065" w:name="_Ref146118656"/>
    <w:bookmarkStart w:id="1066" w:name="_Toc146624904"/>
    <w:bookmarkStart w:id="1067" w:name="_Toc179544007"/>
    <w:p w14:paraId="06614B47" w14:textId="09D110B9" w:rsidR="0037220D" w:rsidRPr="00611B82" w:rsidRDefault="0037220D" w:rsidP="00DB72C6">
      <w:pPr>
        <w:pStyle w:val="Figure"/>
      </w:pPr>
      <w:r w:rsidRPr="004148EC">
        <w:rPr>
          <w:noProof/>
          <w:sz w:val="22"/>
        </w:rPr>
        <mc:AlternateContent>
          <mc:Choice Requires="wps">
            <w:drawing>
              <wp:inline distT="0" distB="0" distL="0" distR="0" wp14:anchorId="5D9196B8" wp14:editId="3A900AB6">
                <wp:extent cx="6190615" cy="1404620"/>
                <wp:effectExtent l="0" t="0" r="19685" b="19685"/>
                <wp:docPr id="15272116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404620"/>
                        </a:xfrm>
                        <a:prstGeom prst="rect">
                          <a:avLst/>
                        </a:prstGeom>
                        <a:solidFill>
                          <a:schemeClr val="bg2"/>
                        </a:solidFill>
                        <a:ln w="9525">
                          <a:solidFill>
                            <a:srgbClr val="000000"/>
                          </a:solidFill>
                          <a:miter lim="800000"/>
                          <a:headEnd/>
                          <a:tailEnd/>
                        </a:ln>
                      </wps:spPr>
                      <wps:txbx>
                        <w:txbxContent>
                          <w:p w14:paraId="3691F562" w14:textId="77777777" w:rsidR="0037220D" w:rsidRPr="00611B82" w:rsidRDefault="0037220D" w:rsidP="00611B82">
                            <w:pPr>
                              <w:rPr>
                                <w:b/>
                                <w:bCs/>
                              </w:rPr>
                            </w:pPr>
                            <w:r w:rsidRPr="00611B82">
                              <w:rPr>
                                <w:b/>
                                <w:bCs/>
                              </w:rPr>
                              <w:t xml:space="preserve">Presentation </w:t>
                            </w:r>
                          </w:p>
                          <w:p w14:paraId="187F79F6" w14:textId="77777777" w:rsidR="0037220D" w:rsidRPr="00F64FBE" w:rsidRDefault="0037220D" w:rsidP="00611B82">
                            <w:r w:rsidRPr="00F64FBE">
                              <w:t xml:space="preserve">To understand if the person is presenting with cognitive concerns, ask whether the person has experienced any changes or difficulties with any of the following: </w:t>
                            </w:r>
                          </w:p>
                          <w:p w14:paraId="6D767F2C" w14:textId="77777777" w:rsidR="0037220D" w:rsidRPr="00F64FBE" w:rsidRDefault="0037220D" w:rsidP="00611B82">
                            <w:r w:rsidRPr="00F64FBE">
                              <w:t xml:space="preserve">remembering things, organising yourself, making decisions, planning ahead, interacting with others, focusing on tasks and maintaining focus, following directions or multiple steps, regulating behaviour, communicating ideas, or finding your way around.  </w:t>
                            </w:r>
                          </w:p>
                        </w:txbxContent>
                      </wps:txbx>
                      <wps:bodyPr rot="0" vert="horz" wrap="square" lIns="91440" tIns="45720" rIns="91440" bIns="45720" anchor="t" anchorCtr="0">
                        <a:spAutoFit/>
                      </wps:bodyPr>
                    </wps:wsp>
                  </a:graphicData>
                </a:graphic>
              </wp:inline>
            </w:drawing>
          </mc:Choice>
          <mc:Fallback>
            <w:pict>
              <v:shape w14:anchorId="5D9196B8" id="_x0000_s1032" type="#_x0000_t202" style="width:487.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" fillcolor="#f6f4ec [3214]">
                <v:textbox style="mso-fit-shape-to-text:t">
                  <w:txbxContent>
                    <w:p w14:paraId="3691F562" w14:textId="77777777" w:rsidR="0037220D" w:rsidRPr="00611B82" w:rsidRDefault="0037220D" w:rsidP="00611B82">
                      <w:pPr>
                        <w:rPr>
                          <w:b/>
                          <w:bCs/>
                        </w:rPr>
                      </w:pPr>
                      <w:r w:rsidRPr="00611B82">
                        <w:rPr>
                          <w:b/>
                          <w:bCs/>
                        </w:rPr>
                        <w:t xml:space="preserve">Presentation </w:t>
                      </w:r>
                    </w:p>
                    <w:p w14:paraId="187F79F6" w14:textId="77777777" w:rsidR="0037220D" w:rsidRPr="00F64FBE" w:rsidRDefault="0037220D" w:rsidP="00611B82">
                      <w:r w:rsidRPr="00F64FBE">
                        <w:t xml:space="preserve">To understand if the person is presenting with cognitive concerns, ask whether the person has experienced any changes or difficulties with any of the following: </w:t>
                      </w:r>
                    </w:p>
                    <w:p w14:paraId="6D767F2C" w14:textId="77777777" w:rsidR="0037220D" w:rsidRPr="00F64FBE" w:rsidRDefault="0037220D" w:rsidP="00611B82">
                      <w:r w:rsidRPr="00F64FBE">
                        <w:t xml:space="preserve">remembering things, organising yourself, making decisions, planning ahead, interacting with others, focusing on tasks and maintaining focus, following directions or multiple steps, regulating behaviour, communicating ideas, or finding your way around.  </w:t>
                      </w:r>
                    </w:p>
                  </w:txbxContent>
                </v:textbox>
                <w10:anchorlock/>
              </v:shape>
            </w:pict>
          </mc:Fallback>
        </mc:AlternateContent>
      </w:r>
      <w:r w:rsidRPr="00611B82">
        <w:t xml:space="preserve">Table </w:t>
      </w:r>
      <w:r w:rsidRPr="00611B82">
        <w:fldChar w:fldCharType="begin"/>
      </w:r>
      <w:r w:rsidRPr="00611B82">
        <w:instrText xml:space="preserve"> SEQ Table \* ARABIC </w:instrText>
      </w:r>
      <w:r w:rsidRPr="00611B82">
        <w:fldChar w:fldCharType="separate"/>
      </w:r>
      <w:r w:rsidR="007F1966">
        <w:rPr>
          <w:noProof/>
        </w:rPr>
        <w:t>5</w:t>
      </w:r>
      <w:r w:rsidRPr="00611B82">
        <w:fldChar w:fldCharType="end"/>
      </w:r>
      <w:bookmarkEnd w:id="1065"/>
      <w:r w:rsidRPr="00611B82">
        <w:t>. Relevant questions to ask as part of a comprehensive assessment</w:t>
      </w:r>
      <w:bookmarkEnd w:id="1066"/>
      <w:bookmarkEnd w:id="1067"/>
    </w:p>
    <w:p w14:paraId="709C91D2" w14:textId="77777777" w:rsidR="00DB72C6" w:rsidRDefault="00DB72C6" w:rsidP="00611B82">
      <w:pPr>
        <w:rPr>
          <w:b/>
          <w:bCs/>
        </w:rPr>
      </w:pPr>
    </w:p>
    <w:p w14:paraId="6737DCC9" w14:textId="355A9F43" w:rsidR="00B414BD" w:rsidRPr="00611B82" w:rsidRDefault="00B414BD" w:rsidP="00611B82">
      <w:pPr>
        <w:rPr>
          <w:b/>
          <w:bCs/>
        </w:rPr>
      </w:pPr>
      <w:r w:rsidRPr="00611B82">
        <w:rPr>
          <w:b/>
          <w:bCs/>
        </w:rPr>
        <w:t xml:space="preserve">Substance use history </w:t>
      </w:r>
    </w:p>
    <w:p w14:paraId="651E030D" w14:textId="77777777" w:rsidR="00B414BD" w:rsidRPr="002F511D" w:rsidRDefault="00B414BD" w:rsidP="00611B82">
      <w:r w:rsidRPr="002F511D">
        <w:t>Explore with tāngata whai ora current and previous substance use including alcohol, cannabis, novel psychoactive substances (like synthetic cannabis), tobacco or vaping, stimulants, opioids, sedatives (like benzodiazepines), hallucinogens, and any others like inhalants, GHB, ketamine, kava, or over the counter medications. Explore how frequently and how much is used, and when use started (such as adolescence).</w:t>
      </w:r>
    </w:p>
    <w:p w14:paraId="4B68097A" w14:textId="77777777" w:rsidR="00B414BD" w:rsidRPr="002F511D" w:rsidRDefault="00B414BD" w:rsidP="00A440F4">
      <w:pPr>
        <w:pStyle w:val="Bulletpoint"/>
        <w:spacing w:after="200"/>
        <w:ind w:left="357" w:hanging="357"/>
        <w:rPr>
          <w:b/>
          <w:bCs/>
        </w:rPr>
      </w:pPr>
      <w:r w:rsidRPr="002F511D">
        <w:t>Have you ever injected substances intravenously?</w:t>
      </w:r>
    </w:p>
    <w:p w14:paraId="71405B8B" w14:textId="77777777" w:rsidR="00B414BD" w:rsidRPr="002F511D" w:rsidRDefault="00B414BD" w:rsidP="00A440F4">
      <w:pPr>
        <w:pStyle w:val="Bulletpoint"/>
        <w:spacing w:after="200"/>
        <w:ind w:left="357" w:hanging="357"/>
        <w:rPr>
          <w:b/>
          <w:bCs/>
        </w:rPr>
      </w:pPr>
      <w:r w:rsidRPr="002F511D">
        <w:t>Have you been through withdrawal? What was that experience like for you?</w:t>
      </w:r>
    </w:p>
    <w:p w14:paraId="5C5F4041" w14:textId="77777777" w:rsidR="00DB72C6" w:rsidRPr="00DB72C6" w:rsidRDefault="00B414BD" w:rsidP="00A440F4">
      <w:pPr>
        <w:pStyle w:val="Bulletpoint"/>
        <w:spacing w:after="200"/>
        <w:ind w:left="357" w:hanging="357"/>
        <w:rPr>
          <w:b/>
          <w:bCs/>
        </w:rPr>
      </w:pPr>
      <w:r w:rsidRPr="002F511D">
        <w:t>Have you ever experienced an overdose? How did that affect your thinking?</w:t>
      </w:r>
      <w:bookmarkStart w:id="1068" w:name="_Toc178780120"/>
      <w:bookmarkStart w:id="1069" w:name="_Toc178838886"/>
      <w:bookmarkStart w:id="1070" w:name="_Toc178839073"/>
      <w:bookmarkStart w:id="1071" w:name="_Toc178839194"/>
      <w:bookmarkStart w:id="1072" w:name="_Toc178839422"/>
      <w:bookmarkStart w:id="1073" w:name="_Toc178841632"/>
      <w:bookmarkStart w:id="1074" w:name="_Toc179198192"/>
      <w:bookmarkStart w:id="1075" w:name="_Toc179198440"/>
      <w:bookmarkStart w:id="1076" w:name="_Toc179198548"/>
      <w:bookmarkStart w:id="1077" w:name="_Toc179198655"/>
      <w:bookmarkStart w:id="1078" w:name="_Toc179446099"/>
      <w:bookmarkStart w:id="1079" w:name="_Toc179447123"/>
    </w:p>
    <w:p w14:paraId="1152A6EC" w14:textId="77777777" w:rsidR="00DB72C6" w:rsidRDefault="00B414BD" w:rsidP="00A440F4">
      <w:pPr>
        <w:pStyle w:val="Bulletpoint"/>
        <w:spacing w:after="200"/>
        <w:ind w:left="357" w:hanging="357"/>
        <w:rPr>
          <w:noProof/>
          <w:sz w:val="22"/>
        </w:rPr>
      </w:pPr>
      <w:r w:rsidRPr="00611B82">
        <w:rPr>
          <w:rStyle w:val="BulletpointChar"/>
        </w:rPr>
        <w:t>What is the longest period you have abstained from a particular substance? Did you notice any changes in your thinking?</w:t>
      </w:r>
      <w:bookmarkEnd w:id="1068"/>
      <w:bookmarkEnd w:id="1069"/>
      <w:bookmarkEnd w:id="1070"/>
      <w:bookmarkEnd w:id="1071"/>
      <w:bookmarkEnd w:id="1072"/>
      <w:bookmarkEnd w:id="1073"/>
      <w:bookmarkEnd w:id="1074"/>
      <w:bookmarkEnd w:id="1075"/>
      <w:bookmarkEnd w:id="1076"/>
      <w:bookmarkEnd w:id="1077"/>
      <w:bookmarkEnd w:id="1078"/>
      <w:bookmarkEnd w:id="1079"/>
      <w:r w:rsidR="00DB72C6" w:rsidRPr="00DB72C6">
        <w:rPr>
          <w:noProof/>
          <w:sz w:val="22"/>
        </w:rPr>
        <w:t xml:space="preserve"> </w:t>
      </w:r>
    </w:p>
    <w:p w14:paraId="7CC8981B" w14:textId="5358D9CB" w:rsidR="00E24B12" w:rsidRPr="00DB72C6" w:rsidRDefault="00DB72C6" w:rsidP="00AE2B85">
      <w:r w:rsidRPr="005F1128">
        <w:rPr>
          <w:noProof/>
          <w:sz w:val="22"/>
        </w:rPr>
        <w:lastRenderedPageBreak/>
        <mc:AlternateContent>
          <mc:Choice Requires="wps">
            <w:drawing>
              <wp:inline distT="0" distB="0" distL="0" distR="0" wp14:anchorId="492537FB" wp14:editId="072D176E">
                <wp:extent cx="6120130" cy="2476500"/>
                <wp:effectExtent l="0" t="0" r="13970" b="19050"/>
                <wp:docPr id="75191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2476500"/>
                        </a:xfrm>
                        <a:prstGeom prst="rect">
                          <a:avLst/>
                        </a:prstGeom>
                        <a:solidFill>
                          <a:schemeClr val="bg2"/>
                        </a:solidFill>
                        <a:ln w="9525">
                          <a:solidFill>
                            <a:srgbClr val="000000"/>
                          </a:solidFill>
                          <a:miter lim="800000"/>
                          <a:headEnd/>
                          <a:tailEnd/>
                        </a:ln>
                      </wps:spPr>
                      <wps:txbx>
                        <w:txbxContent>
                          <w:p w14:paraId="590CD649" w14:textId="77777777" w:rsidR="00DB72C6" w:rsidRPr="00B53647" w:rsidRDefault="00DB72C6" w:rsidP="00DB72C6">
                            <w:pPr>
                              <w:pStyle w:val="List"/>
                              <w:ind w:left="0" w:firstLine="0"/>
                              <w:rPr>
                                <w:b/>
                                <w:bCs/>
                              </w:rPr>
                            </w:pPr>
                            <w:r w:rsidRPr="00B53647">
                              <w:rPr>
                                <w:b/>
                                <w:bCs/>
                              </w:rPr>
                              <w:t>Mood and emotions</w:t>
                            </w:r>
                          </w:p>
                          <w:p w14:paraId="5C85A462" w14:textId="77777777" w:rsidR="00DB72C6" w:rsidRPr="001E0F30" w:rsidRDefault="00DB72C6" w:rsidP="00DB72C6">
                            <w:pPr>
                              <w:pStyle w:val="Bulletpoint"/>
                              <w:spacing w:before="60" w:after="120" w:line="240" w:lineRule="auto"/>
                              <w:ind w:left="357" w:hanging="357"/>
                              <w:rPr>
                                <w:b/>
                                <w:bCs/>
                              </w:rPr>
                            </w:pPr>
                            <w:r w:rsidRPr="001E0F30">
                              <w:t>Have you experienced any trouble regulating your emotions?</w:t>
                            </w:r>
                          </w:p>
                          <w:p w14:paraId="0E001E31" w14:textId="77777777" w:rsidR="00DB72C6" w:rsidRPr="001E0F30" w:rsidRDefault="00DB72C6" w:rsidP="00DB72C6">
                            <w:pPr>
                              <w:pStyle w:val="Bulletpoint"/>
                              <w:spacing w:before="60" w:after="120" w:line="240" w:lineRule="auto"/>
                              <w:ind w:left="357" w:hanging="357"/>
                              <w:rPr>
                                <w:b/>
                                <w:bCs/>
                              </w:rPr>
                            </w:pPr>
                            <w:r w:rsidRPr="001E0F30">
                              <w:t>Do you feel well equipped to respond to everyday stressors?</w:t>
                            </w:r>
                          </w:p>
                          <w:p w14:paraId="3593086E" w14:textId="77777777" w:rsidR="00DB72C6" w:rsidRPr="001E0F30" w:rsidRDefault="00DB72C6" w:rsidP="00DB72C6">
                            <w:pPr>
                              <w:pStyle w:val="Bulletpoint"/>
                              <w:spacing w:before="60" w:after="120" w:line="240" w:lineRule="auto"/>
                              <w:ind w:left="357" w:hanging="357"/>
                              <w:rPr>
                                <w:b/>
                                <w:bCs/>
                              </w:rPr>
                            </w:pPr>
                            <w:r w:rsidRPr="001E0F30">
                              <w:t xml:space="preserve">Have you experienced more intense or changeable emotions or thoughts? </w:t>
                            </w:r>
                          </w:p>
                          <w:p w14:paraId="64B73A80" w14:textId="77777777" w:rsidR="00DB72C6" w:rsidRPr="001E0F30" w:rsidRDefault="00DB72C6" w:rsidP="00DB72C6">
                            <w:pPr>
                              <w:pStyle w:val="Bulletpoint"/>
                              <w:spacing w:before="60" w:after="120" w:line="240" w:lineRule="auto"/>
                              <w:ind w:left="357" w:hanging="357"/>
                              <w:rPr>
                                <w:b/>
                                <w:bCs/>
                              </w:rPr>
                            </w:pPr>
                            <w:r w:rsidRPr="001E0F30">
                              <w:t xml:space="preserve">Do you get angry at things you wouldn’t normally get angry about before? </w:t>
                            </w:r>
                          </w:p>
                          <w:p w14:paraId="644C38D5" w14:textId="77777777" w:rsidR="00DB72C6" w:rsidRPr="001E0F30" w:rsidRDefault="00DB72C6" w:rsidP="00DB72C6">
                            <w:pPr>
                              <w:pStyle w:val="Bulletpoint"/>
                              <w:spacing w:before="60" w:after="120" w:line="240" w:lineRule="auto"/>
                              <w:ind w:left="357" w:hanging="357"/>
                              <w:rPr>
                                <w:b/>
                                <w:bCs/>
                              </w:rPr>
                            </w:pPr>
                            <w:r w:rsidRPr="001E0F30">
                              <w:t>Do you feel overwhelmed more easily than in the past?</w:t>
                            </w:r>
                          </w:p>
                          <w:p w14:paraId="5B2D38A4" w14:textId="77777777" w:rsidR="00DB72C6" w:rsidRPr="001E0F30" w:rsidRDefault="00DB72C6" w:rsidP="00DB72C6">
                            <w:pPr>
                              <w:pStyle w:val="Bulletpoint"/>
                              <w:spacing w:before="60" w:after="120" w:line="240" w:lineRule="auto"/>
                              <w:ind w:left="357" w:hanging="357"/>
                              <w:rPr>
                                <w:b/>
                                <w:bCs/>
                              </w:rPr>
                            </w:pPr>
                            <w:r w:rsidRPr="001E0F30">
                              <w:t>Have you noticed your reactions to situations changing?</w:t>
                            </w:r>
                          </w:p>
                          <w:p w14:paraId="70E2CFAE" w14:textId="77777777" w:rsidR="00DB72C6" w:rsidRPr="001E0F30" w:rsidRDefault="00DB72C6" w:rsidP="00DB72C6">
                            <w:r w:rsidRPr="001E0F30">
                              <w:t>These are not mental health screening questions. Appendix C has information on mental health screening tools.</w:t>
                            </w:r>
                          </w:p>
                        </w:txbxContent>
                      </wps:txbx>
                      <wps:bodyPr rot="0" vert="horz" wrap="square" lIns="91440" tIns="45720" rIns="91440" bIns="45720" anchor="t" anchorCtr="0">
                        <a:noAutofit/>
                      </wps:bodyPr>
                    </wps:wsp>
                  </a:graphicData>
                </a:graphic>
              </wp:inline>
            </w:drawing>
          </mc:Choice>
          <mc:Fallback>
            <w:pict>
              <v:shape w14:anchorId="492537FB" id="_x0000_s1033" type="#_x0000_t202" style="width:481.9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" fillcolor="#f6f4ec [3214]">
                <v:textbox>
                  <w:txbxContent>
                    <w:p w14:paraId="590CD649" w14:textId="77777777" w:rsidR="00DB72C6" w:rsidRPr="00B53647" w:rsidRDefault="00DB72C6" w:rsidP="00DB72C6">
                      <w:pPr>
                        <w:pStyle w:val="List"/>
                        <w:ind w:left="0" w:firstLine="0"/>
                        <w:rPr>
                          <w:b/>
                          <w:bCs/>
                        </w:rPr>
                      </w:pPr>
                      <w:r w:rsidRPr="00B53647">
                        <w:rPr>
                          <w:b/>
                          <w:bCs/>
                        </w:rPr>
                        <w:t>Mood and emotions</w:t>
                      </w:r>
                    </w:p>
                    <w:p w14:paraId="5C85A462" w14:textId="77777777" w:rsidR="00DB72C6" w:rsidRPr="001E0F30" w:rsidRDefault="00DB72C6" w:rsidP="00DB72C6">
                      <w:pPr>
                        <w:pStyle w:val="Bulletpoint"/>
                        <w:spacing w:before="60" w:after="120" w:line="240" w:lineRule="auto"/>
                        <w:ind w:left="357" w:hanging="357"/>
                        <w:rPr>
                          <w:b/>
                          <w:bCs/>
                        </w:rPr>
                      </w:pPr>
                      <w:r w:rsidRPr="001E0F30">
                        <w:t>Have you experienced any trouble regulating your emotions?</w:t>
                      </w:r>
                    </w:p>
                    <w:p w14:paraId="0E001E31" w14:textId="77777777" w:rsidR="00DB72C6" w:rsidRPr="001E0F30" w:rsidRDefault="00DB72C6" w:rsidP="00DB72C6">
                      <w:pPr>
                        <w:pStyle w:val="Bulletpoint"/>
                        <w:spacing w:before="60" w:after="120" w:line="240" w:lineRule="auto"/>
                        <w:ind w:left="357" w:hanging="357"/>
                        <w:rPr>
                          <w:b/>
                          <w:bCs/>
                        </w:rPr>
                      </w:pPr>
                      <w:r w:rsidRPr="001E0F30">
                        <w:t>Do you feel well equipped to respond to everyday stressors?</w:t>
                      </w:r>
                    </w:p>
                    <w:p w14:paraId="3593086E" w14:textId="77777777" w:rsidR="00DB72C6" w:rsidRPr="001E0F30" w:rsidRDefault="00DB72C6" w:rsidP="00DB72C6">
                      <w:pPr>
                        <w:pStyle w:val="Bulletpoint"/>
                        <w:spacing w:before="60" w:after="120" w:line="240" w:lineRule="auto"/>
                        <w:ind w:left="357" w:hanging="357"/>
                        <w:rPr>
                          <w:b/>
                          <w:bCs/>
                        </w:rPr>
                      </w:pPr>
                      <w:r w:rsidRPr="001E0F30">
                        <w:t xml:space="preserve">Have you experienced more intense or changeable emotions or thoughts? </w:t>
                      </w:r>
                    </w:p>
                    <w:p w14:paraId="64B73A80" w14:textId="77777777" w:rsidR="00DB72C6" w:rsidRPr="001E0F30" w:rsidRDefault="00DB72C6" w:rsidP="00DB72C6">
                      <w:pPr>
                        <w:pStyle w:val="Bulletpoint"/>
                        <w:spacing w:before="60" w:after="120" w:line="240" w:lineRule="auto"/>
                        <w:ind w:left="357" w:hanging="357"/>
                        <w:rPr>
                          <w:b/>
                          <w:bCs/>
                        </w:rPr>
                      </w:pPr>
                      <w:r w:rsidRPr="001E0F30">
                        <w:t xml:space="preserve">Do you get angry at things you wouldn’t normally get angry about before? </w:t>
                      </w:r>
                    </w:p>
                    <w:p w14:paraId="644C38D5" w14:textId="77777777" w:rsidR="00DB72C6" w:rsidRPr="001E0F30" w:rsidRDefault="00DB72C6" w:rsidP="00DB72C6">
                      <w:pPr>
                        <w:pStyle w:val="Bulletpoint"/>
                        <w:spacing w:before="60" w:after="120" w:line="240" w:lineRule="auto"/>
                        <w:ind w:left="357" w:hanging="357"/>
                        <w:rPr>
                          <w:b/>
                          <w:bCs/>
                        </w:rPr>
                      </w:pPr>
                      <w:r w:rsidRPr="001E0F30">
                        <w:t>Do you feel overwhelmed more easily than in the past?</w:t>
                      </w:r>
                    </w:p>
                    <w:p w14:paraId="5B2D38A4" w14:textId="77777777" w:rsidR="00DB72C6" w:rsidRPr="001E0F30" w:rsidRDefault="00DB72C6" w:rsidP="00DB72C6">
                      <w:pPr>
                        <w:pStyle w:val="Bulletpoint"/>
                        <w:spacing w:before="60" w:after="120" w:line="240" w:lineRule="auto"/>
                        <w:ind w:left="357" w:hanging="357"/>
                        <w:rPr>
                          <w:b/>
                          <w:bCs/>
                        </w:rPr>
                      </w:pPr>
                      <w:r w:rsidRPr="001E0F30">
                        <w:t>Have you noticed your reactions to situations changing?</w:t>
                      </w:r>
                    </w:p>
                    <w:p w14:paraId="70E2CFAE" w14:textId="77777777" w:rsidR="00DB72C6" w:rsidRPr="001E0F30" w:rsidRDefault="00DB72C6" w:rsidP="00DB72C6">
                      <w:r w:rsidRPr="001E0F30">
                        <w:t>These are not mental health screening questions. Appendix C has information on mental health screening tools.</w:t>
                      </w:r>
                    </w:p>
                  </w:txbxContent>
                </v:textbox>
                <w10:anchorlock/>
              </v:shape>
            </w:pict>
          </mc:Fallback>
        </mc:AlternateContent>
      </w:r>
    </w:p>
    <w:p w14:paraId="5928D01B" w14:textId="43966C61" w:rsidR="00AE2B85" w:rsidRPr="00A440F4" w:rsidRDefault="00AE2B85" w:rsidP="00AE2B85">
      <w:pPr>
        <w:rPr>
          <w:b/>
          <w:bCs/>
          <w:color w:val="1E7880" w:themeColor="accent2" w:themeShade="BF"/>
          <w:sz w:val="28"/>
          <w:szCs w:val="28"/>
        </w:rPr>
      </w:pPr>
      <w:r w:rsidRPr="00A440F4">
        <w:rPr>
          <w:b/>
          <w:bCs/>
          <w:color w:val="1E7880" w:themeColor="accent2" w:themeShade="BF"/>
          <w:sz w:val="28"/>
          <w:szCs w:val="28"/>
        </w:rPr>
        <w:t xml:space="preserve">Physical health and medical history </w:t>
      </w:r>
    </w:p>
    <w:p w14:paraId="0DC46F0F" w14:textId="77777777" w:rsidR="00AE2B85" w:rsidRPr="005F1128" w:rsidRDefault="00AE2B85" w:rsidP="00611B82">
      <w:pPr>
        <w:pStyle w:val="Bulletpoint"/>
        <w:rPr>
          <w:b/>
          <w:bCs/>
        </w:rPr>
      </w:pPr>
      <w:r w:rsidRPr="005F1128">
        <w:t>What medications are you taking? What for? Have you noticed changes in your cognition or thinking since taking them?</w:t>
      </w:r>
    </w:p>
    <w:p w14:paraId="43E53E5B" w14:textId="77777777" w:rsidR="00AE2B85" w:rsidRPr="005F1128" w:rsidRDefault="00AE2B85" w:rsidP="00611B82">
      <w:pPr>
        <w:pStyle w:val="Bulletpoint"/>
        <w:rPr>
          <w:b/>
          <w:bCs/>
        </w:rPr>
      </w:pPr>
      <w:r w:rsidRPr="005F1128">
        <w:t xml:space="preserve">Do you have any current health problems or symptoms? Are you currently seeing a GP or specialist for ongoing physical health problems? </w:t>
      </w:r>
    </w:p>
    <w:p w14:paraId="4C9613D5" w14:textId="77777777" w:rsidR="00AE2B85" w:rsidRPr="005F1128" w:rsidRDefault="00AE2B85" w:rsidP="00611B82">
      <w:pPr>
        <w:pStyle w:val="Bulletpoint"/>
        <w:rPr>
          <w:b/>
          <w:bCs/>
        </w:rPr>
      </w:pPr>
      <w:r w:rsidRPr="005F1128">
        <w:t>Are there any conditions that run in your whānau?</w:t>
      </w:r>
    </w:p>
    <w:p w14:paraId="3483A600" w14:textId="77777777" w:rsidR="00AE2B85" w:rsidRPr="005F1128" w:rsidRDefault="00AE2B85" w:rsidP="00611B82">
      <w:pPr>
        <w:pStyle w:val="Bulletpoint"/>
        <w:rPr>
          <w:b/>
          <w:bCs/>
        </w:rPr>
      </w:pPr>
      <w:r w:rsidRPr="005F1128">
        <w:t xml:space="preserve">Have you ever hit your head, been knocked unconscious for more than 30 minutes, or had a brain scan? </w:t>
      </w:r>
    </w:p>
    <w:p w14:paraId="39841CC0" w14:textId="77777777" w:rsidR="00AE2B85" w:rsidRPr="005F1128" w:rsidRDefault="00AE2B85" w:rsidP="00611B82">
      <w:pPr>
        <w:pStyle w:val="Bulletpoint"/>
        <w:rPr>
          <w:b/>
          <w:bCs/>
        </w:rPr>
      </w:pPr>
      <w:r w:rsidRPr="005F1128">
        <w:t>Have you ever been in a car crash, been injured playing sports (like rugby), had a fall, or been involved in violence or assaults?</w:t>
      </w:r>
    </w:p>
    <w:p w14:paraId="1C4FC7EC" w14:textId="77777777" w:rsidR="00AE2B85" w:rsidRPr="005F1128" w:rsidRDefault="00AE2B85" w:rsidP="00611B82">
      <w:pPr>
        <w:pStyle w:val="Bulletpoint"/>
        <w:rPr>
          <w:b/>
          <w:bCs/>
        </w:rPr>
      </w:pPr>
      <w:r w:rsidRPr="005F1128">
        <w:t>Have you ever been hospitalised? Did you self-discharge?</w:t>
      </w:r>
    </w:p>
    <w:p w14:paraId="3BB557DD" w14:textId="77777777" w:rsidR="00AE2B85" w:rsidRPr="005F1128" w:rsidRDefault="00AE2B85" w:rsidP="00611B82">
      <w:pPr>
        <w:pStyle w:val="Bulletpoint"/>
        <w:rPr>
          <w:b/>
          <w:bCs/>
        </w:rPr>
      </w:pPr>
      <w:r w:rsidRPr="005F1128">
        <w:t>Do you sleep well? Do you feel well rested in the morning?</w:t>
      </w:r>
    </w:p>
    <w:p w14:paraId="36F89CCA" w14:textId="77777777" w:rsidR="00AE2B85" w:rsidRPr="005F1128" w:rsidRDefault="00AE2B85" w:rsidP="00611B82">
      <w:pPr>
        <w:pStyle w:val="Bulletpoint"/>
        <w:rPr>
          <w:b/>
          <w:bCs/>
        </w:rPr>
      </w:pPr>
      <w:r w:rsidRPr="005F1128">
        <w:t xml:space="preserve">Do you have any challenges with hearing? Do you wear hearing aids? </w:t>
      </w:r>
    </w:p>
    <w:p w14:paraId="7AA3D39C" w14:textId="77777777" w:rsidR="00AE2B85" w:rsidRPr="005F1128" w:rsidRDefault="00AE2B85" w:rsidP="00611B82">
      <w:pPr>
        <w:pStyle w:val="Bulletpoint"/>
        <w:rPr>
          <w:b/>
          <w:bCs/>
        </w:rPr>
      </w:pPr>
      <w:r w:rsidRPr="005F1128">
        <w:t>Have you been tested for viruses like HIV or Hepatitis C? (Especially relevant for tāngata whai ora with a history of injecting substances).</w:t>
      </w:r>
    </w:p>
    <w:p w14:paraId="79FA0CE4" w14:textId="77777777" w:rsidR="00AE2B85" w:rsidRPr="005F1128" w:rsidRDefault="00AE2B85" w:rsidP="00611B82">
      <w:pPr>
        <w:pStyle w:val="Bulletpoint"/>
        <w:rPr>
          <w:b/>
          <w:bCs/>
        </w:rPr>
      </w:pPr>
      <w:r w:rsidRPr="005F1128">
        <w:t>Check for previous blood tests like vitamins B1 and B12, and liver, kidney, and thyroid function.</w:t>
      </w:r>
    </w:p>
    <w:p w14:paraId="08CD8589" w14:textId="77777777" w:rsidR="00AE2B85" w:rsidRPr="002F511D" w:rsidRDefault="00AE2B85" w:rsidP="00611B82">
      <w:r w:rsidRPr="009D348D">
        <w:t xml:space="preserve">Note: If people raise any flags about physical health conditions, then refer to physical health services including primary care for support. Physical health problems are common among tāngata </w:t>
      </w:r>
      <w:r>
        <w:t>whai ora</w:t>
      </w:r>
      <w:r w:rsidRPr="009D348D">
        <w:t xml:space="preserve"> accessing AOD services and may get missed due to </w:t>
      </w:r>
      <w:r w:rsidRPr="009D348D">
        <w:lastRenderedPageBreak/>
        <w:t>overshadowing by substance use and associated symptoms.</w:t>
      </w:r>
      <w:r w:rsidRPr="009D348D">
        <w:fldChar w:fldCharType="begin"/>
      </w:r>
      <w:r w:rsidRPr="009D348D">
        <w:instrText xml:space="preserve"> ADDIN ZOTERO_ITEM CSL_CITATION {"citationID":"amrv64sj0","properties":{"formattedCitation":"\\super 135,136\\nosupersub{}","plainCitation":"135,136","noteIndex":0},"citationItems":[{"id":13792,"uris":["http://zotero.org/groups/4745233/items/TXUJ57TC"],"itemData":{"id":13792,"type":"report","title":"Achieving physical health equity for people with experience of mental health and addiction issues: Evidence update","URL":"https://www.tepou.co.nz/resources/achieving-physical-health-equity-for-people-with-experience-of-mental-health-and-addiction-issues---evidence-update-july-2020","author":[{"family":"Te Pou","given":""}],"issued":{"date-parts":[["2020"]]}}},{"id":8528,"uris":["http://zotero.org/groups/4406622/items/QA9ZHMIQ"],"itemData":{"id":8528,"type":"article-journal","abstract":"Introduction Quality of health care contributes to poor physical health outcomes for people with mental health and substance use conditions (MHSUC). AIM This study investigated experiences of people with MHSUC who sought help for a physical health condition in primary healthcare services, examining quality of care attributes. Methods An online survey of adults currently or recently accessing services for MHSUC was fielded in 2022. Respondents were recruited nationally through mental health, addiction and lived experience networks and social media. The attributes of service quality assessed were relationships (respect and being listened to), discrimination due to MHSUC, and diagnostic overshadowing (MHSUC diagnosis distracted from physical health care). Results Respondents who had used primary care services were included (n  = 335). The majority of respondents reported both being treated with respect (81%) and being listened to (79%) always or most of the time. A minority of respondents reported diagnostic overshadowing (20%) or discrimination due to MHSUC (10%). People with four or more diagnoses or a diagnosis of bipolar disorder or schizophrenia had significantly worse experiences across all quality measures. Those with a diagnosis of substance use disorders had worse experiences for diagnostic overshadowing. Māori had worse experiences for respect and diagnostic overshadowing. Conclusions Although many respondents reported good experiences in primary care, this was not the case for everyone. Quality of care was affected by type and number of diagnoses and the person's ethnicity. Interventions to reduce stigma and diagnostic overshadowing for people with MHSUC are needed in primary care services in New Zealand.","container-title":"Journal of Primary Health Care","DOI":"10.1071/HC23015","ISSN":"1172-6156","issue":"2","journalAbbreviation":"J Prim Health Care","language":"eng","note":"PMID: 37390032","page":"112-121","source":"PubMed","title":"Do patients with mental health and substance use conditions experience discrimination and diagnostic overshadowing in primary care in Aotearoa New Zealand? Results from a national online survey","title-short":"Do patients with mental health and substance use conditions experience discrimination and diagnostic overshadowing in primary care in Aotearoa New Zealand?","volume":"15","author":[{"family":"Cunningham","given":"Ruth"},{"family":"Imlach","given":"Fiona"},{"family":"Lockett","given":"Helen"},{"family":"Lacey","given":"Cameron"},{"family":"Haitana","given":"Tracy"},{"family":"Every-Palmer","given":"Susanna"},{"family":"Clark","given":"Mau Te Rangimarie"},{"family":"Peterson","given":"Debbie"}],"issued":{"date-parts":[["2023",6]]}}}],"schema":"https://github.com/citation-style-language/schema/raw/master/csl-citation.json"} </w:instrText>
      </w:r>
      <w:r w:rsidRPr="009D348D">
        <w:fldChar w:fldCharType="separate"/>
      </w:r>
      <w:r w:rsidRPr="009D348D">
        <w:rPr>
          <w:rFonts w:cs="Arial"/>
          <w:szCs w:val="24"/>
          <w:vertAlign w:val="superscript"/>
        </w:rPr>
        <w:t>135,136</w:t>
      </w:r>
      <w:r w:rsidRPr="009D348D">
        <w:fldChar w:fldCharType="end"/>
      </w:r>
      <w:r w:rsidRPr="009D348D">
        <w:t xml:space="preserve"> Many physical health problems are preventable and require workers to proactively support people’s physical health needs. </w:t>
      </w:r>
    </w:p>
    <w:p w14:paraId="455F1436" w14:textId="3D180883" w:rsidR="00AE2B85" w:rsidRDefault="00AE2B85" w:rsidP="00AE2B85">
      <w:pPr>
        <w:pStyle w:val="Bodycopy"/>
        <w:rPr>
          <w:b/>
          <w:bCs/>
          <w:color w:val="00C7C7" w:themeColor="accent5" w:themeTint="BF"/>
          <w:szCs w:val="22"/>
        </w:rPr>
      </w:pPr>
      <w:r w:rsidRPr="00AD7897">
        <w:rPr>
          <w:noProof/>
          <w:color w:val="00C7C7" w:themeColor="accent5" w:themeTint="BF"/>
          <w:szCs w:val="22"/>
        </w:rPr>
        <mc:AlternateContent>
          <mc:Choice Requires="wps">
            <w:drawing>
              <wp:inline distT="0" distB="0" distL="0" distR="0" wp14:anchorId="6B974497" wp14:editId="64A63B22">
                <wp:extent cx="6144260" cy="955040"/>
                <wp:effectExtent l="0" t="0" r="27940" b="16510"/>
                <wp:docPr id="14512735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4260" cy="955040"/>
                        </a:xfrm>
                        <a:prstGeom prst="rect">
                          <a:avLst/>
                        </a:prstGeom>
                        <a:solidFill>
                          <a:schemeClr val="bg2"/>
                        </a:solidFill>
                        <a:ln w="9525">
                          <a:solidFill>
                            <a:srgbClr val="000000"/>
                          </a:solidFill>
                          <a:miter lim="800000"/>
                          <a:headEnd/>
                          <a:tailEnd/>
                        </a:ln>
                      </wps:spPr>
                      <wps:txbx>
                        <w:txbxContent>
                          <w:p w14:paraId="42EE87BD" w14:textId="77777777" w:rsidR="00AE2B85" w:rsidRPr="00611B82" w:rsidRDefault="00AE2B85" w:rsidP="00611B82">
                            <w:pPr>
                              <w:rPr>
                                <w:b/>
                                <w:bCs/>
                              </w:rPr>
                            </w:pPr>
                            <w:r w:rsidRPr="00611B82">
                              <w:rPr>
                                <w:b/>
                                <w:bCs/>
                              </w:rPr>
                              <w:t xml:space="preserve">Legal/forensic history </w:t>
                            </w:r>
                          </w:p>
                          <w:p w14:paraId="53DA30D4" w14:textId="77777777" w:rsidR="00AE2B85" w:rsidRPr="00843169" w:rsidRDefault="00AE2B85" w:rsidP="00611B82">
                            <w:r w:rsidRPr="00843169">
                              <w:t>Check if people have been referred from the justice system as this could indicate higher risk of cognitive impairment.</w:t>
                            </w:r>
                            <w:r w:rsidRPr="00843169">
                              <w:rPr>
                                <w:lang w:val="mi-NZ"/>
                              </w:rPr>
                              <w:fldChar w:fldCharType="begin"/>
                            </w:r>
                            <w:r w:rsidRPr="00843169">
                              <w:rPr>
                                <w:lang w:val="mi-NZ"/>
                              </w:rPr>
                              <w:instrText xml:space="preserve"> ADDIN ZOTERO_ITEM CSL_CITATION {"citationID":"a9fqh0esfv","properties":{"formattedCitation":"\\super 3\\nosupersub{}","plainCitation":"3","noteIndex":0},"citationItems":[{"id":14007,"uris":["http://zotero.org/groups/4745233/items/U3GGYCKU"],"itemData":{"id":14007,"type":"report","event-place":"Richmond, Victoria","language":"en","publisher":"Turning Point","publisher-place":"Richmond, Victoria","source":"Zotero","title":"Managing Cognitive Impairment in AOD Treatment: Practice Guidelines for Healthcare Professionals","URL":"https://www.turningpoint.org.au/treatment/clinicians/Managing-Cognitive-Impairment-in-AOD-Treatment-Guidelines","author":[{"family":"Manning","given":"Victoria"},{"family":"Gooden","given":"James"},{"family":"Cox","given":"Catherine"},{"family":"Whelan","given":"Danielle"},{"family":"Miroz","given":"Katherine"}],"issued":{"date-parts":[["2021"]]}}}],"schema":"https://github.com/citation-style-language/schema/raw/master/csl-citation.json"} </w:instrText>
                            </w:r>
                            <w:r w:rsidRPr="00843169">
                              <w:rPr>
                                <w:lang w:val="mi-NZ"/>
                              </w:rPr>
                              <w:fldChar w:fldCharType="separate"/>
                            </w:r>
                            <w:r w:rsidRPr="00843169">
                              <w:rPr>
                                <w:rFonts w:cs="Arial"/>
                                <w:vertAlign w:val="superscript"/>
                              </w:rPr>
                              <w:t>3</w:t>
                            </w:r>
                            <w:r w:rsidRPr="00843169">
                              <w:rPr>
                                <w:lang w:val="mi-NZ"/>
                              </w:rPr>
                              <w:fldChar w:fldCharType="end"/>
                            </w:r>
                          </w:p>
                        </w:txbxContent>
                      </wps:txbx>
                      <wps:bodyPr rot="0" vert="horz" wrap="square" lIns="91440" tIns="45720" rIns="91440" bIns="45720" anchor="t" anchorCtr="0">
                        <a:noAutofit/>
                      </wps:bodyPr>
                    </wps:wsp>
                  </a:graphicData>
                </a:graphic>
              </wp:inline>
            </w:drawing>
          </mc:Choice>
          <mc:Fallback>
            <w:pict>
              <v:shape w14:anchorId="6B974497" id="_x0000_s1034" type="#_x0000_t202" style="width:483.8pt;height:7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" fillcolor="#f6f4ec [3214]">
                <v:textbox>
                  <w:txbxContent>
                    <w:p w14:paraId="42EE87BD" w14:textId="77777777" w:rsidR="00AE2B85" w:rsidRPr="00611B82" w:rsidRDefault="00AE2B85" w:rsidP="00611B82">
                      <w:pPr>
                        <w:rPr>
                          <w:b/>
                          <w:bCs/>
                        </w:rPr>
                      </w:pPr>
                      <w:r w:rsidRPr="00611B82">
                        <w:rPr>
                          <w:b/>
                          <w:bCs/>
                        </w:rPr>
                        <w:t xml:space="preserve">Legal/forensic history </w:t>
                      </w:r>
                    </w:p>
                    <w:p w14:paraId="53DA30D4" w14:textId="77777777" w:rsidR="00AE2B85" w:rsidRPr="00843169" w:rsidRDefault="00AE2B85" w:rsidP="00611B82">
                      <w:r w:rsidRPr="00843169">
                        <w:t>Check if people have been referred from the justice system as this could indicate higher risk of cognitive impairment.</w:t>
                      </w:r>
                      <w:r w:rsidRPr="00843169">
                        <w:rPr>
                          <w:lang w:val="mi-NZ"/>
                        </w:rPr>
                        <w:fldChar w:fldCharType="begin"/>
                      </w:r>
                      <w:r w:rsidRPr="00843169">
                        <w:rPr>
                          <w:lang w:val="mi-NZ"/>
                        </w:rPr>
                        <w:instrText xml:space="preserve"> ADDIN ZOTERO_ITEM CSL_CITATION {"citationID":"a9fqh0esfv","properties":{"formattedCitation":"\\super 3\\nosupersub{}","plainCitation":"3","noteIndex":0},"citationItems":[{"id":14007,"uris":["http://zotero.org/groups/4745233/items/U3GGYCKU"],"itemData":{"id":14007,"type":"report","event-place":"Richmond, Victoria","language":"en","publisher":"Turning Point","publisher-place":"Richmond, Victoria","source":"Zotero","title":"Managing Cognitive Impairment in AOD Treatment: Practice Guidelines for Healthcare Professionals","URL":"https://www.turningpoint.org.au/treatment/clinicians/Managing-Cognitive-Impairment-in-AOD-Treatment-Guidelines","author":[{"family":"Manning","given":"Victoria"},{"family":"Gooden","given":"James"},{"family":"Cox","given":"Catherine"},{"family":"Whelan","given":"Danielle"},{"family":"Miroz","given":"Katherine"}],"issued":{"date-parts":[["2021"]]}}}],"schema":"https://github.com/citation-style-language/schema/raw/master/csl-citation.json"} </w:instrText>
                      </w:r>
                      <w:r w:rsidRPr="00843169">
                        <w:rPr>
                          <w:lang w:val="mi-NZ"/>
                        </w:rPr>
                        <w:fldChar w:fldCharType="separate"/>
                      </w:r>
                      <w:r w:rsidRPr="00843169">
                        <w:rPr>
                          <w:rFonts w:cs="Arial"/>
                          <w:vertAlign w:val="superscript"/>
                        </w:rPr>
                        <w:t>3</w:t>
                      </w:r>
                      <w:r w:rsidRPr="00843169">
                        <w:rPr>
                          <w:lang w:val="mi-NZ"/>
                        </w:rPr>
                        <w:fldChar w:fldCharType="end"/>
                      </w:r>
                    </w:p>
                  </w:txbxContent>
                </v:textbox>
                <w10:anchorlock/>
              </v:shape>
            </w:pict>
          </mc:Fallback>
        </mc:AlternateContent>
      </w:r>
    </w:p>
    <w:p w14:paraId="556445EC" w14:textId="77777777" w:rsidR="00DB72C6" w:rsidRDefault="00DB72C6" w:rsidP="006501A7">
      <w:pPr>
        <w:pStyle w:val="Bodycopy"/>
        <w:rPr>
          <w:b/>
          <w:bCs/>
          <w:color w:val="1E7880" w:themeColor="accent2" w:themeShade="BF"/>
          <w:sz w:val="24"/>
          <w:szCs w:val="24"/>
        </w:rPr>
      </w:pPr>
    </w:p>
    <w:p w14:paraId="33FA245D" w14:textId="77777777" w:rsidR="00DB72C6" w:rsidRDefault="00DB72C6" w:rsidP="006501A7">
      <w:pPr>
        <w:pStyle w:val="Bodycopy"/>
        <w:rPr>
          <w:b/>
          <w:bCs/>
          <w:color w:val="1E7880" w:themeColor="accent2" w:themeShade="BF"/>
          <w:sz w:val="24"/>
          <w:szCs w:val="24"/>
        </w:rPr>
      </w:pPr>
    </w:p>
    <w:p w14:paraId="47D9E5DC" w14:textId="02DB5936" w:rsidR="006501A7" w:rsidRPr="00A440F4" w:rsidRDefault="006501A7" w:rsidP="006501A7">
      <w:pPr>
        <w:pStyle w:val="Bodycopy"/>
        <w:rPr>
          <w:b/>
          <w:bCs/>
          <w:color w:val="1E7880" w:themeColor="accent2" w:themeShade="BF"/>
          <w:sz w:val="28"/>
        </w:rPr>
      </w:pPr>
      <w:r w:rsidRPr="00A440F4">
        <w:rPr>
          <w:b/>
          <w:bCs/>
          <w:color w:val="1E7880" w:themeColor="accent2" w:themeShade="BF"/>
          <w:sz w:val="28"/>
        </w:rPr>
        <w:t xml:space="preserve">Personal/developmental history </w:t>
      </w:r>
    </w:p>
    <w:p w14:paraId="0D540636" w14:textId="77777777" w:rsidR="006501A7" w:rsidRPr="0070367F" w:rsidRDefault="006501A7" w:rsidP="00611B82">
      <w:pPr>
        <w:pStyle w:val="Bulletpoint"/>
        <w:rPr>
          <w:b/>
          <w:bCs/>
        </w:rPr>
      </w:pPr>
      <w:r w:rsidRPr="0070367F">
        <w:t>Have you experienced any significant life events in your childhood? Adverse childhood experiences are associated with a range of cognitive difficulties.</w:t>
      </w:r>
      <w:r w:rsidRPr="0070367F">
        <w:fldChar w:fldCharType="begin"/>
      </w:r>
      <w:r w:rsidRPr="0070367F">
        <w:instrText xml:space="preserve"> ADDIN ZOTERO_ITEM CSL_CITATION {"citationID":"a1668ua0al6","properties":{"formattedCitation":"\\super 23\\uc0\\u8211{}25\\nosupersub{}","plainCitation":"23–25","noteIndex":0},"citationItems":[{"id":13893,"uris":["http://zotero.org/groups/4745233/items/KXHJW36E"],"itemData":{"id":13893,"type":"article-journal","abstract":"AIMS: Recent research has revealed that early life trauma (ELS), including abuse (sexual and/or physical) and neglect, produce lasting changes in the CNS. We posited that cognitive deficits, often observed in psychiatric patients, result, in part, due to the neurobiological consequences of ELS. Additionally, we hypothesized that the nature and magnitude of cognitive deficits would differ according to the subtype of ELS experienced.\nMETHOD: The Cambridge Neuropsychological Test Automated Battery (CANTAB) was used to assess neurocognitive functioning in 93 subjects (60 with ELS and 33 without). In the patients with a history of ELS, 35% and 16.7%, respectively, met criteria for current major depression and PTSD.\nRESULTS: Significant associations between ELS status and CANTAB measures of memory and executive and emotional functioning were found.\nCONCLUSIONS: These data suggest that exposure to ELS results in a cascade of neurobiological changes associated with cognitive deficits in adulthood that vary according to the type of trauma experienced.","container-title":"Journal of Psychiatric Research","DOI":"10.1016/j.jpsychires.2012.01.005","ISSN":"1879-1379","issue":"4","journalAbbreviation":"J Psychiatr Res","language":"eng","note":"PMID: 22336639\nPMCID: PMC3307950","page":"500-506","source":"PubMed","title":"The effects of child abuse and neglect on cognitive functioning in adulthood","volume":"46","author":[{"family":"Gould","given":"Felicia"},{"family":"Clarke","given":"Jennifer"},{"family":"Heim","given":"Christine"},{"family":"Harvey","given":"Philip D."},{"family":"Majer","given":"Matthias"},{"family":"Nemeroff","given":"Charles B."}],"issued":{"date-parts":[["2012",4]]}}},{"id":14239,"uris":["http://zotero.org/groups/4745233/items/KBU8ZSYY"],"itemData":{"id":14239,"type":"article-journal","abstract":"OBJECTIVE: Childhood trauma is common and associated with both worse cognitive performance and disruption to the hypothalamic-pituitary-adrenal axis in younger adults. The extent to which these associations persist into older adulthood remains unknown. The aim of this study was to investigate self-reported childhood trauma in relation to cognitive performance, and the extent to which cortisol explained this association, in 2 independent samples of older adults.\nMETHODS: In this cross-sectional study, participants in the discovery sample (N = 76) consisted of older adults with a DSM-IV diagnosis of generalized anxiety disorder (N = 57) and age-equated psychiatrically healthy comparison subjects (N = 19) who were referred largely through primary care clinics between 2004-2006. The replication sample (N = 48) consisted of older adults with DSM-IV anxiety or depressive disorders recruited between 2012-2013. Participants were administered the Early Trauma Inventory Self-Report-Short Form and a neuropsychological assessment (primary outcome).\nRESULTS: Across both samples, childhood trauma was significantly associated with worse performance on measures of processing speed, attention, and executive functioning. The effect of trauma exposure was stronger when general, physical, and sexual traumatic events were examined specifically (all P &lt; .05). Childhood trauma was not associated with cortisol levels, and cortisol did not explain the association between trauma and cognitive functioning.\nCONCLUSIONS: Self-reported traumatic events experienced in childhood are associated with poorer cognitive performance in anxious and depressed older adults. Findings demonstrate a deleterious impact of childhood trauma on brain health in old age.","container-title":"The Journal of Clinical Psychiatry","DOI":"10.4088/JCP.16m11021","ISSN":"1555-2101","issue":"1","journalAbbreviation":"J Clin Psychiatry","language":"eng","note":"PMID: 29228518\nPMCID: PMC6959209","page":"16m11021","source":"PubMed","title":"Childhood trauma is associated with poorer cognitive performance in older adults","volume":"79","author":[{"family":"Petkus","given":"Andrew J."},{"family":"Lenze","given":"Eric J."},{"family":"Butters","given":"Meryl A."},{"family":"Twamley","given":"Elizabeth W."},{"family":"Wetherell","given":"Julie Loebach"}],"issued":{"date-parts":[["2018"]]}}},{"id":13892,"uris":["http://zotero.org/groups/4745233/items/ZY2FA5H8"],"itemData":{"id":13892,"type":"article-journal","abstract":"OBJECTIVE: Clinical studies suggest that childhood maltreatment may cause nervous system changes and consequent cognitive disorder. The persistence of this association in late-life is examined.\nMETHODS: Cognitive functioning and childhood events were examined in 1282 persons over 65 years, taking into account proximal competing causes of poor cognitive performance.\nRESULTS: Ninety one per cent experienced at least one adverse childhood event, of these 14.7% severe events. Sharing of parental problems and, for women, loss of a parent were associated with poorer verbal retrieval whereas being sent to a foster home or mistreatment by schoolmates was associated with poorer visuospatial memory. Severe abuse was associated with a lower risk of cognitive impairment on some tests suggesting a resilience factor. Positive childhood environment was protective although only for non-carriers of the ApoE ε4 allele on the central executive task.\nCONCLUSIONS: Some adverse childhood events continue to have a negative effect on later-life cognitive performance, while some more severe acute events may have the opposite effect, underlying the necessity to consider events individually and not as global test scores.","container-title":"International Journal of Geriatric Psychiatry","DOI":"10.1002/gps.2553","ISSN":"1099-1166","issue":"5","journalAbbreviation":"Int J Geriatr Psychiatry","language":"eng","note":"PMID: 21445999","page":"503-510","source":"PubMed","title":"Adverse childhood environment and late-life cognitive functioning","volume":"26","author":[{"family":"Ritchie","given":"Karen"},{"family":"Jaussent","given":"Isabelle"},{"family":"Stewart","given":"Robert"},{"family":"Dupuy","given":"Anne-Marie"},{"family":"Courtet","given":"Philippe"},{"family":"Malafosse","given":"Alain"},{"family":"Ancelin","given":"Marie-Laure"}],"issued":{"date-parts":[["2011",5]]}}}],"schema":"https://github.com/citation-style-language/schema/raw/master/csl-citation.json"} </w:instrText>
      </w:r>
      <w:r w:rsidRPr="0070367F">
        <w:fldChar w:fldCharType="separate"/>
      </w:r>
      <w:r w:rsidRPr="0070367F">
        <w:rPr>
          <w:rFonts w:cs="Arial"/>
          <w:vertAlign w:val="superscript"/>
        </w:rPr>
        <w:t>23–25</w:t>
      </w:r>
      <w:r w:rsidRPr="0070367F">
        <w:fldChar w:fldCharType="end"/>
      </w:r>
      <w:r w:rsidRPr="0070367F">
        <w:t xml:space="preserve"> </w:t>
      </w:r>
    </w:p>
    <w:p w14:paraId="6B7EFE8F" w14:textId="77777777" w:rsidR="006501A7" w:rsidRPr="00A440F4" w:rsidRDefault="006501A7" w:rsidP="00611B82">
      <w:pPr>
        <w:pStyle w:val="Bulletpoint"/>
        <w:rPr>
          <w:b/>
          <w:bCs/>
          <w:szCs w:val="24"/>
        </w:rPr>
      </w:pPr>
      <w:r w:rsidRPr="00A440F4">
        <w:rPr>
          <w:szCs w:val="24"/>
        </w:rPr>
        <w:t xml:space="preserve">Have you ever been diagnosed with a neurodevelopmental condition, such as intellectual disability, ADHD, dyslexia, ASD, or FASD? </w:t>
      </w:r>
    </w:p>
    <w:p w14:paraId="01F8B5F4" w14:textId="77777777" w:rsidR="006501A7" w:rsidRPr="0070367F" w:rsidRDefault="006501A7" w:rsidP="00611B82">
      <w:pPr>
        <w:rPr>
          <w:b/>
          <w:bCs/>
        </w:rPr>
      </w:pPr>
      <w:r w:rsidRPr="0070367F">
        <w:t xml:space="preserve">Use the prompts below to find out more about possible neurodevelopmental conditions. If these are suspected refer for a neuropsychological assessment – neurodevelopmental conditions are usually diagnosed in childhood, but service barriers may mean people have been missed. </w:t>
      </w:r>
    </w:p>
    <w:p w14:paraId="3D690AD0" w14:textId="77777777" w:rsidR="006501A7" w:rsidRPr="0070367F" w:rsidRDefault="006501A7" w:rsidP="00611B82">
      <w:pPr>
        <w:pStyle w:val="Bulletpoint"/>
        <w:rPr>
          <w:b/>
          <w:bCs/>
        </w:rPr>
      </w:pPr>
      <w:r w:rsidRPr="0070367F">
        <w:t xml:space="preserve">Did you experience difficulties with milestones like learning to walk, talk, read, write, or communicate? </w:t>
      </w:r>
    </w:p>
    <w:p w14:paraId="01D097BF" w14:textId="77777777" w:rsidR="006501A7" w:rsidRPr="0070367F" w:rsidRDefault="006501A7" w:rsidP="00611B82">
      <w:pPr>
        <w:pStyle w:val="Bulletpoint"/>
        <w:rPr>
          <w:b/>
          <w:bCs/>
        </w:rPr>
      </w:pPr>
      <w:r w:rsidRPr="0070367F">
        <w:t xml:space="preserve">Do any developmental problems run in your whānau? </w:t>
      </w:r>
    </w:p>
    <w:p w14:paraId="3A5A3E1F" w14:textId="77777777" w:rsidR="006501A7" w:rsidRPr="0070367F" w:rsidRDefault="006501A7" w:rsidP="00611B82">
      <w:pPr>
        <w:pStyle w:val="Bulletpoint"/>
        <w:rPr>
          <w:b/>
          <w:bCs/>
        </w:rPr>
      </w:pPr>
      <w:r w:rsidRPr="0070367F">
        <w:t>Did you feel behind relative to your peers at school?</w:t>
      </w:r>
    </w:p>
    <w:p w14:paraId="330E0CE6" w14:textId="77777777" w:rsidR="006501A7" w:rsidRPr="0070367F" w:rsidRDefault="006501A7" w:rsidP="00611B82">
      <w:pPr>
        <w:pStyle w:val="Bulletpoint"/>
        <w:rPr>
          <w:b/>
          <w:bCs/>
        </w:rPr>
      </w:pPr>
      <w:r w:rsidRPr="0070367F">
        <w:t>Did you need support or have problems with emotions or behaviour at school?</w:t>
      </w:r>
    </w:p>
    <w:p w14:paraId="3D1191AC" w14:textId="77777777" w:rsidR="006501A7" w:rsidRPr="0070367F" w:rsidRDefault="006501A7" w:rsidP="00611B82">
      <w:pPr>
        <w:pStyle w:val="Bulletpoint"/>
        <w:rPr>
          <w:b/>
          <w:bCs/>
        </w:rPr>
      </w:pPr>
      <w:r w:rsidRPr="0070367F">
        <w:t>Were you able to make connections easily with others at school?</w:t>
      </w:r>
    </w:p>
    <w:p w14:paraId="660E3D36" w14:textId="77777777" w:rsidR="006501A7" w:rsidRPr="0070367F" w:rsidRDefault="006501A7" w:rsidP="00611B82">
      <w:pPr>
        <w:pStyle w:val="Bulletpoint"/>
        <w:rPr>
          <w:b/>
          <w:bCs/>
        </w:rPr>
      </w:pPr>
      <w:r w:rsidRPr="0070367F">
        <w:t>Did you leave school early or have to repeat school years?</w:t>
      </w:r>
    </w:p>
    <w:p w14:paraId="4B4F36A1" w14:textId="066368A1" w:rsidR="006501A7" w:rsidRPr="0070367F" w:rsidRDefault="006501A7" w:rsidP="00611B82">
      <w:pPr>
        <w:pStyle w:val="Bulletpoint"/>
        <w:rPr>
          <w:b/>
          <w:bCs/>
        </w:rPr>
      </w:pPr>
      <w:r w:rsidRPr="0070367F">
        <w:t>How do you find building and maintaining friendships and other significant relationships? Have you noticed any changes in your relationships?</w:t>
      </w:r>
    </w:p>
    <w:p w14:paraId="38EF9B8D" w14:textId="740009D7" w:rsidR="006501A7" w:rsidRPr="0070367F" w:rsidRDefault="006501A7" w:rsidP="00611B82">
      <w:pPr>
        <w:pStyle w:val="Bulletpoint"/>
        <w:rPr>
          <w:b/>
          <w:bCs/>
        </w:rPr>
      </w:pPr>
      <w:r w:rsidRPr="0070367F">
        <w:t xml:space="preserve">Have you noticed any changes to your personality or behaviour? </w:t>
      </w:r>
    </w:p>
    <w:p w14:paraId="5B2F3AA0" w14:textId="05A84C0D" w:rsidR="006501A7" w:rsidRPr="0070367F" w:rsidRDefault="006501A7" w:rsidP="00611B82">
      <w:pPr>
        <w:pStyle w:val="Bulletpoint"/>
        <w:rPr>
          <w:b/>
          <w:bCs/>
        </w:rPr>
      </w:pPr>
      <w:r w:rsidRPr="0070367F">
        <w:lastRenderedPageBreak/>
        <w:t xml:space="preserve">What do you think are your strengths? </w:t>
      </w:r>
    </w:p>
    <w:p w14:paraId="3DE8F420" w14:textId="57CBCF27" w:rsidR="006501A7" w:rsidRPr="0070367F" w:rsidRDefault="006501A7" w:rsidP="00611B82">
      <w:r w:rsidRPr="0070367F">
        <w:t xml:space="preserve">Note: In some cultures, it is not appropriate to identify one’s own strengths so people may need support to help identify them. </w:t>
      </w:r>
    </w:p>
    <w:p w14:paraId="25536AA8" w14:textId="77777777" w:rsidR="00D634AD" w:rsidRDefault="00D634AD" w:rsidP="00AE2B85">
      <w:pPr>
        <w:pStyle w:val="Bodycopy"/>
        <w:rPr>
          <w:b/>
          <w:bCs/>
          <w:color w:val="00C7C7" w:themeColor="accent5" w:themeTint="BF"/>
          <w:szCs w:val="22"/>
        </w:rPr>
      </w:pPr>
    </w:p>
    <w:p w14:paraId="1252D659" w14:textId="77777777" w:rsidR="00D634AD" w:rsidRDefault="00D634AD" w:rsidP="00AE2B85">
      <w:pPr>
        <w:pStyle w:val="Bodycopy"/>
        <w:rPr>
          <w:b/>
          <w:bCs/>
          <w:color w:val="00C7C7" w:themeColor="accent5" w:themeTint="BF"/>
          <w:szCs w:val="22"/>
        </w:rPr>
      </w:pPr>
    </w:p>
    <w:p w14:paraId="075DD219" w14:textId="77777777" w:rsidR="00D634AD" w:rsidRDefault="00D634AD" w:rsidP="00AE2B85">
      <w:pPr>
        <w:pStyle w:val="Bodycopy"/>
        <w:rPr>
          <w:b/>
          <w:bCs/>
          <w:color w:val="00C7C7" w:themeColor="accent5" w:themeTint="BF"/>
          <w:szCs w:val="22"/>
        </w:rPr>
      </w:pPr>
    </w:p>
    <w:p w14:paraId="0A8EF1D5" w14:textId="77777777" w:rsidR="0085610D" w:rsidRDefault="0085610D" w:rsidP="00AE2B85">
      <w:pPr>
        <w:pStyle w:val="Bodycopy"/>
        <w:rPr>
          <w:b/>
          <w:bCs/>
          <w:color w:val="00C7C7" w:themeColor="accent5" w:themeTint="BF"/>
          <w:szCs w:val="22"/>
        </w:rPr>
      </w:pPr>
    </w:p>
    <w:p w14:paraId="2DFE167D" w14:textId="77777777" w:rsidR="0085610D" w:rsidRDefault="0085610D" w:rsidP="00AE2B85">
      <w:pPr>
        <w:pStyle w:val="Bodycopy"/>
        <w:rPr>
          <w:b/>
          <w:bCs/>
          <w:color w:val="00C7C7" w:themeColor="accent5" w:themeTint="BF"/>
          <w:szCs w:val="22"/>
        </w:rPr>
      </w:pPr>
    </w:p>
    <w:p w14:paraId="32700422" w14:textId="6E82E0FC" w:rsidR="00AE2B85" w:rsidRPr="00AD7897" w:rsidRDefault="00B13FEF" w:rsidP="00AE2B85">
      <w:pPr>
        <w:pStyle w:val="Bodycopy"/>
        <w:rPr>
          <w:b/>
          <w:bCs/>
          <w:color w:val="00C7C7" w:themeColor="accent5" w:themeTint="BF"/>
          <w:szCs w:val="22"/>
        </w:rPr>
      </w:pPr>
      <w:r w:rsidRPr="00DC6D70">
        <w:rPr>
          <w:noProof/>
          <w:szCs w:val="22"/>
        </w:rPr>
        <w:lastRenderedPageBreak/>
        <mc:AlternateContent>
          <mc:Choice Requires="wps">
            <w:drawing>
              <wp:inline distT="0" distB="0" distL="0" distR="0" wp14:anchorId="3F6D1FBE" wp14:editId="64BCEB3D">
                <wp:extent cx="6097905" cy="1404620"/>
                <wp:effectExtent l="0" t="0" r="17145" b="27940"/>
                <wp:docPr id="553914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7905" cy="1404620"/>
                        </a:xfrm>
                        <a:prstGeom prst="rect">
                          <a:avLst/>
                        </a:prstGeom>
                        <a:solidFill>
                          <a:schemeClr val="bg1">
                            <a:lumMod val="95000"/>
                          </a:schemeClr>
                        </a:solidFill>
                        <a:ln w="9525">
                          <a:solidFill>
                            <a:srgbClr val="000000"/>
                          </a:solidFill>
                          <a:miter lim="800000"/>
                          <a:headEnd/>
                          <a:tailEnd/>
                        </a:ln>
                      </wps:spPr>
                      <wps:txbx>
                        <w:txbxContent>
                          <w:p w14:paraId="682F6F45" w14:textId="77777777" w:rsidR="00B13FEF" w:rsidRPr="00611B82" w:rsidRDefault="00B13FEF" w:rsidP="00611B82">
                            <w:pPr>
                              <w:rPr>
                                <w:b/>
                                <w:bCs/>
                              </w:rPr>
                            </w:pPr>
                            <w:r w:rsidRPr="00611B82">
                              <w:rPr>
                                <w:b/>
                                <w:bCs/>
                              </w:rPr>
                              <w:t xml:space="preserve">Psychosocial functioning and daily living </w:t>
                            </w:r>
                          </w:p>
                          <w:p w14:paraId="7ECCA399" w14:textId="77777777" w:rsidR="00B13FEF" w:rsidRPr="008B0B18" w:rsidRDefault="00B13FEF" w:rsidP="00611B82">
                            <w:r w:rsidRPr="008B0B18">
                              <w:t xml:space="preserve">Changes in these daily living activities over time can help to determine functional impacts of cognitive impairment. </w:t>
                            </w:r>
                          </w:p>
                          <w:p w14:paraId="0BAD1640" w14:textId="77777777" w:rsidR="00B13FEF" w:rsidRPr="008B0B18" w:rsidRDefault="00B13FEF" w:rsidP="00611B82">
                            <w:pPr>
                              <w:pStyle w:val="Bulletpoint"/>
                              <w:rPr>
                                <w:b/>
                              </w:rPr>
                            </w:pPr>
                            <w:r w:rsidRPr="008B0B18">
                              <w:t xml:space="preserve">Have you noticed any changes in daily functioning? For example, do you lose things more easily than you used to, do you find it harder to plan or make decisions, are you forgetting things more often? </w:t>
                            </w:r>
                          </w:p>
                          <w:p w14:paraId="0A3B5DDC" w14:textId="77777777" w:rsidR="00B13FEF" w:rsidRPr="008B0B18" w:rsidRDefault="00B13FEF" w:rsidP="00611B82">
                            <w:pPr>
                              <w:pStyle w:val="Bulletpoint"/>
                              <w:rPr>
                                <w:b/>
                              </w:rPr>
                            </w:pPr>
                            <w:r w:rsidRPr="008B0B18">
                              <w:t xml:space="preserve">How are you managing daily living tasks like cooking, shopping, making appointments, accessing services needed, driving or catching public transport? Do you need any support? Are you finding these things harder than in the past? </w:t>
                            </w:r>
                          </w:p>
                          <w:p w14:paraId="228C74C6" w14:textId="77777777" w:rsidR="00B13FEF" w:rsidRPr="008B0B18" w:rsidRDefault="00B13FEF" w:rsidP="00611B82">
                            <w:pPr>
                              <w:pStyle w:val="Bulletpoint"/>
                              <w:rPr>
                                <w:b/>
                              </w:rPr>
                            </w:pPr>
                            <w:r w:rsidRPr="008B0B18">
                              <w:t>Have you noticed any changes with your mobility? Can you give examples?</w:t>
                            </w:r>
                          </w:p>
                          <w:p w14:paraId="01689E16" w14:textId="77777777" w:rsidR="00B13FEF" w:rsidRPr="008B0B18" w:rsidRDefault="00B13FEF" w:rsidP="00611B82">
                            <w:pPr>
                              <w:pStyle w:val="Bulletpoint"/>
                              <w:rPr>
                                <w:b/>
                              </w:rPr>
                            </w:pPr>
                            <w:r w:rsidRPr="008B0B18">
                              <w:t xml:space="preserve">How are you managing tasks like showering, eating regularly, or dressing yourself? Do you require assistance? Can you give examples? </w:t>
                            </w:r>
                          </w:p>
                          <w:p w14:paraId="2585506A" w14:textId="77777777" w:rsidR="00B13FEF" w:rsidRPr="008B0B18" w:rsidRDefault="00B13FEF" w:rsidP="00611B82">
                            <w:pPr>
                              <w:pStyle w:val="Bulletpoint"/>
                              <w:rPr>
                                <w:b/>
                              </w:rPr>
                            </w:pPr>
                            <w:r w:rsidRPr="008B0B18">
                              <w:t xml:space="preserve">Are you currently volunteering or employed? If not, when was the last time you were employed? Is there anything you find difficult about holding down a job? Have you experienced any ongoing problems at work (previous or current)? </w:t>
                            </w:r>
                          </w:p>
                          <w:p w14:paraId="066AC29C" w14:textId="77777777" w:rsidR="00B13FEF" w:rsidRPr="008B0B18" w:rsidRDefault="00B13FEF" w:rsidP="00611B82">
                            <w:pPr>
                              <w:pStyle w:val="Bulletpoint"/>
                              <w:rPr>
                                <w:b/>
                              </w:rPr>
                            </w:pPr>
                            <w:r w:rsidRPr="008B0B18">
                              <w:t xml:space="preserve">Do you have caregiving responsibilities? Do you find it difficult to meet any of these responsibilities? </w:t>
                            </w:r>
                          </w:p>
                          <w:p w14:paraId="48B8A051" w14:textId="77777777" w:rsidR="00B13FEF" w:rsidRPr="008B0B18" w:rsidRDefault="00B13FEF" w:rsidP="00611B82">
                            <w:pPr>
                              <w:pStyle w:val="Bulletpoint"/>
                              <w:rPr>
                                <w:b/>
                              </w:rPr>
                            </w:pPr>
                            <w:r w:rsidRPr="008B0B18">
                              <w:t>Have you ever experienced homelessness? Homelessness is particularly associated with TBI.</w:t>
                            </w:r>
                            <w:r w:rsidRPr="008B0B18">
                              <w:rPr>
                                <w:vertAlign w:val="superscript"/>
                              </w:rPr>
                              <w:fldChar w:fldCharType="begin"/>
                            </w:r>
                            <w:r w:rsidRPr="008B0B18">
                              <w:rPr>
                                <w:vertAlign w:val="superscript"/>
                              </w:rPr>
                              <w:instrText xml:space="preserve"> ADDIN ZOTERO_ITEM CSL_CITATION {"citationID":"a1ilo1g73n9","properties":{"formattedCitation":"\\super 137\\nosupersub{}","plainCitation":"137","noteIndex":0},"citationItems":[{"id":14045,"uris":["http://zotero.org/groups/4745233/items/2SFIXNBY"],"itemData":{"id":14045,"type":"article-journal","abstract":"BACKGROUND: Homelessness is a global public health concern, and traumatic brain injury (TBI) could represent an underappreciated factor in the health trajectories of homeless and marginally housed individuals. We aimed to evaluate the lifetime prevalence of TBI in this population, and to summarise findings on TBI incidence and the association between TBI and health-related or functioning-related outcomes.\nMETHODS: For this systematic review and meta-analysis, we searched without date restrictions for original research studies in English that reported data on the prevalence or incidence of TBI, or the association between TBI and one or more health-related or function-related outcome measures. Studies were included if they had a group or clearly identifiable subgroup of individuals who were homeless, marginally housed, or seeking services for homeless people. With use of random-effects models, we calculated pooled estimates of the lifetime prevalence of any severity of TBI and the lifetime prevalence of moderate or severe TBI. We used meta-regression and subgroup analysis to evaluate potential moderators of prevalence estimates and the leave-one-out method for sensitivity analyses. We then summarised findings from all studies that evaluated TBI incidence and the association between TBI and health-related or functioning-related outcomes. All statistical analyses were done using R version 3.5.1. The study is registered with PROSPERO, number CRD42019119678.\nFINDINGS: Of 463 potentially eligible studies identified by the search, 38 studies were included in the systematic review and 22 studies were included in the meta-analysis. The lifetime prevalence of any severity of TBI in homeless and marginally housed individuals (18 studies, n=9702 individuals) was 53·1% (95% CI 46·4-59·7; I2=97%) and the lifetime prevalence of moderate or severe TBI (nine studies, n=5787) was 22·5% (13·5-35·0; I2=99%). The method used to ascertain TBI history, the age of the sample, and the sample size significantly moderated estimated lifetime prevalence of any severity of TBI. TBI was consistently associated with poorer self-reported physical and mental health, higher suicidality and suicide risk, memory concerns, and increased health service use and criminal justice system involvement.\nINTERPRETATION: The lifetime prevalence of TBI is high among homeless and marginally housed individuals, and a history of TBI is associated with poorer health and general functioning. Health-care providers and public health officials should have an increased awareness of the burden of TBI in this population. Prospective and longitudinal studies are needed to better understand how the health of this population is affected by TBI.\nFUNDING: Canadian Institutes of Health Research.","container-title":"The Lancet. Public Health","DOI":"10.1016/S2468-2667(19)30188-4","ISSN":"2468-2667","issue":"1","journalAbbreviation":"Lancet Public Health","language":"eng","note":"PMID: 31806487","page":"e19-e32","source":"PubMed","title":"Traumatic brain injury in homeless and marginally housed individuals: a systematic review and meta-analysis","title-short":"Traumatic brain injury in homeless and marginally housed individuals","volume":"5","author":[{"family":"Stubbs","given":"Jacob L."},{"family":"Thornton","given":"Allen E."},{"family":"Sevick","given":"Jessica M."},{"family":"Silverberg","given":"Noah D."},{"family":"Barr","given":"Alasdair M."},{"family":"Honer","given":"William G."},{"family":"Panenka","given":"William J."}],"issued":{"date-parts":[["2020",1]]}}}],"schema":"https://github.com/citation-style-language/schema/raw/master/csl-citation.json"} </w:instrText>
                            </w:r>
                            <w:r w:rsidRPr="008B0B18">
                              <w:rPr>
                                <w:vertAlign w:val="superscript"/>
                              </w:rPr>
                              <w:fldChar w:fldCharType="separate"/>
                            </w:r>
                            <w:r w:rsidRPr="008B0B18">
                              <w:rPr>
                                <w:vertAlign w:val="superscript"/>
                              </w:rPr>
                              <w:t>137</w:t>
                            </w:r>
                            <w:r w:rsidRPr="008B0B18">
                              <w:rPr>
                                <w:vertAlign w:val="superscript"/>
                              </w:rPr>
                              <w:fldChar w:fldCharType="end"/>
                            </w:r>
                          </w:p>
                          <w:p w14:paraId="6DEB2A1D" w14:textId="77777777" w:rsidR="00B13FEF" w:rsidRPr="008B0B18" w:rsidRDefault="00B13FEF" w:rsidP="00611B82">
                            <w:pPr>
                              <w:pStyle w:val="Bulletpoint"/>
                              <w:rPr>
                                <w:b/>
                              </w:rPr>
                            </w:pPr>
                            <w:r w:rsidRPr="008B0B18">
                              <w:t xml:space="preserve">Are you able to manage your finances well? Are you able to pay your bills on time? </w:t>
                            </w:r>
                          </w:p>
                          <w:p w14:paraId="71BB853B" w14:textId="77777777" w:rsidR="00B13FEF" w:rsidRPr="008B0B18" w:rsidRDefault="00B13FEF" w:rsidP="00611B82">
                            <w:pPr>
                              <w:pStyle w:val="Bulletpoint"/>
                              <w:rPr>
                                <w:b/>
                              </w:rPr>
                            </w:pPr>
                            <w:r w:rsidRPr="008B0B18">
                              <w:t xml:space="preserve">What helps you to cope with stressors or problems? For example, traditional cultural practices or therapies, or alternative medicine. </w:t>
                            </w:r>
                          </w:p>
                          <w:p w14:paraId="41F31B73" w14:textId="77777777" w:rsidR="00B13FEF" w:rsidRPr="008B0B18" w:rsidRDefault="00B13FEF" w:rsidP="00611B82">
                            <w:pPr>
                              <w:pStyle w:val="Bulletpoint"/>
                              <w:rPr>
                                <w:b/>
                              </w:rPr>
                            </w:pPr>
                            <w:r w:rsidRPr="008B0B18">
                              <w:t xml:space="preserve">Do you experience challenges coping in certain situations? Can you give examples? </w:t>
                            </w:r>
                          </w:p>
                          <w:p w14:paraId="2670DDBA" w14:textId="77777777" w:rsidR="00B13FEF" w:rsidRPr="008B0B18" w:rsidRDefault="00B13FEF" w:rsidP="00611B82">
                            <w:pPr>
                              <w:pStyle w:val="Bulletpoint"/>
                              <w:rPr>
                                <w:b/>
                              </w:rPr>
                            </w:pPr>
                            <w:r w:rsidRPr="008B0B18">
                              <w:t>Are you able to manage any regular physical activity?</w:t>
                            </w:r>
                          </w:p>
                          <w:p w14:paraId="52F6DEF8" w14:textId="77777777" w:rsidR="00B13FEF" w:rsidRPr="008B0B18" w:rsidRDefault="00B13FEF" w:rsidP="00611B82">
                            <w:pPr>
                              <w:pStyle w:val="Bulletpoint"/>
                              <w:rPr>
                                <w:b/>
                              </w:rPr>
                            </w:pPr>
                            <w:r w:rsidRPr="008B0B18">
                              <w:t>Do you experience food insecurity? This means not having reliable access to safe and nutritious food that meets personal and cultural needs.</w:t>
                            </w:r>
                            <w:r w:rsidRPr="008B0B18">
                              <w:rPr>
                                <w:vertAlign w:val="superscript"/>
                              </w:rPr>
                              <w:fldChar w:fldCharType="begin"/>
                            </w:r>
                            <w:r w:rsidRPr="008B0B18">
                              <w:rPr>
                                <w:vertAlign w:val="superscript"/>
                              </w:rPr>
                              <w:instrText xml:space="preserve"> ADDIN ZOTERO_ITEM CSL_CITATION {"citationID":"a16l6tft9o0","properties":{"formattedCitation":"\\super 138\\nosupersub{}","plainCitation":"138","noteIndex":0},"citationItems":[{"id":14090,"uris":["http://zotero.org/groups/4745233/items/UF79L6FF"],"itemData":{"id":14090,"type":"webpage","abstract":"FOOD INSECURITY* Food insecurity means not having reliable access to enough safe and nutritious food that meets personal and cultural needs.","language":"en","title":"Food insecurity | Child and Youth Wellbeing","URL":"https://www.childyouthwellbeing.govt.nz/measuring-success/indicators/food-insecurity","accessed":{"date-parts":[["2023",8,1]]},"issued":{"date-parts":[["2020",7,23]]}}}],"schema":"https://github.com/citation-style-language/schema/raw/master/csl-citation.json"} </w:instrText>
                            </w:r>
                            <w:r w:rsidRPr="008B0B18">
                              <w:rPr>
                                <w:vertAlign w:val="superscript"/>
                              </w:rPr>
                              <w:fldChar w:fldCharType="separate"/>
                            </w:r>
                            <w:r w:rsidRPr="008B0B18">
                              <w:rPr>
                                <w:vertAlign w:val="superscript"/>
                              </w:rPr>
                              <w:t>138</w:t>
                            </w:r>
                            <w:r w:rsidRPr="008B0B18">
                              <w:rPr>
                                <w:vertAlign w:val="superscript"/>
                              </w:rPr>
                              <w:fldChar w:fldCharType="end"/>
                            </w:r>
                            <w:r w:rsidRPr="008B0B18">
                              <w:rPr>
                                <w:vertAlign w:val="superscript"/>
                              </w:rPr>
                              <w:t xml:space="preserve"> </w:t>
                            </w:r>
                          </w:p>
                          <w:p w14:paraId="63D4A4FC" w14:textId="77777777" w:rsidR="00B13FEF" w:rsidRPr="008B0B18" w:rsidRDefault="00B13FEF" w:rsidP="00611B82">
                            <w:r w:rsidRPr="008B0B18">
                              <w:t>Ensure to also ask whānau members about their daily functioning, how they are coping, and any support they need.</w:t>
                            </w:r>
                          </w:p>
                        </w:txbxContent>
                      </wps:txbx>
                      <wps:bodyPr rot="0" vert="horz" wrap="square" lIns="91440" tIns="45720" rIns="91440" bIns="45720" anchor="t" anchorCtr="0">
                        <a:spAutoFit/>
                      </wps:bodyPr>
                    </wps:wsp>
                  </a:graphicData>
                </a:graphic>
              </wp:inline>
            </w:drawing>
          </mc:Choice>
          <mc:Fallback>
            <w:pict>
              <v:shape w14:anchorId="3F6D1FBE" id="_x0000_s1035" type="#_x0000_t202" style="width:480.1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" fillcolor="#f2f2f2 [3052]">
                <v:textbox style="mso-fit-shape-to-text:t">
                  <w:txbxContent>
                    <w:p w14:paraId="682F6F45" w14:textId="77777777" w:rsidR="00B13FEF" w:rsidRPr="00611B82" w:rsidRDefault="00B13FEF" w:rsidP="00611B82">
                      <w:pPr>
                        <w:rPr>
                          <w:b/>
                          <w:bCs/>
                        </w:rPr>
                      </w:pPr>
                      <w:r w:rsidRPr="00611B82">
                        <w:rPr>
                          <w:b/>
                          <w:bCs/>
                        </w:rPr>
                        <w:t xml:space="preserve">Psychosocial functioning and daily living </w:t>
                      </w:r>
                    </w:p>
                    <w:p w14:paraId="7ECCA399" w14:textId="77777777" w:rsidR="00B13FEF" w:rsidRPr="008B0B18" w:rsidRDefault="00B13FEF" w:rsidP="00611B82">
                      <w:r w:rsidRPr="008B0B18">
                        <w:t xml:space="preserve">Changes in these daily living activities over time can help to determine functional impacts of cognitive impairment. </w:t>
                      </w:r>
                    </w:p>
                    <w:p w14:paraId="0BAD1640" w14:textId="77777777" w:rsidR="00B13FEF" w:rsidRPr="008B0B18" w:rsidRDefault="00B13FEF" w:rsidP="00611B82">
                      <w:pPr>
                        <w:pStyle w:val="Bulletpoint"/>
                        <w:rPr>
                          <w:b/>
                        </w:rPr>
                      </w:pPr>
                      <w:r w:rsidRPr="008B0B18">
                        <w:t xml:space="preserve">Have you noticed any changes in daily functioning? For example, do you lose things more easily than you used to, do you find it harder to plan or make decisions, are you forgetting things more often? </w:t>
                      </w:r>
                    </w:p>
                    <w:p w14:paraId="0A3B5DDC" w14:textId="77777777" w:rsidR="00B13FEF" w:rsidRPr="008B0B18" w:rsidRDefault="00B13FEF" w:rsidP="00611B82">
                      <w:pPr>
                        <w:pStyle w:val="Bulletpoint"/>
                        <w:rPr>
                          <w:b/>
                        </w:rPr>
                      </w:pPr>
                      <w:r w:rsidRPr="008B0B18">
                        <w:t xml:space="preserve">How are you managing daily living tasks like cooking, shopping, making appointments, accessing services needed, driving or catching public transport? Do you need any support? Are you finding these things harder than in the past? </w:t>
                      </w:r>
                    </w:p>
                    <w:p w14:paraId="228C74C6" w14:textId="77777777" w:rsidR="00B13FEF" w:rsidRPr="008B0B18" w:rsidRDefault="00B13FEF" w:rsidP="00611B82">
                      <w:pPr>
                        <w:pStyle w:val="Bulletpoint"/>
                        <w:rPr>
                          <w:b/>
                        </w:rPr>
                      </w:pPr>
                      <w:r w:rsidRPr="008B0B18">
                        <w:t>Have you noticed any changes with your mobility? Can you give examples?</w:t>
                      </w:r>
                    </w:p>
                    <w:p w14:paraId="01689E16" w14:textId="77777777" w:rsidR="00B13FEF" w:rsidRPr="008B0B18" w:rsidRDefault="00B13FEF" w:rsidP="00611B82">
                      <w:pPr>
                        <w:pStyle w:val="Bulletpoint"/>
                        <w:rPr>
                          <w:b/>
                        </w:rPr>
                      </w:pPr>
                      <w:r w:rsidRPr="008B0B18">
                        <w:t xml:space="preserve">How are you managing tasks like showering, eating regularly, or dressing yourself? Do you require assistance? Can you give examples? </w:t>
                      </w:r>
                    </w:p>
                    <w:p w14:paraId="2585506A" w14:textId="77777777" w:rsidR="00B13FEF" w:rsidRPr="008B0B18" w:rsidRDefault="00B13FEF" w:rsidP="00611B82">
                      <w:pPr>
                        <w:pStyle w:val="Bulletpoint"/>
                        <w:rPr>
                          <w:b/>
                        </w:rPr>
                      </w:pPr>
                      <w:r w:rsidRPr="008B0B18">
                        <w:t xml:space="preserve">Are you currently volunteering or employed? If not, when was the last time you were employed? Is there anything you find difficult about holding down a job? Have you experienced any ongoing problems at work (previous or current)? </w:t>
                      </w:r>
                    </w:p>
                    <w:p w14:paraId="066AC29C" w14:textId="77777777" w:rsidR="00B13FEF" w:rsidRPr="008B0B18" w:rsidRDefault="00B13FEF" w:rsidP="00611B82">
                      <w:pPr>
                        <w:pStyle w:val="Bulletpoint"/>
                        <w:rPr>
                          <w:b/>
                        </w:rPr>
                      </w:pPr>
                      <w:r w:rsidRPr="008B0B18">
                        <w:t xml:space="preserve">Do you have caregiving responsibilities? Do you find it difficult to meet any of these responsibilities? </w:t>
                      </w:r>
                    </w:p>
                    <w:p w14:paraId="48B8A051" w14:textId="77777777" w:rsidR="00B13FEF" w:rsidRPr="008B0B18" w:rsidRDefault="00B13FEF" w:rsidP="00611B82">
                      <w:pPr>
                        <w:pStyle w:val="Bulletpoint"/>
                        <w:rPr>
                          <w:b/>
                        </w:rPr>
                      </w:pPr>
                      <w:r w:rsidRPr="008B0B18">
                        <w:t>Have you ever experienced homelessness? Homelessness is particularly associated with TBI.</w:t>
                      </w:r>
                      <w:r w:rsidRPr="008B0B18">
                        <w:rPr>
                          <w:vertAlign w:val="superscript"/>
                        </w:rPr>
                        <w:fldChar w:fldCharType="begin"/>
                      </w:r>
                      <w:r w:rsidRPr="008B0B18">
                        <w:rPr>
                          <w:vertAlign w:val="superscript"/>
                        </w:rPr>
                        <w:instrText xml:space="preserve"> ADDIN ZOTERO_ITEM CSL_CITATION {"citationID":"a1ilo1g73n9","properties":{"formattedCitation":"\\super 137\\nosupersub{}","plainCitation":"137","noteIndex":0},"citationItems":[{"id":14045,"uris":["http://zotero.org/groups/4745233/items/2SFIXNBY"],"itemData":{"id":14045,"type":"article-journal","abstract":"BACKGROUND: Homelessness is a global public health concern, and traumatic brain injury (TBI) could represent an underappreciated factor in the health trajectories of homeless and marginally housed individuals. We aimed to evaluate the lifetime prevalence of TBI in this population, and to summarise findings on TBI incidence and the association between TBI and health-related or functioning-related outcomes.\nMETHODS: For this systematic review and meta-analysis, we searched without date restrictions for original research studies in English that reported data on the prevalence or incidence of TBI, or the association between TBI and one or more health-related or function-related outcome measures. Studies were included if they had a group or clearly identifiable subgroup of individuals who were homeless, marginally housed, or seeking services for homeless people. With use of random-effects models, we calculated pooled estimates of the lifetime prevalence of any severity of TBI and the lifetime prevalence of moderate or severe TBI. We used meta-regression and subgroup analysis to evaluate potential moderators of prevalence estimates and the leave-one-out method for sensitivity analyses. We then summarised findings from all studies that evaluated TBI incidence and the association between TBI and health-related or functioning-related outcomes. All statistical analyses were done using R version 3.5.1. The study is registered with PROSPERO, number CRD42019119678.\nFINDINGS: Of 463 potentially eligible studies identified by the search, 38 studies were included in the systematic review and 22 studies were included in the meta-analysis. The lifetime prevalence of any severity of TBI in homeless and marginally housed individuals (18 studies, n=9702 individuals) was 53·1% (95% CI 46·4-59·7; I2=97%) and the lifetime prevalence of moderate or severe TBI (nine studies, n=5787) was 22·5% (13·5-35·0; I2=99%). The method used to ascertain TBI history, the age of the sample, and the sample size significantly moderated estimated lifetime prevalence of any severity of TBI. TBI was consistently associated with poorer self-reported physical and mental health, higher suicidality and suicide risk, memory concerns, and increased health service use and criminal justice system involvement.\nINTERPRETATION: The lifetime prevalence of TBI is high among homeless and marginally housed individuals, and a history of TBI is associated with poorer health and general functioning. Health-care providers and public health officials should have an increased awareness of the burden of TBI in this population. Prospective and longitudinal studies are needed to better understand how the health of this population is affected by TBI.\nFUNDING: Canadian Institutes of Health Research.","container-title":"The Lancet. Public Health","DOI":"10.1016/S2468-2667(19)30188-4","ISSN":"2468-2667","issue":"1","journalAbbreviation":"Lancet Public Health","language":"eng","note":"PMID: 31806487","page":"e19-e32","source":"PubMed","title":"Traumatic brain injury in homeless and marginally housed individuals: a systematic review and meta-analysis","title-short":"Traumatic brain injury in homeless and marginally housed individuals","volume":"5","author":[{"family":"Stubbs","given":"Jacob L."},{"family":"Thornton","given":"Allen E."},{"family":"Sevick","given":"Jessica M."},{"family":"Silverberg","given":"Noah D."},{"family":"Barr","given":"Alasdair M."},{"family":"Honer","given":"William G."},{"family":"Panenka","given":"William J."}],"issued":{"date-parts":[["2020",1]]}}}],"schema":"https://github.com/citation-style-language/schema/raw/master/csl-citation.json"} </w:instrText>
                      </w:r>
                      <w:r w:rsidRPr="008B0B18">
                        <w:rPr>
                          <w:vertAlign w:val="superscript"/>
                        </w:rPr>
                        <w:fldChar w:fldCharType="separate"/>
                      </w:r>
                      <w:r w:rsidRPr="008B0B18">
                        <w:rPr>
                          <w:vertAlign w:val="superscript"/>
                        </w:rPr>
                        <w:t>137</w:t>
                      </w:r>
                      <w:r w:rsidRPr="008B0B18">
                        <w:rPr>
                          <w:vertAlign w:val="superscript"/>
                        </w:rPr>
                        <w:fldChar w:fldCharType="end"/>
                      </w:r>
                    </w:p>
                    <w:p w14:paraId="6DEB2A1D" w14:textId="77777777" w:rsidR="00B13FEF" w:rsidRPr="008B0B18" w:rsidRDefault="00B13FEF" w:rsidP="00611B82">
                      <w:pPr>
                        <w:pStyle w:val="Bulletpoint"/>
                        <w:rPr>
                          <w:b/>
                        </w:rPr>
                      </w:pPr>
                      <w:r w:rsidRPr="008B0B18">
                        <w:t xml:space="preserve">Are you able to manage your finances well? Are you able to pay your bills on time? </w:t>
                      </w:r>
                    </w:p>
                    <w:p w14:paraId="71BB853B" w14:textId="77777777" w:rsidR="00B13FEF" w:rsidRPr="008B0B18" w:rsidRDefault="00B13FEF" w:rsidP="00611B82">
                      <w:pPr>
                        <w:pStyle w:val="Bulletpoint"/>
                        <w:rPr>
                          <w:b/>
                        </w:rPr>
                      </w:pPr>
                      <w:r w:rsidRPr="008B0B18">
                        <w:t xml:space="preserve">What helps you to cope with stressors or problems? For example, traditional cultural practices or therapies, or alternative medicine. </w:t>
                      </w:r>
                    </w:p>
                    <w:p w14:paraId="41F31B73" w14:textId="77777777" w:rsidR="00B13FEF" w:rsidRPr="008B0B18" w:rsidRDefault="00B13FEF" w:rsidP="00611B82">
                      <w:pPr>
                        <w:pStyle w:val="Bulletpoint"/>
                        <w:rPr>
                          <w:b/>
                        </w:rPr>
                      </w:pPr>
                      <w:r w:rsidRPr="008B0B18">
                        <w:t xml:space="preserve">Do you experience challenges coping in certain situations? Can you give examples? </w:t>
                      </w:r>
                    </w:p>
                    <w:p w14:paraId="2670DDBA" w14:textId="77777777" w:rsidR="00B13FEF" w:rsidRPr="008B0B18" w:rsidRDefault="00B13FEF" w:rsidP="00611B82">
                      <w:pPr>
                        <w:pStyle w:val="Bulletpoint"/>
                        <w:rPr>
                          <w:b/>
                        </w:rPr>
                      </w:pPr>
                      <w:r w:rsidRPr="008B0B18">
                        <w:t>Are you able to manage any regular physical activity?</w:t>
                      </w:r>
                    </w:p>
                    <w:p w14:paraId="52F6DEF8" w14:textId="77777777" w:rsidR="00B13FEF" w:rsidRPr="008B0B18" w:rsidRDefault="00B13FEF" w:rsidP="00611B82">
                      <w:pPr>
                        <w:pStyle w:val="Bulletpoint"/>
                        <w:rPr>
                          <w:b/>
                        </w:rPr>
                      </w:pPr>
                      <w:r w:rsidRPr="008B0B18">
                        <w:t>Do you experience food insecurity? This means not having reliable access to safe and nutritious food that meets personal and cultural needs.</w:t>
                      </w:r>
                      <w:r w:rsidRPr="008B0B18">
                        <w:rPr>
                          <w:vertAlign w:val="superscript"/>
                        </w:rPr>
                        <w:fldChar w:fldCharType="begin"/>
                      </w:r>
                      <w:r w:rsidRPr="008B0B18">
                        <w:rPr>
                          <w:vertAlign w:val="superscript"/>
                        </w:rPr>
                        <w:instrText xml:space="preserve"> ADDIN ZOTERO_ITEM CSL_CITATION {"citationID":"a16l6tft9o0","properties":{"formattedCitation":"\\super 138\\nosupersub{}","plainCitation":"138","noteIndex":0},"citationItems":[{"id":14090,"uris":["http://zotero.org/groups/4745233/items/UF79L6FF"],"itemData":{"id":14090,"type":"webpage","abstract":"FOOD INSECURITY* Food insecurity means not having reliable access to enough safe and nutritious food that meets personal and cultural needs.","language":"en","title":"Food insecurity | Child and Youth Wellbeing","URL":"https://www.childyouthwellbeing.govt.nz/measuring-success/indicators/food-insecurity","accessed":{"date-parts":[["2023",8,1]]},"issued":{"date-parts":[["2020",7,23]]}}}],"schema":"https://github.com/citation-style-language/schema/raw/master/csl-citation.json"} </w:instrText>
                      </w:r>
                      <w:r w:rsidRPr="008B0B18">
                        <w:rPr>
                          <w:vertAlign w:val="superscript"/>
                        </w:rPr>
                        <w:fldChar w:fldCharType="separate"/>
                      </w:r>
                      <w:r w:rsidRPr="008B0B18">
                        <w:rPr>
                          <w:vertAlign w:val="superscript"/>
                        </w:rPr>
                        <w:t>138</w:t>
                      </w:r>
                      <w:r w:rsidRPr="008B0B18">
                        <w:rPr>
                          <w:vertAlign w:val="superscript"/>
                        </w:rPr>
                        <w:fldChar w:fldCharType="end"/>
                      </w:r>
                      <w:r w:rsidRPr="008B0B18">
                        <w:rPr>
                          <w:vertAlign w:val="superscript"/>
                        </w:rPr>
                        <w:t xml:space="preserve"> </w:t>
                      </w:r>
                    </w:p>
                    <w:p w14:paraId="63D4A4FC" w14:textId="77777777" w:rsidR="00B13FEF" w:rsidRPr="008B0B18" w:rsidRDefault="00B13FEF" w:rsidP="00611B82">
                      <w:r w:rsidRPr="008B0B18">
                        <w:t>Ensure to also ask whānau members about their daily functioning, how they are coping, and any support they need.</w:t>
                      </w:r>
                    </w:p>
                  </w:txbxContent>
                </v:textbox>
                <w10:anchorlock/>
              </v:shape>
            </w:pict>
          </mc:Fallback>
        </mc:AlternateContent>
      </w:r>
    </w:p>
    <w:p w14:paraId="07B18577" w14:textId="77777777" w:rsidR="0085610D" w:rsidRPr="006C5717" w:rsidRDefault="0085610D" w:rsidP="00DB72C6">
      <w:pPr>
        <w:pStyle w:val="Section2Heading2"/>
      </w:pPr>
      <w:bookmarkStart w:id="1080" w:name="_Toc172095782"/>
      <w:bookmarkStart w:id="1081" w:name="_Toc178780121"/>
      <w:bookmarkStart w:id="1082" w:name="_Toc178838887"/>
      <w:bookmarkStart w:id="1083" w:name="_Toc178839074"/>
      <w:bookmarkStart w:id="1084" w:name="_Toc178839195"/>
      <w:bookmarkStart w:id="1085" w:name="_Toc178839423"/>
      <w:bookmarkStart w:id="1086" w:name="_Toc178841633"/>
      <w:bookmarkStart w:id="1087" w:name="_Toc179198193"/>
      <w:bookmarkStart w:id="1088" w:name="_Toc179198441"/>
      <w:bookmarkStart w:id="1089" w:name="_Toc179198549"/>
      <w:bookmarkStart w:id="1090" w:name="_Toc179198656"/>
      <w:bookmarkStart w:id="1091" w:name="_Toc179446100"/>
      <w:bookmarkStart w:id="1092" w:name="_Toc179447124"/>
      <w:bookmarkStart w:id="1093" w:name="_Toc179448663"/>
      <w:bookmarkStart w:id="1094" w:name="_Toc179448824"/>
      <w:bookmarkStart w:id="1095" w:name="_Toc179449211"/>
      <w:bookmarkStart w:id="1096" w:name="_Toc179452914"/>
      <w:bookmarkStart w:id="1097" w:name="_Toc179461427"/>
      <w:bookmarkStart w:id="1098" w:name="_Toc179461871"/>
      <w:bookmarkStart w:id="1099" w:name="_Toc179486318"/>
      <w:bookmarkStart w:id="1100" w:name="_Toc179487923"/>
      <w:bookmarkStart w:id="1101" w:name="_Toc179489226"/>
      <w:bookmarkStart w:id="1102" w:name="_Toc179531351"/>
      <w:bookmarkStart w:id="1103" w:name="_Toc179536024"/>
      <w:bookmarkStart w:id="1104" w:name="_Toc179537863"/>
      <w:bookmarkStart w:id="1105" w:name="_Toc179537927"/>
      <w:bookmarkStart w:id="1106" w:name="_Toc179538094"/>
      <w:bookmarkStart w:id="1107" w:name="_Toc179538907"/>
      <w:bookmarkStart w:id="1108" w:name="_Toc179539225"/>
      <w:bookmarkStart w:id="1109" w:name="_Toc179539341"/>
      <w:bookmarkStart w:id="1110" w:name="_Toc179539479"/>
      <w:bookmarkStart w:id="1111" w:name="_Toc179539576"/>
      <w:bookmarkStart w:id="1112" w:name="_Toc179539661"/>
      <w:bookmarkStart w:id="1113" w:name="_Toc179539751"/>
      <w:bookmarkStart w:id="1114" w:name="_Toc179540435"/>
      <w:bookmarkStart w:id="1115" w:name="_Toc179541780"/>
      <w:bookmarkStart w:id="1116" w:name="_Toc179542972"/>
      <w:bookmarkStart w:id="1117" w:name="_Toc180571300"/>
      <w:r w:rsidRPr="006C5717">
        <w:lastRenderedPageBreak/>
        <w:t>How to screen for cognitive impairment and identify strengths</w:t>
      </w:r>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p>
    <w:p w14:paraId="4059E7B8" w14:textId="77777777" w:rsidR="0085610D" w:rsidRPr="006C5717" w:rsidRDefault="0085610D" w:rsidP="00611B82">
      <w:r w:rsidRPr="006C5717">
        <w:t xml:space="preserve">This section focuses on cognitive screening rather than in-depth neuropsychological assessment by specialised roles. It covers who should screen, when to screen, how to prepare tāngata whai ora for screening, what tools can be used, and considerations for neuropsychological and other referrals. </w:t>
      </w:r>
    </w:p>
    <w:p w14:paraId="541B4E3E" w14:textId="77777777" w:rsidR="0085610D" w:rsidRPr="006C5717" w:rsidRDefault="0085610D" w:rsidP="00611B82">
      <w:r w:rsidRPr="006C5717">
        <w:rPr>
          <w:b/>
          <w:bCs/>
        </w:rPr>
        <w:t>Cognitive screening</w:t>
      </w:r>
      <w:r w:rsidRPr="006C5717">
        <w:t xml:space="preserve"> refers to initial information gathering to help workers identify and indicate if cognitive impairment </w:t>
      </w:r>
      <w:r w:rsidRPr="006C5717">
        <w:rPr>
          <w:b/>
          <w:bCs/>
        </w:rPr>
        <w:t xml:space="preserve">may </w:t>
      </w:r>
      <w:r w:rsidRPr="006C5717">
        <w:t xml:space="preserve">be present in the context of holistic wellbeing. </w:t>
      </w:r>
    </w:p>
    <w:p w14:paraId="3695768B" w14:textId="77777777" w:rsidR="0085610D" w:rsidRPr="006C5717" w:rsidRDefault="0085610D" w:rsidP="00611B82">
      <w:r w:rsidRPr="006C5717">
        <w:rPr>
          <w:b/>
          <w:bCs/>
        </w:rPr>
        <w:t>Neuropsychological assessment</w:t>
      </w:r>
      <w:r w:rsidRPr="006C5717">
        <w:t xml:space="preserve"> refers to in-depth information gathering to determine if cognitive impairment </w:t>
      </w:r>
      <w:r w:rsidRPr="006C5717">
        <w:rPr>
          <w:b/>
          <w:bCs/>
        </w:rPr>
        <w:t>is</w:t>
      </w:r>
      <w:r w:rsidRPr="006C5717">
        <w:t xml:space="preserve"> present, its causes, people’s level of functioning, and their strengths and adaptations.</w:t>
      </w:r>
      <w:r w:rsidRPr="006C5717">
        <w:fldChar w:fldCharType="begin"/>
      </w:r>
      <w:r w:rsidRPr="006C5717">
        <w:instrText xml:space="preserve"> ADDIN ZOTERO_ITEM CSL_CITATION {"citationID":"ae18pv0f2k","properties":{"formattedCitation":"\\super 3\\nosupersub{}","plainCitation":"3","noteIndex":0},"citationItems":[{"id":14007,"uris":["http://zotero.org/groups/4745233/items/U3GGYCKU"],"itemData":{"id":14007,"type":"report","event-place":"Richmond, Victoria","language":"en","publisher":"Turning Point","publisher-place":"Richmond, Victoria","source":"Zotero","title":"Managing Cognitive Impairment in AOD Treatment: Practice Guidelines for Healthcare Professionals","URL":"https://www.turningpoint.org.au/treatment/clinicians/Managing-Cognitive-Impairment-in-AOD-Treatment-Guidelines","author":[{"family":"Manning","given":"Victoria"},{"family":"Gooden","given":"James"},{"family":"Cox","given":"Catherine"},{"family":"Whelan","given":"Danielle"},{"family":"Miroz","given":"Katherine"}],"issued":{"date-parts":[["2021"]]}}}],"schema":"https://github.com/citation-style-language/schema/raw/master/csl-citation.json"} </w:instrText>
      </w:r>
      <w:r w:rsidRPr="006C5717">
        <w:fldChar w:fldCharType="separate"/>
      </w:r>
      <w:r w:rsidRPr="006C5717">
        <w:rPr>
          <w:rFonts w:cs="Arial"/>
          <w:vertAlign w:val="superscript"/>
        </w:rPr>
        <w:t>3</w:t>
      </w:r>
      <w:r w:rsidRPr="006C5717">
        <w:fldChar w:fldCharType="end"/>
      </w:r>
      <w:r w:rsidRPr="006C5717">
        <w:t xml:space="preserve"> This includes use of in-depth cognitive measures, history gathering, and behavioural observations. The main aim may be either diagnostic (to diagnose specific cognitive impairment), or descriptive (gather further detailed information about people’s strengths and functioning to inform a clearer treatment plan). </w:t>
      </w:r>
    </w:p>
    <w:p w14:paraId="1EF17A0E" w14:textId="77777777" w:rsidR="0085610D" w:rsidRPr="00A440F4" w:rsidRDefault="0085610D" w:rsidP="0085610D">
      <w:pPr>
        <w:rPr>
          <w:b/>
          <w:bCs/>
          <w:color w:val="1E7880" w:themeColor="accent2" w:themeShade="BF"/>
          <w:sz w:val="28"/>
          <w:szCs w:val="28"/>
        </w:rPr>
      </w:pPr>
      <w:bookmarkStart w:id="1118" w:name="_Toc145854320"/>
      <w:bookmarkStart w:id="1119" w:name="_Toc146024250"/>
      <w:bookmarkStart w:id="1120" w:name="_Toc146624830"/>
      <w:bookmarkStart w:id="1121" w:name="_Toc146714191"/>
      <w:bookmarkStart w:id="1122" w:name="_Toc178780122"/>
      <w:bookmarkStart w:id="1123" w:name="_Toc178838888"/>
      <w:bookmarkStart w:id="1124" w:name="_Toc178839075"/>
      <w:bookmarkStart w:id="1125" w:name="_Toc178839196"/>
      <w:bookmarkStart w:id="1126" w:name="_Toc178839424"/>
      <w:bookmarkStart w:id="1127" w:name="_Toc178841634"/>
      <w:bookmarkStart w:id="1128" w:name="_Toc179198194"/>
      <w:bookmarkStart w:id="1129" w:name="_Toc179198442"/>
      <w:bookmarkStart w:id="1130" w:name="_Toc179198550"/>
      <w:bookmarkStart w:id="1131" w:name="_Toc179198657"/>
      <w:bookmarkStart w:id="1132" w:name="_Toc179446101"/>
      <w:r w:rsidRPr="00A440F4">
        <w:rPr>
          <w:b/>
          <w:bCs/>
          <w:color w:val="1E7880" w:themeColor="accent2" w:themeShade="BF"/>
          <w:sz w:val="28"/>
          <w:szCs w:val="28"/>
        </w:rPr>
        <w:t>Summary</w:t>
      </w:r>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p>
    <w:tbl>
      <w:tblPr>
        <w:tblStyle w:val="TableGrid"/>
        <w:tblW w:w="0" w:type="auto"/>
        <w:tblBorders>
          <w:top w:val="none" w:sz="0" w:space="0" w:color="auto"/>
          <w:left w:val="none" w:sz="0" w:space="0" w:color="auto"/>
          <w:bottom w:val="none" w:sz="0" w:space="0" w:color="auto"/>
          <w:right w:val="none" w:sz="0" w:space="0" w:color="auto"/>
          <w:insideH w:val="single" w:sz="24" w:space="0" w:color="003399" w:themeColor="accent3"/>
          <w:insideV w:val="none" w:sz="0" w:space="0" w:color="auto"/>
        </w:tblBorders>
        <w:shd w:val="clear" w:color="auto" w:fill="F2F2F2" w:themeFill="background1" w:themeFillShade="F2"/>
        <w:tblLook w:val="04A0" w:firstRow="1" w:lastRow="0" w:firstColumn="1" w:lastColumn="0" w:noHBand="0" w:noVBand="1"/>
        <w:tblCaption w:val="Summary: cognitive screening"/>
        <w:tblDescription w:val="Boxes summarising the focus, actions, and outcomes for the screening section. focus and actions and to screen and identify cognitive impairment in a strengths-based way, use a screening tool, and interpret the info in context "/>
      </w:tblPr>
      <w:tblGrid>
        <w:gridCol w:w="1750"/>
        <w:gridCol w:w="7309"/>
      </w:tblGrid>
      <w:tr w:rsidR="0085610D" w:rsidRPr="00A974B1" w14:paraId="077134E1" w14:textId="77777777" w:rsidTr="00234887">
        <w:tc>
          <w:tcPr>
            <w:tcW w:w="1701" w:type="dxa"/>
            <w:shd w:val="clear" w:color="auto" w:fill="F2F2F2" w:themeFill="background1" w:themeFillShade="F2"/>
            <w:tcMar>
              <w:top w:w="113" w:type="dxa"/>
              <w:bottom w:w="113" w:type="dxa"/>
            </w:tcMar>
          </w:tcPr>
          <w:p w14:paraId="30E43079" w14:textId="77777777" w:rsidR="0085610D" w:rsidRPr="00DB72C6" w:rsidRDefault="0085610D" w:rsidP="00234887">
            <w:pPr>
              <w:spacing w:after="160" w:line="259" w:lineRule="auto"/>
              <w:ind w:left="360"/>
              <w:rPr>
                <w:rFonts w:cs="Arial"/>
                <w:b/>
                <w:bCs/>
                <w:color w:val="000066"/>
                <w:szCs w:val="24"/>
              </w:rPr>
            </w:pPr>
            <w:r w:rsidRPr="00DB72C6">
              <w:rPr>
                <w:rFonts w:cs="Arial"/>
                <w:b/>
                <w:bCs/>
                <w:color w:val="000066"/>
                <w:szCs w:val="24"/>
              </w:rPr>
              <w:t>Focus</w:t>
            </w:r>
          </w:p>
        </w:tc>
        <w:tc>
          <w:tcPr>
            <w:tcW w:w="7309" w:type="dxa"/>
            <w:shd w:val="clear" w:color="auto" w:fill="F2F2F2" w:themeFill="background1" w:themeFillShade="F2"/>
            <w:tcMar>
              <w:top w:w="113" w:type="dxa"/>
              <w:bottom w:w="113" w:type="dxa"/>
            </w:tcMar>
          </w:tcPr>
          <w:p w14:paraId="3D244D13" w14:textId="77777777" w:rsidR="0085610D" w:rsidRPr="00611B82" w:rsidRDefault="0085610D" w:rsidP="00DA2AEF">
            <w:pPr>
              <w:numPr>
                <w:ilvl w:val="0"/>
                <w:numId w:val="45"/>
              </w:numPr>
              <w:spacing w:after="0" w:line="276" w:lineRule="auto"/>
              <w:rPr>
                <w:rFonts w:cs="Arial"/>
                <w:szCs w:val="24"/>
              </w:rPr>
            </w:pPr>
            <w:r w:rsidRPr="00611B82">
              <w:rPr>
                <w:rFonts w:cs="Arial"/>
                <w:szCs w:val="24"/>
              </w:rPr>
              <w:t>Identifying cognitive impairment and people’s strengths to support the recovery journey.</w:t>
            </w:r>
          </w:p>
          <w:p w14:paraId="34ADB7CE" w14:textId="77777777" w:rsidR="0085610D" w:rsidRPr="00A974B1" w:rsidRDefault="0085610D" w:rsidP="00DA2AEF">
            <w:pPr>
              <w:numPr>
                <w:ilvl w:val="0"/>
                <w:numId w:val="45"/>
              </w:numPr>
              <w:spacing w:after="0" w:line="276" w:lineRule="auto"/>
              <w:rPr>
                <w:rFonts w:cs="Arial"/>
                <w:sz w:val="22"/>
              </w:rPr>
            </w:pPr>
            <w:r w:rsidRPr="00611B82">
              <w:rPr>
                <w:rFonts w:cs="Arial"/>
                <w:szCs w:val="24"/>
              </w:rPr>
              <w:t>Understanding the difference between cognitive screening and neuropsychological assessment, and the role of the AOD treatment workforce.</w:t>
            </w:r>
          </w:p>
        </w:tc>
      </w:tr>
      <w:tr w:rsidR="0085610D" w:rsidRPr="00A974B1" w14:paraId="21A69C72" w14:textId="77777777" w:rsidTr="00234887">
        <w:tc>
          <w:tcPr>
            <w:tcW w:w="1701" w:type="dxa"/>
            <w:shd w:val="clear" w:color="auto" w:fill="F2F2F2" w:themeFill="background1" w:themeFillShade="F2"/>
            <w:tcMar>
              <w:top w:w="113" w:type="dxa"/>
              <w:bottom w:w="113" w:type="dxa"/>
            </w:tcMar>
          </w:tcPr>
          <w:p w14:paraId="1D064374" w14:textId="77777777" w:rsidR="0085610D" w:rsidRPr="00DB72C6" w:rsidRDefault="0085610D" w:rsidP="00234887">
            <w:pPr>
              <w:spacing w:after="160" w:line="259" w:lineRule="auto"/>
              <w:ind w:left="360"/>
              <w:rPr>
                <w:rFonts w:cs="Arial"/>
                <w:b/>
                <w:bCs/>
                <w:color w:val="000066"/>
                <w:szCs w:val="24"/>
              </w:rPr>
            </w:pPr>
            <w:r w:rsidRPr="00DB72C6">
              <w:rPr>
                <w:rFonts w:cs="Arial"/>
                <w:b/>
                <w:bCs/>
                <w:color w:val="000066"/>
                <w:szCs w:val="24"/>
              </w:rPr>
              <w:t>Actions</w:t>
            </w:r>
          </w:p>
          <w:p w14:paraId="145676F6" w14:textId="77777777" w:rsidR="0085610D" w:rsidRPr="00A974B1" w:rsidRDefault="0085610D" w:rsidP="00234887">
            <w:pPr>
              <w:spacing w:after="160" w:line="259" w:lineRule="auto"/>
              <w:rPr>
                <w:rFonts w:cs="Arial"/>
                <w:color w:val="000066"/>
                <w:sz w:val="22"/>
              </w:rPr>
            </w:pPr>
          </w:p>
        </w:tc>
        <w:tc>
          <w:tcPr>
            <w:tcW w:w="7309" w:type="dxa"/>
            <w:shd w:val="clear" w:color="auto" w:fill="F2F2F2" w:themeFill="background1" w:themeFillShade="F2"/>
            <w:tcMar>
              <w:top w:w="113" w:type="dxa"/>
              <w:bottom w:w="113" w:type="dxa"/>
            </w:tcMar>
          </w:tcPr>
          <w:p w14:paraId="541E6939" w14:textId="77777777" w:rsidR="0085610D" w:rsidRPr="00611B82" w:rsidRDefault="0085610D" w:rsidP="00DA2AEF">
            <w:pPr>
              <w:numPr>
                <w:ilvl w:val="0"/>
                <w:numId w:val="46"/>
              </w:numPr>
              <w:spacing w:after="0" w:line="276" w:lineRule="auto"/>
              <w:rPr>
                <w:rFonts w:cs="Arial"/>
                <w:szCs w:val="24"/>
              </w:rPr>
            </w:pPr>
            <w:r w:rsidRPr="00611B82">
              <w:rPr>
                <w:rFonts w:cs="Arial"/>
                <w:szCs w:val="24"/>
              </w:rPr>
              <w:t xml:space="preserve">Screen for cognitive impairment when tāngata whai ora enter services and at ongoing intervals - use clinical judgement for the right timing. Options for cognitive screening tools for trained workers include the MoCA, BEAT, ACE-III-NZ, and mini-ACE-NZ. </w:t>
            </w:r>
          </w:p>
          <w:p w14:paraId="2DB78FD7" w14:textId="77777777" w:rsidR="0085610D" w:rsidRPr="00611B82" w:rsidRDefault="0085610D" w:rsidP="00DA2AEF">
            <w:pPr>
              <w:numPr>
                <w:ilvl w:val="0"/>
                <w:numId w:val="46"/>
              </w:numPr>
              <w:spacing w:after="0" w:line="276" w:lineRule="auto"/>
              <w:rPr>
                <w:rFonts w:cs="Arial"/>
                <w:szCs w:val="24"/>
              </w:rPr>
            </w:pPr>
            <w:r w:rsidRPr="00611B82">
              <w:rPr>
                <w:rFonts w:cs="Arial"/>
                <w:szCs w:val="24"/>
              </w:rPr>
              <w:t>Consider the impact of English comprehension and schooling when using and interpreting information from screening tools.</w:t>
            </w:r>
          </w:p>
          <w:p w14:paraId="761606AA" w14:textId="77777777" w:rsidR="0085610D" w:rsidRPr="00611B82" w:rsidRDefault="0085610D" w:rsidP="00DA2AEF">
            <w:pPr>
              <w:numPr>
                <w:ilvl w:val="0"/>
                <w:numId w:val="46"/>
              </w:numPr>
              <w:spacing w:after="0" w:line="276" w:lineRule="auto"/>
              <w:rPr>
                <w:rFonts w:cs="Arial"/>
                <w:szCs w:val="24"/>
              </w:rPr>
            </w:pPr>
            <w:r w:rsidRPr="00611B82">
              <w:rPr>
                <w:rFonts w:cs="Arial"/>
                <w:szCs w:val="24"/>
              </w:rPr>
              <w:t>Interpret screening results in context of the comprehensive assessment information to determine if a neuropsychological assessment (and/or other referrals) are required.</w:t>
            </w:r>
          </w:p>
          <w:p w14:paraId="460AA69D" w14:textId="77777777" w:rsidR="0085610D" w:rsidRPr="00A974B1" w:rsidRDefault="0085610D" w:rsidP="00DA2AEF">
            <w:pPr>
              <w:numPr>
                <w:ilvl w:val="0"/>
                <w:numId w:val="46"/>
              </w:numPr>
              <w:spacing w:after="0" w:line="276" w:lineRule="auto"/>
              <w:rPr>
                <w:rFonts w:cs="Arial"/>
                <w:sz w:val="22"/>
              </w:rPr>
            </w:pPr>
            <w:r w:rsidRPr="00611B82">
              <w:rPr>
                <w:rFonts w:cs="Arial"/>
                <w:szCs w:val="24"/>
              </w:rPr>
              <w:t>Keep tāngata whai ora and whānau fully informed throughout the process.</w:t>
            </w:r>
          </w:p>
        </w:tc>
      </w:tr>
      <w:tr w:rsidR="0085610D" w:rsidRPr="00A974B1" w14:paraId="17140F66" w14:textId="77777777" w:rsidTr="00234887">
        <w:tc>
          <w:tcPr>
            <w:tcW w:w="1701" w:type="dxa"/>
            <w:shd w:val="clear" w:color="auto" w:fill="F2F2F2" w:themeFill="background1" w:themeFillShade="F2"/>
            <w:tcMar>
              <w:top w:w="113" w:type="dxa"/>
              <w:bottom w:w="113" w:type="dxa"/>
            </w:tcMar>
          </w:tcPr>
          <w:p w14:paraId="0FCC78DD" w14:textId="77777777" w:rsidR="0085610D" w:rsidRPr="00DB72C6" w:rsidRDefault="0085610D" w:rsidP="00234887">
            <w:pPr>
              <w:spacing w:after="160" w:line="259" w:lineRule="auto"/>
              <w:ind w:left="360"/>
              <w:rPr>
                <w:rFonts w:cs="Arial"/>
                <w:b/>
                <w:bCs/>
                <w:color w:val="000066"/>
                <w:szCs w:val="24"/>
              </w:rPr>
            </w:pPr>
            <w:r w:rsidRPr="00DB72C6">
              <w:rPr>
                <w:rFonts w:cs="Arial"/>
                <w:b/>
                <w:bCs/>
                <w:color w:val="000066"/>
                <w:szCs w:val="24"/>
              </w:rPr>
              <w:lastRenderedPageBreak/>
              <w:t>Outcomes</w:t>
            </w:r>
          </w:p>
          <w:p w14:paraId="324579A6" w14:textId="77777777" w:rsidR="0085610D" w:rsidRPr="00A974B1" w:rsidRDefault="0085610D" w:rsidP="00234887">
            <w:pPr>
              <w:spacing w:after="160" w:line="259" w:lineRule="auto"/>
              <w:rPr>
                <w:rFonts w:cs="Arial"/>
                <w:color w:val="000066"/>
                <w:sz w:val="22"/>
              </w:rPr>
            </w:pPr>
          </w:p>
        </w:tc>
        <w:tc>
          <w:tcPr>
            <w:tcW w:w="7309" w:type="dxa"/>
            <w:shd w:val="clear" w:color="auto" w:fill="F2F2F2" w:themeFill="background1" w:themeFillShade="F2"/>
            <w:tcMar>
              <w:top w:w="113" w:type="dxa"/>
              <w:bottom w:w="113" w:type="dxa"/>
            </w:tcMar>
          </w:tcPr>
          <w:p w14:paraId="2E589419" w14:textId="77777777" w:rsidR="0085610D" w:rsidRPr="00611B82" w:rsidRDefault="0085610D" w:rsidP="00DA2AEF">
            <w:pPr>
              <w:numPr>
                <w:ilvl w:val="0"/>
                <w:numId w:val="47"/>
              </w:numPr>
              <w:spacing w:after="0" w:line="276" w:lineRule="auto"/>
              <w:rPr>
                <w:rFonts w:cs="Arial"/>
                <w:szCs w:val="24"/>
              </w:rPr>
            </w:pPr>
            <w:r w:rsidRPr="00611B82">
              <w:rPr>
                <w:rFonts w:cs="Arial"/>
                <w:szCs w:val="24"/>
              </w:rPr>
              <w:t>Cognitive impairment is identified in a strengths-based manner.</w:t>
            </w:r>
          </w:p>
          <w:p w14:paraId="17363ECD" w14:textId="77777777" w:rsidR="0085610D" w:rsidRPr="00A974B1" w:rsidRDefault="0085610D" w:rsidP="00DA2AEF">
            <w:pPr>
              <w:numPr>
                <w:ilvl w:val="0"/>
                <w:numId w:val="47"/>
              </w:numPr>
              <w:spacing w:after="0" w:line="276" w:lineRule="auto"/>
              <w:rPr>
                <w:rFonts w:cs="Arial"/>
                <w:sz w:val="22"/>
              </w:rPr>
            </w:pPr>
            <w:r w:rsidRPr="00611B82">
              <w:rPr>
                <w:rFonts w:cs="Arial"/>
                <w:szCs w:val="24"/>
              </w:rPr>
              <w:t>Tāngata whai ora and whānau feel comfortable and empowered.</w:t>
            </w:r>
          </w:p>
        </w:tc>
      </w:tr>
    </w:tbl>
    <w:p w14:paraId="779F761F" w14:textId="77777777" w:rsidR="0085610D" w:rsidRPr="00A974B1" w:rsidRDefault="0085610D" w:rsidP="0085610D">
      <w:pPr>
        <w:pStyle w:val="ListBullet"/>
        <w:numPr>
          <w:ilvl w:val="0"/>
          <w:numId w:val="0"/>
        </w:numPr>
        <w:rPr>
          <w:sz w:val="22"/>
        </w:rPr>
      </w:pPr>
    </w:p>
    <w:p w14:paraId="3B837AB3" w14:textId="423F4392" w:rsidR="0085610D" w:rsidRPr="00DB72C6" w:rsidRDefault="0085610D" w:rsidP="00122447">
      <w:pPr>
        <w:pStyle w:val="IntenseQuote"/>
        <w:ind w:left="0"/>
        <w:rPr>
          <w:rFonts w:asciiTheme="minorHAnsi" w:hAnsiTheme="minorHAnsi" w:cstheme="minorHAnsi"/>
          <w:color w:val="auto"/>
          <w:sz w:val="24"/>
          <w:szCs w:val="24"/>
        </w:rPr>
      </w:pPr>
      <w:r w:rsidRPr="00DB72C6">
        <w:rPr>
          <w:rFonts w:asciiTheme="minorHAnsi" w:hAnsiTheme="minorHAnsi" w:cstheme="minorHAnsi"/>
          <w:color w:val="auto"/>
          <w:sz w:val="24"/>
          <w:szCs w:val="24"/>
        </w:rPr>
        <w:t>Use cognitive screening to identify the support tāngata whai ora need and their strengths, rather than focusing on impairments or deficits and stigmatising people.</w:t>
      </w:r>
      <w:r w:rsidRPr="00DB72C6">
        <w:rPr>
          <w:rFonts w:asciiTheme="minorHAnsi" w:hAnsiTheme="minorHAnsi" w:cstheme="minorHAnsi"/>
          <w:color w:val="auto"/>
          <w:sz w:val="24"/>
          <w:szCs w:val="24"/>
        </w:rPr>
        <w:fldChar w:fldCharType="begin"/>
      </w:r>
      <w:r w:rsidRPr="00DB72C6">
        <w:rPr>
          <w:rFonts w:asciiTheme="minorHAnsi" w:hAnsiTheme="minorHAnsi" w:cstheme="minorHAnsi"/>
          <w:color w:val="auto"/>
          <w:sz w:val="24"/>
          <w:szCs w:val="24"/>
        </w:rPr>
        <w:instrText xml:space="preserve"> ADDIN ZOTERO_ITEM CSL_CITATION {"citationID":"MCUdjeN0","properties":{"formattedCitation":"\\super 54,139\\nosupersub{}","plainCitation":"54,139","noteIndex":0},"citationItems":[{"id":14216,"uris":["http://zotero.org/groups/4745233/items/866CDPL8"],"itemData":{"id":14216,"type":"report","publisher":"Addiction Technology Transfer Center Network","title":"Traumatic brain injury and substance use disorders: Making the connections","URL":"https://attcnetwork.org/sites/default/files/2021-11/TBI%20%20SUD%20Toolkit%20FINAL%2011.05.2021.pdf","author":[{"family":"Lemsky","given":"Carolyn"}],"collection-editor":[{"family":"Stilen","given":"P"},{"family":"Heitkamp","given":"T"}],"accessed":{"date-parts":[["2022",12,15]]},"issued":{"date-parts":[["2021"]]}}},{"id":14213,"uris":["http://zotero.org/groups/4745233/items/TFJX5W43"],"itemData":{"id":14213,"type":"article-journal","abstract":"The quality of dementia care rendered to individuals and families is contingent upon the quality of assessment and care planning, and the degree to which those processes are person-centered. This paper provides recommendations for assessment and care planning derived from a review of the research literature. These guidelines build upon previous recommendations published by the Alzheimer’s Association, and apply to all settings, types, and stages of dementia. The target audience for these guidelines includes professionals, paraprofessionals, and direct care workers, depending on their scope of practice and training.","container-title":"The Gerontologist","DOI":"10.1093/geront/gnx173","ISSN":"0016-9013","issue":"suppl_1","journalAbbreviation":"The Gerontologist","page":"S32-S47","source":"Silverchair","title":"Person-centered assessment and care planning","volume":"58","author":[{"family":"Molony","given":"Sheila L"},{"family":"Kolanowski","given":"Ann"},{"family":"Van Haitsma","given":"Kimberly"},{"family":"Rooney","given":"Kate E"}],"issued":{"date-parts":[["2018",1,18]]}}}],"schema":"https://github.com/citation-style-language/schema/raw/master/csl-citation.json"} </w:instrText>
      </w:r>
      <w:r w:rsidRPr="00DB72C6">
        <w:rPr>
          <w:rFonts w:asciiTheme="minorHAnsi" w:hAnsiTheme="minorHAnsi" w:cstheme="minorHAnsi"/>
          <w:color w:val="auto"/>
          <w:sz w:val="24"/>
          <w:szCs w:val="24"/>
        </w:rPr>
        <w:fldChar w:fldCharType="separate"/>
      </w:r>
      <w:r w:rsidRPr="00DB72C6">
        <w:rPr>
          <w:rFonts w:asciiTheme="minorHAnsi" w:hAnsiTheme="minorHAnsi" w:cstheme="minorHAnsi"/>
          <w:color w:val="auto"/>
          <w:sz w:val="24"/>
          <w:szCs w:val="24"/>
          <w:vertAlign w:val="superscript"/>
        </w:rPr>
        <w:t>54,139</w:t>
      </w:r>
      <w:r w:rsidRPr="00DB72C6">
        <w:rPr>
          <w:rFonts w:asciiTheme="minorHAnsi" w:hAnsiTheme="minorHAnsi" w:cstheme="minorHAnsi"/>
          <w:color w:val="auto"/>
          <w:sz w:val="24"/>
          <w:szCs w:val="24"/>
        </w:rPr>
        <w:fldChar w:fldCharType="end"/>
      </w:r>
    </w:p>
    <w:p w14:paraId="3E06ED2F" w14:textId="570A8E38" w:rsidR="0085610D" w:rsidRDefault="0085610D" w:rsidP="00611B82">
      <w:bookmarkStart w:id="1133" w:name="_Toc142655461"/>
      <w:bookmarkStart w:id="1134" w:name="_Toc144657432"/>
      <w:bookmarkStart w:id="1135" w:name="_Toc145670706"/>
      <w:r w:rsidRPr="005A11D2">
        <w:t xml:space="preserve">See Appendix D for a cognitive screening pathway. </w:t>
      </w:r>
    </w:p>
    <w:p w14:paraId="603758FE" w14:textId="77777777" w:rsidR="00DB72C6" w:rsidRPr="005A11D2" w:rsidRDefault="00DB72C6" w:rsidP="00611B82"/>
    <w:p w14:paraId="2AC5FAD8" w14:textId="77777777" w:rsidR="0085610D" w:rsidRPr="00A440F4" w:rsidRDefault="0085610D" w:rsidP="0085610D">
      <w:pPr>
        <w:rPr>
          <w:b/>
          <w:bCs/>
          <w:color w:val="1E7880" w:themeColor="accent2" w:themeShade="BF"/>
          <w:sz w:val="28"/>
          <w:szCs w:val="28"/>
        </w:rPr>
      </w:pPr>
      <w:bookmarkStart w:id="1136" w:name="_Toc142655462"/>
      <w:bookmarkStart w:id="1137" w:name="_Toc144657433"/>
      <w:bookmarkStart w:id="1138" w:name="_Toc145670707"/>
      <w:bookmarkStart w:id="1139" w:name="_Toc145854321"/>
      <w:bookmarkStart w:id="1140" w:name="_Toc146024251"/>
      <w:bookmarkStart w:id="1141" w:name="_Toc146624831"/>
      <w:bookmarkStart w:id="1142" w:name="_Toc146714192"/>
      <w:bookmarkStart w:id="1143" w:name="_Toc178780123"/>
      <w:bookmarkStart w:id="1144" w:name="_Toc178838889"/>
      <w:bookmarkStart w:id="1145" w:name="_Toc178839076"/>
      <w:bookmarkStart w:id="1146" w:name="_Toc178839197"/>
      <w:bookmarkStart w:id="1147" w:name="_Toc178839425"/>
      <w:bookmarkStart w:id="1148" w:name="_Toc178841635"/>
      <w:bookmarkStart w:id="1149" w:name="_Toc179198195"/>
      <w:bookmarkStart w:id="1150" w:name="_Toc179198443"/>
      <w:bookmarkStart w:id="1151" w:name="_Toc179198551"/>
      <w:bookmarkStart w:id="1152" w:name="_Toc179198658"/>
      <w:bookmarkStart w:id="1153" w:name="_Toc179446102"/>
      <w:bookmarkStart w:id="1154" w:name="_Toc133249176"/>
      <w:bookmarkEnd w:id="1133"/>
      <w:bookmarkEnd w:id="1134"/>
      <w:bookmarkEnd w:id="1135"/>
      <w:r w:rsidRPr="00A440F4">
        <w:rPr>
          <w:b/>
          <w:bCs/>
          <w:color w:val="1E7880" w:themeColor="accent2" w:themeShade="BF"/>
          <w:sz w:val="28"/>
          <w:szCs w:val="28"/>
        </w:rPr>
        <w:t>Who can screen: Undertake cognitive screening with proper training and/or supervision to avoid harm</w:t>
      </w:r>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r w:rsidRPr="00A440F4">
        <w:rPr>
          <w:b/>
          <w:bCs/>
          <w:color w:val="1E7880" w:themeColor="accent2" w:themeShade="BF"/>
          <w:sz w:val="28"/>
          <w:szCs w:val="28"/>
        </w:rPr>
        <w:t xml:space="preserve"> </w:t>
      </w:r>
      <w:bookmarkEnd w:id="1154"/>
    </w:p>
    <w:p w14:paraId="7F03AEF4" w14:textId="77777777" w:rsidR="00122447" w:rsidRDefault="0085610D" w:rsidP="00122447">
      <w:pPr>
        <w:pStyle w:val="IntenseQuote"/>
        <w:ind w:left="0"/>
        <w:rPr>
          <w:color w:val="auto"/>
          <w:sz w:val="24"/>
          <w:szCs w:val="24"/>
        </w:rPr>
      </w:pPr>
      <w:r w:rsidRPr="00DB72C6">
        <w:rPr>
          <w:color w:val="auto"/>
          <w:sz w:val="24"/>
          <w:szCs w:val="24"/>
        </w:rPr>
        <w:t>AOD treatment workforce has a key role in screening for cognitive impairment. Training, cultural understanding, and clinical skill</w:t>
      </w:r>
      <w:r w:rsidRPr="00DB72C6">
        <w:rPr>
          <w:color w:val="auto"/>
          <w:sz w:val="24"/>
          <w:szCs w:val="24"/>
        </w:rPr>
        <w:fldChar w:fldCharType="begin"/>
      </w:r>
      <w:r w:rsidRPr="00DB72C6">
        <w:rPr>
          <w:color w:val="auto"/>
          <w:sz w:val="24"/>
          <w:szCs w:val="24"/>
        </w:rPr>
        <w:instrText xml:space="preserve"> ADDIN ZOTERO_ITEM CSL_CITATION {"citationID":"a24pdhq9dhv","properties":{"formattedCitation":"\\super 2\\nosupersub{}","plainCitation":"2","noteIndex":0},"citationItems":[{"id":14006,"uris":["http://zotero.org/groups/4745233/items/TW3KE9KV"],"itemData":{"id":14006,"type":"article-journal","abstract":"Objectives:Cognitive impairment is common in individuals with substance use disorders (SUDs), yet no evidence-based guidelines exist regarding the most appropriate screening measure for use in this population. This systematic review aimed to (1) describe different cognitive screening measures used in adults with SUDs, (2) identify substance use populations and contexts these tools are utilised in, (3) review diagnostic accuracy of these screening measures versus an accepted objective reference standard, and (4) evaluate methodology of included studies for risk of bias.Methods:Online databases (PsycINFO, MEDLINE, Embase, and CINAHL) were searched for relevant studies according to pre-determined criteria, and risk of bias and applicability was assessed using the Quality Assessment of Diagnostic Accuracy Studies–2 (QUADAS–2). At each review phase, dual screening, extraction, and quality ratings were performed.Results:Fourteen studies met inclusion, identifying 10 unique cognitive screening tools. The Montreal Cognitive Assessment (MoCA) was the most common, and two novel screening tools (Brief Evaluation of Alcohol-Related Neuropsychological Impairments [BEARNI] and Brief Executive Function Assessment Tool [BEAT]) were specifically developed for use within SUD populations. Twelve studies reported on classification accuracy and relevant psychometric parameters (e.g., sensitivity and specificity). While several tools yielded acceptable to outstanding classification accuracy, there was poor adherence to the Standards for Reporting Diagnostic Accuracy Studies (STARD) across all studies, with high or unclear risk of methodological bias.Conclusions:While some screening tools exhibit promise for use within SUD populations, further evaluation with stronger methodological design and reporting is required. Clinical recommendations and future directions for research are discussed.","container-title":"Journal of the International Neuropsychological Society","DOI":"10.1017/S135561772100103X","ISSN":"1355-6177, 1469-7661","language":"en","note":"publisher: Cambridge University Press","page":"1-24","source":"Cambridge University Press","title":"Screening tools for cognitive impairment in adults with substance use disorders: A systematic review","title-short":"Screening Tools for Cognitive Impairment in Adults with Substance Use Disorders","author":[{"family":"Ko","given":"Katherine Y."},{"family":"Ridley","given":"Nicole"},{"family":"Bryce","given":"Shayden D."},{"family":"Allott","given":"Kelly"},{"family":"Smith","given":"Angela"},{"family":"Kamminga","given":"Jody"}],"issued":{"date-parts":[["2022"]]}}}],"schema":"https://github.com/citation-style-language/schema/raw/master/csl-citation.json"} </w:instrText>
      </w:r>
      <w:r w:rsidRPr="00DB72C6">
        <w:rPr>
          <w:color w:val="auto"/>
          <w:sz w:val="24"/>
          <w:szCs w:val="24"/>
        </w:rPr>
        <w:fldChar w:fldCharType="separate"/>
      </w:r>
      <w:r w:rsidRPr="00DB72C6">
        <w:rPr>
          <w:rFonts w:cs="Arial"/>
          <w:color w:val="auto"/>
          <w:sz w:val="24"/>
          <w:szCs w:val="24"/>
          <w:vertAlign w:val="superscript"/>
        </w:rPr>
        <w:t>2</w:t>
      </w:r>
      <w:r w:rsidRPr="00DB72C6">
        <w:rPr>
          <w:color w:val="auto"/>
          <w:sz w:val="24"/>
          <w:szCs w:val="24"/>
        </w:rPr>
        <w:fldChar w:fldCharType="end"/>
      </w:r>
      <w:r w:rsidRPr="00DB72C6">
        <w:rPr>
          <w:color w:val="auto"/>
          <w:sz w:val="24"/>
          <w:szCs w:val="24"/>
        </w:rPr>
        <w:t xml:space="preserve"> are required to avoid harm and potentially retraumatising tāngata whai ora. </w:t>
      </w:r>
    </w:p>
    <w:p w14:paraId="720DB615" w14:textId="01A055AE" w:rsidR="0085610D" w:rsidRPr="00DB72C6" w:rsidRDefault="0085610D" w:rsidP="00122447">
      <w:pPr>
        <w:pStyle w:val="IntenseQuote"/>
        <w:ind w:left="0"/>
        <w:rPr>
          <w:color w:val="auto"/>
          <w:sz w:val="24"/>
          <w:szCs w:val="24"/>
        </w:rPr>
      </w:pPr>
      <w:r w:rsidRPr="00DB72C6">
        <w:rPr>
          <w:color w:val="auto"/>
          <w:sz w:val="24"/>
          <w:szCs w:val="24"/>
        </w:rPr>
        <w:t xml:space="preserve">Rather than having a specific role title, workers who use screening tools should have undergone the specific training required to safely use those tools and may require supervision (like from a clinical psychologist) to safely interpret the information. Check the requirements of the screening tool for administration and interpretation. </w:t>
      </w:r>
    </w:p>
    <w:p w14:paraId="7346DCE7" w14:textId="77777777" w:rsidR="00DB72C6" w:rsidRDefault="00DB72C6" w:rsidP="0085610D">
      <w:pPr>
        <w:rPr>
          <w:b/>
          <w:bCs/>
          <w:color w:val="1E7880" w:themeColor="accent2" w:themeShade="BF"/>
        </w:rPr>
      </w:pPr>
      <w:bookmarkStart w:id="1155" w:name="_Toc133249175"/>
      <w:bookmarkStart w:id="1156" w:name="_Toc142655463"/>
      <w:bookmarkStart w:id="1157" w:name="_Toc144657434"/>
      <w:bookmarkStart w:id="1158" w:name="_Toc145670708"/>
      <w:bookmarkStart w:id="1159" w:name="_Toc145854322"/>
      <w:bookmarkStart w:id="1160" w:name="_Toc146024252"/>
      <w:bookmarkStart w:id="1161" w:name="_Toc146624832"/>
      <w:bookmarkStart w:id="1162" w:name="_Toc146714193"/>
      <w:bookmarkStart w:id="1163" w:name="_Toc178780124"/>
      <w:bookmarkStart w:id="1164" w:name="_Toc178838890"/>
      <w:bookmarkStart w:id="1165" w:name="_Toc178839077"/>
      <w:bookmarkStart w:id="1166" w:name="_Toc178839198"/>
      <w:bookmarkStart w:id="1167" w:name="_Toc178839426"/>
      <w:bookmarkStart w:id="1168" w:name="_Toc178841636"/>
      <w:bookmarkStart w:id="1169" w:name="_Toc179198196"/>
      <w:bookmarkStart w:id="1170" w:name="_Toc179198444"/>
      <w:bookmarkStart w:id="1171" w:name="_Toc179198552"/>
      <w:bookmarkStart w:id="1172" w:name="_Toc179198659"/>
      <w:bookmarkStart w:id="1173" w:name="_Toc179446103"/>
    </w:p>
    <w:p w14:paraId="130F28DC" w14:textId="0F13523E" w:rsidR="0085610D" w:rsidRPr="00A440F4" w:rsidRDefault="0085610D" w:rsidP="0085610D">
      <w:pPr>
        <w:rPr>
          <w:b/>
          <w:bCs/>
          <w:color w:val="1E7880" w:themeColor="accent2" w:themeShade="BF"/>
          <w:sz w:val="28"/>
          <w:szCs w:val="28"/>
        </w:rPr>
      </w:pPr>
      <w:r w:rsidRPr="00A440F4">
        <w:rPr>
          <w:b/>
          <w:bCs/>
          <w:color w:val="1E7880" w:themeColor="accent2" w:themeShade="BF"/>
          <w:sz w:val="28"/>
          <w:szCs w:val="28"/>
        </w:rPr>
        <w:t>When to screen: Screen when tāngata whai ora enter services and at ongoing intervals</w:t>
      </w:r>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p>
    <w:p w14:paraId="479F42AF" w14:textId="77777777" w:rsidR="0085610D" w:rsidRPr="00DB72C6" w:rsidRDefault="0085610D" w:rsidP="00122447">
      <w:pPr>
        <w:pStyle w:val="IntenseQuote"/>
        <w:ind w:left="0"/>
        <w:rPr>
          <w:color w:val="000000" w:themeColor="text1"/>
          <w:sz w:val="24"/>
          <w:szCs w:val="24"/>
        </w:rPr>
      </w:pPr>
      <w:r w:rsidRPr="00DB72C6">
        <w:rPr>
          <w:color w:val="000000" w:themeColor="text1"/>
          <w:sz w:val="24"/>
          <w:szCs w:val="24"/>
        </w:rPr>
        <w:t xml:space="preserve">Cognitive screening should take place when tāngata whai ora feel safe and any immediate risks have been mitigated. It may be that screening needs to be postponed </w:t>
      </w:r>
      <w:r w:rsidRPr="00DB72C6">
        <w:rPr>
          <w:color w:val="000000" w:themeColor="text1"/>
          <w:sz w:val="24"/>
          <w:szCs w:val="24"/>
        </w:rPr>
        <w:lastRenderedPageBreak/>
        <w:t xml:space="preserve">to put a safety plan in place. For example, if someone is experiencing thoughts of suicide then support takes priority over screening. </w:t>
      </w:r>
    </w:p>
    <w:p w14:paraId="32797CD8" w14:textId="77777777" w:rsidR="00420977" w:rsidRPr="00244FB9" w:rsidRDefault="00420977" w:rsidP="00122DC2">
      <w:r w:rsidRPr="00244FB9">
        <w:t>Ideally, screen for cognitive impairment when tāngata whai ora enter AOD services, and any time that tāngata whai ora or whānau raise concerns about their cognitive function. Aim to screen for cognitive impairment and refer for a neuropsychological assessment (if indicated or as required) during the first one-third of a treatment programme.</w:t>
      </w:r>
      <w:r w:rsidRPr="00244FB9">
        <w:rPr>
          <w:rStyle w:val="FootnoteReference"/>
          <w:sz w:val="22"/>
        </w:rPr>
        <w:footnoteReference w:id="5"/>
      </w:r>
      <w:r w:rsidRPr="00244FB9">
        <w:t xml:space="preserve"> </w:t>
      </w:r>
    </w:p>
    <w:p w14:paraId="79B744C1" w14:textId="77777777" w:rsidR="00420977" w:rsidRPr="00554152" w:rsidRDefault="00420977" w:rsidP="00122DC2">
      <w:r w:rsidRPr="00554152">
        <w:t>Substance use and withdrawal symptoms can affect the validity and usefulness of the information collected as it can cause temporary changes to a person’s cognitive functioning.</w:t>
      </w:r>
    </w:p>
    <w:p w14:paraId="06D59B99" w14:textId="77777777" w:rsidR="00420977" w:rsidRPr="006C5717" w:rsidRDefault="00420977" w:rsidP="00122DC2">
      <w:pPr>
        <w:rPr>
          <w:rFonts w:cstheme="minorHAnsi"/>
        </w:rPr>
      </w:pPr>
      <w:r w:rsidRPr="006C5717">
        <w:rPr>
          <w:rFonts w:cstheme="minorHAnsi"/>
        </w:rPr>
        <w:t xml:space="preserve">A period of abstinence prior to screening should be prioritised. A timeframe of one to two weeks of no substance use supports validity, with 6 weeks being ideal. However, this is likely to be challenging for many tāngata whai ora and unrealistic in some services. </w:t>
      </w:r>
    </w:p>
    <w:p w14:paraId="4BBEFD3F" w14:textId="77777777" w:rsidR="00420977" w:rsidRPr="006C5717" w:rsidRDefault="00420977" w:rsidP="00122DC2">
      <w:pPr>
        <w:rPr>
          <w:rFonts w:cstheme="minorHAnsi"/>
        </w:rPr>
      </w:pPr>
      <w:r w:rsidRPr="006C5717">
        <w:rPr>
          <w:rFonts w:cstheme="minorHAnsi"/>
        </w:rPr>
        <w:t xml:space="preserve">In this case, take a harm reduction approach and work with tāngata whai ora to reduce substance use leading up to screening, and preferably have them not use substances on the day of screening. Check with tāngata whai ora if a particular time of day would better support minimal substance use.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Caution when interpreting screening in the context of substance use"/>
        <w:tblDescription w:val="Clinical judgement is required to determine if screening should go ahead when there is current or recent substance use. Non-clinical roles should seek advice or supervision. Remember that screening is just a snapshot in time, and substance use should be factored in when interpreting results if it does go ahead"/>
      </w:tblPr>
      <w:tblGrid>
        <w:gridCol w:w="9010"/>
      </w:tblGrid>
      <w:tr w:rsidR="00420977" w:rsidRPr="00E03A29" w14:paraId="49C344D5" w14:textId="77777777" w:rsidTr="00234887">
        <w:tc>
          <w:tcPr>
            <w:tcW w:w="9010" w:type="dxa"/>
            <w:shd w:val="clear" w:color="auto" w:fill="F2F2F2" w:themeFill="background1" w:themeFillShade="F2"/>
          </w:tcPr>
          <w:p w14:paraId="79062A5B" w14:textId="77777777" w:rsidR="00420977" w:rsidRPr="00E03A29" w:rsidRDefault="00420977" w:rsidP="00F70C81">
            <w:r w:rsidRPr="00E03A29">
              <w:t xml:space="preserve">The results of screening are a snapshot of the person’s cognition at that time. When substances are </w:t>
            </w:r>
            <w:r w:rsidRPr="00E03A29" w:rsidDel="00020D84">
              <w:t>used</w:t>
            </w:r>
            <w:r w:rsidRPr="00E03A29">
              <w:t>,</w:t>
            </w:r>
            <w:r w:rsidRPr="00E03A29" w:rsidDel="00020D84">
              <w:t xml:space="preserve"> </w:t>
            </w:r>
            <w:r w:rsidRPr="00E03A29">
              <w:t xml:space="preserve">clinical judgement and flexibility are required to determine if it is helpful for screening to go ahead. For example, if the tangata whai ora is experiencing minimal acute effects and they are comfortable to proceed it may be appropriate to continue. However, this should be factored in when interpreting screening information, and repeat screening becomes more important. Substance use should be noted on the screening form. </w:t>
            </w:r>
          </w:p>
          <w:p w14:paraId="7C93E868" w14:textId="77777777" w:rsidR="00420977" w:rsidRPr="00E03A29" w:rsidRDefault="00420977" w:rsidP="00F70C81">
            <w:r w:rsidRPr="00E03A29">
              <w:t xml:space="preserve">An example of when it may not be appropriate to screen is during heavy alcohol use or while someone is taking benzodiazepines as part of the withdrawal process. </w:t>
            </w:r>
          </w:p>
          <w:p w14:paraId="5147C7A7" w14:textId="77777777" w:rsidR="00420977" w:rsidRPr="006C5717" w:rsidRDefault="00420977" w:rsidP="00F70C81">
            <w:pPr>
              <w:rPr>
                <w:rFonts w:cstheme="minorHAnsi"/>
              </w:rPr>
            </w:pPr>
            <w:r w:rsidRPr="006C5717">
              <w:rPr>
                <w:rFonts w:cstheme="minorHAnsi"/>
                <w:b/>
                <w:bCs/>
              </w:rPr>
              <w:t>Non-clinical roles should seek advice or supervision to determine appropriate timing and interpretation of results when there is current or recent substance use.</w:t>
            </w:r>
          </w:p>
        </w:tc>
      </w:tr>
    </w:tbl>
    <w:p w14:paraId="6334802F" w14:textId="77777777" w:rsidR="00420977" w:rsidRPr="00E03A29" w:rsidRDefault="00420977" w:rsidP="00F70C81">
      <w:r w:rsidRPr="00E03A29">
        <w:lastRenderedPageBreak/>
        <w:t>As well as substance use and intoxication, it is ideal for other short-term potential causes of cognitive impairment (such as experiences of psychosis) to be identified and support provided prior to screening, though this may not be feasible.</w:t>
      </w:r>
      <w:r w:rsidRPr="00E03A29">
        <w:fldChar w:fldCharType="begin"/>
      </w:r>
      <w:r w:rsidRPr="00E03A29">
        <w:instrText xml:space="preserve"> ADDIN ZOTERO_ITEM CSL_CITATION {"citationID":"a1cokipad7f","properties":{"formattedCitation":"\\super 3\\nosupersub{}","plainCitation":"3","noteIndex":0},"citationItems":[{"id":14007,"uris":["http://zotero.org/groups/4745233/items/U3GGYCKU"],"itemData":{"id":14007,"type":"report","event-place":"Richmond, Victoria","language":"en","publisher":"Turning Point","publisher-place":"Richmond, Victoria","source":"Zotero","title":"Managing Cognitive Impairment in AOD Treatment: Practice Guidelines for Healthcare Professionals","URL":"https://www.turningpoint.org.au/treatment/clinicians/Managing-Cognitive-Impairment-in-AOD-Treatment-Guidelines","author":[{"family":"Manning","given":"Victoria"},{"family":"Gooden","given":"James"},{"family":"Cox","given":"Catherine"},{"family":"Whelan","given":"Danielle"},{"family":"Miroz","given":"Katherine"}],"issued":{"date-parts":[["2021"]]}}}],"schema":"https://github.com/citation-style-language/schema/raw/master/csl-citation.json"} </w:instrText>
      </w:r>
      <w:r w:rsidRPr="00E03A29">
        <w:fldChar w:fldCharType="separate"/>
      </w:r>
      <w:r w:rsidRPr="00E03A29">
        <w:rPr>
          <w:rFonts w:cs="Arial"/>
          <w:vertAlign w:val="superscript"/>
        </w:rPr>
        <w:t>3</w:t>
      </w:r>
      <w:r w:rsidRPr="00E03A29">
        <w:fldChar w:fldCharType="end"/>
      </w:r>
      <w:r w:rsidRPr="00E03A29">
        <w:t xml:space="preserve"> </w:t>
      </w:r>
    </w:p>
    <w:p w14:paraId="70267EFC" w14:textId="77777777" w:rsidR="00420977" w:rsidRPr="00E03A29" w:rsidRDefault="00420977" w:rsidP="00F70C81">
      <w:r w:rsidRPr="00E03A29">
        <w:t>Repeat cognitive screening (ideally by the same person) at regular intervals (for example every 3 or 6 months, or at mid-point and discharge in residential services) to:</w:t>
      </w:r>
    </w:p>
    <w:p w14:paraId="0FE289AD" w14:textId="77777777" w:rsidR="00420977" w:rsidRPr="00E03A29" w:rsidRDefault="00420977" w:rsidP="00F70C81">
      <w:pPr>
        <w:pStyle w:val="Bulletpoint"/>
      </w:pPr>
      <w:r w:rsidRPr="00E03A29">
        <w:t>continue building trusting relationships with tāngata whai ora and whānau</w:t>
      </w:r>
    </w:p>
    <w:p w14:paraId="00C87CB5" w14:textId="77777777" w:rsidR="00420977" w:rsidRPr="00E03A29" w:rsidRDefault="00420977" w:rsidP="00F70C81">
      <w:pPr>
        <w:pStyle w:val="Bulletpoint"/>
      </w:pPr>
      <w:r w:rsidRPr="00E03A29">
        <w:t>determine if cognitive function requires more or less support and adapt treatment plans accordingly, and to determine long-term cognitive impairment after support for short-term causes</w:t>
      </w:r>
    </w:p>
    <w:p w14:paraId="2664CA7A" w14:textId="77777777" w:rsidR="00420977" w:rsidRPr="00E03A29" w:rsidRDefault="00420977" w:rsidP="00F70C81">
      <w:pPr>
        <w:pStyle w:val="Bulletpoint"/>
      </w:pPr>
      <w:r w:rsidRPr="00E03A29">
        <w:t>show changes in cognition over time where relevant (such as when there is reduced substance use). This can often be motivating and inspire hope</w:t>
      </w:r>
    </w:p>
    <w:p w14:paraId="03B86FEF" w14:textId="77777777" w:rsidR="00420977" w:rsidRPr="00E03A29" w:rsidRDefault="00420977" w:rsidP="00F70C81">
      <w:pPr>
        <w:pStyle w:val="Bulletpoint"/>
      </w:pPr>
      <w:r w:rsidRPr="00E03A29">
        <w:t xml:space="preserve">ensure accuracy and validity due to the many situational factors that can influence cognition. </w:t>
      </w:r>
    </w:p>
    <w:p w14:paraId="55AAD8FC" w14:textId="77777777" w:rsidR="00420977" w:rsidRDefault="00420977" w:rsidP="00F70C81">
      <w:r w:rsidRPr="00E03A29">
        <w:t xml:space="preserve">When repeating screening, use a different version of the same screening tool where available to minimise learning effects. This is so that tāngata whai ora can’t remember the answers from last time. </w:t>
      </w:r>
    </w:p>
    <w:p w14:paraId="00CCFC73" w14:textId="77777777" w:rsidR="00DB72C6" w:rsidRDefault="00DB72C6" w:rsidP="00F70C81"/>
    <w:p w14:paraId="58756AD8" w14:textId="77777777" w:rsidR="00C14A57" w:rsidRPr="00A440F4" w:rsidRDefault="00C14A57" w:rsidP="00C14A57">
      <w:pPr>
        <w:rPr>
          <w:b/>
          <w:bCs/>
          <w:color w:val="1E7880" w:themeColor="accent2" w:themeShade="BF"/>
          <w:sz w:val="28"/>
          <w:szCs w:val="28"/>
        </w:rPr>
      </w:pPr>
      <w:bookmarkStart w:id="1174" w:name="_Toc142655464"/>
      <w:bookmarkStart w:id="1175" w:name="_Toc144657435"/>
      <w:bookmarkStart w:id="1176" w:name="_Toc145670709"/>
      <w:bookmarkStart w:id="1177" w:name="_Toc145854323"/>
      <w:bookmarkStart w:id="1178" w:name="_Toc146024253"/>
      <w:bookmarkStart w:id="1179" w:name="_Toc146624833"/>
      <w:bookmarkStart w:id="1180" w:name="_Toc146714194"/>
      <w:bookmarkStart w:id="1181" w:name="_Toc178780125"/>
      <w:bookmarkStart w:id="1182" w:name="_Toc178838891"/>
      <w:bookmarkStart w:id="1183" w:name="_Toc178839078"/>
      <w:bookmarkStart w:id="1184" w:name="_Toc178839199"/>
      <w:bookmarkStart w:id="1185" w:name="_Toc178839427"/>
      <w:bookmarkStart w:id="1186" w:name="_Toc178841637"/>
      <w:bookmarkStart w:id="1187" w:name="_Toc179198197"/>
      <w:bookmarkStart w:id="1188" w:name="_Toc179198445"/>
      <w:bookmarkStart w:id="1189" w:name="_Toc179198553"/>
      <w:bookmarkStart w:id="1190" w:name="_Toc179198660"/>
      <w:bookmarkStart w:id="1191" w:name="_Toc179446104"/>
      <w:r w:rsidRPr="00A440F4">
        <w:rPr>
          <w:b/>
          <w:bCs/>
          <w:color w:val="1E7880" w:themeColor="accent2" w:themeShade="BF"/>
          <w:sz w:val="28"/>
          <w:szCs w:val="28"/>
        </w:rPr>
        <w:t>How to prepare: Ensure tāngata whai ora feel informed, comfortable, and ready</w:t>
      </w:r>
      <w:bookmarkEnd w:id="1174"/>
      <w:bookmarkEnd w:id="1175"/>
      <w:bookmarkEnd w:id="1176"/>
      <w:bookmarkEnd w:id="1177"/>
      <w:bookmarkEnd w:id="1178"/>
      <w:r w:rsidRPr="00A440F4">
        <w:rPr>
          <w:b/>
          <w:bCs/>
          <w:color w:val="1E7880" w:themeColor="accent2" w:themeShade="BF"/>
          <w:sz w:val="28"/>
          <w:szCs w:val="28"/>
        </w:rPr>
        <w:t xml:space="preserve"> for screening</w:t>
      </w:r>
      <w:bookmarkEnd w:id="1179"/>
      <w:bookmarkEnd w:id="1180"/>
      <w:bookmarkEnd w:id="1181"/>
      <w:bookmarkEnd w:id="1182"/>
      <w:bookmarkEnd w:id="1183"/>
      <w:bookmarkEnd w:id="1184"/>
      <w:bookmarkEnd w:id="1185"/>
      <w:bookmarkEnd w:id="1186"/>
      <w:bookmarkEnd w:id="1187"/>
      <w:bookmarkEnd w:id="1188"/>
      <w:bookmarkEnd w:id="1189"/>
      <w:bookmarkEnd w:id="1190"/>
      <w:bookmarkEnd w:id="1191"/>
      <w:r w:rsidRPr="00A440F4">
        <w:rPr>
          <w:b/>
          <w:bCs/>
          <w:color w:val="1E7880" w:themeColor="accent2" w:themeShade="BF"/>
          <w:sz w:val="28"/>
          <w:szCs w:val="28"/>
        </w:rPr>
        <w:t xml:space="preserve">  </w:t>
      </w:r>
    </w:p>
    <w:p w14:paraId="2B90D369" w14:textId="77777777" w:rsidR="00C14A57" w:rsidRPr="001827F2" w:rsidRDefault="00C14A57" w:rsidP="00F70C81">
      <w:r w:rsidRPr="001827F2">
        <w:t xml:space="preserve">Provide information about screening ahead of time so people know what to expect. Let people know the purpose and limitations of screening, reassure them of confidentiality, how the information will be used, how long it might take, and that you will discuss the results and next steps with them afterwards. </w:t>
      </w:r>
    </w:p>
    <w:p w14:paraId="6E0B2F0B" w14:textId="77777777" w:rsidR="00C14A57" w:rsidRPr="001827F2" w:rsidRDefault="00C14A57" w:rsidP="00F70C81">
      <w:r w:rsidRPr="001827F2">
        <w:t xml:space="preserve">Before screening, check if the tangata whai ora: </w:t>
      </w:r>
    </w:p>
    <w:p w14:paraId="3E18B946" w14:textId="77777777" w:rsidR="00C14A57" w:rsidRPr="001827F2" w:rsidRDefault="00C14A57" w:rsidP="00F70C81">
      <w:pPr>
        <w:pStyle w:val="Bulletpoint"/>
      </w:pPr>
      <w:r w:rsidRPr="001827F2">
        <w:t>understands why they are being asked the screening questions, and that they’ve given their consent</w:t>
      </w:r>
      <w:r w:rsidRPr="001827F2">
        <w:rPr>
          <w:vertAlign w:val="superscript"/>
        </w:rPr>
        <w:fldChar w:fldCharType="begin"/>
      </w:r>
      <w:r w:rsidRPr="001827F2">
        <w:rPr>
          <w:vertAlign w:val="superscript"/>
        </w:rPr>
        <w:instrText xml:space="preserve"> ADDIN ZOTERO_ITEM CSL_CITATION {"citationID":"aau9s3kmgi","properties":{"formattedCitation":"\\super 140\\nosupersub{}","plainCitation":"140","noteIndex":0},"citationItems":[{"id":13912,"uris":["http://zotero.org/groups/4745233/items/3C2IB5YZ"],"itemData":{"id":13912,"type":"document","title":"Complex needs capable: A practice resource for drug and alcohol services","URL":"https://nada.org.au/wp-content/uploads/2021/01/complex_needs_capable_web_120813.pdf","author":[{"literal":"NADA"}],"accessed":{"date-parts":[["2023",6,26]]},"issued":{"date-parts":[["2013"]]}}}],"schema":"https://github.com/citation-style-language/schema/raw/master/csl-citation.json"} </w:instrText>
      </w:r>
      <w:r w:rsidRPr="001827F2">
        <w:rPr>
          <w:vertAlign w:val="superscript"/>
        </w:rPr>
        <w:fldChar w:fldCharType="separate"/>
      </w:r>
      <w:r w:rsidRPr="001827F2">
        <w:rPr>
          <w:vertAlign w:val="superscript"/>
        </w:rPr>
        <w:t>140</w:t>
      </w:r>
      <w:r w:rsidRPr="001827F2">
        <w:rPr>
          <w:vertAlign w:val="superscript"/>
        </w:rPr>
        <w:fldChar w:fldCharType="end"/>
      </w:r>
    </w:p>
    <w:p w14:paraId="55888B12" w14:textId="77777777" w:rsidR="00C14A57" w:rsidRPr="001827F2" w:rsidRDefault="00C14A57" w:rsidP="00F70C81">
      <w:pPr>
        <w:pStyle w:val="Bulletpoint"/>
      </w:pPr>
      <w:r w:rsidRPr="001827F2">
        <w:t>has any basic needs that can affect results. For example, check if they are feeling well physically (such as not feeling hungry or thirsty, needing a toilet break, or feeling too hot or cold), or if they need glasses or hearing aids</w:t>
      </w:r>
    </w:p>
    <w:p w14:paraId="69AE01CC" w14:textId="6C3D7118" w:rsidR="00C14A57" w:rsidRPr="00DB72C6" w:rsidRDefault="00C14A57" w:rsidP="00DB72C6">
      <w:pPr>
        <w:pStyle w:val="Bulletpoint"/>
      </w:pPr>
      <w:r w:rsidRPr="001827F2">
        <w:t xml:space="preserve">prefers a language other than English. Check if the screening tool is available in their language of choice. Direct word-for-word translation of questions from English tools is </w:t>
      </w:r>
      <w:r w:rsidRPr="001827F2">
        <w:lastRenderedPageBreak/>
        <w:t>not recommended due to differences in cultural context, word and sentence structure.</w:t>
      </w:r>
      <w:r w:rsidRPr="001827F2">
        <w:fldChar w:fldCharType="begin"/>
      </w:r>
      <w:r w:rsidRPr="001827F2">
        <w:instrText xml:space="preserve"> ADDIN ZOTERO_ITEM CSL_CITATION {"citationID":"a15tit0etpe","properties":{"formattedCitation":"\\super 141,142\\nosupersub{}","plainCitation":"141,142","noteIndex":0},"citationItems":[{"id":14042,"uris":["http://zotero.org/groups/4745233/items/W45VI59S"],"itemData":{"id":14042,"type":"article-journal","abstract":"Background\nEthnic minorities in countries such as the UK are at increased risk of dementia or minor cognitive impairment. Despite this, cognitive tests used to provide a timely diagnosis for these conditions demonstrate performance bias in these groups, because of cultural context. They require adaptation that accounts for language and culture beyond translation. The Montreal Cognitive Assessment (MoCA) is one such test that has been adapted for multiple cultures.\n\nAims\nWe followed previously used methodology for culturally adapting cognitive tests to develop guidelines for translating and culturally adapting the MoCA.\n\nMethod\nWe conducted a scoping review of publications on different versions of the MoCA. We extracted their translation and cultural adaptation procedures. We also distributed questionnaires to adaptors of the MoCA for data on the procedures they undertook to culturally adapt their respective versions.\n\nResults\nOur scoping review found 52 publications and highlighted seven steps for translating the MoCA. We received 17 responses from adaptors on their cultural adaptation procedures, with rationale justifying them. We combined data from the scoping review and the adaptors’ feedback to form the guidelines that state how each question of the MoCA has been previously adapted for different cultural contexts and the reasoning behind it.\n\nConclusions\nThis paper details our development of cultural adaptation guidelines for the MoCA that future adaptors can use to adapt the MoCA for their own languages or cultures. It also replicates methods previously used and demonstrates how these methods can be used for the cultural adaptation of other cognitive tests.","container-title":"BJPsych Open","DOI":"10.1192/bjo.2021.1067","ISSN":"2056-4724","issue":"1","journalAbbreviation":"BJPsych Open","note":"PMID: 34991771\nPMCID: PMC8811786","page":"e21","source":"PubMed Central","title":"Developing guidelines for the translation and cultural adaptation of the Montreal Cognitive Assessment: scoping review and qualitative synthesis","title-short":"Developing guidelines for the translation and cultural adaptation of the Montreal Cognitive Assessment","volume":"8","author":[{"family":"Khan","given":"Ghazn"},{"family":"Mirza","given":"Nadine"},{"family":"Waheed","given":"Waquas"}],"issued":{"date-parts":[["2022",1,7]]}}},{"id":14041,"uris":["http://zotero.org/groups/4745233/items/LBMHFKZS"],"itemData":{"id":14041,"type":"article-journal","abstract":"Aims. This paper is a report of a study designed to: (i) describe issues and techniques of translation of standard measures for use in international research; (ii) identify a user-friendly and valid translation method when researchers have limited resources during translation procedure; and (iii) discuss translation issues using data from a pilot study as an example. Background. The process of translation is an important part of cross-cultural studies. Cross-cultural researchers are often confronted by the need to translate scales from one language to another and to do this with limited resources. Method. The lessons learned from our experience in a pilot study are presented to underline the importance of using appropriate translation procedures. The issues of the back-translation method are discussed to identify strategies to ensure success when translating measures. Findings. A combined technique is an appropriate method to maintain the content equivalences between the original and translated instruments in international research. There are several possible combinations of translation techniques. However, there is no gold standard of translation techniques because the research environment (e.g. accessibility and availability of bilingual people) and the research questions are different. Conclusions. It is important to use appropriate translation procedures and to employ a combined translation technique based on the research environment and questions.","container-title":"Journal of Advanced Nursing","DOI":"10.1111/j.1365-2648.2007.04242.x","ISSN":"1365-2648","issue":"4","language":"en","note":"_eprint: https://onlinelibrary.wiley.com/doi/pdf/10.1111/j.1365-2648.2007.04242.x","page":"386-395","source":"Wiley Online Library","title":"Translation of scales in cross-cultural research: issues and techniques","title-short":"Translation of scales in cross-cultural research","volume":"58","author":[{"family":"Cha","given":"Eun-Seok"},{"family":"Kim","given":"Kevin H."},{"family":"Erlen","given":"Judith A."}],"issued":{"date-parts":[["2007"]]}}}],"schema":"https://github.com/citation-style-language/schema/raw/master/csl-citation.json"} </w:instrText>
      </w:r>
      <w:r w:rsidRPr="001827F2">
        <w:fldChar w:fldCharType="separate"/>
      </w:r>
      <w:r w:rsidRPr="001827F2">
        <w:rPr>
          <w:rFonts w:cs="Arial"/>
          <w:vertAlign w:val="superscript"/>
        </w:rPr>
        <w:t>141,142</w:t>
      </w:r>
      <w:r w:rsidRPr="001827F2">
        <w:fldChar w:fldCharType="end"/>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Sharing screening results with people and whānau"/>
        <w:tblDescription w:val="Share results back in a strengths based manner, and offer the information in different forms. Ask people to reflect back their understanding. Discuss other referrals if needed"/>
      </w:tblPr>
      <w:tblGrid>
        <w:gridCol w:w="9010"/>
      </w:tblGrid>
      <w:tr w:rsidR="00C14A57" w:rsidRPr="001827F2" w14:paraId="50DA19F6" w14:textId="77777777" w:rsidTr="00234887">
        <w:tc>
          <w:tcPr>
            <w:tcW w:w="9010" w:type="dxa"/>
            <w:shd w:val="clear" w:color="auto" w:fill="F2F2F2" w:themeFill="background1" w:themeFillShade="F2"/>
          </w:tcPr>
          <w:p w14:paraId="5387DDC7" w14:textId="77777777" w:rsidR="00C14A57" w:rsidRPr="00F70C81" w:rsidRDefault="00C14A57" w:rsidP="00F70C81">
            <w:pPr>
              <w:rPr>
                <w:b/>
                <w:bCs/>
              </w:rPr>
            </w:pPr>
            <w:r w:rsidRPr="00F70C81">
              <w:rPr>
                <w:b/>
                <w:bCs/>
              </w:rPr>
              <w:t xml:space="preserve">Sharing results back with tāngata whai ora and whānau </w:t>
            </w:r>
          </w:p>
          <w:p w14:paraId="1E540000" w14:textId="77777777" w:rsidR="00C14A57" w:rsidRPr="001827F2" w:rsidRDefault="00C14A57" w:rsidP="00F70C81">
            <w:r w:rsidRPr="001827F2">
              <w:t>After screening, share the results back with tāngata whai ora and whānau in a strengths-based and mana-enhancing manner.</w:t>
            </w:r>
          </w:p>
          <w:p w14:paraId="1790B846" w14:textId="77777777" w:rsidR="00C14A57" w:rsidRPr="001827F2" w:rsidRDefault="00C14A57" w:rsidP="00F70C81">
            <w:r w:rsidRPr="001827F2">
              <w:t xml:space="preserve">Offer tāngata whai ora information and results of screening in both writing (to take away with them) and an in-person hui. </w:t>
            </w:r>
          </w:p>
          <w:p w14:paraId="25FA18B8" w14:textId="77777777" w:rsidR="00C14A57" w:rsidRPr="001827F2" w:rsidRDefault="00C14A57" w:rsidP="00F70C81">
            <w:r w:rsidRPr="001827F2">
              <w:t xml:space="preserve">Ask tāngata whai ora to reflect back their understanding of the screening results, rather than simply asking them if they understand. In many cultures people may simply nod to show respect but may not necessarily understand the information. </w:t>
            </w:r>
          </w:p>
          <w:p w14:paraId="069302AB" w14:textId="77777777" w:rsidR="00C14A57" w:rsidRPr="001827F2" w:rsidRDefault="00C14A57" w:rsidP="00F70C81">
            <w:r w:rsidRPr="001827F2">
              <w:t>If needed, discuss other referrals and their purpose.</w:t>
            </w:r>
          </w:p>
        </w:tc>
      </w:tr>
    </w:tbl>
    <w:p w14:paraId="109DBB9D" w14:textId="77777777" w:rsidR="001710B1" w:rsidRDefault="001710B1" w:rsidP="00C14A57">
      <w:pPr>
        <w:rPr>
          <w:b/>
          <w:bCs/>
          <w:color w:val="00C7C7" w:themeColor="accent5" w:themeTint="BF"/>
        </w:rPr>
      </w:pPr>
      <w:bookmarkStart w:id="1192" w:name="_Toc146624834"/>
      <w:bookmarkStart w:id="1193" w:name="_Toc146714195"/>
      <w:bookmarkStart w:id="1194" w:name="_Toc178780126"/>
      <w:bookmarkStart w:id="1195" w:name="_Toc178838892"/>
      <w:bookmarkStart w:id="1196" w:name="_Toc178839079"/>
      <w:bookmarkStart w:id="1197" w:name="_Toc178839200"/>
      <w:bookmarkStart w:id="1198" w:name="_Toc178839428"/>
      <w:bookmarkStart w:id="1199" w:name="_Toc178841638"/>
      <w:bookmarkStart w:id="1200" w:name="_Toc179198198"/>
      <w:bookmarkStart w:id="1201" w:name="_Toc179198446"/>
      <w:bookmarkStart w:id="1202" w:name="_Toc179198554"/>
      <w:bookmarkStart w:id="1203" w:name="_Toc179198661"/>
      <w:bookmarkStart w:id="1204" w:name="_Toc179446105"/>
    </w:p>
    <w:p w14:paraId="5A22C2EA" w14:textId="5C785D3C" w:rsidR="00C14A57" w:rsidRPr="00A440F4" w:rsidRDefault="00C14A57" w:rsidP="00C14A57">
      <w:pPr>
        <w:rPr>
          <w:b/>
          <w:bCs/>
          <w:color w:val="1E7880" w:themeColor="accent2" w:themeShade="BF"/>
          <w:sz w:val="28"/>
          <w:szCs w:val="28"/>
        </w:rPr>
      </w:pPr>
      <w:r w:rsidRPr="00A440F4">
        <w:rPr>
          <w:b/>
          <w:bCs/>
          <w:color w:val="1E7880" w:themeColor="accent2" w:themeShade="BF"/>
          <w:sz w:val="28"/>
          <w:szCs w:val="28"/>
        </w:rPr>
        <w:t>What tools to use: Choose from the MoCA, BEAT, ACE-III-NZ, and mini-ACE-NZ when screening for cognitive impairment</w:t>
      </w:r>
      <w:bookmarkEnd w:id="1192"/>
      <w:bookmarkEnd w:id="1193"/>
      <w:bookmarkEnd w:id="1194"/>
      <w:bookmarkEnd w:id="1195"/>
      <w:bookmarkEnd w:id="1196"/>
      <w:bookmarkEnd w:id="1197"/>
      <w:bookmarkEnd w:id="1198"/>
      <w:bookmarkEnd w:id="1199"/>
      <w:bookmarkEnd w:id="1200"/>
      <w:bookmarkEnd w:id="1201"/>
      <w:bookmarkEnd w:id="1202"/>
      <w:bookmarkEnd w:id="1203"/>
      <w:bookmarkEnd w:id="120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Purpose of screening tools"/>
        <w:tblDescription w:val="Box explaining that screening tools cannot diagnose cognitive impairment but can only indicate if it may be present. This may include identifying some people who do not have cognitive impairment"/>
      </w:tblPr>
      <w:tblGrid>
        <w:gridCol w:w="9010"/>
      </w:tblGrid>
      <w:tr w:rsidR="00C14A57" w:rsidRPr="00096715" w14:paraId="7B1CC77E" w14:textId="77777777" w:rsidTr="00234887">
        <w:tc>
          <w:tcPr>
            <w:tcW w:w="9010" w:type="dxa"/>
            <w:shd w:val="clear" w:color="auto" w:fill="F2F2F2" w:themeFill="background1" w:themeFillShade="F2"/>
          </w:tcPr>
          <w:p w14:paraId="029C6EF7" w14:textId="77777777" w:rsidR="00C14A57" w:rsidRPr="00F70C81" w:rsidRDefault="00C14A57" w:rsidP="00234887">
            <w:pPr>
              <w:rPr>
                <w:rFonts w:cstheme="minorHAnsi"/>
                <w:b/>
                <w:bCs/>
                <w:szCs w:val="24"/>
              </w:rPr>
            </w:pPr>
            <w:r w:rsidRPr="00F70C81">
              <w:rPr>
                <w:rFonts w:cstheme="minorHAnsi"/>
                <w:b/>
                <w:bCs/>
                <w:szCs w:val="24"/>
              </w:rPr>
              <w:t>Purpose of cognitive screening tools</w:t>
            </w:r>
          </w:p>
          <w:p w14:paraId="4659B90B" w14:textId="77777777" w:rsidR="00C14A57" w:rsidRPr="00F70C81" w:rsidRDefault="00C14A57" w:rsidP="00234887">
            <w:pPr>
              <w:rPr>
                <w:rFonts w:cstheme="minorHAnsi"/>
                <w:szCs w:val="24"/>
              </w:rPr>
            </w:pPr>
            <w:r w:rsidRPr="00F70C81">
              <w:rPr>
                <w:rFonts w:cstheme="minorHAnsi"/>
                <w:szCs w:val="24"/>
              </w:rPr>
              <w:t>While screening tools are important, they are not able to diagnose cognitive impairment. Screening tools are designed to identify people with possible cognitive impairment. This may include identifying some people without cognitive impairment. Therefore, if available and required, neuropsychological assessments are important to accurately diagnose cognitive impairment and/or clarify factors that may be impacting on cognition.</w:t>
            </w:r>
          </w:p>
        </w:tc>
      </w:tr>
    </w:tbl>
    <w:p w14:paraId="1A1E1E38" w14:textId="77777777" w:rsidR="00C14A57" w:rsidRPr="00F70C81" w:rsidRDefault="00C14A57" w:rsidP="00122447">
      <w:pPr>
        <w:pStyle w:val="IntenseQuote"/>
        <w:ind w:left="0"/>
        <w:rPr>
          <w:rFonts w:asciiTheme="minorHAnsi" w:hAnsiTheme="minorHAnsi" w:cstheme="minorHAnsi"/>
          <w:color w:val="000000" w:themeColor="text1"/>
          <w:sz w:val="24"/>
          <w:szCs w:val="24"/>
        </w:rPr>
      </w:pPr>
      <w:r w:rsidRPr="00F70C81">
        <w:rPr>
          <w:rFonts w:asciiTheme="minorHAnsi" w:hAnsiTheme="minorHAnsi" w:cstheme="minorHAnsi"/>
          <w:color w:val="000000" w:themeColor="text1"/>
          <w:sz w:val="24"/>
          <w:szCs w:val="24"/>
        </w:rPr>
        <w:t>Screening tools are useful but should be interpreted in context amongst a range of other information. Cautious interpretation is especially important when using Western developed tools for Māori, Pasifika, and other diverse cultures, and for people with an intellectual or learning disability. Score differences in diverse cultures are driven by language (English as a second language) as well as the quality and length of formal schooling, and may also be associated with a lack of familiarity with the screening situation or materials.</w:t>
      </w:r>
      <w:r w:rsidRPr="00F70C81">
        <w:rPr>
          <w:rFonts w:asciiTheme="minorHAnsi" w:hAnsiTheme="minorHAnsi" w:cstheme="minorHAnsi"/>
          <w:color w:val="000000" w:themeColor="text1"/>
          <w:sz w:val="24"/>
          <w:szCs w:val="24"/>
        </w:rPr>
        <w:fldChar w:fldCharType="begin"/>
      </w:r>
      <w:r w:rsidRPr="00F70C81">
        <w:rPr>
          <w:rFonts w:asciiTheme="minorHAnsi" w:hAnsiTheme="minorHAnsi" w:cstheme="minorHAnsi"/>
          <w:color w:val="000000" w:themeColor="text1"/>
          <w:sz w:val="24"/>
          <w:szCs w:val="24"/>
        </w:rPr>
        <w:instrText xml:space="preserve"> ADDIN ZOTERO_ITEM CSL_CITATION {"citationID":"a8upu7tkpg","properties":{"formattedCitation":"\\super 141,143\\nosupersub{}","plainCitation":"141,143","noteIndex":0},"citationItems":[{"id":13695,"uris":["http://zotero.org/groups/4745233/items/WRGP7MF7"],"itemData":{"id":13695,"type":"article-journal","container-title":"Alzheimer's &amp; Dementia: Translational Research &amp; Clinical Interventions","DOI":"10.1016/j.trci.2019.08.006","ISSN":"2352-8737, 2352-8737","issue":"1","journalAbbreviation":"Alzheimer's &amp;amp; Dementia: Translational Research &amp;amp; Clinical Interventions","language":"en","page":"542-552","source":"DOI.org (Crossref)","title":"Diagnostic accuracy of a global cognitive screen for Māori and non</w:instrText>
      </w:r>
      <w:r w:rsidRPr="00F70C81">
        <w:rPr>
          <w:rFonts w:ascii="Cambria Math" w:hAnsi="Cambria Math" w:cs="Cambria Math"/>
          <w:color w:val="000000" w:themeColor="text1"/>
          <w:sz w:val="24"/>
          <w:szCs w:val="24"/>
        </w:rPr>
        <w:instrText>‐</w:instrText>
      </w:r>
      <w:r w:rsidRPr="00F70C81">
        <w:rPr>
          <w:rFonts w:asciiTheme="minorHAnsi" w:hAnsiTheme="minorHAnsi" w:cstheme="minorHAnsi"/>
          <w:color w:val="000000" w:themeColor="text1"/>
          <w:sz w:val="24"/>
          <w:szCs w:val="24"/>
        </w:rPr>
        <w:instrText xml:space="preserve">Māori octogenarians","volume":"5","author":[{"family":"Zawaly","given":"Kristina"},{"family":"Moyes","given":"Simon A."},{"family":"Wood","given":"Phil C."},{"family":"Cheung","given":"Gary"},{"family":"Rolleston","given":"Anna"},{"family":"Buetow","given":"Stephen"},{"family":"Tippett","given":"Lynette"},{"family":"Kerse","given":"Ngaire"}],"issued":{"date-parts":[["2019",1]]}}},{"id":14042,"uris":["http://zotero.org/groups/4745233/items/W45VI59S"],"itemData":{"id":14042,"type":"article-journal","abstract":"Background\nEthnic minorities in countries such as the UK are at increased risk of dementia or minor cognitive impairment. Despite this, cognitive tests used to provide a timely diagnosis for these conditions demonstrate performance bias in these groups, because of cultural context. They require adaptation that accounts for language and culture beyond translation. The Montreal Cognitive Assessment (MoCA) is one such test that has been adapted for multiple cultures.\n\nAims\nWe followed previously used methodology for culturally adapting cognitive tests to develop guidelines for translating and culturally adapting the MoCA.\n\nMethod\nWe conducted a scoping review of publications on different versions of the MoCA. We extracted their translation and cultural adaptation procedures. We also distributed questionnaires to adaptors of the MoCA for data on the procedures they undertook to culturally adapt their respective versions.\n\nResults\nOur scoping review found 52 publications and highlighted seven steps for translating the MoCA. We received 17 responses from adaptors on their cultural adaptation procedures, with rationale justifying them. We combined data from the scoping review and the adaptors’ feedback to form the guidelines that state how each question of the MoCA has been previously adapted for different cultural contexts and the reasoning behind it.\n\nConclusions\nThis paper details our development of cultural adaptation guidelines for the MoCA that future adaptors can use to adapt the MoCA for their own languages or cultures. It also replicates methods previously used and demonstrates how these methods can be used for the cultural adaptation of other cognitive tests.","container-title":"BJPsych Open","DOI":"10.1192/bjo.2021.1067","ISSN":"2056-4724","issue":"1","journalAbbreviation":"BJPsych Open","note":"PMID: 34991771\nPMCID: PMC8811786","page":"e21","source":"PubMed Central","title":"Developing guidelines for the translation and cultural adaptation of the Montreal Cognitive Assessment: scoping review and qualitative synthesis","title-short":"Developing guidelines for the translation and cultural adaptation of the Montreal Cognitive Assessment","volume":"8","author":[{"family":"Khan","given":"Ghazn"},{"family":"Mirza","given":"Nadine"},{"family":"Waheed","given":"Waquas"}],"issued":{"date-parts":[["2022",1,7]]}}}],"schema":"https://github.com/citation-style-language/schema/raw/master/csl-citation.json"} </w:instrText>
      </w:r>
      <w:r w:rsidRPr="00F70C81">
        <w:rPr>
          <w:rFonts w:asciiTheme="minorHAnsi" w:hAnsiTheme="minorHAnsi" w:cstheme="minorHAnsi"/>
          <w:color w:val="000000" w:themeColor="text1"/>
          <w:sz w:val="24"/>
          <w:szCs w:val="24"/>
        </w:rPr>
        <w:fldChar w:fldCharType="separate"/>
      </w:r>
      <w:r w:rsidRPr="00F70C81">
        <w:rPr>
          <w:rFonts w:asciiTheme="minorHAnsi" w:hAnsiTheme="minorHAnsi" w:cstheme="minorHAnsi"/>
          <w:color w:val="000000" w:themeColor="text1"/>
          <w:sz w:val="24"/>
          <w:szCs w:val="24"/>
          <w:vertAlign w:val="superscript"/>
        </w:rPr>
        <w:t>141,143</w:t>
      </w:r>
      <w:r w:rsidRPr="00F70C81">
        <w:rPr>
          <w:rFonts w:asciiTheme="minorHAnsi" w:hAnsiTheme="minorHAnsi" w:cstheme="minorHAnsi"/>
          <w:color w:val="000000" w:themeColor="text1"/>
          <w:sz w:val="24"/>
          <w:szCs w:val="24"/>
        </w:rPr>
        <w:fldChar w:fldCharType="end"/>
      </w:r>
      <w:r w:rsidRPr="00F70C81">
        <w:rPr>
          <w:rFonts w:asciiTheme="minorHAnsi" w:hAnsiTheme="minorHAnsi" w:cstheme="minorHAnsi"/>
          <w:color w:val="000000" w:themeColor="text1"/>
          <w:sz w:val="24"/>
          <w:szCs w:val="24"/>
        </w:rPr>
        <w:t xml:space="preserve"> </w:t>
      </w:r>
    </w:p>
    <w:p w14:paraId="1079FE1F" w14:textId="77777777" w:rsidR="00C14A57" w:rsidRPr="00096715" w:rsidRDefault="00C14A57" w:rsidP="00F70C81">
      <w:pPr>
        <w:pStyle w:val="Bulletpoint"/>
      </w:pPr>
      <w:r w:rsidRPr="00096715">
        <w:lastRenderedPageBreak/>
        <w:t>Introduce screening tools in a non-threatening manner that minimises anxiety for the tangata whai ora.</w:t>
      </w:r>
      <w:r w:rsidRPr="00096715">
        <w:rPr>
          <w:vertAlign w:val="superscript"/>
        </w:rPr>
        <w:fldChar w:fldCharType="begin"/>
      </w:r>
      <w:r w:rsidRPr="00096715">
        <w:rPr>
          <w:vertAlign w:val="superscript"/>
        </w:rPr>
        <w:instrText xml:space="preserve"> ADDIN ZOTERO_ITEM CSL_CITATION {"citationID":"ajsj5s4iet","properties":{"formattedCitation":"\\super 144\\nosupersub{}","plainCitation":"144","noteIndex":0},"citationItems":[{"id":7260,"uris":["http://zotero.org/groups/4325153/items/B4SR252U"],"itemData":{"id":7260,"type":"article-journal","language":"en","page":"18","source":"Zotero","title":"Brief executive function assessment tool (BEAT): Administration and scoring guide","issued":{"date-parts":[["2021"]]}}}],"schema":"https://github.com/citation-style-language/schema/raw/master/csl-citation.json"} </w:instrText>
      </w:r>
      <w:r w:rsidRPr="00096715">
        <w:rPr>
          <w:vertAlign w:val="superscript"/>
        </w:rPr>
        <w:fldChar w:fldCharType="separate"/>
      </w:r>
      <w:r w:rsidRPr="00096715">
        <w:rPr>
          <w:vertAlign w:val="superscript"/>
        </w:rPr>
        <w:t>144</w:t>
      </w:r>
      <w:r w:rsidRPr="00096715">
        <w:rPr>
          <w:vertAlign w:val="superscript"/>
        </w:rPr>
        <w:fldChar w:fldCharType="end"/>
      </w:r>
      <w:r w:rsidRPr="00096715">
        <w:rPr>
          <w:vertAlign w:val="superscript"/>
        </w:rPr>
        <w:t xml:space="preserve"> </w:t>
      </w:r>
      <w:r w:rsidRPr="00096715">
        <w:t xml:space="preserve">Explain that it is normal to find the questions challenging or difficult, and the main thing is to try their best. </w:t>
      </w:r>
    </w:p>
    <w:p w14:paraId="3316B272" w14:textId="77777777" w:rsidR="00C14A57" w:rsidRPr="00096715" w:rsidRDefault="00C14A57" w:rsidP="00F70C81">
      <w:pPr>
        <w:pStyle w:val="Bulletpoint"/>
      </w:pPr>
      <w:r w:rsidRPr="00096715">
        <w:t xml:space="preserve">Have pictures and visual representations handy to aid in the explanation of screening questions, if these are not already included with the screening tool. Give tāngata whai ora the options of responding on a written form, or verbally to screening questions. If written, some tāngata whai ora may require verbal clarification of questions. </w:t>
      </w:r>
    </w:p>
    <w:p w14:paraId="08C88853" w14:textId="77777777" w:rsidR="00C14A57" w:rsidRPr="00096715" w:rsidRDefault="00C14A57" w:rsidP="00F70C81">
      <w:pPr>
        <w:pStyle w:val="Bulletpoint"/>
      </w:pPr>
      <w:r w:rsidRPr="00096715">
        <w:t>Consider the wide range of factors that can affect screening results. Aside from English comprehension, schooling, and substance use, these could include: suitability of the screening tool for the tangata whai ora (for example, their age), medications, medical conditions, fatigue, fluctuations in mental health challenges and wellbeing, literacy, stress and screening anxiety, and low motivation or shyness.</w:t>
      </w:r>
      <w:r w:rsidRPr="00096715">
        <w:rPr>
          <w:vertAlign w:val="superscript"/>
        </w:rPr>
        <w:fldChar w:fldCharType="begin"/>
      </w:r>
      <w:r w:rsidRPr="00096715">
        <w:rPr>
          <w:vertAlign w:val="superscript"/>
        </w:rPr>
        <w:instrText xml:space="preserve"> ADDIN ZOTERO_ITEM CSL_CITATION {"citationID":"OsYnTssz","properties":{"formattedCitation":"\\super 3\\nosupersub{}","plainCitation":"3","noteIndex":0},"citationItems":[{"id":14007,"uris":["http://zotero.org/groups/4745233/items/U3GGYCKU"],"itemData":{"id":14007,"type":"report","event-place":"Richmond, Victoria","language":"en","publisher":"Turning Point","publisher-place":"Richmond, Victoria","source":"Zotero","title":"Managing Cognitive Impairment in AOD Treatment: Practice Guidelines for Healthcare Professionals","URL":"https://www.turningpoint.org.au/treatment/clinicians/Managing-Cognitive-Impairment-in-AOD-Treatment-Guidelines","author":[{"family":"Manning","given":"Victoria"},{"family":"Gooden","given":"James"},{"family":"Cox","given":"Catherine"},{"family":"Whelan","given":"Danielle"},{"family":"Miroz","given":"Katherine"}],"issued":{"date-parts":[["2021"]]}}}],"schema":"https://github.com/citation-style-language/schema/raw/master/csl-citation.json"} </w:instrText>
      </w:r>
      <w:r w:rsidRPr="00096715">
        <w:rPr>
          <w:vertAlign w:val="superscript"/>
        </w:rPr>
        <w:fldChar w:fldCharType="separate"/>
      </w:r>
      <w:r w:rsidRPr="00096715">
        <w:rPr>
          <w:vertAlign w:val="superscript"/>
        </w:rPr>
        <w:t>3</w:t>
      </w:r>
      <w:r w:rsidRPr="00096715">
        <w:rPr>
          <w:vertAlign w:val="superscript"/>
        </w:rPr>
        <w:fldChar w:fldCharType="end"/>
      </w:r>
    </w:p>
    <w:p w14:paraId="17190D62" w14:textId="77777777" w:rsidR="007F1966" w:rsidRDefault="00C14A57" w:rsidP="00F70C81">
      <w:pPr>
        <w:pStyle w:val="Bulletpoint"/>
      </w:pPr>
      <w:r w:rsidRPr="00096715">
        <w:t xml:space="preserve">Use a brief screening tool. </w:t>
      </w:r>
      <w:r w:rsidRPr="00096715">
        <w:fldChar w:fldCharType="begin"/>
      </w:r>
      <w:r w:rsidRPr="00096715">
        <w:instrText xml:space="preserve"> REF _Ref146120079 \h  \* MERGEFORMAT </w:instrText>
      </w:r>
      <w:r w:rsidRPr="00096715">
        <w:fldChar w:fldCharType="separate"/>
      </w:r>
    </w:p>
    <w:p w14:paraId="32884960" w14:textId="2B5C2CDF" w:rsidR="005E3980" w:rsidRDefault="00C14A57" w:rsidP="00F70C81">
      <w:pPr>
        <w:pStyle w:val="Bulletpoint"/>
      </w:pPr>
      <w:r w:rsidRPr="00096715">
        <w:fldChar w:fldCharType="end"/>
      </w:r>
      <w:r w:rsidRPr="00096715">
        <w:t xml:space="preserve"> summarises options that workers can use. All the tools below are administered tools, which means they should be carried out by a trained worker. Services should use the tool that best suits their resources and what is most appropriate for the tangata whai ora. Tools that tāngata whai ora can fill out themselves (self-report) are covered in the next section. </w:t>
      </w:r>
      <w:bookmarkStart w:id="1205" w:name="_Ref146120079"/>
      <w:bookmarkStart w:id="1206" w:name="_Toc146624905"/>
    </w:p>
    <w:bookmarkEnd w:id="1205"/>
    <w:bookmarkEnd w:id="1206"/>
    <w:p w14:paraId="0848B9A0" w14:textId="303F88F4" w:rsidR="005E3980" w:rsidRPr="005E3980" w:rsidRDefault="005E3980" w:rsidP="00AC1BE1">
      <w:pPr>
        <w:pStyle w:val="List"/>
        <w:spacing w:after="120"/>
        <w:ind w:left="0" w:firstLine="0"/>
        <w:contextualSpacing w:val="0"/>
        <w:rPr>
          <w:rFonts w:cstheme="minorHAnsi"/>
          <w:sz w:val="22"/>
        </w:rPr>
      </w:pPr>
    </w:p>
    <w:p w14:paraId="1995E6A9" w14:textId="187AE290" w:rsidR="00AC1BE1" w:rsidRPr="00B14FAC" w:rsidRDefault="00AC1BE1" w:rsidP="000D7DA2">
      <w:pPr>
        <w:pStyle w:val="Figure"/>
      </w:pPr>
      <w:bookmarkStart w:id="1207" w:name="_Toc179544008"/>
      <w:r w:rsidRPr="00B14FAC">
        <w:t xml:space="preserve">Table </w:t>
      </w:r>
      <w:r w:rsidRPr="00B14FAC">
        <w:fldChar w:fldCharType="begin"/>
      </w:r>
      <w:r w:rsidRPr="00B14FAC">
        <w:instrText xml:space="preserve"> SEQ Table \* ARABIC </w:instrText>
      </w:r>
      <w:r w:rsidRPr="00B14FAC">
        <w:fldChar w:fldCharType="separate"/>
      </w:r>
      <w:r w:rsidR="007F1966">
        <w:rPr>
          <w:noProof/>
        </w:rPr>
        <w:t>6</w:t>
      </w:r>
      <w:r w:rsidRPr="00B14FAC">
        <w:fldChar w:fldCharType="end"/>
      </w:r>
      <w:r w:rsidRPr="00B14FAC">
        <w:t>. Screening tool options</w:t>
      </w:r>
      <w:bookmarkEnd w:id="1207"/>
    </w:p>
    <w:tbl>
      <w:tblPr>
        <w:tblStyle w:val="GridTable2"/>
        <w:tblW w:w="0" w:type="auto"/>
        <w:tblLook w:val="0480" w:firstRow="0" w:lastRow="0" w:firstColumn="1" w:lastColumn="0" w:noHBand="0" w:noVBand="1"/>
        <w:tblCaption w:val="Cognitive screening tool options"/>
        <w:tblDescription w:val="Four options for screening tools by AOD workers. &#10;First is MoCA, which takes 10 to 15 minutes to administer. It requires certification (cost) and training and specialist expertise for interpretation. It was not developed for AOD settings, though it has since been validation. &#10;Second is the mini-ACE-NZ, which takes 5 minutes and is free. It can be administered by health professionals. It is the recommended screening tool for primary care in Aotearoa New Zealand. It was not developed for AOD settings and combined with its brief nature means executive function insight is limited. &#10;Third is the BEAT which is free and takes 20 minutes. Any worker can administer but some training or supervision is recommended for interpreting the information. It was developed specifically for AOD settings. &#10;Fourth is the ACE-III-NZ which is free and can be administered and interpreted by any role who has undergone the online training. It was not developed in AOD settings but has been used in Aotearoa New Zealand among older people. It takes 20 minutes. &#10;"/>
      </w:tblPr>
      <w:tblGrid>
        <w:gridCol w:w="9498"/>
      </w:tblGrid>
      <w:tr w:rsidR="00AC1BE1" w:rsidRPr="00096715" w14:paraId="31C0168A" w14:textId="77777777" w:rsidTr="003175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shd w:val="clear" w:color="auto" w:fill="F2F2F2" w:themeFill="background1" w:themeFillShade="F2"/>
          </w:tcPr>
          <w:p w14:paraId="26BEA881" w14:textId="77777777" w:rsidR="00AC1BE1" w:rsidRPr="00F70C81" w:rsidRDefault="00AC1BE1" w:rsidP="00234887">
            <w:pPr>
              <w:rPr>
                <w:rFonts w:cstheme="minorHAnsi"/>
                <w:szCs w:val="24"/>
              </w:rPr>
            </w:pPr>
            <w:r w:rsidRPr="00F70C81">
              <w:rPr>
                <w:rFonts w:cstheme="minorHAnsi"/>
                <w:szCs w:val="24"/>
              </w:rPr>
              <w:t xml:space="preserve">MoCA - Montreal Cognitive Assessment  </w:t>
            </w:r>
          </w:p>
          <w:p w14:paraId="7B531ECC" w14:textId="77777777" w:rsidR="00AC1BE1" w:rsidRPr="00F70C81" w:rsidRDefault="00AC1BE1" w:rsidP="00F70C81">
            <w:pPr>
              <w:rPr>
                <w:b w:val="0"/>
                <w:bCs w:val="0"/>
              </w:rPr>
            </w:pPr>
            <w:r w:rsidRPr="00F70C81">
              <w:rPr>
                <w:b w:val="0"/>
                <w:bCs w:val="0"/>
              </w:rPr>
              <w:t xml:space="preserve">Certification and training are required. Any worker who is certified can administer, but interpretation requires health professionals with expertise in cognition (such as clinical psychologists). </w:t>
            </w:r>
          </w:p>
          <w:p w14:paraId="3ED17251" w14:textId="77777777" w:rsidR="00AC1BE1" w:rsidRPr="00F70C81" w:rsidRDefault="00AC1BE1" w:rsidP="00F70C81">
            <w:pPr>
              <w:rPr>
                <w:b w:val="0"/>
                <w:bCs w:val="0"/>
              </w:rPr>
            </w:pPr>
            <w:r w:rsidRPr="00F70C81">
              <w:rPr>
                <w:b w:val="0"/>
                <w:bCs w:val="0"/>
              </w:rPr>
              <w:t xml:space="preserve">There are three versions of the standard full MoCA (with different examples to minimise learning effects). It has 30 items. </w:t>
            </w:r>
          </w:p>
          <w:p w14:paraId="041B7129" w14:textId="77777777" w:rsidR="00AC1BE1" w:rsidRPr="00096715" w:rsidRDefault="00AC1BE1" w:rsidP="00F70C81">
            <w:r w:rsidRPr="00096715">
              <w:t>Pros</w:t>
            </w:r>
          </w:p>
          <w:p w14:paraId="2BD0DC4E" w14:textId="77777777" w:rsidR="00AC1BE1" w:rsidRPr="00F70C81" w:rsidRDefault="00AC1BE1" w:rsidP="00A440F4">
            <w:pPr>
              <w:pStyle w:val="Bulletpoint"/>
              <w:spacing w:before="60" w:after="60"/>
              <w:ind w:left="357" w:hanging="357"/>
              <w:rPr>
                <w:b w:val="0"/>
                <w:bCs w:val="0"/>
              </w:rPr>
            </w:pPr>
            <w:r w:rsidRPr="00F70C81">
              <w:rPr>
                <w:b w:val="0"/>
                <w:bCs w:val="0"/>
              </w:rPr>
              <w:t>Takes 10 to 15 minutes to administer.</w:t>
            </w:r>
          </w:p>
          <w:p w14:paraId="06A06ED6" w14:textId="77777777" w:rsidR="00AC1BE1" w:rsidRPr="00F70C81" w:rsidRDefault="00AC1BE1" w:rsidP="00A440F4">
            <w:pPr>
              <w:pStyle w:val="Bulletpoint"/>
              <w:spacing w:before="60" w:after="60"/>
              <w:ind w:left="357" w:hanging="357"/>
              <w:rPr>
                <w:b w:val="0"/>
                <w:bCs w:val="0"/>
              </w:rPr>
            </w:pPr>
            <w:r w:rsidRPr="00F70C81">
              <w:rPr>
                <w:b w:val="0"/>
                <w:bCs w:val="0"/>
              </w:rPr>
              <w:t>Screens for a range of conditions including different types of dementia, sleep disorders, brain tumours, head trauma, and mental health challenges.</w:t>
            </w:r>
          </w:p>
          <w:p w14:paraId="53C8BAB1" w14:textId="77777777" w:rsidR="00AC1BE1" w:rsidRPr="00F70C81" w:rsidRDefault="00AC1BE1" w:rsidP="00A440F4">
            <w:pPr>
              <w:pStyle w:val="Bulletpoint"/>
              <w:spacing w:before="60" w:after="60"/>
              <w:ind w:left="357" w:hanging="357"/>
              <w:rPr>
                <w:b w:val="0"/>
                <w:bCs w:val="0"/>
              </w:rPr>
            </w:pPr>
            <w:r w:rsidRPr="00F70C81">
              <w:rPr>
                <w:b w:val="0"/>
                <w:bCs w:val="0"/>
              </w:rPr>
              <w:t>Is translated into many languages.</w:t>
            </w:r>
          </w:p>
          <w:p w14:paraId="56AF05EB" w14:textId="77777777" w:rsidR="00AC1BE1" w:rsidRPr="00F70C81" w:rsidRDefault="00AC1BE1" w:rsidP="00A440F4">
            <w:pPr>
              <w:pStyle w:val="Bulletpoint"/>
              <w:spacing w:before="60" w:after="60"/>
              <w:ind w:left="357" w:hanging="357"/>
              <w:rPr>
                <w:b w:val="0"/>
                <w:bCs w:val="0"/>
              </w:rPr>
            </w:pPr>
            <w:r w:rsidRPr="00F70C81">
              <w:rPr>
                <w:b w:val="0"/>
                <w:bCs w:val="0"/>
              </w:rPr>
              <w:t>Has versions for different impairments (such as the MOCA-Blind).</w:t>
            </w:r>
          </w:p>
          <w:p w14:paraId="1382FE9C" w14:textId="77777777" w:rsidR="00AC1BE1" w:rsidRPr="00096715" w:rsidRDefault="00AC1BE1" w:rsidP="00F70C81">
            <w:pPr>
              <w:rPr>
                <w:b w:val="0"/>
                <w:bCs w:val="0"/>
              </w:rPr>
            </w:pPr>
            <w:r w:rsidRPr="00096715">
              <w:lastRenderedPageBreak/>
              <w:t>Cons</w:t>
            </w:r>
          </w:p>
          <w:p w14:paraId="236E7247" w14:textId="77777777" w:rsidR="00AC1BE1" w:rsidRPr="00F70C81" w:rsidRDefault="00AC1BE1" w:rsidP="00A440F4">
            <w:pPr>
              <w:pStyle w:val="Bulletpoint"/>
              <w:spacing w:before="60" w:after="60"/>
              <w:ind w:left="357" w:hanging="357"/>
              <w:rPr>
                <w:b w:val="0"/>
                <w:bCs w:val="0"/>
              </w:rPr>
            </w:pPr>
            <w:r w:rsidRPr="00F70C81">
              <w:rPr>
                <w:b w:val="0"/>
                <w:bCs w:val="0"/>
              </w:rPr>
              <w:t>Not developed for AOD settings, though has since been validated.</w:t>
            </w:r>
            <w:r w:rsidRPr="00F70C81">
              <w:rPr>
                <w:vertAlign w:val="superscript"/>
              </w:rPr>
              <w:fldChar w:fldCharType="begin"/>
            </w:r>
            <w:r w:rsidRPr="00F70C81">
              <w:rPr>
                <w:b w:val="0"/>
                <w:bCs w:val="0"/>
                <w:vertAlign w:val="superscript"/>
              </w:rPr>
              <w:instrText xml:space="preserve"> ADDIN ZOTERO_ITEM CSL_CITATION {"citationID":"a1uk94cu13m","properties":{"formattedCitation":"\\super 2,3\\nosupersub{}","plainCitation":"2,3","noteIndex":0},"citationItems":[{"id":14006,"uris":["http://zotero.org/groups/4745233/items/TW3KE9KV"],"itemData":{"id":14006,"type":"article-journal","abstract":"Objectives:Cognitive impairment is common in individuals with substance use disorders (SUDs), yet no evidence-based guidelines exist regarding the most appropriate screening measure for use in this population. This systematic review aimed to (1) describe different cognitive screening measures used in adults with SUDs, (2) identify substance use populations and contexts these tools are utilised in, (3) review diagnostic accuracy of these screening measures versus an accepted objective reference standard, and (4) evaluate methodology of included studies for risk of bias.Methods:Online databases (PsycINFO, MEDLINE, Embase, and CINAHL) were searched for relevant studies according to pre-determined criteria, and risk of bias and applicability was assessed using the Quality Assessment of Diagnostic Accuracy Studies–2 (QUADAS–2). At each review phase, dual screening, extraction, and quality ratings were performed.Results:Fourteen studies met inclusion, identifying 10 unique cognitive screening tools. The Montreal Cognitive Assessment (MoCA) was the most common, and two novel screening tools (Brief Evaluation of Alcohol-Related Neuropsychological Impairments [BEARNI] and Brief Executive Function Assessment Tool [BEAT]) were specifically developed for use within SUD populations. Twelve studies reported on classification accuracy and relevant psychometric parameters (e.g., sensitivity and specificity). While several tools yielded acceptable to outstanding classification accuracy, there was poor adherence to the Standards for Reporting Diagnostic Accuracy Studies (STARD) across all studies, with high or unclear risk of methodological bias.Conclusions:While some screening tools exhibit promise for use within SUD populations, further evaluation with stronger methodological design and reporting is required. Clinical recommendations and future directions for research are discussed.","container-title":"Journal of the International Neuropsychological Society","DOI":"10.1017/S135561772100103X","ISSN":"1355-6177, 1469-7661","language":"en","note":"publisher: Cambridge University Press","page":"1-24","source":"Cambridge University Press","title":"Screening tools for cognitive impairment in adults with substance use disorders: A systematic review","title-short":"Screening Tools for Cognitive Impairment in Adults with Substance Use Disorders","author":[{"family":"Ko","given":"Katherine Y."},{"family":"Ridley","given":"Nicole"},{"family":"Bryce","given":"Shayden D."},{"family":"Allott","given":"Kelly"},{"family":"Smith","given":"Angela"},{"family":"Kamminga","given":"Jody"}],"issued":{"date-parts":[["2022"]]}}},{"id":14007,"uris":["http://zotero.org/groups/4745233/items/U3GGYCKU"],"itemData":{"id":14007,"type":"report","event-place":"Richmond, Victoria","language":"en","publisher":"Turning Point","publisher-place":"Richmond, Victoria","source":"Zotero","title":"Managing Cognitive Impairment in AOD Treatment: Practice Guidelines for Healthcare Professionals","URL":"https://www.turningpoint.org.au/treatment/clinicians/Managing-Cognitive-Impairment-in-AOD-Treatment-Guidelines","author":[{"family":"Manning","given":"Victoria"},{"family":"Gooden","given":"James"},{"family":"Cox","given":"Catherine"},{"family":"Whelan","given":"Danielle"},{"family":"Miroz","given":"Katherine"}],"issued":{"date-parts":[["2021"]]}}}],"schema":"https://github.com/citation-style-language/schema/raw/master/csl-citation.json"} </w:instrText>
            </w:r>
            <w:r w:rsidRPr="00F70C81">
              <w:rPr>
                <w:vertAlign w:val="superscript"/>
              </w:rPr>
              <w:fldChar w:fldCharType="separate"/>
            </w:r>
            <w:r w:rsidRPr="00F70C81">
              <w:rPr>
                <w:b w:val="0"/>
                <w:bCs w:val="0"/>
                <w:vertAlign w:val="superscript"/>
              </w:rPr>
              <w:t>2,3</w:t>
            </w:r>
            <w:r w:rsidRPr="00F70C81">
              <w:rPr>
                <w:vertAlign w:val="superscript"/>
              </w:rPr>
              <w:fldChar w:fldCharType="end"/>
            </w:r>
          </w:p>
          <w:p w14:paraId="5F22CBD5" w14:textId="77777777" w:rsidR="00AC1BE1" w:rsidRPr="00F70C81" w:rsidRDefault="00AC1BE1" w:rsidP="00A440F4">
            <w:pPr>
              <w:pStyle w:val="Bulletpoint"/>
              <w:spacing w:before="60" w:after="60"/>
              <w:ind w:left="357" w:hanging="357"/>
              <w:rPr>
                <w:b w:val="0"/>
                <w:bCs w:val="0"/>
              </w:rPr>
            </w:pPr>
            <w:r w:rsidRPr="00F70C81">
              <w:rPr>
                <w:b w:val="0"/>
                <w:bCs w:val="0"/>
              </w:rPr>
              <w:t>Ongoing cost every 2 years for certification and training.</w:t>
            </w:r>
          </w:p>
          <w:p w14:paraId="54F29381" w14:textId="77777777" w:rsidR="00AC1BE1" w:rsidRPr="00F70C81" w:rsidRDefault="00AC1BE1" w:rsidP="00A440F4">
            <w:pPr>
              <w:pStyle w:val="Bulletpoint"/>
              <w:spacing w:before="60" w:after="60"/>
              <w:ind w:left="357" w:hanging="357"/>
              <w:rPr>
                <w:b w:val="0"/>
                <w:bCs w:val="0"/>
              </w:rPr>
            </w:pPr>
            <w:r w:rsidRPr="00F70C81">
              <w:rPr>
                <w:b w:val="0"/>
                <w:bCs w:val="0"/>
              </w:rPr>
              <w:t>No published validation studies in Aotearoa New Zealand AOD populations but has been used in AOD services locally.</w:t>
            </w:r>
          </w:p>
          <w:p w14:paraId="79118FA1" w14:textId="77777777" w:rsidR="00AC1BE1" w:rsidRPr="00F70C81" w:rsidRDefault="00000000" w:rsidP="00234887">
            <w:pPr>
              <w:rPr>
                <w:rFonts w:cstheme="minorHAnsi"/>
                <w:b w:val="0"/>
                <w:bCs w:val="0"/>
                <w:szCs w:val="24"/>
                <w:lang w:eastAsia="ko-KR"/>
              </w:rPr>
            </w:pPr>
            <w:hyperlink r:id="rId44" w:history="1">
              <w:r w:rsidR="00AC1BE1" w:rsidRPr="00F70C81">
                <w:rPr>
                  <w:rStyle w:val="Hyperlink"/>
                  <w:rFonts w:cstheme="minorHAnsi"/>
                  <w:b/>
                  <w:bCs w:val="0"/>
                  <w:color w:val="000000" w:themeColor="text1"/>
                  <w:szCs w:val="24"/>
                  <w:lang w:eastAsia="ko-KR"/>
                </w:rPr>
                <w:t>Find the</w:t>
              </w:r>
              <w:r w:rsidR="00AC1BE1" w:rsidRPr="00F70C81">
                <w:rPr>
                  <w:rStyle w:val="Hyperlink"/>
                  <w:rFonts w:cstheme="minorHAnsi"/>
                  <w:color w:val="000000" w:themeColor="text1"/>
                  <w:szCs w:val="24"/>
                  <w:lang w:eastAsia="ko-KR"/>
                </w:rPr>
                <w:t xml:space="preserve"> </w:t>
              </w:r>
              <w:r w:rsidR="00AC1BE1" w:rsidRPr="00F70C81">
                <w:rPr>
                  <w:rStyle w:val="Hyperlink"/>
                  <w:rFonts w:cstheme="minorHAnsi"/>
                  <w:b/>
                  <w:bCs w:val="0"/>
                  <w:color w:val="000000" w:themeColor="text1"/>
                  <w:szCs w:val="24"/>
                  <w:lang w:eastAsia="ko-KR"/>
                </w:rPr>
                <w:t>tool, scoring, and training information on the MoCA Cognition website.</w:t>
              </w:r>
            </w:hyperlink>
            <w:r w:rsidR="00AC1BE1" w:rsidRPr="00F70C81">
              <w:rPr>
                <w:rFonts w:cstheme="minorHAnsi"/>
                <w:b w:val="0"/>
                <w:bCs w:val="0"/>
                <w:color w:val="000000" w:themeColor="text1"/>
                <w:szCs w:val="24"/>
                <w:lang w:eastAsia="ko-KR"/>
              </w:rPr>
              <w:t xml:space="preserve"> </w:t>
            </w:r>
          </w:p>
        </w:tc>
      </w:tr>
    </w:tbl>
    <w:p w14:paraId="165323BD" w14:textId="77777777" w:rsidR="00420977" w:rsidRDefault="00420977" w:rsidP="00420977">
      <w:pPr>
        <w:rPr>
          <w:sz w:val="22"/>
        </w:rPr>
      </w:pPr>
    </w:p>
    <w:tbl>
      <w:tblPr>
        <w:tblStyle w:val="GridTable2"/>
        <w:tblW w:w="0" w:type="auto"/>
        <w:tblLook w:val="0480" w:firstRow="0" w:lastRow="0" w:firstColumn="1" w:lastColumn="0" w:noHBand="0" w:noVBand="1"/>
      </w:tblPr>
      <w:tblGrid>
        <w:gridCol w:w="9498"/>
      </w:tblGrid>
      <w:tr w:rsidR="00627CAC" w:rsidRPr="00096715" w14:paraId="06C3C576" w14:textId="77777777" w:rsidTr="00A40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shd w:val="clear" w:color="auto" w:fill="F2F2F2" w:themeFill="background1" w:themeFillShade="F2"/>
          </w:tcPr>
          <w:p w14:paraId="24DB1629" w14:textId="77777777" w:rsidR="00627CAC" w:rsidRPr="00096715" w:rsidRDefault="00627CAC" w:rsidP="00F70C81">
            <w:pPr>
              <w:rPr>
                <w:lang w:eastAsia="ko-KR"/>
              </w:rPr>
            </w:pPr>
            <w:r w:rsidRPr="00096715">
              <w:rPr>
                <w:lang w:eastAsia="ko-KR"/>
              </w:rPr>
              <w:t xml:space="preserve">Mini-ACE-NZ – mini Addenbrooke’s Cognitive Examination </w:t>
            </w:r>
          </w:p>
          <w:p w14:paraId="03EDDFF7" w14:textId="77777777" w:rsidR="00627CAC" w:rsidRPr="00096715" w:rsidRDefault="00627CAC" w:rsidP="00F70C81">
            <w:pPr>
              <w:rPr>
                <w:b w:val="0"/>
                <w:bCs w:val="0"/>
                <w:lang w:eastAsia="ko-KR"/>
              </w:rPr>
            </w:pPr>
            <w:r w:rsidRPr="00096715">
              <w:rPr>
                <w:b w:val="0"/>
                <w:bCs w:val="0"/>
                <w:lang w:eastAsia="ko-KR"/>
              </w:rPr>
              <w:t>Health professionals who have undergone training can administer and interpret.</w:t>
            </w:r>
          </w:p>
          <w:p w14:paraId="57B5BBA1" w14:textId="77777777" w:rsidR="00627CAC" w:rsidRPr="00096715" w:rsidRDefault="00627CAC" w:rsidP="00F70C81">
            <w:pPr>
              <w:rPr>
                <w:b w:val="0"/>
                <w:bCs w:val="0"/>
                <w:lang w:eastAsia="ko-KR"/>
              </w:rPr>
            </w:pPr>
            <w:r w:rsidRPr="00096715">
              <w:rPr>
                <w:b w:val="0"/>
                <w:bCs w:val="0"/>
                <w:lang w:eastAsia="ko-KR"/>
              </w:rPr>
              <w:t xml:space="preserve">There are three versions of the mini-ACE-NZ. It has 5 items. </w:t>
            </w:r>
          </w:p>
          <w:p w14:paraId="71EBF277" w14:textId="77777777" w:rsidR="00627CAC" w:rsidRPr="000D7DA2" w:rsidRDefault="00627CAC" w:rsidP="00234887">
            <w:pPr>
              <w:rPr>
                <w:rFonts w:cstheme="minorHAnsi"/>
                <w:szCs w:val="24"/>
                <w:lang w:eastAsia="ko-KR"/>
              </w:rPr>
            </w:pPr>
            <w:r w:rsidRPr="000D7DA2">
              <w:rPr>
                <w:rFonts w:cstheme="minorHAnsi"/>
                <w:szCs w:val="24"/>
                <w:lang w:eastAsia="ko-KR"/>
              </w:rPr>
              <w:t>Pros</w:t>
            </w:r>
          </w:p>
          <w:p w14:paraId="03C1BD6A" w14:textId="77777777" w:rsidR="00627CAC" w:rsidRPr="00F70C81" w:rsidRDefault="00627CAC" w:rsidP="00A440F4">
            <w:pPr>
              <w:pStyle w:val="Bulletpoint"/>
              <w:spacing w:before="60" w:after="60"/>
              <w:ind w:left="357" w:hanging="357"/>
              <w:rPr>
                <w:b w:val="0"/>
                <w:bCs w:val="0"/>
              </w:rPr>
            </w:pPr>
            <w:r w:rsidRPr="00F70C81">
              <w:rPr>
                <w:b w:val="0"/>
                <w:bCs w:val="0"/>
              </w:rPr>
              <w:t xml:space="preserve">Takes 5 minutes to administer. </w:t>
            </w:r>
          </w:p>
          <w:p w14:paraId="3A8C3A7D" w14:textId="77777777" w:rsidR="00627CAC" w:rsidRPr="00F70C81" w:rsidRDefault="00627CAC" w:rsidP="00A440F4">
            <w:pPr>
              <w:pStyle w:val="Bulletpoint"/>
              <w:spacing w:before="60" w:after="60"/>
              <w:ind w:left="357" w:hanging="357"/>
              <w:rPr>
                <w:b w:val="0"/>
                <w:bCs w:val="0"/>
              </w:rPr>
            </w:pPr>
            <w:r w:rsidRPr="00F70C81">
              <w:rPr>
                <w:b w:val="0"/>
                <w:bCs w:val="0"/>
              </w:rPr>
              <w:t>The recommended screening tool for primary care in Aotearoa New Zealand.</w:t>
            </w:r>
            <w:r w:rsidRPr="00F70C81">
              <w:rPr>
                <w:vertAlign w:val="superscript"/>
              </w:rPr>
              <w:fldChar w:fldCharType="begin"/>
            </w:r>
            <w:r w:rsidRPr="00F70C81">
              <w:rPr>
                <w:b w:val="0"/>
                <w:bCs w:val="0"/>
                <w:vertAlign w:val="superscript"/>
              </w:rPr>
              <w:instrText xml:space="preserve"> ADDIN ZOTERO_ITEM CSL_CITATION {"citationID":"a2186ni82nf","properties":{"formattedCitation":"\\super 145\\nosupersub{}","plainCitation":"145","noteIndex":0},"citationItems":[{"id":13462,"uris":["http://zotero.org/groups/4745233/items/ABL7A22H"],"itemData":{"id":13462,"type":"report","language":"en","page":"43","source":"Zotero","title":"Cognitive Impairment Assessment Review","author":[{"literal":"New Zealand Dementia Cooperative"}],"issued":{"date-parts":[["2020"]]}}}],"schema":"https://github.com/citation-style-language/schema/raw/master/csl-citation.json"} </w:instrText>
            </w:r>
            <w:r w:rsidRPr="00F70C81">
              <w:rPr>
                <w:vertAlign w:val="superscript"/>
              </w:rPr>
              <w:fldChar w:fldCharType="separate"/>
            </w:r>
            <w:r w:rsidRPr="00F70C81">
              <w:rPr>
                <w:b w:val="0"/>
                <w:bCs w:val="0"/>
                <w:vertAlign w:val="superscript"/>
              </w:rPr>
              <w:t>145</w:t>
            </w:r>
            <w:r w:rsidRPr="00F70C81">
              <w:rPr>
                <w:vertAlign w:val="superscript"/>
              </w:rPr>
              <w:fldChar w:fldCharType="end"/>
            </w:r>
          </w:p>
          <w:p w14:paraId="30ACA2FB" w14:textId="77777777" w:rsidR="00627CAC" w:rsidRPr="00F70C81" w:rsidRDefault="00627CAC" w:rsidP="00A440F4">
            <w:pPr>
              <w:pStyle w:val="Bulletpoint"/>
              <w:spacing w:before="60" w:after="60"/>
              <w:ind w:left="357" w:hanging="357"/>
              <w:rPr>
                <w:b w:val="0"/>
                <w:bCs w:val="0"/>
              </w:rPr>
            </w:pPr>
            <w:r w:rsidRPr="00F70C81">
              <w:rPr>
                <w:b w:val="0"/>
                <w:bCs w:val="0"/>
              </w:rPr>
              <w:t xml:space="preserve">Free for Aotearoa New Zealand based health professionals. </w:t>
            </w:r>
          </w:p>
          <w:p w14:paraId="69F53B4B" w14:textId="77777777" w:rsidR="00627CAC" w:rsidRPr="00096715" w:rsidRDefault="00627CAC" w:rsidP="00F70C81">
            <w:r w:rsidRPr="00096715">
              <w:t>Cons</w:t>
            </w:r>
          </w:p>
          <w:p w14:paraId="7FF08A5A" w14:textId="77777777" w:rsidR="00627CAC" w:rsidRPr="00F70C81" w:rsidRDefault="00627CAC" w:rsidP="00A440F4">
            <w:pPr>
              <w:pStyle w:val="Bulletpoint"/>
              <w:spacing w:before="60" w:after="60"/>
              <w:ind w:left="357" w:hanging="357"/>
              <w:rPr>
                <w:b w:val="0"/>
                <w:bCs w:val="0"/>
              </w:rPr>
            </w:pPr>
            <w:r w:rsidRPr="00F70C81">
              <w:rPr>
                <w:b w:val="0"/>
                <w:bCs w:val="0"/>
              </w:rPr>
              <w:t>Not developed for AOD settings and executive function insight is limited.</w:t>
            </w:r>
          </w:p>
          <w:p w14:paraId="49F8A44B" w14:textId="77777777" w:rsidR="00627CAC" w:rsidRPr="00F70C81" w:rsidRDefault="00627CAC" w:rsidP="00A440F4">
            <w:pPr>
              <w:pStyle w:val="Bulletpoint"/>
              <w:spacing w:before="60" w:after="60"/>
              <w:ind w:left="357" w:hanging="357"/>
              <w:rPr>
                <w:b w:val="0"/>
                <w:bCs w:val="0"/>
              </w:rPr>
            </w:pPr>
            <w:r w:rsidRPr="00F70C81">
              <w:rPr>
                <w:b w:val="0"/>
                <w:bCs w:val="0"/>
              </w:rPr>
              <w:t>Its main purpose is to screen for dementia.</w:t>
            </w:r>
            <w:r w:rsidRPr="00F70C81">
              <w:rPr>
                <w:vertAlign w:val="superscript"/>
              </w:rPr>
              <w:fldChar w:fldCharType="begin"/>
            </w:r>
            <w:r w:rsidRPr="00F70C81">
              <w:rPr>
                <w:b w:val="0"/>
                <w:bCs w:val="0"/>
                <w:vertAlign w:val="superscript"/>
              </w:rPr>
              <w:instrText xml:space="preserve"> ADDIN ZOTERO_ITEM CSL_CITATION {"citationID":"aglu715fa3","properties":{"formattedCitation":"\\super 146\\nosupersub{}","plainCitation":"146","noteIndex":0},"citationItems":[{"id":13460,"uris":["http://zotero.org/groups/4745233/items/JYU2JVVJ"],"itemData":{"id":13460,"type":"article-journal","abstract":"Background/Aims\nWe developed and validated the Mini-Addenbrooke's Cognitive Examination (M-ACE) in dementia patients. Comparisons were also made with the Mini Mental State Examination (MMSE).\n\nMethod\nThe M-ACE was developed using Mokken scaling analysis in 117 dementia patients [behavioural variant frontotemporal dementia (bvFTD), n = 25; primary progressive aphasia (PPA), n = 49; Alzheimer's disease (AD), n = 34; corticobasal syndrome (CBS), n = 9] and validated in an independent sample of 164 dementia patients (bvFTD, n = 23; PPA, n = 82; AD, n = 38; CBS, n = 21) and 78 controls, who also completed the MMSE.\n\nResults\nThe M-ACE consists of 5 items with a maximum score of 30. Two cut-offs were identified: (1) ≤25/30 has both high sensitivity and specificity, and (2) ≤21/30 is almost certainly a score to have come from a dementia patient regardless of the clinical setting. The M-ACE is more sensitive than the MMSE and is less likely to have ceiling effects.\n\nConclusion\nThe M-ACE is a brief and sensitive cognitive screening tool for dementia. Two cut-offs (25 or 21) are recommended.","container-title":"Dementia and Geriatric Cognitive Disorders","DOI":"10.1159/000366040","ISSN":"1420-8008","issue":"1-2","journalAbbreviation":"Dement Geriatr Cogn Disord","note":"PMID: 25227877\nPMCID: PMC4774042","page":"1-11","source":"PubMed Central","title":"The Mini-Addenbrooke's Cognitive Examination: A New Assessment Tool for Dementia","title-short":"The Mini-Addenbrooke's Cognitive Examination","volume":"39","author":[{"family":"Hsieh","given":"Sharpley"},{"family":"McGrory","given":"Sarah"},{"family":"Leslie","given":"Felicity"},{"family":"Dawson","given":"Kate"},{"family":"Ahmed","given":"Samrah"},{"family":"Butler","given":"Chris R."},{"family":"Rowe","given":"James B."},{"family":"Mioshi","given":"Eneida"},{"family":"Hodges","given":"John R."}],"issued":{"date-parts":[["2015",1]]}}}],"schema":"https://github.com/citation-style-language/schema/raw/master/csl-citation.json"} </w:instrText>
            </w:r>
            <w:r w:rsidRPr="00F70C81">
              <w:rPr>
                <w:vertAlign w:val="superscript"/>
              </w:rPr>
              <w:fldChar w:fldCharType="separate"/>
            </w:r>
            <w:r w:rsidRPr="00F70C81">
              <w:rPr>
                <w:b w:val="0"/>
                <w:bCs w:val="0"/>
                <w:vertAlign w:val="superscript"/>
              </w:rPr>
              <w:t>146</w:t>
            </w:r>
            <w:r w:rsidRPr="00F70C81">
              <w:rPr>
                <w:vertAlign w:val="superscript"/>
              </w:rPr>
              <w:fldChar w:fldCharType="end"/>
            </w:r>
          </w:p>
          <w:p w14:paraId="62C3A5FD" w14:textId="77777777" w:rsidR="00627CAC" w:rsidRPr="00F70C81" w:rsidRDefault="00000000" w:rsidP="00F70C81">
            <w:pPr>
              <w:rPr>
                <w:b w:val="0"/>
                <w:szCs w:val="24"/>
              </w:rPr>
            </w:pPr>
            <w:hyperlink r:id="rId45" w:history="1">
              <w:r w:rsidR="00627CAC" w:rsidRPr="00F70C81">
                <w:rPr>
                  <w:rStyle w:val="Hyperlink"/>
                  <w:rFonts w:cstheme="minorHAnsi"/>
                  <w:b/>
                  <w:bCs w:val="0"/>
                  <w:color w:val="000000" w:themeColor="text1"/>
                  <w:szCs w:val="24"/>
                </w:rPr>
                <w:t>Find the tool, scoring, and training information on the Healthify website.</w:t>
              </w:r>
            </w:hyperlink>
          </w:p>
        </w:tc>
      </w:tr>
      <w:tr w:rsidR="00627CAC" w:rsidRPr="00096715" w14:paraId="30C0E3E7" w14:textId="77777777" w:rsidTr="00E977CE">
        <w:tc>
          <w:tcPr>
            <w:cnfStyle w:val="001000000000" w:firstRow="0" w:lastRow="0" w:firstColumn="1" w:lastColumn="0" w:oddVBand="0" w:evenVBand="0" w:oddHBand="0" w:evenHBand="0" w:firstRowFirstColumn="0" w:firstRowLastColumn="0" w:lastRowFirstColumn="0" w:lastRowLastColumn="0"/>
            <w:tcW w:w="9498" w:type="dxa"/>
            <w:shd w:val="clear" w:color="auto" w:fill="F2F2F2" w:themeFill="background1" w:themeFillShade="F2"/>
          </w:tcPr>
          <w:p w14:paraId="6644153B" w14:textId="77777777" w:rsidR="00E977CE" w:rsidRDefault="00E977CE" w:rsidP="00234887">
            <w:pPr>
              <w:rPr>
                <w:rFonts w:cstheme="minorHAnsi"/>
                <w:b w:val="0"/>
                <w:bCs w:val="0"/>
                <w:sz w:val="22"/>
              </w:rPr>
            </w:pPr>
          </w:p>
          <w:p w14:paraId="1F7AFE96" w14:textId="3521A1AC" w:rsidR="00627CAC" w:rsidRPr="00096715" w:rsidRDefault="00627CAC" w:rsidP="00F70C81">
            <w:r w:rsidRPr="00096715">
              <w:t xml:space="preserve">BEAT – Brief Executive-function Assessment Tool </w:t>
            </w:r>
          </w:p>
          <w:p w14:paraId="4C85753E" w14:textId="77777777" w:rsidR="00627CAC" w:rsidRPr="00F70C81" w:rsidRDefault="00627CAC" w:rsidP="00234887">
            <w:pPr>
              <w:rPr>
                <w:rFonts w:cstheme="minorHAnsi"/>
                <w:b w:val="0"/>
                <w:bCs w:val="0"/>
                <w:szCs w:val="24"/>
              </w:rPr>
            </w:pPr>
            <w:r w:rsidRPr="00F70C81">
              <w:rPr>
                <w:rFonts w:cstheme="minorHAnsi"/>
                <w:b w:val="0"/>
                <w:bCs w:val="0"/>
                <w:szCs w:val="24"/>
              </w:rPr>
              <w:t>Any worker who has watched the training videos can administer, but extra training and/or supervision from a psychologist is recommended for interpretation.</w:t>
            </w:r>
          </w:p>
          <w:p w14:paraId="36EFA091" w14:textId="77777777" w:rsidR="00627CAC" w:rsidRPr="00F70C81" w:rsidRDefault="00627CAC" w:rsidP="00234887">
            <w:pPr>
              <w:rPr>
                <w:rFonts w:cstheme="minorHAnsi"/>
                <w:b w:val="0"/>
                <w:bCs w:val="0"/>
                <w:szCs w:val="24"/>
              </w:rPr>
            </w:pPr>
            <w:r w:rsidRPr="00F70C81">
              <w:rPr>
                <w:rFonts w:cstheme="minorHAnsi"/>
                <w:b w:val="0"/>
                <w:bCs w:val="0"/>
                <w:szCs w:val="24"/>
              </w:rPr>
              <w:t xml:space="preserve">One version with 20 items. </w:t>
            </w:r>
          </w:p>
          <w:p w14:paraId="21EFBABC" w14:textId="77777777" w:rsidR="00627CAC" w:rsidRPr="000D7DA2" w:rsidRDefault="00627CAC" w:rsidP="00234887">
            <w:pPr>
              <w:rPr>
                <w:rFonts w:cstheme="minorHAnsi"/>
                <w:szCs w:val="24"/>
              </w:rPr>
            </w:pPr>
            <w:r w:rsidRPr="000D7DA2">
              <w:rPr>
                <w:rFonts w:cstheme="minorHAnsi"/>
                <w:szCs w:val="24"/>
              </w:rPr>
              <w:t>Pros</w:t>
            </w:r>
          </w:p>
          <w:p w14:paraId="04DB92E5" w14:textId="77777777" w:rsidR="00627CAC" w:rsidRPr="00F70C81" w:rsidRDefault="00627CAC" w:rsidP="00A440F4">
            <w:pPr>
              <w:pStyle w:val="Bulletpoint"/>
              <w:spacing w:before="60" w:after="60"/>
              <w:ind w:left="357" w:hanging="357"/>
              <w:rPr>
                <w:b w:val="0"/>
                <w:bCs w:val="0"/>
              </w:rPr>
            </w:pPr>
            <w:r w:rsidRPr="00F70C81">
              <w:rPr>
                <w:b w:val="0"/>
                <w:bCs w:val="0"/>
              </w:rPr>
              <w:t xml:space="preserve">Free to use. </w:t>
            </w:r>
          </w:p>
          <w:p w14:paraId="769F1170" w14:textId="77777777" w:rsidR="00627CAC" w:rsidRPr="00F70C81" w:rsidRDefault="00627CAC" w:rsidP="00A440F4">
            <w:pPr>
              <w:pStyle w:val="Bulletpoint"/>
              <w:spacing w:before="60" w:after="60"/>
              <w:ind w:left="357" w:hanging="357"/>
              <w:rPr>
                <w:b w:val="0"/>
                <w:bCs w:val="0"/>
              </w:rPr>
            </w:pPr>
            <w:r w:rsidRPr="00F70C81">
              <w:rPr>
                <w:b w:val="0"/>
                <w:bCs w:val="0"/>
              </w:rPr>
              <w:t>Developed specifically for AOD settings.</w:t>
            </w:r>
            <w:r w:rsidRPr="00F70C81">
              <w:rPr>
                <w:vertAlign w:val="superscript"/>
              </w:rPr>
              <w:fldChar w:fldCharType="begin"/>
            </w:r>
            <w:r w:rsidRPr="00F70C81">
              <w:rPr>
                <w:b w:val="0"/>
                <w:bCs w:val="0"/>
                <w:vertAlign w:val="superscript"/>
              </w:rPr>
              <w:instrText xml:space="preserve"> ADDIN ZOTERO_ITEM CSL_CITATION {"citationID":"a19ctlcpl46","properties":{"formattedCitation":"\\super 94\\nosupersub{}","plainCitation":"94","noteIndex":0},"citationItems":[{"id":7257,"uris":["http://zotero.org/groups/4325153/items/YHX3VT7V"],"itemData":{"id":7257,"type":"article-journal","abstract":"Accurate screening for cognitive impairment in alcohol and other drug (AOD) services would help to identify individuals who may need supports to obtain the greatest benefit from substance use disorder (SUD) treatment. At present there is no screening measure that has been developed specifically to detect cognitive impairment in a SUD population. This study examines the psychometric properties of the Brief Executive-function Assessment Tool (BEAT), which was specifically designed for this purpose. This study involving 501 individuals with SUD and 145 normal control participants established internal consistency (n = 646; 0.734), interrater (n = 60; 0.994), and test-retest reliability (n = 177; 0.845), and construct (all correlations p ≤ 0.05), and criterion (n = 467; ANCOVA p &lt; 0.001) validity. Test operating characteristics (n = 500; 87% sensitivity, 71% specificity, 21% PPP, and 99% NPP) were also established relative to an independent criterion variable made up of three established performance-based neuropsychological tests. Findings support the reliability and validity of the BEAT as a screening measure of executive function impairment with high sensitivity and a low rate of false negatives.","container-title":"Applied Neuropsychology. Adult","DOI":"10.1080/23279095.2021.1895791","ISSN":"2327-9109","issue":"6","journalAbbreviation":"Appl Neuropsychol Adult","language":"eng","note":"PMID: 33831338","page":"1511-1521","source":"PubMed","title":"Brief executive-function assessment tool: A new cognitive impairment screening tool for alcohol and other drug services","title-short":"Brief executive-function assessment tool","volume":"29","author":[{"family":"Berry","given":"J."},{"family":"Shores","given":"E. A."},{"family":"Nardo","given":"T."},{"family":"Sedwell","given":"A."},{"family":"Lunn","given":"J."},{"family":"Marceau","given":"E. M."},{"family":"Wesseling","given":"A."},{"family":"Zucco","given":"M."},{"family":"Sugden-Lingard","given":"S."},{"family":"Borchard","given":"T."},{"family":"Batchelor","given":"J."}],"issued":{"date-parts":[["2022"]]}}}],"schema":"https://github.com/citation-style-language/schema/raw/master/csl-citation.json"} </w:instrText>
            </w:r>
            <w:r w:rsidRPr="00F70C81">
              <w:rPr>
                <w:vertAlign w:val="superscript"/>
              </w:rPr>
              <w:fldChar w:fldCharType="separate"/>
            </w:r>
            <w:r w:rsidRPr="00F70C81">
              <w:rPr>
                <w:b w:val="0"/>
                <w:bCs w:val="0"/>
                <w:vertAlign w:val="superscript"/>
              </w:rPr>
              <w:t>94</w:t>
            </w:r>
            <w:r w:rsidRPr="00F70C81">
              <w:rPr>
                <w:vertAlign w:val="superscript"/>
              </w:rPr>
              <w:fldChar w:fldCharType="end"/>
            </w:r>
          </w:p>
          <w:p w14:paraId="4F6CE302" w14:textId="77777777" w:rsidR="00627CAC" w:rsidRPr="00F70C81" w:rsidRDefault="00627CAC" w:rsidP="00A440F4">
            <w:pPr>
              <w:pStyle w:val="Bulletpoint"/>
              <w:spacing w:before="60" w:after="60"/>
              <w:ind w:left="357" w:hanging="357"/>
              <w:rPr>
                <w:b w:val="0"/>
                <w:bCs w:val="0"/>
              </w:rPr>
            </w:pPr>
            <w:r w:rsidRPr="00F70C81">
              <w:rPr>
                <w:b w:val="0"/>
                <w:bCs w:val="0"/>
              </w:rPr>
              <w:t>Screens for a range of conditions particularly those affecting executive function.</w:t>
            </w:r>
          </w:p>
          <w:p w14:paraId="1F4D9E2B" w14:textId="77777777" w:rsidR="00627CAC" w:rsidRPr="00096715" w:rsidRDefault="00627CAC" w:rsidP="00F70C81">
            <w:r w:rsidRPr="00096715">
              <w:lastRenderedPageBreak/>
              <w:t>Cons</w:t>
            </w:r>
          </w:p>
          <w:p w14:paraId="7FB9944F" w14:textId="77777777" w:rsidR="00627CAC" w:rsidRPr="00F70C81" w:rsidRDefault="00627CAC" w:rsidP="00A440F4">
            <w:pPr>
              <w:pStyle w:val="Bulletpoint"/>
              <w:spacing w:before="60" w:after="60"/>
              <w:ind w:left="357" w:hanging="357"/>
              <w:rPr>
                <w:b w:val="0"/>
                <w:bCs w:val="0"/>
              </w:rPr>
            </w:pPr>
            <w:r w:rsidRPr="00F70C81">
              <w:rPr>
                <w:b w:val="0"/>
                <w:bCs w:val="0"/>
              </w:rPr>
              <w:t xml:space="preserve">Not currently validated in Aotearoa New Zealand. </w:t>
            </w:r>
          </w:p>
          <w:p w14:paraId="0D7B9FDA" w14:textId="77777777" w:rsidR="00627CAC" w:rsidRPr="00F70C81" w:rsidRDefault="00627CAC" w:rsidP="00A440F4">
            <w:pPr>
              <w:pStyle w:val="Bulletpoint"/>
              <w:spacing w:before="60" w:after="60"/>
              <w:ind w:left="357" w:hanging="357"/>
              <w:rPr>
                <w:b w:val="0"/>
                <w:bCs w:val="0"/>
              </w:rPr>
            </w:pPr>
            <w:r w:rsidRPr="00F70C81">
              <w:rPr>
                <w:b w:val="0"/>
                <w:bCs w:val="0"/>
              </w:rPr>
              <w:t>Takes 20 minutes which is longer than some other screening tools.</w:t>
            </w:r>
          </w:p>
          <w:p w14:paraId="5AB01921" w14:textId="77777777" w:rsidR="00627CAC" w:rsidRPr="00F70C81" w:rsidRDefault="00000000" w:rsidP="00F70C81">
            <w:pPr>
              <w:rPr>
                <w:szCs w:val="24"/>
              </w:rPr>
            </w:pPr>
            <w:hyperlink r:id="rId46" w:history="1">
              <w:r w:rsidR="00627CAC" w:rsidRPr="00F70C81">
                <w:rPr>
                  <w:rStyle w:val="Hyperlink"/>
                  <w:rFonts w:cstheme="minorHAnsi"/>
                  <w:b/>
                  <w:bCs w:val="0"/>
                  <w:color w:val="000000" w:themeColor="text1"/>
                  <w:szCs w:val="24"/>
                </w:rPr>
                <w:t>Find the tool, scoring, and training information on the NSW Health Agency for Clinical Innovation website.</w:t>
              </w:r>
            </w:hyperlink>
            <w:r w:rsidR="00627CAC" w:rsidRPr="00F70C81">
              <w:rPr>
                <w:szCs w:val="24"/>
              </w:rPr>
              <w:t xml:space="preserve"> </w:t>
            </w:r>
          </w:p>
        </w:tc>
      </w:tr>
    </w:tbl>
    <w:p w14:paraId="060128C1" w14:textId="77777777" w:rsidR="00627CAC" w:rsidRDefault="00627CAC" w:rsidP="00420977">
      <w:pPr>
        <w:rPr>
          <w:sz w:val="22"/>
        </w:rPr>
      </w:pPr>
    </w:p>
    <w:tbl>
      <w:tblPr>
        <w:tblStyle w:val="GridTable2"/>
        <w:tblW w:w="0" w:type="auto"/>
        <w:tblLook w:val="0480" w:firstRow="0" w:lastRow="0" w:firstColumn="1" w:lastColumn="0" w:noHBand="0" w:noVBand="1"/>
        <w:tblCaption w:val="Cognitive screening tool options"/>
        <w:tblDescription w:val="Four options for screening tools by AOD workers. &#10;First is MoCA, which takes 10 to 15 minutes to administer. It requires certification (cost) and training and specialist expertise for interpretation. It was not developed for AOD settings, though it has since been validation. &#10;Second is the mini-ACE-NZ, which takes 5 minutes and is free. It can be administered by health professionals. It is the recommended screening tool for primary care in Aotearoa New Zealand. It was not developed for AOD settings and combined with its brief nature means executive function insight is limited. &#10;Third is the BEAT which is free and takes 20 minutes. Any worker can administer but some training or supervision is recommended for interpreting the information. It was developed specifically for AOD settings. &#10;Fourth is the ACE-III-NZ which is free and can be administered and interpreted by any role who has undergone the online training. It was not developed in AOD settings but has been used in Aotearoa New Zealand among older people. It takes 20 minutes. &#10;"/>
      </w:tblPr>
      <w:tblGrid>
        <w:gridCol w:w="9498"/>
      </w:tblGrid>
      <w:tr w:rsidR="00DB1B59" w:rsidRPr="00096715" w14:paraId="1685309A" w14:textId="77777777" w:rsidTr="000D7D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tcPr>
          <w:p w14:paraId="7FCB8216" w14:textId="77777777" w:rsidR="00DB1B59" w:rsidRPr="00096715" w:rsidRDefault="00DB1B59" w:rsidP="00F70C81">
            <w:r w:rsidRPr="00096715">
              <w:t xml:space="preserve">ACE-III-NZ – Addenbrooke’s Cognitive Examination </w:t>
            </w:r>
          </w:p>
          <w:p w14:paraId="3D4A73FD" w14:textId="77777777" w:rsidR="00DB1B59" w:rsidRPr="00096715" w:rsidRDefault="00DB1B59" w:rsidP="00F70C81">
            <w:pPr>
              <w:rPr>
                <w:b w:val="0"/>
                <w:bCs w:val="0"/>
              </w:rPr>
            </w:pPr>
            <w:r w:rsidRPr="00096715">
              <w:rPr>
                <w:b w:val="0"/>
                <w:bCs w:val="0"/>
              </w:rPr>
              <w:t xml:space="preserve">Any worker who has completed online training can administer and interpret. It does not require clinical training. </w:t>
            </w:r>
          </w:p>
          <w:p w14:paraId="6C507D42" w14:textId="77777777" w:rsidR="00DB1B59" w:rsidRPr="00096715" w:rsidRDefault="00DB1B59" w:rsidP="00F70C81">
            <w:pPr>
              <w:rPr>
                <w:b w:val="0"/>
                <w:bCs w:val="0"/>
              </w:rPr>
            </w:pPr>
            <w:r w:rsidRPr="00096715">
              <w:rPr>
                <w:b w:val="0"/>
                <w:bCs w:val="0"/>
              </w:rPr>
              <w:t xml:space="preserve">Three versions with 19 items. </w:t>
            </w:r>
          </w:p>
          <w:p w14:paraId="66E250B3" w14:textId="77777777" w:rsidR="00DB1B59" w:rsidRPr="00096715" w:rsidRDefault="00DB1B59" w:rsidP="00F70C81">
            <w:r w:rsidRPr="00096715">
              <w:t>Pros</w:t>
            </w:r>
          </w:p>
          <w:p w14:paraId="133EC975" w14:textId="77777777" w:rsidR="00DB1B59" w:rsidRPr="00F70C81" w:rsidRDefault="00DB1B59" w:rsidP="000D7DA2">
            <w:pPr>
              <w:pStyle w:val="Bulletpoint"/>
              <w:spacing w:after="120"/>
              <w:ind w:left="357" w:hanging="357"/>
              <w:rPr>
                <w:b w:val="0"/>
                <w:bCs w:val="0"/>
              </w:rPr>
            </w:pPr>
            <w:r w:rsidRPr="00F70C81">
              <w:rPr>
                <w:b w:val="0"/>
                <w:bCs w:val="0"/>
              </w:rPr>
              <w:t>Free for Aotearoa New Zealand based health professionals.</w:t>
            </w:r>
          </w:p>
          <w:p w14:paraId="6AC34C97" w14:textId="77777777" w:rsidR="00DB1B59" w:rsidRPr="00F70C81" w:rsidRDefault="00DB1B59" w:rsidP="000D7DA2">
            <w:pPr>
              <w:pStyle w:val="Bulletpoint"/>
              <w:spacing w:after="120"/>
              <w:ind w:left="357" w:hanging="357"/>
              <w:rPr>
                <w:b w:val="0"/>
                <w:bCs w:val="0"/>
              </w:rPr>
            </w:pPr>
            <w:r w:rsidRPr="00F70C81">
              <w:rPr>
                <w:b w:val="0"/>
                <w:bCs w:val="0"/>
              </w:rPr>
              <w:t>Validated in Aotearoa New Zealand among older people.</w:t>
            </w:r>
            <w:r w:rsidRPr="00F70C81">
              <w:rPr>
                <w:vertAlign w:val="superscript"/>
              </w:rPr>
              <w:fldChar w:fldCharType="begin"/>
            </w:r>
            <w:r w:rsidRPr="00F70C81">
              <w:rPr>
                <w:b w:val="0"/>
                <w:bCs w:val="0"/>
                <w:vertAlign w:val="superscript"/>
              </w:rPr>
              <w:instrText xml:space="preserve"> ADDIN ZOTERO_ITEM CSL_CITATION {"citationID":"agu3fqcsg6","properties":{"formattedCitation":"\\super 147\\nosupersub{}","plainCitation":"147","noteIndex":0},"citationItems":[{"id":7256,"uris":["http://zotero.org/groups/4325153/items/JLATVQ7A"],"itemData":{"id":7256,"type":"article-journal","abstract":"BACKGROUND: With the ubiquitous Mini-Mental State Exam now under copyright, attention is turning to alternative cognitive screening tests. The aim of the present study was to investigate three common cognitive screening tools: the Montreal Cognitive Assessment (MoCA), the Rowland Universal Dementia Assessment Scale (RUDAS), and the recently revised Addenbrooke's Cognitive Assessment Version III (ACE-III).\nMETHODS: The ACE-III, MoCA and RUDAS were administered in random order to a sample of 37 participants with diagnosed mild dementia and 47 comparison participants without dementia. The diagnostic accuracy of the three tests was assessed.\nRESULTS: All the tests showed good overall accuracy as assessed by area under the ROC Curve, 0.89 (95% CI = 0.80-0.95) for the ACE-III, 0.84 (0.75-0.91) for the MoCA, and 0.86 (0.77-0.93) for RUDAS. The three tests were strongly correlated: r(84) = 0.85 (0.78-0.90) between the ACE-III and MoCA, 0.70 (0.57-0.80) between the ACE-III and RUDAS; and 0.65 (0.50-0.76) between the MoCA and RUDAS. The data derived optimal cut-off points for were lower than the published recommendations for the ACE-III (optimal cut-point ≤76, sensitivity = 81.1%, specificity = 85.1%) and the MoCA (≤20, sensitivity = 78.4%, specificity = 83.0%), but similar for the RUDAS (≤22, sensitivity = 78.4%, specificity = 85.1%).\nCONCLUSIONS: All three tools discriminated well overall between cases of mild dementia and controls. To inform interpretation of these tests in clinical settings, it would be useful for future research to address more inclusive and potentially age-stratified local norms.","container-title":"International Psychogeriatrics","DOI":"10.1017/S1041610214002889","ISSN":"1741-203X","issue":"6","journalAbbreviation":"Int Psychogeriatr","language":"eng","note":"PMID: 25603424","page":"981-989","source":"PubMed","title":"Performance of three cognitive screening tools in a sample of older New Zealanders","volume":"27","author":[{"family":"Cheung","given":"G."},{"family":"Clugston","given":"A."},{"family":"Croucher","given":"M."},{"family":"Malone","given":"D."},{"family":"Mau","given":"E."},{"family":"Sims","given":"A."},{"family":"Gee","given":"S."}],"issued":{"date-parts":[["2015",6]]}}}],"schema":"https://github.com/citation-style-language/schema/raw/master/csl-citation.json"} </w:instrText>
            </w:r>
            <w:r w:rsidRPr="00F70C81">
              <w:rPr>
                <w:vertAlign w:val="superscript"/>
              </w:rPr>
              <w:fldChar w:fldCharType="separate"/>
            </w:r>
            <w:r w:rsidRPr="00F70C81">
              <w:rPr>
                <w:b w:val="0"/>
                <w:bCs w:val="0"/>
                <w:vertAlign w:val="superscript"/>
              </w:rPr>
              <w:t>147</w:t>
            </w:r>
            <w:r w:rsidRPr="00F70C81">
              <w:rPr>
                <w:vertAlign w:val="superscript"/>
              </w:rPr>
              <w:fldChar w:fldCharType="end"/>
            </w:r>
          </w:p>
          <w:p w14:paraId="615E3ACF" w14:textId="77777777" w:rsidR="00DB1B59" w:rsidRPr="00F70C81" w:rsidRDefault="00DB1B59" w:rsidP="000D7DA2">
            <w:pPr>
              <w:pStyle w:val="Bulletpoint"/>
              <w:spacing w:after="120"/>
              <w:ind w:left="357" w:hanging="357"/>
              <w:rPr>
                <w:b w:val="0"/>
                <w:bCs w:val="0"/>
              </w:rPr>
            </w:pPr>
            <w:r w:rsidRPr="00F70C81">
              <w:rPr>
                <w:b w:val="0"/>
                <w:bCs w:val="0"/>
              </w:rPr>
              <w:t>No specialist training required for its use.</w:t>
            </w:r>
          </w:p>
          <w:p w14:paraId="7702FDFF" w14:textId="77777777" w:rsidR="00DB1B59" w:rsidRPr="00096715" w:rsidRDefault="00DB1B59" w:rsidP="00F70C81">
            <w:r w:rsidRPr="00096715">
              <w:t>Cons</w:t>
            </w:r>
          </w:p>
          <w:p w14:paraId="48D727EE" w14:textId="77777777" w:rsidR="00DB1B59" w:rsidRPr="00F70C81" w:rsidRDefault="00DB1B59" w:rsidP="000D7DA2">
            <w:pPr>
              <w:pStyle w:val="Bulletpoint"/>
              <w:spacing w:after="120"/>
              <w:ind w:left="357" w:hanging="357"/>
              <w:rPr>
                <w:b w:val="0"/>
                <w:bCs w:val="0"/>
              </w:rPr>
            </w:pPr>
            <w:r w:rsidRPr="00F70C81">
              <w:rPr>
                <w:b w:val="0"/>
                <w:bCs w:val="0"/>
              </w:rPr>
              <w:t>Not developed for AOD settings.</w:t>
            </w:r>
          </w:p>
          <w:p w14:paraId="0123BEE4" w14:textId="77777777" w:rsidR="00DB1B59" w:rsidRPr="00F70C81" w:rsidRDefault="00DB1B59" w:rsidP="000D7DA2">
            <w:pPr>
              <w:pStyle w:val="Bulletpoint"/>
              <w:spacing w:after="120"/>
              <w:ind w:left="357" w:hanging="357"/>
              <w:rPr>
                <w:b w:val="0"/>
                <w:bCs w:val="0"/>
              </w:rPr>
            </w:pPr>
            <w:r w:rsidRPr="00F70C81">
              <w:rPr>
                <w:b w:val="0"/>
                <w:bCs w:val="0"/>
              </w:rPr>
              <w:t xml:space="preserve">Not reliable for people with limited education, or those with a learning, communication, visual, or other impairment. </w:t>
            </w:r>
          </w:p>
          <w:p w14:paraId="535ED3BE" w14:textId="77777777" w:rsidR="00DB1B59" w:rsidRPr="00F70C81" w:rsidRDefault="00DB1B59" w:rsidP="000D7DA2">
            <w:pPr>
              <w:pStyle w:val="Bulletpoint"/>
              <w:spacing w:after="120"/>
              <w:ind w:left="357" w:hanging="357"/>
              <w:rPr>
                <w:b w:val="0"/>
                <w:bCs w:val="0"/>
              </w:rPr>
            </w:pPr>
            <w:r w:rsidRPr="00F70C81">
              <w:rPr>
                <w:b w:val="0"/>
                <w:bCs w:val="0"/>
              </w:rPr>
              <w:t>Best for dementia screening.</w:t>
            </w:r>
          </w:p>
          <w:p w14:paraId="77EE1296" w14:textId="77777777" w:rsidR="00DB1B59" w:rsidRPr="00F70C81" w:rsidRDefault="00DB1B59" w:rsidP="000D7DA2">
            <w:pPr>
              <w:pStyle w:val="Bulletpoint"/>
              <w:spacing w:after="120"/>
              <w:ind w:left="357" w:hanging="357"/>
              <w:rPr>
                <w:b w:val="0"/>
                <w:bCs w:val="0"/>
              </w:rPr>
            </w:pPr>
            <w:r w:rsidRPr="00F70C81">
              <w:rPr>
                <w:b w:val="0"/>
                <w:bCs w:val="0"/>
              </w:rPr>
              <w:t xml:space="preserve">Takes 20 minutes which is longer than some other screening tools. </w:t>
            </w:r>
          </w:p>
          <w:p w14:paraId="034C05BF" w14:textId="77777777" w:rsidR="00DB1B59" w:rsidRPr="00F70C81" w:rsidRDefault="00000000" w:rsidP="00F70C81">
            <w:pPr>
              <w:rPr>
                <w:rFonts w:cstheme="minorHAnsi"/>
                <w:b w:val="0"/>
                <w:bCs w:val="0"/>
                <w:szCs w:val="24"/>
              </w:rPr>
            </w:pPr>
            <w:hyperlink r:id="rId47" w:history="1">
              <w:r w:rsidR="00DB1B59" w:rsidRPr="00F70C81">
                <w:rPr>
                  <w:rStyle w:val="Hyperlink"/>
                  <w:rFonts w:cstheme="minorHAnsi"/>
                  <w:b/>
                  <w:bCs w:val="0"/>
                  <w:color w:val="000000" w:themeColor="text1"/>
                  <w:szCs w:val="24"/>
                </w:rPr>
                <w:t>Find the tool, scoring, and training information on the Sydney University website.</w:t>
              </w:r>
            </w:hyperlink>
            <w:r w:rsidR="00DB1B59" w:rsidRPr="00F70C81">
              <w:rPr>
                <w:rFonts w:cstheme="minorHAnsi"/>
                <w:b w:val="0"/>
                <w:bCs w:val="0"/>
                <w:color w:val="000000" w:themeColor="text1"/>
                <w:szCs w:val="24"/>
              </w:rPr>
              <w:t xml:space="preserve"> </w:t>
            </w:r>
          </w:p>
        </w:tc>
      </w:tr>
    </w:tbl>
    <w:p w14:paraId="7648B738" w14:textId="77777777" w:rsidR="000D7DA2" w:rsidRDefault="000D7DA2" w:rsidP="00F70C81"/>
    <w:p w14:paraId="0EA650FA" w14:textId="3B84F21B" w:rsidR="00DB1B59" w:rsidRPr="00096715" w:rsidRDefault="00DB1B59" w:rsidP="00F70C81">
      <w:pPr>
        <w:rPr>
          <w:color w:val="2B579A"/>
          <w:shd w:val="clear" w:color="auto" w:fill="E6E6E6"/>
        </w:rPr>
      </w:pPr>
      <w:r w:rsidRPr="00096715">
        <w:t>Note: The Mini Mental State Examination (MMSE) is not recommended in AOD settings for cognitive impairment screening.</w:t>
      </w:r>
      <w:r w:rsidRPr="00096715">
        <w:rPr>
          <w:color w:val="2B579A"/>
          <w:shd w:val="clear" w:color="auto" w:fill="E6E6E6"/>
        </w:rPr>
        <w:fldChar w:fldCharType="begin"/>
      </w:r>
      <w:r w:rsidRPr="00096715">
        <w:instrText xml:space="preserve"> ADDIN ZOTERO_ITEM CSL_CITATION {"citationID":"jug1UoZk","properties":{"formattedCitation":"\\super 2,3\\nosupersub{}","plainCitation":"2,3","noteIndex":0},"citationItems":[{"id":14006,"uris":["http://zotero.org/groups/4745233/items/TW3KE9KV"],"itemData":{"id":14006,"type":"article-journal","abstract":"Objectives:Cognitive impairment is common in individuals with substance use disorders (SUDs), yet no evidence-based guidelines exist regarding the most appropriate screening measure for use in this population. This systematic review aimed to (1) describe different cognitive screening measures used in adults with SUDs, (2) identify substance use populations and contexts these tools are utilised in, (3) review diagnostic accuracy of these screening measures versus an accepted objective reference standard, and (4) evaluate methodology of included studies for risk of bias.Methods:Online databases (PsycINFO, MEDLINE, Embase, and CINAHL) were searched for relevant studies according to pre-determined criteria, and risk of bias and applicability was assessed using the Quality Assessment of Diagnostic Accuracy Studies–2 (QUADAS–2). At each review phase, dual screening, extraction, and quality ratings were performed.Results:Fourteen studies met inclusion, identifying 10 unique cognitive screening tools. The Montreal Cognitive Assessment (MoCA) was the most common, and two novel screening tools (Brief Evaluation of Alcohol-Related Neuropsychological Impairments [BEARNI] and Brief Executive Function Assessment Tool [BEAT]) were specifically developed for use within SUD populations. Twelve studies reported on classification accuracy and relevant psychometric parameters (e.g., sensitivity and specificity). While several tools yielded acceptable to outstanding classification accuracy, there was poor adherence to the Standards for Reporting Diagnostic Accuracy Studies (STARD) across all studies, with high or unclear risk of methodological bias.Conclusions:While some screening tools exhibit promise for use within SUD populations, further evaluation with stronger methodological design and reporting is required. Clinical recommendations and future directions for research are discussed.","container-title":"Journal of the International Neuropsychological Society","DOI":"10.1017/S135561772100103X","ISSN":"1355-6177, 1469-7661","language":"en","note":"publisher: Cambridge University Press","page":"1-24","source":"Cambridge University Press","title":"Screening tools for cognitive impairment in adults with substance use disorders: A systematic review","title-short":"Screening Tools for Cognitive Impairment in Adults with Substance Use Disorders","author":[{"family":"Ko","given":"Katherine Y."},{"family":"Ridley","given":"Nicole"},{"family":"Bryce","given":"Shayden D."},{"family":"Allott","given":"Kelly"},{"family":"Smith","given":"Angela"},{"family":"Kamminga","given":"Jody"}],"issued":{"date-parts":[["2022"]]}}},{"id":14007,"uris":["http://zotero.org/groups/4745233/items/U3GGYCKU"],"itemData":{"id":14007,"type":"report","event-place":"Richmond, Victoria","language":"en","publisher":"Turning Point","publisher-place":"Richmond, Victoria","source":"Zotero","title":"Managing Cognitive Impairment in AOD Treatment: Practice Guidelines for Healthcare Professionals","URL":"https://www.turningpoint.org.au/treatment/clinicians/Managing-Cognitive-Impairment-in-AOD-Treatment-Guidelines","author":[{"family":"Manning","given":"Victoria"},{"family":"Gooden","given":"James"},{"family":"Cox","given":"Catherine"},{"family":"Whelan","given":"Danielle"},{"family":"Miroz","given":"Katherine"}],"issued":{"date-parts":[["2021"]]}}}],"schema":"https://github.com/citation-style-language/schema/raw/master/csl-citation.json"} </w:instrText>
      </w:r>
      <w:r w:rsidRPr="00096715">
        <w:rPr>
          <w:color w:val="2B579A"/>
          <w:shd w:val="clear" w:color="auto" w:fill="E6E6E6"/>
        </w:rPr>
        <w:fldChar w:fldCharType="separate"/>
      </w:r>
      <w:r w:rsidRPr="00096715">
        <w:rPr>
          <w:vertAlign w:val="superscript"/>
        </w:rPr>
        <w:t>2,3</w:t>
      </w:r>
      <w:r w:rsidRPr="00096715">
        <w:rPr>
          <w:color w:val="2B579A"/>
          <w:shd w:val="clear" w:color="auto" w:fill="E6E6E6"/>
        </w:rPr>
        <w:fldChar w:fldCharType="end"/>
      </w:r>
    </w:p>
    <w:p w14:paraId="337C4BDB" w14:textId="77777777" w:rsidR="000D7DA2" w:rsidRDefault="000D7DA2" w:rsidP="00DB1B59">
      <w:pPr>
        <w:rPr>
          <w:rFonts w:cstheme="minorHAnsi"/>
          <w:b/>
          <w:bCs/>
          <w:color w:val="1E7880" w:themeColor="accent2" w:themeShade="BF"/>
          <w:szCs w:val="24"/>
        </w:rPr>
      </w:pPr>
    </w:p>
    <w:p w14:paraId="643F5CED" w14:textId="77777777" w:rsidR="000D7DA2" w:rsidRDefault="000D7DA2" w:rsidP="00DB1B59">
      <w:pPr>
        <w:rPr>
          <w:rFonts w:cstheme="minorHAnsi"/>
          <w:b/>
          <w:bCs/>
          <w:color w:val="1E7880" w:themeColor="accent2" w:themeShade="BF"/>
          <w:szCs w:val="24"/>
        </w:rPr>
      </w:pPr>
    </w:p>
    <w:p w14:paraId="4E777D1A" w14:textId="77777777" w:rsidR="000D7DA2" w:rsidRDefault="000D7DA2" w:rsidP="00DB1B59">
      <w:pPr>
        <w:rPr>
          <w:rFonts w:cstheme="minorHAnsi"/>
          <w:b/>
          <w:bCs/>
          <w:color w:val="1E7880" w:themeColor="accent2" w:themeShade="BF"/>
          <w:szCs w:val="24"/>
        </w:rPr>
      </w:pPr>
    </w:p>
    <w:p w14:paraId="01B4C310" w14:textId="77777777" w:rsidR="00A440F4" w:rsidRDefault="00A440F4" w:rsidP="00DB1B59">
      <w:pPr>
        <w:rPr>
          <w:rFonts w:cstheme="minorHAnsi"/>
          <w:b/>
          <w:bCs/>
          <w:color w:val="1E7880" w:themeColor="accent2" w:themeShade="BF"/>
          <w:szCs w:val="24"/>
        </w:rPr>
      </w:pPr>
    </w:p>
    <w:p w14:paraId="1D7D46D0" w14:textId="6DDCE62F" w:rsidR="00DB1B59" w:rsidRPr="00A440F4" w:rsidRDefault="00DB1B59" w:rsidP="00DB1B59">
      <w:pPr>
        <w:rPr>
          <w:rStyle w:val="normaltextrun"/>
          <w:rFonts w:cstheme="minorHAnsi"/>
          <w:b/>
          <w:bCs/>
          <w:color w:val="1E7880" w:themeColor="accent2" w:themeShade="BF"/>
          <w:sz w:val="28"/>
          <w:szCs w:val="28"/>
        </w:rPr>
      </w:pPr>
      <w:r w:rsidRPr="00A440F4">
        <w:rPr>
          <w:rFonts w:cstheme="minorHAnsi"/>
          <w:b/>
          <w:bCs/>
          <w:color w:val="1E7880" w:themeColor="accent2" w:themeShade="BF"/>
          <w:sz w:val="28"/>
          <w:szCs w:val="28"/>
        </w:rPr>
        <w:t>Self-report</w:t>
      </w:r>
      <w:r w:rsidRPr="00A440F4">
        <w:rPr>
          <w:rStyle w:val="normaltextrun"/>
          <w:rFonts w:cstheme="minorHAnsi"/>
          <w:b/>
          <w:bCs/>
          <w:color w:val="1E7880" w:themeColor="accent2" w:themeShade="BF"/>
          <w:sz w:val="28"/>
          <w:szCs w:val="28"/>
        </w:rPr>
        <w:t xml:space="preserve"> tools</w:t>
      </w:r>
    </w:p>
    <w:p w14:paraId="6A1251AE" w14:textId="77777777" w:rsidR="00DB1B59" w:rsidRPr="00096715" w:rsidRDefault="00DB1B59" w:rsidP="00F70C81">
      <w:r w:rsidRPr="00096715">
        <w:t xml:space="preserve">Tāngata whai ora can fill in some tools themselves that can be useful alongside information from administered screening tools. </w:t>
      </w:r>
    </w:p>
    <w:p w14:paraId="5BD48249" w14:textId="77777777" w:rsidR="00DB1B59" w:rsidRPr="00096715" w:rsidRDefault="00DB1B59" w:rsidP="00F70C81">
      <w:r w:rsidRPr="00096715">
        <w:t>The Behaviour Rating Inventory of Executive Function (BRIEF-A) and the Alcohol and Drug Cognitive Enhancement (ACE) Screening Tool have been validated in AOD settings.</w:t>
      </w:r>
      <w:r w:rsidRPr="00096715">
        <w:rPr>
          <w:color w:val="2B579A"/>
        </w:rPr>
        <w:fldChar w:fldCharType="begin"/>
      </w:r>
      <w:r w:rsidRPr="00096715">
        <w:instrText xml:space="preserve"> ADDIN ZOTERO_ITEM CSL_CITATION {"citationID":"EXndOVCc","properties":{"formattedCitation":"\\super 3,148,149\\nosupersub{}","plainCitation":"3,148,149","noteIndex":0},"citationItems":[{"id":7258,"uris":["http://zotero.org/groups/4325153/items/H63XQRBW"],"itemData":{"id":7258,"type":"article-journal","abstract":"The objective of this study was to determine the test-retest reliability; construct and criterion validity; and test operating characteristics of a newly developed cognitive impairment risk factor screening instrument, the Alcohol and Drug Cognitive Enhancement (ACE) Screening Tool. Participants in the validation study were 129 adults with substance use disorder (SUD) enrolled in residential SUD treatment services and 209 normal controls. Test and retest data were available for 36 participants with SUD and 40 normal control individuals on the ACE Screening Tool. Test-retest reliability was excellent (ICC = 0.97). The ACE Screening Tool was significantly correlated with the Montreal Cognitive Assessment (MoCA), Behavior Rating Inventory of Executive Functioning-Adult Version (BRIEF-A), Test of Premorbid Functioning (TOPF) and Five Point Test, establishing construct validity. Criterion validity was established using a ternary severity variable constructed using results obtained on the MoCA and BRIEF-A. Test operating characteristics analysis showed 93% sensitivity, 46% specificity, 33% positive predictive power, and 96% negative predictive power using a cut-score of &gt;3. Those high levels of sensitivity and negative predictive power indicated that the tool would likely detect cognitive impairment when present and should therefore be considered suitable as an initial screening tool for cognitive impairment in individuals attending SUD services.","container-title":"Applied Neuropsychology. Adult","DOI":"10.1080/23279095.2021.1888727","ISSN":"2327-9109","issue":"6","journalAbbreviation":"Appl Neuropsychol Adult","language":"eng","note":"PMID: 33646853","page":"1450-1457","source":"PubMed","title":"The Alcohol and Drug Cognitive Enhancement (ACE) Screening Tool: A simple and brief questionnaire to screen for cognitive impairment in substance use disorder treatment services","title-short":"The Alcohol and Drug Cognitive Enhancement (ACE) Screening Tool","volume":"29","author":[{"family":"Berry","given":"Jamie"},{"family":"Shores","given":"E. Arthur"},{"family":"Lunn","given":"Jo"},{"family":"Sedwell","given":"Antoinette"},{"family":"Nardo","given":"Talia"},{"family":"Wesseling","given":"Ashleigh"},{"family":"Batchelor","given":"Jennifer"}],"issued":{"date-parts":[["2022"]]}}},{"id":14212,"uris":["http://zotero.org/groups/4745233/items/9JRNS5AA"],"itemData":{"id":14212,"type":"article-journal","abstract":"INTRODUCTION: Chronic polysubstance abuse (SUD) is associated with neurophysiological and neuroanatomical changes. Neurocognitive impairment tends to affect quality of life, occupational functioning, and the ability to benefit from therapy. Neurocognitive assessment is thus of importance, but costly and not widely available. Therefore, in a busy clinical setting, procedures that include readily available measures targeting core cognitive deficits would be beneficial. This paper investigates the utility of psychometric tests and a questionnaire-based inventory to assess \"hot\" and \"cold\" neurocognitive measures of executive functions (EF) in adults with a substance use disorder. Hot decision-making processes are associated with emotional, affective, and visceral responses, while cold executive functions are associated with rational decision-making.\nMATERIAL AND METHODS: Subjects with polysubstance abuse (n=126) and healthy controls (n=32) were compared on hot (Iowa Gambling Task) and cold (Stroop and the Trail Making Test) measures of EF, in addition to a questionnaire assessing everyday EF related problems (BRIEF-A; Behavior Rating Inventory of Executive Function - Adult, self-report version). Information about the substance abuse and social adjustment were assessed by self-report. Logistic regression analyses were applied to assess independent correlates of SUD status and social adjustment. A multiple linear regression was performed to predict the number of previous treatment attempts.\nRESULTS: The psychometric test of hot EF (the Iowa Gambling Task) did not differentiate the patients with polysubstance abuse from controls, and was not associated with social adjustment. The psychometric tests of cold EF distinguished somewhat between the groups and were associated with one indicator of social adjustment. The BRIEF-A differentiated between groups on all the clinical scales and was associated with three out of five social adjustment indicators (\"criminal lifestyle,\" \"conflict with caregiver,\" and \"stable housing.\").\nCONCLUSIONS: The BRIEF-A inventory was the most sensitive measure of executive function in patients with substance use disorder, followed by measures of cold executive function. BRIEF-A should therefore be considered as an integral part of the clinical routine when assessing patients with SUD.","container-title":"Journal of Substance Abuse Treatment","DOI":"10.1016/j.jsat.2016.02.010","ISSN":"1873-6483","journalAbbreviation":"J Subst Abuse Treat","language":"eng","note":"PMID: 27211990","page":"1-8","source":"PubMed","title":"Assessment of executive function in patients with substance use disorder: A comparison of inventory- and performance-based assessment","title-short":"Assessment of Executive Function in Patients With Substance Use Disorder","volume":"66","author":[{"family":"Hagen","given":"Egon"},{"family":"Erga","given":"Aleksander H."},{"family":"Hagen","given":"Katrin P."},{"family":"Nesvåg","given":"Sverre M."},{"family":"McKay","given":"James R."},{"family":"Lundervold","given":"Astri J."},{"family":"Walderhaug","given":"Espen"}],"issued":{"date-parts":[["2016",7]]}}},{"id":14007,"uris":["http://zotero.org/groups/4745233/items/U3GGYCKU"],"itemData":{"id":14007,"type":"report","event-place":"Richmond, Victoria","language":"en","publisher":"Turning Point","publisher-place":"Richmond, Victoria","source":"Zotero","title":"Managing Cognitive Impairment in AOD Treatment: Practice Guidelines for Healthcare Professionals","URL":"https://www.turningpoint.org.au/treatment/clinicians/Managing-Cognitive-Impairment-in-AOD-Treatment-Guidelines","author":[{"family":"Manning","given":"Victoria"},{"family":"Gooden","given":"James"},{"family":"Cox","given":"Catherine"},{"family":"Whelan","given":"Danielle"},{"family":"Miroz","given":"Katherine"}],"issued":{"date-parts":[["2021"]]}}}],"schema":"https://github.com/citation-style-language/schema/raw/master/csl-citation.json"} </w:instrText>
      </w:r>
      <w:r w:rsidRPr="00096715">
        <w:rPr>
          <w:color w:val="2B579A"/>
        </w:rPr>
        <w:fldChar w:fldCharType="separate"/>
      </w:r>
      <w:r w:rsidRPr="00096715">
        <w:rPr>
          <w:vertAlign w:val="superscript"/>
        </w:rPr>
        <w:t>3,148,149</w:t>
      </w:r>
      <w:r w:rsidRPr="00096715">
        <w:rPr>
          <w:color w:val="2B579A"/>
        </w:rPr>
        <w:fldChar w:fldCharType="end"/>
      </w:r>
    </w:p>
    <w:p w14:paraId="029710F3" w14:textId="77777777" w:rsidR="00DB1B59" w:rsidRPr="00C664CB" w:rsidRDefault="00DB1B59" w:rsidP="00F70C81">
      <w:pPr>
        <w:pStyle w:val="Bulletpoint"/>
      </w:pPr>
      <w:r w:rsidRPr="00C664CB">
        <w:t xml:space="preserve">The ACE takes 2 minutes and is recommended as part of a two-stage process, followed by a worker-administered screening tool like those outlined above. It is available for free. </w:t>
      </w:r>
      <w:hyperlink r:id="rId48" w:history="1">
        <w:r w:rsidRPr="00C664CB">
          <w:rPr>
            <w:rStyle w:val="Hyperlink"/>
            <w:rFonts w:cstheme="minorHAnsi"/>
            <w:sz w:val="22"/>
          </w:rPr>
          <w:t>Learn more about the ACE on the Agency for Clinical Innovation website.</w:t>
        </w:r>
      </w:hyperlink>
      <w:r w:rsidRPr="00C664CB">
        <w:t xml:space="preserve"> </w:t>
      </w:r>
    </w:p>
    <w:p w14:paraId="7871F95D" w14:textId="77777777" w:rsidR="00DB1B59" w:rsidRDefault="00DB1B59" w:rsidP="00F70C81">
      <w:pPr>
        <w:pStyle w:val="Bulletpoint"/>
        <w:rPr>
          <w:rStyle w:val="Hyperlink"/>
          <w:rFonts w:cstheme="minorHAnsi"/>
          <w:sz w:val="22"/>
        </w:rPr>
      </w:pPr>
      <w:bookmarkStart w:id="1208" w:name="_Toc178780127"/>
      <w:bookmarkStart w:id="1209" w:name="_Toc178838893"/>
      <w:bookmarkStart w:id="1210" w:name="_Toc178839080"/>
      <w:bookmarkStart w:id="1211" w:name="_Toc178839201"/>
      <w:bookmarkStart w:id="1212" w:name="_Toc178839429"/>
      <w:bookmarkStart w:id="1213" w:name="_Toc178841639"/>
      <w:bookmarkStart w:id="1214" w:name="_Toc179198199"/>
      <w:bookmarkStart w:id="1215" w:name="_Toc179198447"/>
      <w:bookmarkStart w:id="1216" w:name="_Toc179198555"/>
      <w:bookmarkStart w:id="1217" w:name="_Toc179198662"/>
      <w:bookmarkStart w:id="1218" w:name="_Toc179446106"/>
      <w:r w:rsidRPr="00C2411B">
        <w:t xml:space="preserve">The BRIEF-A takes 10 to 15 minutes and can also be completed by whānau. There is a cost for the manual and forms. Psychologists or psychiatrists are required to interpret the information. </w:t>
      </w:r>
      <w:hyperlink r:id="rId49" w:history="1">
        <w:r w:rsidRPr="00C2411B">
          <w:rPr>
            <w:rStyle w:val="Hyperlink"/>
            <w:rFonts w:cstheme="minorHAnsi"/>
            <w:sz w:val="22"/>
          </w:rPr>
          <w:t>Learn more about the BRIEF-A on the PAR website.</w:t>
        </w:r>
        <w:bookmarkEnd w:id="1208"/>
        <w:bookmarkEnd w:id="1209"/>
        <w:bookmarkEnd w:id="1210"/>
        <w:bookmarkEnd w:id="1211"/>
        <w:bookmarkEnd w:id="1212"/>
        <w:bookmarkEnd w:id="1213"/>
        <w:bookmarkEnd w:id="1214"/>
        <w:bookmarkEnd w:id="1215"/>
        <w:bookmarkEnd w:id="1216"/>
        <w:bookmarkEnd w:id="1217"/>
        <w:bookmarkEnd w:id="1218"/>
      </w:hyperlink>
    </w:p>
    <w:p w14:paraId="0575A99B" w14:textId="77777777" w:rsidR="000D7DA2" w:rsidRPr="000D7DA2" w:rsidRDefault="000D7DA2" w:rsidP="000D7DA2"/>
    <w:p w14:paraId="477862BE" w14:textId="77777777" w:rsidR="00DB1B59" w:rsidRPr="00A440F4" w:rsidRDefault="00DB1B59" w:rsidP="00DB1B59">
      <w:pPr>
        <w:rPr>
          <w:b/>
          <w:bCs/>
          <w:color w:val="1E7880" w:themeColor="accent2" w:themeShade="BF"/>
          <w:sz w:val="28"/>
          <w:szCs w:val="28"/>
        </w:rPr>
      </w:pPr>
      <w:bookmarkStart w:id="1219" w:name="_Toc142655466"/>
      <w:bookmarkStart w:id="1220" w:name="_Toc144657437"/>
      <w:bookmarkStart w:id="1221" w:name="_Toc145670711"/>
      <w:bookmarkStart w:id="1222" w:name="_Toc145854325"/>
      <w:bookmarkStart w:id="1223" w:name="_Toc146024255"/>
      <w:bookmarkStart w:id="1224" w:name="_Toc146624835"/>
      <w:bookmarkStart w:id="1225" w:name="_Toc146714196"/>
      <w:bookmarkStart w:id="1226" w:name="_Toc178780128"/>
      <w:bookmarkStart w:id="1227" w:name="_Toc178838894"/>
      <w:bookmarkStart w:id="1228" w:name="_Toc178839081"/>
      <w:bookmarkStart w:id="1229" w:name="_Toc178839202"/>
      <w:bookmarkStart w:id="1230" w:name="_Toc178839430"/>
      <w:bookmarkStart w:id="1231" w:name="_Toc178841640"/>
      <w:bookmarkStart w:id="1232" w:name="_Toc179198200"/>
      <w:bookmarkStart w:id="1233" w:name="_Toc179198448"/>
      <w:bookmarkStart w:id="1234" w:name="_Toc179198556"/>
      <w:bookmarkStart w:id="1235" w:name="_Toc179198663"/>
      <w:bookmarkStart w:id="1236" w:name="_Toc179446107"/>
      <w:r w:rsidRPr="00A440F4">
        <w:rPr>
          <w:b/>
          <w:bCs/>
          <w:color w:val="1E7880" w:themeColor="accent2" w:themeShade="BF"/>
          <w:sz w:val="28"/>
          <w:szCs w:val="28"/>
        </w:rPr>
        <w:t>Information to inform referral for a neuropsychological assessment</w:t>
      </w:r>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r w:rsidRPr="00A440F4">
        <w:rPr>
          <w:b/>
          <w:bCs/>
          <w:color w:val="1E7880" w:themeColor="accent2" w:themeShade="BF"/>
          <w:sz w:val="28"/>
          <w:szCs w:val="28"/>
        </w:rPr>
        <w:t xml:space="preserve"> </w:t>
      </w:r>
    </w:p>
    <w:p w14:paraId="7070EA76" w14:textId="77777777" w:rsidR="00DB1B59" w:rsidRPr="00B07F93" w:rsidRDefault="00DB1B59" w:rsidP="00F70C81">
      <w:r w:rsidRPr="00B07F93">
        <w:t xml:space="preserve">Either a neuropsychologist or clinical psychologist can undertake neuropsychological assessments.  </w:t>
      </w:r>
    </w:p>
    <w:p w14:paraId="36DFB019" w14:textId="77777777" w:rsidR="00DB1B59" w:rsidRDefault="00DB1B59" w:rsidP="00F70C81">
      <w:pPr>
        <w:rPr>
          <w:rFonts w:eastAsia="Segoe UI" w:cs="Arial"/>
        </w:rPr>
      </w:pPr>
      <w:r w:rsidRPr="00B07F93">
        <w:t>Neuropsychological assessments can take a few hours (sometimes over multiple days), and include detailed information gathering, review of records, behavioural observation, and administration of in-depth measures of cognitive function.</w:t>
      </w:r>
      <w:r w:rsidRPr="00B07F93">
        <w:fldChar w:fldCharType="begin"/>
      </w:r>
      <w:r w:rsidRPr="00B07F93">
        <w:instrText xml:space="preserve"> ADDIN ZOTERO_ITEM CSL_CITATION {"citationID":"a2m1nhoc9fc","properties":{"formattedCitation":"\\super 3\\nosupersub{}","plainCitation":"3","noteIndex":0},"citationItems":[{"id":14007,"uris":["http://zotero.org/groups/4745233/items/U3GGYCKU"],"itemData":{"id":14007,"type":"report","event-place":"Richmond, Victoria","language":"en","publisher":"Turning Point","publisher-place":"Richmond, Victoria","source":"Zotero","title":"Managing Cognitive Impairment in AOD Treatment: Practice Guidelines for Healthcare Professionals","URL":"https://www.turningpoint.org.au/treatment/clinicians/Managing-Cognitive-Impairment-in-AOD-Treatment-Guidelines","author":[{"family":"Manning","given":"Victoria"},{"family":"Gooden","given":"James"},{"family":"Cox","given":"Catherine"},{"family":"Whelan","given":"Danielle"},{"family":"Miroz","given":"Katherine"}],"issued":{"date-parts":[["2021"]]}}}],"schema":"https://github.com/citation-style-language/schema/raw/master/csl-citation.json"} </w:instrText>
      </w:r>
      <w:r w:rsidRPr="00B07F93">
        <w:fldChar w:fldCharType="separate"/>
      </w:r>
      <w:r w:rsidRPr="00B07F93">
        <w:rPr>
          <w:rFonts w:cs="Arial"/>
          <w:vertAlign w:val="superscript"/>
        </w:rPr>
        <w:t>3</w:t>
      </w:r>
      <w:r w:rsidRPr="00B07F93">
        <w:fldChar w:fldCharType="end"/>
      </w:r>
      <w:r w:rsidRPr="00B07F93">
        <w:t xml:space="preserve"> Examples of measures include the Wechsler Adult Intelligence Scale 4th edition (</w:t>
      </w:r>
      <w:r w:rsidRPr="00B07F93">
        <w:rPr>
          <w:rFonts w:eastAsia="Segoe UI" w:cs="Arial"/>
        </w:rPr>
        <w:t xml:space="preserve">WAIS-IV), Wechsler Memory Scale 4th edition (WMS-IV), and the Delis-Kaplan Executive Function System (D-KEFS). </w:t>
      </w:r>
    </w:p>
    <w:p w14:paraId="0A140020" w14:textId="77777777" w:rsidR="000D7DA2" w:rsidRPr="00B07F93" w:rsidRDefault="000D7DA2" w:rsidP="00F70C81">
      <w:pPr>
        <w:rPr>
          <w:rFonts w:eastAsia="Segoe UI" w:cs="Arial"/>
        </w:rPr>
      </w:pPr>
    </w:p>
    <w:p w14:paraId="3E73730B" w14:textId="77777777" w:rsidR="00DB1B59" w:rsidRPr="00A440F4" w:rsidRDefault="00DB1B59" w:rsidP="00DB1B59">
      <w:pPr>
        <w:rPr>
          <w:b/>
          <w:bCs/>
          <w:color w:val="1E7880" w:themeColor="accent2" w:themeShade="BF"/>
          <w:sz w:val="28"/>
          <w:szCs w:val="28"/>
        </w:rPr>
      </w:pPr>
      <w:r w:rsidRPr="00A440F4">
        <w:rPr>
          <w:b/>
          <w:bCs/>
          <w:color w:val="1E7880" w:themeColor="accent2" w:themeShade="BF"/>
          <w:sz w:val="28"/>
          <w:szCs w:val="28"/>
        </w:rPr>
        <w:t>Considerations when referring for a neuropsychologist assessment</w:t>
      </w:r>
    </w:p>
    <w:p w14:paraId="6E113D2B" w14:textId="77777777" w:rsidR="00DB1B59" w:rsidRPr="005B544A" w:rsidRDefault="00DB1B59" w:rsidP="00F70C81">
      <w:r w:rsidRPr="005B544A">
        <w:t>Consider the following questions before making a referral for a neuropsychological assessment.</w:t>
      </w:r>
      <w:r w:rsidRPr="005B544A">
        <w:rPr>
          <w:color w:val="2B579A"/>
          <w:shd w:val="clear" w:color="auto" w:fill="E6E6E6"/>
        </w:rPr>
        <w:fldChar w:fldCharType="begin"/>
      </w:r>
      <w:r w:rsidRPr="005B544A">
        <w:instrText xml:space="preserve"> ADDIN ZOTERO_ITEM CSL_CITATION {"citationID":"Ye9EtL1d","properties":{"formattedCitation":"\\super 3\\nosupersub{}","plainCitation":"3","noteIndex":0},"citationItems":[{"id":14007,"uris":["http://zotero.org/groups/4745233/items/U3GGYCKU"],"itemData":{"id":14007,"type":"report","event-place":"Richmond, Victoria","language":"en","publisher":"Turning Point","publisher-place":"Richmond, Victoria","source":"Zotero","title":"Managing Cognitive Impairment in AOD Treatment: Practice Guidelines for Healthcare Professionals","URL":"https://www.turningpoint.org.au/treatment/clinicians/Managing-Cognitive-Impairment-in-AOD-Treatment-Guidelines","author":[{"family":"Manning","given":"Victoria"},{"family":"Gooden","given":"James"},{"family":"Cox","given":"Catherine"},{"family":"Whelan","given":"Danielle"},{"family":"Miroz","given":"Katherine"}],"issued":{"date-parts":[["2021"]]}}}],"schema":"https://github.com/citation-style-language/schema/raw/master/csl-citation.json"} </w:instrText>
      </w:r>
      <w:r w:rsidRPr="005B544A">
        <w:rPr>
          <w:color w:val="2B579A"/>
          <w:shd w:val="clear" w:color="auto" w:fill="E6E6E6"/>
        </w:rPr>
        <w:fldChar w:fldCharType="separate"/>
      </w:r>
      <w:r w:rsidRPr="005B544A">
        <w:rPr>
          <w:vertAlign w:val="superscript"/>
        </w:rPr>
        <w:t>3</w:t>
      </w:r>
      <w:r w:rsidRPr="005B544A">
        <w:rPr>
          <w:color w:val="2B579A"/>
          <w:shd w:val="clear" w:color="auto" w:fill="E6E6E6"/>
        </w:rPr>
        <w:fldChar w:fldCharType="end"/>
      </w:r>
      <w:r w:rsidRPr="005B544A">
        <w:t xml:space="preserve"> </w:t>
      </w:r>
    </w:p>
    <w:p w14:paraId="26648219" w14:textId="77777777" w:rsidR="00DB1B59" w:rsidRPr="005B544A" w:rsidRDefault="00DB1B59" w:rsidP="00F70C81">
      <w:pPr>
        <w:pStyle w:val="Bulletpoint"/>
      </w:pPr>
      <w:r w:rsidRPr="005B544A">
        <w:t>Does the tangata whai ora want to have a neuropsychological assessment? Do they understand why they’re being referred and why a neuropsychological</w:t>
      </w:r>
      <w:r w:rsidRPr="005B544A" w:rsidDel="001E674C">
        <w:t xml:space="preserve"> </w:t>
      </w:r>
      <w:r w:rsidRPr="005B544A">
        <w:t>assessment may be needed?</w:t>
      </w:r>
    </w:p>
    <w:p w14:paraId="78DFCD13" w14:textId="77777777" w:rsidR="00DB1B59" w:rsidRPr="005B544A" w:rsidRDefault="00DB1B59" w:rsidP="00F70C81">
      <w:pPr>
        <w:pStyle w:val="Bulletpoint"/>
      </w:pPr>
      <w:r w:rsidRPr="005B544A">
        <w:t>Do you have a clear referral question and reason for referral? (Is it necessary?)</w:t>
      </w:r>
    </w:p>
    <w:p w14:paraId="3CCB437F" w14:textId="77777777" w:rsidR="00DB1B59" w:rsidRPr="005B544A" w:rsidRDefault="00DB1B59" w:rsidP="00F70C81">
      <w:pPr>
        <w:pStyle w:val="Bulletpoint"/>
      </w:pPr>
      <w:r w:rsidRPr="005B544A">
        <w:lastRenderedPageBreak/>
        <w:t>Does the tangata whai ora know what to bring with them to the assessment?</w:t>
      </w:r>
    </w:p>
    <w:p w14:paraId="5CE920B3" w14:textId="77777777" w:rsidR="00DB1B59" w:rsidRPr="005B544A" w:rsidRDefault="00DB1B59" w:rsidP="00F70C81">
      <w:pPr>
        <w:pStyle w:val="Bulletpoint"/>
      </w:pPr>
      <w:r w:rsidRPr="005B544A">
        <w:t>Have you checked expectations around substance use before the assessment? Have you communicated the requirements to the tangata whai ora?</w:t>
      </w:r>
    </w:p>
    <w:p w14:paraId="76984A64" w14:textId="77777777" w:rsidR="00DB1B59" w:rsidRPr="005B544A" w:rsidRDefault="00DB1B59" w:rsidP="00F70C81">
      <w:pPr>
        <w:pStyle w:val="Bulletpoint"/>
      </w:pPr>
      <w:r w:rsidRPr="005B544A">
        <w:t>Does the tangata whai ora know how to get to the assessment, do you need to remind them?</w:t>
      </w:r>
    </w:p>
    <w:p w14:paraId="4B6AD696" w14:textId="77777777" w:rsidR="00DB1B59" w:rsidRPr="005B544A" w:rsidRDefault="00DB1B59" w:rsidP="00F70C81">
      <w:pPr>
        <w:pStyle w:val="Bulletpoint"/>
      </w:pPr>
      <w:r w:rsidRPr="005B544A">
        <w:t xml:space="preserve">Can the assessment accommodate whānau if the tangata whai ora wants them to be involved? </w:t>
      </w:r>
    </w:p>
    <w:p w14:paraId="5CB726DC" w14:textId="77777777" w:rsidR="00DB1B59" w:rsidRPr="005B544A" w:rsidRDefault="00DB1B59" w:rsidP="00F70C81">
      <w:pPr>
        <w:pStyle w:val="Bulletpoint"/>
      </w:pPr>
      <w:r w:rsidRPr="005B544A">
        <w:t>Is there the possibility of doing the assessment in the home of the tangata whai ora or another place where they feel more comfortable?</w:t>
      </w:r>
    </w:p>
    <w:p w14:paraId="795AB51D" w14:textId="77777777" w:rsidR="00DB1B59" w:rsidRPr="005B544A" w:rsidRDefault="00DB1B59" w:rsidP="00F70C81">
      <w:pPr>
        <w:pStyle w:val="Bulletpoint"/>
      </w:pPr>
      <w:r w:rsidRPr="005B544A">
        <w:t>Is there resourcing to help with travel to the assessment if it is outside of the home?</w:t>
      </w:r>
    </w:p>
    <w:p w14:paraId="27E308A8" w14:textId="77777777" w:rsidR="00DB1B59" w:rsidRPr="005B544A" w:rsidRDefault="00DB1B59" w:rsidP="00F70C81">
      <w:pPr>
        <w:pStyle w:val="Bulletpoint"/>
      </w:pPr>
      <w:r w:rsidRPr="005B544A">
        <w:t>Is there an accurate history and knowledge of whether previous neuropsychological assessments have been recently conducted?</w:t>
      </w:r>
    </w:p>
    <w:p w14:paraId="4BCFD6E5" w14:textId="77777777" w:rsidR="00DB1B59" w:rsidRPr="005B544A" w:rsidRDefault="00DB1B59" w:rsidP="00F70C81">
      <w:pPr>
        <w:pStyle w:val="Bulletpoint"/>
      </w:pPr>
      <w:r w:rsidRPr="005B544A">
        <w:t>Who will explain the results to the person, whānau, and (if needed) other agencies?</w:t>
      </w:r>
    </w:p>
    <w:p w14:paraId="7F73DC10" w14:textId="77777777" w:rsidR="00DB1B59" w:rsidRPr="005B544A" w:rsidRDefault="00DB1B59" w:rsidP="00F70C81">
      <w:pPr>
        <w:pStyle w:val="Bulletpoint"/>
      </w:pPr>
      <w:r w:rsidRPr="005B544A">
        <w:t xml:space="preserve">Does a report need to be provided to other agencies? </w:t>
      </w:r>
    </w:p>
    <w:p w14:paraId="1ACE5FF4" w14:textId="77777777" w:rsidR="00DB1B59" w:rsidRPr="005B544A" w:rsidRDefault="00DB1B59" w:rsidP="00F70C81">
      <w:pPr>
        <w:pStyle w:val="Bulletpoint"/>
      </w:pPr>
      <w:r w:rsidRPr="005B544A">
        <w:t>Who will pay for the assessment and report?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C0C7"/>
        <w:tblLook w:val="04A0" w:firstRow="1" w:lastRow="0" w:firstColumn="1" w:lastColumn="0" w:noHBand="0" w:noVBand="1"/>
        <w:tblCaption w:val="More about neuropsychological referrals"/>
        <w:tblDescription w:val="Box explaining that neuropschological assessment waitlist may be long, and to explain that to people so they know what to expect. Referrals with be prioritised by the team undertaking the assessment based on different factors. "/>
      </w:tblPr>
      <w:tblGrid>
        <w:gridCol w:w="9010"/>
      </w:tblGrid>
      <w:tr w:rsidR="00DB1B59" w:rsidRPr="005B544A" w14:paraId="7C6DAACC" w14:textId="77777777" w:rsidTr="00234887">
        <w:tc>
          <w:tcPr>
            <w:tcW w:w="9010" w:type="dxa"/>
            <w:shd w:val="clear" w:color="auto" w:fill="F2F2F2" w:themeFill="background1" w:themeFillShade="F2"/>
          </w:tcPr>
          <w:p w14:paraId="7A43DD24" w14:textId="77777777" w:rsidR="00DB1B59" w:rsidRPr="005B544A" w:rsidRDefault="00DB1B59" w:rsidP="00F70C81">
            <w:r w:rsidRPr="005B544A">
              <w:t>Referrals for a neuropsychological assessment will be prioritised by the team undertaking the assessment. They will determine clinical need by considering factors indicating greater cognitive impairment. This includes significant reported impact on the person’s life (like difficulty managing day-to-day tasks – a neuropsychological assessment may help qualify some people for government support), presence of multiple co-existing issues, and lack of supportive psychosocial circumstances (such as stable housing, employment, and supportive relationships).</w:t>
            </w:r>
          </w:p>
          <w:p w14:paraId="1887B58D" w14:textId="77777777" w:rsidR="00DB1B59" w:rsidRPr="005B544A" w:rsidRDefault="00DB1B59" w:rsidP="00F70C81">
            <w:r w:rsidRPr="005B544A">
              <w:t>Explain to tāngata whai ora and whānau that waitlists for neuropsychological assessments can be long and referrals may not always be accepted, so they know what to expect.</w:t>
            </w:r>
          </w:p>
          <w:p w14:paraId="294CA549" w14:textId="77777777" w:rsidR="00DB1B59" w:rsidRPr="005B544A" w:rsidRDefault="00DB1B59" w:rsidP="00F70C81">
            <w:r w:rsidRPr="005B544A">
              <w:t xml:space="preserve">While waiting for a neuropsychological assessment (or if one isn’t possible), use the information gathered as part of the comprehensive assessment and cognitive screening process to inform next steps, which may include other referrals. Next steps should be driven by areas the tangata whai ora feel they need support with and adapted accordingly (see next section for support strategies). For example, if </w:t>
            </w:r>
            <w:r w:rsidRPr="005B544A">
              <w:lastRenderedPageBreak/>
              <w:t xml:space="preserve">they have expressed concerns about their memory then teach external strategies they can begin using in their daily life. </w:t>
            </w:r>
          </w:p>
        </w:tc>
      </w:tr>
    </w:tbl>
    <w:p w14:paraId="559563A3" w14:textId="77777777" w:rsidR="00A55853" w:rsidRPr="00A440F4" w:rsidRDefault="00A55853" w:rsidP="00A55853">
      <w:pPr>
        <w:rPr>
          <w:b/>
          <w:bCs/>
          <w:color w:val="1E7880" w:themeColor="accent2" w:themeShade="BF"/>
          <w:sz w:val="28"/>
          <w:szCs w:val="28"/>
        </w:rPr>
      </w:pPr>
      <w:r w:rsidRPr="00A440F4">
        <w:rPr>
          <w:b/>
          <w:bCs/>
          <w:color w:val="1E7880" w:themeColor="accent2" w:themeShade="BF"/>
          <w:sz w:val="28"/>
          <w:szCs w:val="28"/>
        </w:rPr>
        <w:lastRenderedPageBreak/>
        <w:t xml:space="preserve">Substance uses before a neuropsychological assessment </w:t>
      </w:r>
    </w:p>
    <w:p w14:paraId="5F1C48EB" w14:textId="77777777" w:rsidR="00A55853" w:rsidRPr="005B544A" w:rsidRDefault="00A55853" w:rsidP="00103A06">
      <w:r w:rsidRPr="005B544A">
        <w:t>It is ideal for there to be no substance use at least one to two weeks (and up to 6 weeks) prior to the neuropsychological assessment phase. If the neuropsychological assessment aims to diagnose a neurocognitive disorder, it is very important for the person to not use substances for 2 weeks prior. The optimal time needed may differ depending on the substance/s used.</w:t>
      </w:r>
    </w:p>
    <w:p w14:paraId="5B263E01" w14:textId="77777777" w:rsidR="00A55853" w:rsidRPr="005B544A" w:rsidRDefault="00A55853" w:rsidP="00103A06">
      <w:r w:rsidRPr="005B544A">
        <w:t>Some clinicians will not undertake neuropsychological</w:t>
      </w:r>
      <w:r w:rsidRPr="005B544A" w:rsidDel="00366EB9">
        <w:t xml:space="preserve"> </w:t>
      </w:r>
      <w:r w:rsidRPr="005B544A">
        <w:t>assessments if there has been any substance use within a set period of time, whereas others take a more flexible approach. If referring for a neuropsychological</w:t>
      </w:r>
      <w:r w:rsidRPr="005B544A" w:rsidDel="00366EB9">
        <w:t xml:space="preserve"> </w:t>
      </w:r>
      <w:r w:rsidRPr="005B544A">
        <w:t>assessment, check requirements ahead of time so tāngata whai ora are clear on their expectations.</w:t>
      </w:r>
    </w:p>
    <w:p w14:paraId="5CB3B953" w14:textId="77777777" w:rsidR="000D7DA2" w:rsidRDefault="00A55853" w:rsidP="00103A06">
      <w:r w:rsidRPr="005B544A">
        <w:t>To find a neuropsychologist or clinical psychologist</w:t>
      </w:r>
      <w:r w:rsidRPr="005B544A" w:rsidDel="00843A69">
        <w:t xml:space="preserve"> </w:t>
      </w:r>
      <w:r w:rsidRPr="005B544A">
        <w:t xml:space="preserve">contact or search the website registry of the </w:t>
      </w:r>
      <w:hyperlink r:id="rId50" w:history="1">
        <w:r w:rsidRPr="005B544A">
          <w:rPr>
            <w:rStyle w:val="Hyperlink"/>
          </w:rPr>
          <w:t>New Zealand Psychologists Board</w:t>
        </w:r>
      </w:hyperlink>
      <w:r w:rsidRPr="005B544A">
        <w:t xml:space="preserve"> or the </w:t>
      </w:r>
      <w:hyperlink r:id="rId51" w:history="1">
        <w:r w:rsidRPr="005B544A">
          <w:rPr>
            <w:rStyle w:val="Hyperlink"/>
          </w:rPr>
          <w:t>New Zealand College of Clinical Psychologists</w:t>
        </w:r>
      </w:hyperlink>
      <w:r w:rsidRPr="005B544A">
        <w:t>.</w:t>
      </w:r>
    </w:p>
    <w:p w14:paraId="65259603" w14:textId="65C8A01F" w:rsidR="00A55853" w:rsidRPr="005B544A" w:rsidRDefault="00A55853" w:rsidP="00103A06">
      <w:pPr>
        <w:rPr>
          <w:rStyle w:val="Hyperlink"/>
          <w:rFonts w:cs="Arial"/>
        </w:rPr>
      </w:pPr>
      <w:r w:rsidRPr="005B544A">
        <w:t xml:space="preserve">  </w:t>
      </w:r>
    </w:p>
    <w:p w14:paraId="6DF8CF46" w14:textId="77777777" w:rsidR="00A55853" w:rsidRPr="00A440F4" w:rsidRDefault="00A55853" w:rsidP="00A55853">
      <w:pPr>
        <w:rPr>
          <w:b/>
          <w:bCs/>
          <w:color w:val="1E7880" w:themeColor="accent2" w:themeShade="BF"/>
          <w:sz w:val="28"/>
          <w:szCs w:val="28"/>
        </w:rPr>
      </w:pPr>
      <w:bookmarkStart w:id="1237" w:name="_Toc146624836"/>
      <w:bookmarkStart w:id="1238" w:name="_Toc146714197"/>
      <w:r w:rsidRPr="00A440F4">
        <w:rPr>
          <w:b/>
          <w:bCs/>
          <w:color w:val="1E7880" w:themeColor="accent2" w:themeShade="BF"/>
          <w:sz w:val="28"/>
          <w:szCs w:val="28"/>
        </w:rPr>
        <w:t>Other referrals to consider</w:t>
      </w:r>
      <w:bookmarkEnd w:id="1237"/>
      <w:bookmarkEnd w:id="1238"/>
      <w:r w:rsidRPr="00A440F4">
        <w:rPr>
          <w:b/>
          <w:bCs/>
          <w:color w:val="1E7880" w:themeColor="accent2" w:themeShade="BF"/>
          <w:sz w:val="28"/>
          <w:szCs w:val="28"/>
        </w:rPr>
        <w:t xml:space="preserve"> </w:t>
      </w:r>
    </w:p>
    <w:p w14:paraId="7D3496A1" w14:textId="77777777" w:rsidR="00A55853" w:rsidRPr="007F573D" w:rsidRDefault="00A55853" w:rsidP="00103A06">
      <w:r w:rsidRPr="007F573D">
        <w:t>Neuropsychological assessment referrals are most appropriate when the aim is to achieve a fuller understanding of a person's cognition, for a diagnosis of a neurocognitive disorder, or identifying the need for ongoing support and/or remediation. However, other referrals may be more relevant or practical depending on the main presenting issue. Each service will have different options available and a different pathway for referrals.</w:t>
      </w:r>
    </w:p>
    <w:p w14:paraId="65839566" w14:textId="77777777" w:rsidR="00A55853" w:rsidRPr="005B544A" w:rsidRDefault="00A55853" w:rsidP="00103A06">
      <w:pPr>
        <w:pStyle w:val="Bulletpoint"/>
      </w:pPr>
      <w:r w:rsidRPr="005B544A">
        <w:rPr>
          <w:b/>
          <w:bCs/>
        </w:rPr>
        <w:t>Referral to a primary care provider is beneficial in most circumstances</w:t>
      </w:r>
      <w:r w:rsidRPr="005B544A">
        <w:t xml:space="preserve">. When referring to a primary care provider, it is helpful to give some suggestions on concerns and potential specialist referrals that may be useful. For example, if you are concerned that a person’s nutrition status is impacting their cognition, a dietitian may be helpful. If you are concerned about dementia, then a geriatrician or psychogeriatrician may be helpful. For brain injuries, a neurologist may be helpful. </w:t>
      </w:r>
    </w:p>
    <w:p w14:paraId="04074E17" w14:textId="77777777" w:rsidR="00A55853" w:rsidRPr="005B544A" w:rsidRDefault="00A55853" w:rsidP="00103A06">
      <w:pPr>
        <w:pStyle w:val="Bulletpoint"/>
      </w:pPr>
      <w:r w:rsidRPr="005B544A">
        <w:t xml:space="preserve">Geriatricians and psychogeriatricians often work with older people experiencing neurocognitive conditions (like dementia), mental health challenges, and other conditions affecting behaviour. </w:t>
      </w:r>
    </w:p>
    <w:p w14:paraId="274B6847" w14:textId="77777777" w:rsidR="00A55853" w:rsidRPr="005B544A" w:rsidRDefault="00A55853" w:rsidP="00103A06">
      <w:pPr>
        <w:pStyle w:val="Bulletpoint"/>
      </w:pPr>
      <w:r w:rsidRPr="005B544A">
        <w:lastRenderedPageBreak/>
        <w:t>Neurologists work with people experiencing conditions affecting the nervous system (brain, spinal cord, and nerves). They will often be involved for conditions like TBI or stroke, or for managing seizures.</w:t>
      </w:r>
    </w:p>
    <w:p w14:paraId="12EC2DCF" w14:textId="77777777" w:rsidR="00A55853" w:rsidRPr="005B544A" w:rsidRDefault="00A55853" w:rsidP="00103A06">
      <w:pPr>
        <w:pStyle w:val="Bulletpoint"/>
      </w:pPr>
      <w:r w:rsidRPr="005B544A">
        <w:t xml:space="preserve">Some significant or acute physical or mental health concerns warrant urgent referral to hospital emergency departments or mental health crisis services, rather than primary care. For example, if someone appears to be experiencing symptoms of a stroke then refer them to a hospital emergency department. If risk assessment indicates there is immediate danger of someone harming themselves (such as thoughts of suicide) or others, then refer to a mental health crisis service. </w:t>
      </w:r>
    </w:p>
    <w:p w14:paraId="09A612A7" w14:textId="77777777" w:rsidR="00A55853" w:rsidRPr="005B544A" w:rsidRDefault="00A55853" w:rsidP="00103A06">
      <w:pPr>
        <w:pStyle w:val="Bulletpoint"/>
      </w:pPr>
      <w:r w:rsidRPr="005B544A">
        <w:t>Where it is helpful to gather detailed information around day-to-day functioning (such as judgement and safety skills), consider referral for a functional assessment by an occupational therapist (OT). OT functional assessments are particularly helpful when assessing the need for daily practical supports, especially in the context of establishing and quantifying the degree of functional impact.</w:t>
      </w:r>
    </w:p>
    <w:p w14:paraId="432649D7" w14:textId="77777777" w:rsidR="00A55853" w:rsidRPr="007F573D" w:rsidRDefault="00A55853" w:rsidP="00F70C81">
      <w:r w:rsidRPr="007F573D">
        <w:t xml:space="preserve">The threshold to refer on for specialist assessments requires clinical judgement. Needing to refer to other specialists would be indicated by the initial cognitive screen administered and the cut-off score, alongside additional clinical information from the comprehensive assessment and people’s presenting issues. A multi-disciplinary team meeting may be helpful to discuss prioritising potential referral pathways. </w:t>
      </w:r>
    </w:p>
    <w:p w14:paraId="2EEB8749" w14:textId="77777777" w:rsidR="00A55853" w:rsidRDefault="00A55853" w:rsidP="00F70C81">
      <w:r w:rsidRPr="007F573D">
        <w:t xml:space="preserve">Referral to primary care or other specialists may also be warranted if cognitive function does not appear to improve over time with repeat screening after verified abstinence. </w:t>
      </w:r>
    </w:p>
    <w:p w14:paraId="35FD7005" w14:textId="77777777" w:rsidR="000D7DA2" w:rsidRPr="007F573D" w:rsidRDefault="000D7DA2" w:rsidP="00F70C81"/>
    <w:p w14:paraId="1CB1CE9E" w14:textId="77777777" w:rsidR="00A55853" w:rsidRPr="00A440F4" w:rsidRDefault="00A55853" w:rsidP="00A55853">
      <w:pPr>
        <w:rPr>
          <w:b/>
          <w:bCs/>
          <w:color w:val="1E7880" w:themeColor="accent2" w:themeShade="BF"/>
          <w:sz w:val="28"/>
          <w:szCs w:val="28"/>
        </w:rPr>
      </w:pPr>
      <w:bookmarkStart w:id="1239" w:name="_Toc146624837"/>
      <w:bookmarkStart w:id="1240" w:name="_Toc146714198"/>
      <w:bookmarkStart w:id="1241" w:name="_Toc178780129"/>
      <w:bookmarkStart w:id="1242" w:name="_Toc178838895"/>
      <w:bookmarkStart w:id="1243" w:name="_Toc178839082"/>
      <w:bookmarkStart w:id="1244" w:name="_Toc178839203"/>
      <w:bookmarkStart w:id="1245" w:name="_Toc178839431"/>
      <w:bookmarkStart w:id="1246" w:name="_Toc178841641"/>
      <w:bookmarkStart w:id="1247" w:name="_Toc179198201"/>
      <w:bookmarkStart w:id="1248" w:name="_Toc179198449"/>
      <w:bookmarkStart w:id="1249" w:name="_Toc179198557"/>
      <w:bookmarkStart w:id="1250" w:name="_Toc179198664"/>
      <w:bookmarkStart w:id="1251" w:name="_Toc179446108"/>
      <w:r w:rsidRPr="00A440F4">
        <w:rPr>
          <w:b/>
          <w:bCs/>
          <w:color w:val="1E7880" w:themeColor="accent2" w:themeShade="BF"/>
          <w:sz w:val="28"/>
          <w:szCs w:val="28"/>
        </w:rPr>
        <w:t>Cognitive impairment, decision-making capacity, and SACAT</w:t>
      </w:r>
      <w:bookmarkEnd w:id="1239"/>
      <w:bookmarkEnd w:id="1240"/>
      <w:bookmarkEnd w:id="1241"/>
      <w:bookmarkEnd w:id="1242"/>
      <w:bookmarkEnd w:id="1243"/>
      <w:bookmarkEnd w:id="1244"/>
      <w:bookmarkEnd w:id="1245"/>
      <w:bookmarkEnd w:id="1246"/>
      <w:bookmarkEnd w:id="1247"/>
      <w:bookmarkEnd w:id="1248"/>
      <w:bookmarkEnd w:id="1249"/>
      <w:bookmarkEnd w:id="1250"/>
      <w:bookmarkEnd w:id="1251"/>
    </w:p>
    <w:p w14:paraId="6C5047BB" w14:textId="77777777" w:rsidR="00A55853" w:rsidRPr="00BE6A58" w:rsidRDefault="00A55853" w:rsidP="00BE6A58">
      <w:pPr>
        <w:pStyle w:val="Bulletpoint"/>
        <w:rPr>
          <w:rStyle w:val="normaltextrun"/>
        </w:rPr>
      </w:pPr>
      <w:r w:rsidRPr="00BE6A58">
        <w:t xml:space="preserve">The SACAT Act is a last resort option for compulsory assessment and treatment when people are at serious risk of harm from their problematic substance use and do not have the capacity to make decisions about treatment. </w:t>
      </w:r>
    </w:p>
    <w:p w14:paraId="5EDCC3F2" w14:textId="77777777" w:rsidR="00A55853" w:rsidRPr="00BE6A58" w:rsidRDefault="00A55853" w:rsidP="00BE6A58">
      <w:pPr>
        <w:pStyle w:val="Bulletpoint"/>
        <w:rPr>
          <w:rStyle w:val="normaltextrun"/>
        </w:rPr>
      </w:pPr>
      <w:r w:rsidRPr="00BE6A58">
        <w:rPr>
          <w:rStyle w:val="normaltextrun"/>
        </w:rPr>
        <w:t xml:space="preserve">Providing support for cognitive function might impact people’s decision-making capacity and the SACAT Act may no longer need to be applied. </w:t>
      </w:r>
    </w:p>
    <w:p w14:paraId="56561439" w14:textId="77777777" w:rsidR="00A55853" w:rsidRPr="00BE6A58" w:rsidRDefault="00A55853" w:rsidP="00BE6A58">
      <w:pPr>
        <w:pStyle w:val="Bulletpoint"/>
        <w:rPr>
          <w:rStyle w:val="normaltextrun"/>
        </w:rPr>
      </w:pPr>
      <w:r w:rsidRPr="00BE6A58">
        <w:t>The Compulsory Assessment and Treatment-Capacity Assessment Tool (CAT-CAT) can be used as part of the SACAT Act assessment process to determine decision-making capacity among people using substances problematically and experiencing cognitive impairment.</w:t>
      </w:r>
      <w:r w:rsidRPr="00BE6A58">
        <w:fldChar w:fldCharType="begin"/>
      </w:r>
      <w:r w:rsidRPr="00BE6A58">
        <w:instrText xml:space="preserve"> ADDIN ZOTERO_ITEM CSL_CITATION {"citationID":"GM9whVkc","properties":{"formattedCitation":"\\super 150\\nosupersub{}","plainCitation":"150","noteIndex":0},"citationItems":[{"id":14210,"uris":["http://zotero.org/groups/4745233/items/ZZLP6HXR"],"itemData":{"id":14210,"type":"article-journal","abstract":"Individuals with substance use disorder (SUD) often present with cognitive impairments, which may impede their ability to make decisions for themselves, including treatment-related decisions. It is therefore important to assess whether individuals with SUD have adequate decision-making capacity. Indeed, there have not been any capacity assessment tools tailored for use with SUD populations that demonstrate adequate psychometric properties or that have the strong ethical foundation that is required of capacity assessment tools. The Compulsory Assessment and Treatment–Capacity Assessment Tool (CAT–CAT) was designed to fill this gap in the literature. Therefore, the aim of this study was to establish the interrater and test–retest reliability, and discriminative validity of the CAT–CAT. The first of this two-part study recruited healthcare professionals in New Zealand and asked them to conduct a capacity assessment on two hypothetical clients. Generally, excellent interrater reliability (ρ = .998 overall) and test–retest reliability (ρ = .996 overall) was found. The CAT–CAT has exhibited reliability that was at least comparable to widely used capacity assessment tools for other pathologies. The second part of this study involved cognitively normal individuals undergoing capacity assessments to investigate the hypothesis that individuals that do not lack capacity will obtain scores significantly higher than 50% in each section of the CAT–CAT. This hypothesis was met with highly significant results. To conclude, preliminary data suggest that the CAT–CAT has excellent reliability and correctly classifies those with capacity.","container-title":"Archives of Clinical Neuropsychology","DOI":"10.1093/arclin/acac010","ISSN":"1873-5843","issue":"5","language":"en","page":"994-1034","source":"DOI.org (Crossref)","title":"Psychometric properties of a new decision-making capacity assessment tool for people with substance use disorder: The CAT-CAT","title-short":"Psychometric Properties of a New Decision-Making Capacity Assessment Tool for People with Substance Use Disorder","volume":"37","author":[{"family":"Kumar","given":"Rishika"},{"family":"Berry","given":"Jamie"},{"family":"Koning","given":"Ashley"},{"family":"Rossell","given":"Steve"},{"family":"Jain","given":"Harshali"},{"family":"Elkington","given":"Selina"},{"family":"Nagaraj","given":"Sagar"},{"family":"Batchelor","given":"Jennifer"}],"issued":{"date-parts":[["2022",7,19]]}}}],"schema":"https://github.com/citation-style-language/schema/raw/master/csl-citation.json"} </w:instrText>
      </w:r>
      <w:r w:rsidRPr="00BE6A58">
        <w:fldChar w:fldCharType="separate"/>
      </w:r>
      <w:r w:rsidRPr="00BE6A58">
        <w:t>150</w:t>
      </w:r>
      <w:r w:rsidRPr="00BE6A58">
        <w:fldChar w:fldCharType="end"/>
      </w:r>
      <w:r w:rsidRPr="00BE6A58">
        <w:t xml:space="preserve"> It takes into account the impact that cognitive impairment can have on decision making. </w:t>
      </w:r>
    </w:p>
    <w:p w14:paraId="3F52AB78" w14:textId="77777777" w:rsidR="00A55853" w:rsidRPr="00BE6A58" w:rsidRDefault="00A55853" w:rsidP="00BE6A58">
      <w:pPr>
        <w:pStyle w:val="Bulletpoint"/>
      </w:pPr>
      <w:r w:rsidRPr="00BE6A58">
        <w:lastRenderedPageBreak/>
        <w:t xml:space="preserve">Refer to the </w:t>
      </w:r>
      <w:hyperlink r:id="rId52" w:history="1">
        <w:r w:rsidRPr="00BE6A58">
          <w:rPr>
            <w:rStyle w:val="Hyperlink"/>
            <w:b w:val="0"/>
            <w:u w:val="none"/>
          </w:rPr>
          <w:t>Ministry of Health Manatū Hauora guidelines for assessing capacity to make decisions for substance use treatment</w:t>
        </w:r>
      </w:hyperlink>
      <w:r w:rsidRPr="00BE6A58">
        <w:rPr>
          <w:rStyle w:val="Hyperlink"/>
          <w:b w:val="0"/>
          <w:u w:val="none"/>
        </w:rPr>
        <w:t xml:space="preserve"> </w:t>
      </w:r>
      <w:r w:rsidRPr="00BE6A58">
        <w:t xml:space="preserve">and the </w:t>
      </w:r>
      <w:hyperlink r:id="rId53" w:history="1">
        <w:r w:rsidRPr="00BE6A58">
          <w:rPr>
            <w:rStyle w:val="Hyperlink"/>
            <w:b w:val="0"/>
            <w:u w:val="none"/>
          </w:rPr>
          <w:t>Code of Health and Disability Services Consumers’ Rights</w:t>
        </w:r>
      </w:hyperlink>
      <w:r w:rsidRPr="00BE6A58">
        <w:t xml:space="preserve"> for more on informed consent and decision-making (Right 7). </w:t>
      </w:r>
    </w:p>
    <w:p w14:paraId="6188EF7C" w14:textId="77777777" w:rsidR="00A55853" w:rsidRPr="00204B87" w:rsidRDefault="00A55853" w:rsidP="00DA2AEF">
      <w:pPr>
        <w:pStyle w:val="ListParagraph"/>
        <w:numPr>
          <w:ilvl w:val="0"/>
          <w:numId w:val="59"/>
        </w:numPr>
        <w:spacing w:after="160" w:line="259" w:lineRule="auto"/>
        <w:rPr>
          <w:rFonts w:eastAsiaTheme="majorEastAsia" w:cstheme="majorBidi"/>
          <w:b/>
          <w:color w:val="660033" w:themeColor="accent6"/>
          <w:sz w:val="22"/>
        </w:rPr>
      </w:pPr>
      <w:r w:rsidRPr="00204B87">
        <w:rPr>
          <w:color w:val="660033" w:themeColor="accent6"/>
          <w:sz w:val="22"/>
        </w:rPr>
        <w:br w:type="page"/>
      </w:r>
    </w:p>
    <w:p w14:paraId="5D586088" w14:textId="77777777" w:rsidR="00A55853" w:rsidRPr="00D46AE7" w:rsidRDefault="00A55853" w:rsidP="000D7DA2">
      <w:pPr>
        <w:pStyle w:val="Section2Heading2"/>
      </w:pPr>
      <w:bookmarkStart w:id="1252" w:name="_Toc172095783"/>
      <w:bookmarkStart w:id="1253" w:name="_Toc178780130"/>
      <w:bookmarkStart w:id="1254" w:name="_Toc178838896"/>
      <w:bookmarkStart w:id="1255" w:name="_Toc178839083"/>
      <w:bookmarkStart w:id="1256" w:name="_Toc178839204"/>
      <w:bookmarkStart w:id="1257" w:name="_Toc178839432"/>
      <w:bookmarkStart w:id="1258" w:name="_Toc178841642"/>
      <w:bookmarkStart w:id="1259" w:name="_Toc179198202"/>
      <w:bookmarkStart w:id="1260" w:name="_Toc179198450"/>
      <w:bookmarkStart w:id="1261" w:name="_Toc179198558"/>
      <w:bookmarkStart w:id="1262" w:name="_Toc179198665"/>
      <w:bookmarkStart w:id="1263" w:name="_Toc179446109"/>
      <w:bookmarkStart w:id="1264" w:name="_Toc179447125"/>
      <w:bookmarkStart w:id="1265" w:name="_Toc179448664"/>
      <w:bookmarkStart w:id="1266" w:name="_Toc179448825"/>
      <w:bookmarkStart w:id="1267" w:name="_Toc179449212"/>
      <w:bookmarkStart w:id="1268" w:name="_Toc179452915"/>
      <w:bookmarkStart w:id="1269" w:name="_Toc179461428"/>
      <w:bookmarkStart w:id="1270" w:name="_Toc179461872"/>
      <w:bookmarkStart w:id="1271" w:name="_Toc179486319"/>
      <w:bookmarkStart w:id="1272" w:name="_Toc179487924"/>
      <w:bookmarkStart w:id="1273" w:name="_Toc179489227"/>
      <w:bookmarkStart w:id="1274" w:name="_Toc179531352"/>
      <w:bookmarkStart w:id="1275" w:name="_Toc179536025"/>
      <w:bookmarkStart w:id="1276" w:name="_Toc179537864"/>
      <w:bookmarkStart w:id="1277" w:name="_Toc179537928"/>
      <w:bookmarkStart w:id="1278" w:name="_Toc179538095"/>
      <w:bookmarkStart w:id="1279" w:name="_Toc179538908"/>
      <w:bookmarkStart w:id="1280" w:name="_Toc179539226"/>
      <w:bookmarkStart w:id="1281" w:name="_Toc179539342"/>
      <w:bookmarkStart w:id="1282" w:name="_Toc179539480"/>
      <w:bookmarkStart w:id="1283" w:name="_Toc179539577"/>
      <w:bookmarkStart w:id="1284" w:name="_Toc179539662"/>
      <w:bookmarkStart w:id="1285" w:name="_Toc179539752"/>
      <w:bookmarkStart w:id="1286" w:name="_Toc179540436"/>
      <w:bookmarkStart w:id="1287" w:name="_Toc179541781"/>
      <w:bookmarkStart w:id="1288" w:name="_Toc179542973"/>
      <w:bookmarkStart w:id="1289" w:name="_Toc180571301"/>
      <w:r w:rsidRPr="00D46AE7">
        <w:lastRenderedPageBreak/>
        <w:t>How to support tāngata whai ora experiencing cognitive impairment to enhance outcomes</w:t>
      </w:r>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r w:rsidRPr="00D46AE7">
        <w:t xml:space="preserve"> </w:t>
      </w:r>
    </w:p>
    <w:p w14:paraId="227C1E3F" w14:textId="77777777" w:rsidR="00A55853" w:rsidRPr="00E932EA" w:rsidRDefault="00A55853" w:rsidP="00BE6A58">
      <w:r w:rsidRPr="00E932EA">
        <w:t xml:space="preserve">This section contains practical tips to support tāngata whai ora experiencing cognitive impairment and whānau. It covers evidence-based support options, integrated and community support, and whānau support. </w:t>
      </w:r>
    </w:p>
    <w:p w14:paraId="0EA10C64" w14:textId="77777777" w:rsidR="00A55853" w:rsidRPr="00A440F4" w:rsidRDefault="00A55853" w:rsidP="00A55853">
      <w:pPr>
        <w:rPr>
          <w:b/>
          <w:bCs/>
          <w:sz w:val="28"/>
          <w:szCs w:val="28"/>
        </w:rPr>
      </w:pPr>
      <w:bookmarkStart w:id="1290" w:name="_Toc145854329"/>
      <w:bookmarkStart w:id="1291" w:name="_Toc146024259"/>
      <w:bookmarkStart w:id="1292" w:name="_Toc146624840"/>
      <w:bookmarkStart w:id="1293" w:name="_Toc146714201"/>
      <w:bookmarkStart w:id="1294" w:name="_Toc178780131"/>
      <w:bookmarkStart w:id="1295" w:name="_Toc178838897"/>
      <w:bookmarkStart w:id="1296" w:name="_Toc178839084"/>
      <w:bookmarkStart w:id="1297" w:name="_Toc178839205"/>
      <w:bookmarkStart w:id="1298" w:name="_Toc178839433"/>
      <w:bookmarkStart w:id="1299" w:name="_Toc178841643"/>
      <w:bookmarkStart w:id="1300" w:name="_Toc179198203"/>
      <w:bookmarkStart w:id="1301" w:name="_Toc179198451"/>
      <w:bookmarkStart w:id="1302" w:name="_Toc179198559"/>
      <w:bookmarkStart w:id="1303" w:name="_Toc179198666"/>
      <w:bookmarkStart w:id="1304" w:name="_Toc179446110"/>
      <w:bookmarkStart w:id="1305" w:name="_Toc179447126"/>
      <w:bookmarkStart w:id="1306" w:name="_Toc179448665"/>
      <w:r w:rsidRPr="00A440F4">
        <w:rPr>
          <w:b/>
          <w:bCs/>
          <w:sz w:val="28"/>
          <w:szCs w:val="28"/>
        </w:rPr>
        <w:t>Summary</w:t>
      </w:r>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p>
    <w:tbl>
      <w:tblPr>
        <w:tblStyle w:val="TableGrid"/>
        <w:tblW w:w="0" w:type="auto"/>
        <w:tblBorders>
          <w:top w:val="none" w:sz="0" w:space="0" w:color="auto"/>
          <w:left w:val="none" w:sz="0" w:space="0" w:color="auto"/>
          <w:bottom w:val="none" w:sz="0" w:space="0" w:color="auto"/>
          <w:right w:val="none" w:sz="0" w:space="0" w:color="auto"/>
          <w:insideH w:val="single" w:sz="24" w:space="0" w:color="003399" w:themeColor="accent3"/>
          <w:insideV w:val="none" w:sz="0" w:space="0" w:color="auto"/>
        </w:tblBorders>
        <w:shd w:val="clear" w:color="auto" w:fill="F2F2F2" w:themeFill="background1" w:themeFillShade="F2"/>
        <w:tblLook w:val="04A0" w:firstRow="1" w:lastRow="0" w:firstColumn="1" w:lastColumn="0" w:noHBand="0" w:noVBand="1"/>
        <w:tblCaption w:val="Summary: support"/>
        <w:tblDescription w:val="Boxes summarising the focus, actions, and outcomes for supporting people with cognitive impairment. The focus and actions include to enhance outcomes, tailor support, adapt environments and treatment, encourage healthy lifestyles, and teach cognitive training strategies to enhance quality of life. "/>
      </w:tblPr>
      <w:tblGrid>
        <w:gridCol w:w="1750"/>
        <w:gridCol w:w="7309"/>
      </w:tblGrid>
      <w:tr w:rsidR="00A55853" w:rsidRPr="00E932EA" w14:paraId="420FE696" w14:textId="77777777" w:rsidTr="00234887">
        <w:tc>
          <w:tcPr>
            <w:tcW w:w="1701" w:type="dxa"/>
            <w:shd w:val="clear" w:color="auto" w:fill="F2F2F2" w:themeFill="background1" w:themeFillShade="F2"/>
            <w:tcMar>
              <w:top w:w="113" w:type="dxa"/>
              <w:bottom w:w="113" w:type="dxa"/>
            </w:tcMar>
          </w:tcPr>
          <w:p w14:paraId="5364FFF7" w14:textId="77777777" w:rsidR="00A55853" w:rsidRPr="00BE6A58" w:rsidRDefault="00A55853" w:rsidP="00234887">
            <w:pPr>
              <w:spacing w:after="160" w:line="259" w:lineRule="auto"/>
              <w:ind w:left="360"/>
              <w:rPr>
                <w:rFonts w:cs="Arial"/>
                <w:b/>
                <w:bCs/>
                <w:color w:val="000066"/>
                <w:szCs w:val="24"/>
              </w:rPr>
            </w:pPr>
            <w:r w:rsidRPr="00BE6A58">
              <w:rPr>
                <w:rFonts w:cs="Arial"/>
                <w:b/>
                <w:bCs/>
                <w:color w:val="000066"/>
                <w:szCs w:val="24"/>
              </w:rPr>
              <w:t>Focus</w:t>
            </w:r>
          </w:p>
        </w:tc>
        <w:tc>
          <w:tcPr>
            <w:tcW w:w="7309" w:type="dxa"/>
            <w:shd w:val="clear" w:color="auto" w:fill="F2F2F2" w:themeFill="background1" w:themeFillShade="F2"/>
            <w:tcMar>
              <w:top w:w="113" w:type="dxa"/>
              <w:bottom w:w="113" w:type="dxa"/>
            </w:tcMar>
          </w:tcPr>
          <w:p w14:paraId="64BC83F0" w14:textId="77777777" w:rsidR="00A55853" w:rsidRPr="00BE6A58" w:rsidRDefault="00A55853" w:rsidP="00DA2AEF">
            <w:pPr>
              <w:numPr>
                <w:ilvl w:val="0"/>
                <w:numId w:val="45"/>
              </w:numPr>
              <w:spacing w:after="0" w:line="276" w:lineRule="auto"/>
              <w:rPr>
                <w:rFonts w:cs="Arial"/>
                <w:szCs w:val="24"/>
              </w:rPr>
            </w:pPr>
            <w:r w:rsidRPr="00BE6A58">
              <w:rPr>
                <w:rFonts w:cs="Arial"/>
                <w:szCs w:val="24"/>
              </w:rPr>
              <w:t>Supporting tāngata whai ora and whānau to enhance outcomes.</w:t>
            </w:r>
          </w:p>
          <w:p w14:paraId="2F1E8CE5" w14:textId="77777777" w:rsidR="00A55853" w:rsidRPr="00E932EA" w:rsidRDefault="00A55853" w:rsidP="00DA2AEF">
            <w:pPr>
              <w:numPr>
                <w:ilvl w:val="0"/>
                <w:numId w:val="45"/>
              </w:numPr>
              <w:spacing w:after="0" w:line="276" w:lineRule="auto"/>
              <w:rPr>
                <w:rFonts w:cs="Arial"/>
                <w:sz w:val="22"/>
              </w:rPr>
            </w:pPr>
            <w:r w:rsidRPr="00BE6A58">
              <w:rPr>
                <w:rFonts w:cs="Arial"/>
                <w:szCs w:val="24"/>
              </w:rPr>
              <w:t>Tailoring support to needs, wants, worldviews, and strengths.</w:t>
            </w:r>
          </w:p>
        </w:tc>
      </w:tr>
      <w:tr w:rsidR="00A55853" w:rsidRPr="00E932EA" w14:paraId="77B64CC8" w14:textId="77777777" w:rsidTr="00234887">
        <w:tc>
          <w:tcPr>
            <w:tcW w:w="1701" w:type="dxa"/>
            <w:shd w:val="clear" w:color="auto" w:fill="F2F2F2" w:themeFill="background1" w:themeFillShade="F2"/>
            <w:tcMar>
              <w:top w:w="113" w:type="dxa"/>
              <w:bottom w:w="113" w:type="dxa"/>
            </w:tcMar>
          </w:tcPr>
          <w:p w14:paraId="770DE793" w14:textId="77777777" w:rsidR="00A55853" w:rsidRPr="00BE6A58" w:rsidRDefault="00A55853" w:rsidP="00234887">
            <w:pPr>
              <w:spacing w:after="160" w:line="259" w:lineRule="auto"/>
              <w:ind w:left="360"/>
              <w:rPr>
                <w:rFonts w:cs="Arial"/>
                <w:b/>
                <w:bCs/>
                <w:color w:val="000066"/>
                <w:szCs w:val="24"/>
              </w:rPr>
            </w:pPr>
            <w:r w:rsidRPr="00BE6A58">
              <w:rPr>
                <w:rFonts w:cs="Arial"/>
                <w:b/>
                <w:bCs/>
                <w:color w:val="000066"/>
                <w:szCs w:val="24"/>
              </w:rPr>
              <w:t>Actions</w:t>
            </w:r>
          </w:p>
          <w:p w14:paraId="6B79DF7F" w14:textId="77777777" w:rsidR="00A55853" w:rsidRPr="00E932EA" w:rsidRDefault="00A55853" w:rsidP="00234887">
            <w:pPr>
              <w:spacing w:after="160" w:line="259" w:lineRule="auto"/>
              <w:rPr>
                <w:rFonts w:cs="Arial"/>
                <w:color w:val="000066"/>
                <w:sz w:val="22"/>
              </w:rPr>
            </w:pPr>
          </w:p>
        </w:tc>
        <w:tc>
          <w:tcPr>
            <w:tcW w:w="7309" w:type="dxa"/>
            <w:shd w:val="clear" w:color="auto" w:fill="F2F2F2" w:themeFill="background1" w:themeFillShade="F2"/>
            <w:tcMar>
              <w:top w:w="113" w:type="dxa"/>
              <w:bottom w:w="113" w:type="dxa"/>
            </w:tcMar>
          </w:tcPr>
          <w:p w14:paraId="3D7FF6F6" w14:textId="77777777" w:rsidR="00A55853" w:rsidRPr="00BE6A58" w:rsidRDefault="00A55853" w:rsidP="00DA2AEF">
            <w:pPr>
              <w:numPr>
                <w:ilvl w:val="0"/>
                <w:numId w:val="46"/>
              </w:numPr>
              <w:spacing w:after="0" w:line="276" w:lineRule="auto"/>
              <w:rPr>
                <w:rFonts w:cs="Arial"/>
                <w:szCs w:val="24"/>
              </w:rPr>
            </w:pPr>
            <w:r w:rsidRPr="00BE6A58">
              <w:rPr>
                <w:rFonts w:cs="Arial"/>
                <w:szCs w:val="24"/>
              </w:rPr>
              <w:t>Adapt problematic substance use support options to enhance engagement.</w:t>
            </w:r>
          </w:p>
          <w:p w14:paraId="7131FD87" w14:textId="77777777" w:rsidR="00A55853" w:rsidRPr="00BE6A58" w:rsidRDefault="00A55853" w:rsidP="00DA2AEF">
            <w:pPr>
              <w:numPr>
                <w:ilvl w:val="0"/>
                <w:numId w:val="46"/>
              </w:numPr>
              <w:spacing w:after="0" w:line="276" w:lineRule="auto"/>
              <w:rPr>
                <w:rFonts w:cs="Arial"/>
                <w:szCs w:val="24"/>
              </w:rPr>
            </w:pPr>
            <w:r w:rsidRPr="00BE6A58">
              <w:rPr>
                <w:rFonts w:cs="Arial"/>
                <w:szCs w:val="24"/>
              </w:rPr>
              <w:t>Teach cognitive training and remediation strategies (including compensatory strategies) to enhance quality of life.</w:t>
            </w:r>
          </w:p>
          <w:p w14:paraId="25D80CCB" w14:textId="77777777" w:rsidR="00A55853" w:rsidRPr="00BE6A58" w:rsidRDefault="00A55853" w:rsidP="00DA2AEF">
            <w:pPr>
              <w:numPr>
                <w:ilvl w:val="0"/>
                <w:numId w:val="46"/>
              </w:numPr>
              <w:spacing w:after="0" w:line="276" w:lineRule="auto"/>
              <w:rPr>
                <w:rFonts w:cs="Arial"/>
                <w:szCs w:val="24"/>
              </w:rPr>
            </w:pPr>
            <w:r w:rsidRPr="00BE6A58">
              <w:rPr>
                <w:rFonts w:cs="Arial"/>
                <w:szCs w:val="24"/>
              </w:rPr>
              <w:t>Encourage tāngata whai ora to eat nutritious foods, engage in safe and enjoyable physical activity and social activity, set up a routine to support sleep, and connect to places and people that heal wairua.</w:t>
            </w:r>
          </w:p>
          <w:p w14:paraId="6C6F9F2F" w14:textId="77777777" w:rsidR="00A55853" w:rsidRPr="00BE6A58" w:rsidRDefault="00A55853" w:rsidP="00DA2AEF">
            <w:pPr>
              <w:numPr>
                <w:ilvl w:val="0"/>
                <w:numId w:val="46"/>
              </w:numPr>
              <w:spacing w:after="0" w:line="276" w:lineRule="auto"/>
              <w:rPr>
                <w:rFonts w:cs="Arial"/>
                <w:szCs w:val="24"/>
              </w:rPr>
            </w:pPr>
            <w:r w:rsidRPr="00BE6A58">
              <w:rPr>
                <w:rFonts w:cs="Arial"/>
                <w:szCs w:val="24"/>
              </w:rPr>
              <w:t>Consider culturally responsive resources such as alternative medicine and traditional protocols.</w:t>
            </w:r>
          </w:p>
          <w:p w14:paraId="113ACD4E" w14:textId="77777777" w:rsidR="00A55853" w:rsidRPr="00BE6A58" w:rsidRDefault="00A55853" w:rsidP="00DA2AEF">
            <w:pPr>
              <w:numPr>
                <w:ilvl w:val="0"/>
                <w:numId w:val="46"/>
              </w:numPr>
              <w:spacing w:after="0" w:line="276" w:lineRule="auto"/>
              <w:rPr>
                <w:rFonts w:cs="Arial"/>
                <w:szCs w:val="24"/>
              </w:rPr>
            </w:pPr>
            <w:r w:rsidRPr="00BE6A58">
              <w:rPr>
                <w:rFonts w:cs="Arial"/>
                <w:szCs w:val="24"/>
              </w:rPr>
              <w:t>Work with other sectors and agencies to meet wider needs.</w:t>
            </w:r>
          </w:p>
          <w:p w14:paraId="17E2ED4C" w14:textId="77777777" w:rsidR="00A55853" w:rsidRPr="00E932EA" w:rsidRDefault="00A55853" w:rsidP="00DA2AEF">
            <w:pPr>
              <w:numPr>
                <w:ilvl w:val="0"/>
                <w:numId w:val="46"/>
              </w:numPr>
              <w:spacing w:after="0" w:line="276" w:lineRule="auto"/>
              <w:rPr>
                <w:rFonts w:cs="Arial"/>
                <w:sz w:val="22"/>
              </w:rPr>
            </w:pPr>
            <w:r w:rsidRPr="00BE6A58">
              <w:rPr>
                <w:rFonts w:cs="Arial"/>
                <w:szCs w:val="24"/>
              </w:rPr>
              <w:t>Ensure whānau access good information and support.</w:t>
            </w:r>
          </w:p>
        </w:tc>
      </w:tr>
      <w:tr w:rsidR="00A55853" w:rsidRPr="00E932EA" w14:paraId="15950ABF" w14:textId="77777777" w:rsidTr="00234887">
        <w:tc>
          <w:tcPr>
            <w:tcW w:w="1701" w:type="dxa"/>
            <w:shd w:val="clear" w:color="auto" w:fill="F2F2F2" w:themeFill="background1" w:themeFillShade="F2"/>
            <w:tcMar>
              <w:top w:w="113" w:type="dxa"/>
              <w:bottom w:w="113" w:type="dxa"/>
            </w:tcMar>
          </w:tcPr>
          <w:p w14:paraId="27AC7C22" w14:textId="77777777" w:rsidR="00A55853" w:rsidRPr="00BE6A58" w:rsidRDefault="00A55853" w:rsidP="00234887">
            <w:pPr>
              <w:spacing w:after="160" w:line="259" w:lineRule="auto"/>
              <w:ind w:left="360"/>
              <w:rPr>
                <w:rFonts w:cs="Arial"/>
                <w:b/>
                <w:bCs/>
                <w:color w:val="000066"/>
                <w:szCs w:val="24"/>
              </w:rPr>
            </w:pPr>
            <w:r w:rsidRPr="00BE6A58">
              <w:rPr>
                <w:rFonts w:cs="Arial"/>
                <w:b/>
                <w:bCs/>
                <w:color w:val="000066"/>
                <w:szCs w:val="24"/>
              </w:rPr>
              <w:t>Outcomes</w:t>
            </w:r>
          </w:p>
          <w:p w14:paraId="1F22F859" w14:textId="77777777" w:rsidR="00A55853" w:rsidRPr="00E932EA" w:rsidRDefault="00A55853" w:rsidP="00234887">
            <w:pPr>
              <w:spacing w:after="160" w:line="259" w:lineRule="auto"/>
              <w:rPr>
                <w:rFonts w:cs="Arial"/>
                <w:color w:val="000066"/>
                <w:sz w:val="22"/>
              </w:rPr>
            </w:pPr>
          </w:p>
        </w:tc>
        <w:tc>
          <w:tcPr>
            <w:tcW w:w="7309" w:type="dxa"/>
            <w:shd w:val="clear" w:color="auto" w:fill="F2F2F2" w:themeFill="background1" w:themeFillShade="F2"/>
            <w:tcMar>
              <w:top w:w="113" w:type="dxa"/>
              <w:bottom w:w="113" w:type="dxa"/>
            </w:tcMar>
          </w:tcPr>
          <w:p w14:paraId="1B9E3990" w14:textId="77777777" w:rsidR="00A55853" w:rsidRPr="00BE6A58" w:rsidRDefault="00A55853" w:rsidP="00DA2AEF">
            <w:pPr>
              <w:numPr>
                <w:ilvl w:val="0"/>
                <w:numId w:val="47"/>
              </w:numPr>
              <w:spacing w:after="0" w:line="276" w:lineRule="auto"/>
              <w:rPr>
                <w:rFonts w:cs="Arial"/>
                <w:szCs w:val="24"/>
              </w:rPr>
            </w:pPr>
            <w:r w:rsidRPr="00BE6A58">
              <w:rPr>
                <w:rFonts w:cs="Arial"/>
                <w:szCs w:val="24"/>
              </w:rPr>
              <w:t>Tāngata whai ora and whānau are supported in ways that meet their needs and are culturally responsive.</w:t>
            </w:r>
          </w:p>
          <w:p w14:paraId="20130AE1" w14:textId="77777777" w:rsidR="00A55853" w:rsidRPr="00E932EA" w:rsidRDefault="00A55853" w:rsidP="00DA2AEF">
            <w:pPr>
              <w:numPr>
                <w:ilvl w:val="0"/>
                <w:numId w:val="47"/>
              </w:numPr>
              <w:spacing w:after="0" w:line="276" w:lineRule="auto"/>
              <w:rPr>
                <w:rFonts w:cs="Arial"/>
                <w:sz w:val="22"/>
              </w:rPr>
            </w:pPr>
            <w:r w:rsidRPr="00BE6A58">
              <w:rPr>
                <w:rFonts w:cs="Arial"/>
                <w:szCs w:val="24"/>
              </w:rPr>
              <w:t>Support provided for cognitive impairment enhances people’s wellbeing and recovery journey.</w:t>
            </w:r>
          </w:p>
        </w:tc>
      </w:tr>
    </w:tbl>
    <w:p w14:paraId="619C4F44" w14:textId="4499CF00" w:rsidR="00122447" w:rsidRDefault="00A55853" w:rsidP="00A440F4">
      <w:pPr>
        <w:pStyle w:val="IntenseQuote"/>
        <w:ind w:left="0"/>
        <w:rPr>
          <w:color w:val="000000" w:themeColor="text1"/>
          <w:sz w:val="24"/>
          <w:szCs w:val="24"/>
        </w:rPr>
      </w:pPr>
      <w:r w:rsidRPr="00BE6A58">
        <w:rPr>
          <w:color w:val="000000" w:themeColor="text1"/>
          <w:sz w:val="24"/>
          <w:szCs w:val="24"/>
        </w:rPr>
        <w:t>Tailor support to tāngata whai ora aspirations, goals, worldviews, and strengths.</w:t>
      </w:r>
    </w:p>
    <w:p w14:paraId="46F9766C" w14:textId="07488690" w:rsidR="00A55853" w:rsidRPr="00122447" w:rsidRDefault="00A55853" w:rsidP="00A440F4">
      <w:pPr>
        <w:pStyle w:val="IntenseQuote"/>
        <w:ind w:left="0"/>
        <w:rPr>
          <w:color w:val="000000" w:themeColor="text1"/>
          <w:sz w:val="24"/>
          <w:szCs w:val="24"/>
        </w:rPr>
      </w:pPr>
      <w:r w:rsidRPr="00BE6A58">
        <w:rPr>
          <w:color w:val="000000" w:themeColor="text1"/>
          <w:sz w:val="24"/>
          <w:szCs w:val="24"/>
        </w:rPr>
        <w:t>Review support plans regularly as cognitive support needs can change over time.</w:t>
      </w:r>
    </w:p>
    <w:p w14:paraId="6B40F502" w14:textId="77777777" w:rsidR="00A55853" w:rsidRPr="00A440F4" w:rsidRDefault="00A55853" w:rsidP="00A55853">
      <w:pPr>
        <w:rPr>
          <w:b/>
          <w:bCs/>
          <w:color w:val="1E7880" w:themeColor="accent2" w:themeShade="BF"/>
          <w:sz w:val="28"/>
          <w:szCs w:val="28"/>
        </w:rPr>
      </w:pPr>
      <w:bookmarkStart w:id="1307" w:name="_Toc146624841"/>
      <w:bookmarkStart w:id="1308" w:name="_Toc146714202"/>
      <w:bookmarkStart w:id="1309" w:name="_Toc178780132"/>
      <w:bookmarkStart w:id="1310" w:name="_Toc178838898"/>
      <w:bookmarkStart w:id="1311" w:name="_Toc178839085"/>
      <w:bookmarkStart w:id="1312" w:name="_Toc178839206"/>
      <w:bookmarkStart w:id="1313" w:name="_Toc178839434"/>
      <w:bookmarkStart w:id="1314" w:name="_Toc178841644"/>
      <w:bookmarkStart w:id="1315" w:name="_Toc179198204"/>
      <w:bookmarkStart w:id="1316" w:name="_Toc179198452"/>
      <w:bookmarkStart w:id="1317" w:name="_Toc179198560"/>
      <w:bookmarkStart w:id="1318" w:name="_Toc179198667"/>
      <w:bookmarkStart w:id="1319" w:name="_Toc179446111"/>
      <w:r w:rsidRPr="00A440F4">
        <w:rPr>
          <w:b/>
          <w:bCs/>
          <w:color w:val="1E7880" w:themeColor="accent2" w:themeShade="BF"/>
          <w:sz w:val="28"/>
          <w:szCs w:val="28"/>
        </w:rPr>
        <w:lastRenderedPageBreak/>
        <w:t>Evidence-based support options</w:t>
      </w:r>
      <w:bookmarkEnd w:id="1307"/>
      <w:bookmarkEnd w:id="1308"/>
      <w:bookmarkEnd w:id="1309"/>
      <w:bookmarkEnd w:id="1310"/>
      <w:bookmarkEnd w:id="1311"/>
      <w:bookmarkEnd w:id="1312"/>
      <w:bookmarkEnd w:id="1313"/>
      <w:bookmarkEnd w:id="1314"/>
      <w:bookmarkEnd w:id="1315"/>
      <w:bookmarkEnd w:id="1316"/>
      <w:bookmarkEnd w:id="1317"/>
      <w:bookmarkEnd w:id="1318"/>
      <w:bookmarkEnd w:id="1319"/>
    </w:p>
    <w:p w14:paraId="36043D85" w14:textId="334E5FD6" w:rsidR="00A55853" w:rsidRPr="00F13D6B" w:rsidRDefault="00A55853" w:rsidP="00BE6A58">
      <w:r w:rsidRPr="00F13D6B">
        <w:fldChar w:fldCharType="begin"/>
      </w:r>
      <w:r w:rsidRPr="00F13D6B">
        <w:instrText xml:space="preserve"> REF _Ref146294544 \h  \* MERGEFORMAT </w:instrText>
      </w:r>
      <w:r w:rsidRPr="00F13D6B">
        <w:fldChar w:fldCharType="separate"/>
      </w:r>
      <w:r w:rsidR="007F1966" w:rsidRPr="00933145">
        <w:t xml:space="preserve">Figure </w:t>
      </w:r>
      <w:r w:rsidR="007F1966">
        <w:rPr>
          <w:noProof/>
        </w:rPr>
        <w:t>6</w:t>
      </w:r>
      <w:r w:rsidRPr="00F13D6B">
        <w:fldChar w:fldCharType="end"/>
      </w:r>
      <w:bookmarkStart w:id="1320" w:name="_Toc133249181"/>
      <w:r w:rsidRPr="00F13D6B">
        <w:t xml:space="preserve"> summarises four main strategies helpful for tāngata whai ora experiencing cognitive impairment</w:t>
      </w:r>
      <w:bookmarkEnd w:id="1320"/>
      <w:r w:rsidRPr="00F13D6B">
        <w:t>. Be guided by what works best for each tangata whai ora. Appendix E includes tips for supporting specific groups of people like diverse cultures, rainbow communities, people in contact with the justice system, and younger and older people.</w:t>
      </w:r>
    </w:p>
    <w:p w14:paraId="5BB8F174" w14:textId="77777777" w:rsidR="00A55853" w:rsidRPr="00F13D6B" w:rsidRDefault="00A55853" w:rsidP="00BE6A58">
      <w:r w:rsidRPr="00F13D6B">
        <w:t xml:space="preserve">As part of the support plan, include basic education on how substance use affects cognition and expected recovery with abstinence. </w:t>
      </w:r>
    </w:p>
    <w:p w14:paraId="6113DCAF" w14:textId="218D072F" w:rsidR="00A55853" w:rsidRPr="00933145" w:rsidRDefault="00A55853" w:rsidP="00BE6A58">
      <w:pPr>
        <w:pStyle w:val="Figure"/>
      </w:pPr>
      <w:bookmarkStart w:id="1321" w:name="_Ref146294544"/>
      <w:bookmarkStart w:id="1322" w:name="_Toc179461355"/>
      <w:r w:rsidRPr="00933145">
        <w:t xml:space="preserve">Figure </w:t>
      </w:r>
      <w:r w:rsidRPr="00933145">
        <w:fldChar w:fldCharType="begin"/>
      </w:r>
      <w:r w:rsidRPr="00933145">
        <w:instrText xml:space="preserve"> SEQ Figure \* ARABIC </w:instrText>
      </w:r>
      <w:r w:rsidRPr="00933145">
        <w:fldChar w:fldCharType="separate"/>
      </w:r>
      <w:r w:rsidR="007F1966">
        <w:rPr>
          <w:noProof/>
        </w:rPr>
        <w:t>6</w:t>
      </w:r>
      <w:r w:rsidRPr="00933145">
        <w:fldChar w:fldCharType="end"/>
      </w:r>
      <w:bookmarkEnd w:id="1321"/>
      <w:r w:rsidRPr="00933145">
        <w:t>. Four evidence-based support options for cognitive impairment</w:t>
      </w:r>
      <w:bookmarkEnd w:id="1322"/>
    </w:p>
    <w:tbl>
      <w:tblPr>
        <w:tblStyle w:val="GridTable5Dark-Accent3"/>
        <w:tblW w:w="0" w:type="auto"/>
        <w:tblBorders>
          <w:insideH w:val="double" w:sz="4" w:space="0" w:color="auto"/>
          <w:insideV w:val="double" w:sz="4" w:space="0" w:color="auto"/>
        </w:tblBorders>
        <w:shd w:val="clear" w:color="auto" w:fill="F2F2F2" w:themeFill="background1" w:themeFillShade="F2"/>
        <w:tblLook w:val="0600" w:firstRow="0" w:lastRow="0" w:firstColumn="0" w:lastColumn="0" w:noHBand="1" w:noVBand="1"/>
        <w:tblCaption w:val="Support options for cognitive impairment"/>
        <w:tblDescription w:val="A grid showing the 4 evidence-based support options. These are compensatory strategies, adapting treatment for problematic substance use, cognitive training and remediation, and lifestyle recommendations. "/>
      </w:tblPr>
      <w:tblGrid>
        <w:gridCol w:w="4505"/>
        <w:gridCol w:w="4505"/>
      </w:tblGrid>
      <w:tr w:rsidR="00A55853" w:rsidRPr="00F13D6B" w14:paraId="7AEE15EB" w14:textId="77777777" w:rsidTr="00234887">
        <w:tc>
          <w:tcPr>
            <w:tcW w:w="4505" w:type="dxa"/>
            <w:tcBorders>
              <w:bottom w:val="double" w:sz="4" w:space="0" w:color="660033" w:themeColor="accent6"/>
              <w:right w:val="double" w:sz="4" w:space="0" w:color="660033" w:themeColor="accent6"/>
            </w:tcBorders>
            <w:shd w:val="clear" w:color="auto" w:fill="F2F2F2" w:themeFill="background1" w:themeFillShade="F2"/>
          </w:tcPr>
          <w:p w14:paraId="520614D8" w14:textId="77777777" w:rsidR="00A55853" w:rsidRPr="00BE6A58" w:rsidRDefault="00A55853" w:rsidP="00BE6A58">
            <w:pPr>
              <w:rPr>
                <w:b/>
                <w:bCs/>
              </w:rPr>
            </w:pPr>
            <w:r w:rsidRPr="00BE6A58">
              <w:rPr>
                <w:b/>
                <w:bCs/>
              </w:rPr>
              <w:t>Compensatory strategies</w:t>
            </w:r>
          </w:p>
          <w:p w14:paraId="4E5A7231" w14:textId="77777777" w:rsidR="00A55853" w:rsidRPr="00F13D6B" w:rsidRDefault="00A55853" w:rsidP="00BE6A58">
            <w:r w:rsidRPr="00F13D6B">
              <w:t>Compensatory strategies are tools that people can use in their daily life to help with day-to-day tasks.</w:t>
            </w:r>
          </w:p>
        </w:tc>
        <w:tc>
          <w:tcPr>
            <w:tcW w:w="4505" w:type="dxa"/>
            <w:tcBorders>
              <w:left w:val="double" w:sz="4" w:space="0" w:color="660033" w:themeColor="accent6"/>
              <w:bottom w:val="double" w:sz="4" w:space="0" w:color="660033" w:themeColor="accent6"/>
            </w:tcBorders>
            <w:shd w:val="clear" w:color="auto" w:fill="F2F2F2" w:themeFill="background1" w:themeFillShade="F2"/>
          </w:tcPr>
          <w:p w14:paraId="7EDBA5D4" w14:textId="77777777" w:rsidR="00A55853" w:rsidRPr="00BE6A58" w:rsidRDefault="00A55853" w:rsidP="00234887">
            <w:pPr>
              <w:rPr>
                <w:rFonts w:cstheme="minorHAnsi"/>
                <w:b/>
                <w:bCs/>
                <w:szCs w:val="24"/>
              </w:rPr>
            </w:pPr>
            <w:r w:rsidRPr="00BE6A58">
              <w:rPr>
                <w:rFonts w:cstheme="minorHAnsi"/>
                <w:b/>
                <w:bCs/>
                <w:szCs w:val="24"/>
              </w:rPr>
              <w:t xml:space="preserve">Adapting treatment for problematic substance use </w:t>
            </w:r>
          </w:p>
          <w:p w14:paraId="4B75A2A9" w14:textId="77777777" w:rsidR="00A55853" w:rsidRPr="00F13D6B" w:rsidRDefault="00A55853" w:rsidP="00234887">
            <w:pPr>
              <w:rPr>
                <w:rFonts w:cstheme="minorHAnsi"/>
                <w:sz w:val="22"/>
              </w:rPr>
            </w:pPr>
            <w:r w:rsidRPr="00BE6A58">
              <w:rPr>
                <w:rFonts w:cstheme="minorHAnsi"/>
                <w:szCs w:val="24"/>
              </w:rPr>
              <w:t>Adapting therapies for problematic substance use helps people to get the most out of treatment.</w:t>
            </w:r>
          </w:p>
        </w:tc>
      </w:tr>
      <w:tr w:rsidR="00A55853" w:rsidRPr="00F13D6B" w14:paraId="6E4629FC" w14:textId="77777777" w:rsidTr="00234887">
        <w:tc>
          <w:tcPr>
            <w:tcW w:w="4505" w:type="dxa"/>
            <w:tcBorders>
              <w:top w:val="double" w:sz="4" w:space="0" w:color="660033" w:themeColor="accent6"/>
              <w:right w:val="double" w:sz="4" w:space="0" w:color="660033" w:themeColor="accent6"/>
            </w:tcBorders>
            <w:shd w:val="clear" w:color="auto" w:fill="F2F2F2" w:themeFill="background1" w:themeFillShade="F2"/>
          </w:tcPr>
          <w:p w14:paraId="1ACBC120" w14:textId="77777777" w:rsidR="00A55853" w:rsidRPr="00BE6A58" w:rsidRDefault="00A55853" w:rsidP="00BE6A58">
            <w:pPr>
              <w:rPr>
                <w:b/>
                <w:bCs/>
              </w:rPr>
            </w:pPr>
            <w:r w:rsidRPr="00BE6A58">
              <w:rPr>
                <w:b/>
                <w:bCs/>
              </w:rPr>
              <w:t>Cognitive training and remediation</w:t>
            </w:r>
          </w:p>
          <w:p w14:paraId="15BC99B5" w14:textId="77777777" w:rsidR="00A55853" w:rsidRPr="00F13D6B" w:rsidRDefault="00A55853" w:rsidP="00BE6A58">
            <w:r w:rsidRPr="00F13D6B">
              <w:t>Cognitive training and remediation approaches generally aim to restore people's cognitive function or compensate for cognitive impairment.</w:t>
            </w:r>
          </w:p>
        </w:tc>
        <w:tc>
          <w:tcPr>
            <w:tcW w:w="4505" w:type="dxa"/>
            <w:tcBorders>
              <w:top w:val="double" w:sz="4" w:space="0" w:color="660033" w:themeColor="accent6"/>
              <w:left w:val="double" w:sz="4" w:space="0" w:color="660033" w:themeColor="accent6"/>
            </w:tcBorders>
            <w:shd w:val="clear" w:color="auto" w:fill="F2F2F2" w:themeFill="background1" w:themeFillShade="F2"/>
          </w:tcPr>
          <w:p w14:paraId="7F616741" w14:textId="77777777" w:rsidR="00A55853" w:rsidRPr="00BE6A58" w:rsidRDefault="00A55853" w:rsidP="00BE6A58">
            <w:pPr>
              <w:rPr>
                <w:b/>
                <w:bCs/>
              </w:rPr>
            </w:pPr>
            <w:r w:rsidRPr="00BE6A58">
              <w:rPr>
                <w:b/>
                <w:bCs/>
              </w:rPr>
              <w:t>Lifestyle recommendations</w:t>
            </w:r>
          </w:p>
          <w:p w14:paraId="56C312C9" w14:textId="77777777" w:rsidR="00A55853" w:rsidRPr="00F13D6B" w:rsidRDefault="00A55853" w:rsidP="00BE6A58">
            <w:r w:rsidRPr="00F13D6B">
              <w:t xml:space="preserve">Lifestyle changes can support wellbeing and recovery, and slow worsening cognitive impacts over time. </w:t>
            </w:r>
          </w:p>
          <w:p w14:paraId="14B491B3" w14:textId="77777777" w:rsidR="00A55853" w:rsidRPr="00F13D6B" w:rsidRDefault="00A55853" w:rsidP="00234887">
            <w:pPr>
              <w:rPr>
                <w:rFonts w:cstheme="minorHAnsi"/>
                <w:sz w:val="22"/>
              </w:rPr>
            </w:pPr>
          </w:p>
        </w:tc>
      </w:tr>
    </w:tbl>
    <w:p w14:paraId="14C59DF6" w14:textId="77777777" w:rsidR="00A55853" w:rsidRPr="00D259B9" w:rsidRDefault="00A55853" w:rsidP="00BE6A58">
      <w:r w:rsidRPr="00D259B9">
        <w:t xml:space="preserve">Cognitive training and remediation strategies are generally better suited to long-term cognitive impairment, while the other approaches can be used for both short- and long-term cognitive impairment. </w:t>
      </w:r>
    </w:p>
    <w:p w14:paraId="7C49B21E" w14:textId="6803F54A" w:rsidR="00A55853" w:rsidRDefault="00A55853" w:rsidP="00BE6A58">
      <w:r w:rsidRPr="00D259B9">
        <w:t>However, short-term or transient causes of cognitive impairment may be better addressed in other ways, such as providing support for acute distress or a review of medications that may be causing cognitive impairment.</w:t>
      </w:r>
    </w:p>
    <w:p w14:paraId="63B90964" w14:textId="77777777" w:rsidR="00122447" w:rsidRPr="00D259B9" w:rsidRDefault="00122447" w:rsidP="00BE6A58"/>
    <w:p w14:paraId="32431B3D" w14:textId="77777777" w:rsidR="00A55853" w:rsidRPr="00A440F4" w:rsidRDefault="00A55853" w:rsidP="00A55853">
      <w:pPr>
        <w:rPr>
          <w:rFonts w:cstheme="minorHAnsi"/>
          <w:b/>
          <w:bCs/>
          <w:color w:val="1E7880" w:themeColor="accent2" w:themeShade="BF"/>
          <w:sz w:val="28"/>
          <w:szCs w:val="28"/>
        </w:rPr>
      </w:pPr>
      <w:r w:rsidRPr="00A440F4">
        <w:rPr>
          <w:rFonts w:cstheme="minorHAnsi"/>
          <w:b/>
          <w:bCs/>
          <w:color w:val="1E7880" w:themeColor="accent2" w:themeShade="BF"/>
          <w:sz w:val="28"/>
          <w:szCs w:val="28"/>
        </w:rPr>
        <w:t xml:space="preserve">Compensatory strategies </w:t>
      </w:r>
    </w:p>
    <w:p w14:paraId="5378D431" w14:textId="77777777" w:rsidR="00A55853" w:rsidRPr="00D259B9" w:rsidRDefault="00A55853" w:rsidP="00BE6A58">
      <w:r w:rsidRPr="00D259B9">
        <w:t>Compensatory strategies can be divided into two groups:</w:t>
      </w:r>
    </w:p>
    <w:p w14:paraId="5D713E41" w14:textId="468E7241" w:rsidR="00A55853" w:rsidRPr="00F13D6B" w:rsidRDefault="00A55853" w:rsidP="00BE6A58">
      <w:pPr>
        <w:pStyle w:val="Bulletpoint"/>
      </w:pPr>
      <w:r w:rsidRPr="00F13D6B">
        <w:t xml:space="preserve">internal strategies refer to those that require mental effort, see </w:t>
      </w:r>
      <w:r w:rsidRPr="00F13D6B">
        <w:fldChar w:fldCharType="begin"/>
      </w:r>
      <w:r w:rsidRPr="00F13D6B">
        <w:instrText xml:space="preserve"> REF _Ref124699820 \h  \* MERGEFORMAT </w:instrText>
      </w:r>
      <w:r w:rsidRPr="00F13D6B">
        <w:fldChar w:fldCharType="separate"/>
      </w:r>
      <w:r w:rsidR="007F1966" w:rsidRPr="00BE6A58">
        <w:t xml:space="preserve">Table </w:t>
      </w:r>
      <w:r w:rsidR="007F1966">
        <w:t>7</w:t>
      </w:r>
      <w:r w:rsidRPr="00F13D6B">
        <w:fldChar w:fldCharType="end"/>
      </w:r>
    </w:p>
    <w:p w14:paraId="5C6E3760" w14:textId="0C85CAAE" w:rsidR="00A55853" w:rsidRPr="00F13D6B" w:rsidRDefault="00A55853" w:rsidP="00BE6A58">
      <w:pPr>
        <w:pStyle w:val="Bulletpoint"/>
      </w:pPr>
      <w:r w:rsidRPr="00F13D6B">
        <w:lastRenderedPageBreak/>
        <w:t>external strategies involve the use of aids, tools, or modifications to the external environment, see</w:t>
      </w:r>
      <w:r>
        <w:t xml:space="preserve"> </w:t>
      </w:r>
      <w:r w:rsidRPr="00F13D6B">
        <w:fldChar w:fldCharType="begin"/>
      </w:r>
      <w:r w:rsidRPr="00F13D6B">
        <w:instrText xml:space="preserve"> REF _Ref126158253 \h  \* MERGEFORMAT </w:instrText>
      </w:r>
      <w:r w:rsidRPr="00F13D6B">
        <w:fldChar w:fldCharType="separate"/>
      </w:r>
      <w:r w:rsidR="007F1966" w:rsidRPr="00BE6A58">
        <w:t xml:space="preserve">Table </w:t>
      </w:r>
      <w:r w:rsidR="007F1966">
        <w:t>8</w:t>
      </w:r>
      <w:r w:rsidRPr="00F13D6B">
        <w:fldChar w:fldCharType="end"/>
      </w:r>
      <w:r w:rsidRPr="00F13D6B">
        <w:t>.</w:t>
      </w:r>
      <w:r w:rsidRPr="00F13D6B">
        <w:rPr>
          <w:vertAlign w:val="superscript"/>
        </w:rPr>
        <w:fldChar w:fldCharType="begin"/>
      </w:r>
      <w:r w:rsidRPr="00F13D6B">
        <w:rPr>
          <w:vertAlign w:val="superscript"/>
        </w:rPr>
        <w:instrText xml:space="preserve"> ADDIN ZOTERO_ITEM CSL_CITATION {"citationID":"bsFfnxpy","properties":{"formattedCitation":"\\super 3\\nosupersub{}","plainCitation":"3","noteIndex":0},"citationItems":[{"id":14007,"uris":["http://zotero.org/groups/4745233/items/U3GGYCKU"],"itemData":{"id":14007,"type":"report","event-place":"Richmond, Victoria","language":"en","publisher":"Turning Point","publisher-place":"Richmond, Victoria","source":"Zotero","title":"Managing Cognitive Impairment in AOD Treatment: Practice Guidelines for Healthcare Professionals","URL":"https://www.turningpoint.org.au/treatment/clinicians/Managing-Cognitive-Impairment-in-AOD-Treatment-Guidelines","author":[{"family":"Manning","given":"Victoria"},{"family":"Gooden","given":"James"},{"family":"Cox","given":"Catherine"},{"family":"Whelan","given":"Danielle"},{"family":"Miroz","given":"Katherine"}],"issued":{"date-parts":[["2021"]]}}}],"schema":"https://github.com/citation-style-language/schema/raw/master/csl-citation.json"} </w:instrText>
      </w:r>
      <w:r w:rsidRPr="00F13D6B">
        <w:rPr>
          <w:vertAlign w:val="superscript"/>
        </w:rPr>
        <w:fldChar w:fldCharType="separate"/>
      </w:r>
      <w:r w:rsidRPr="00F13D6B">
        <w:rPr>
          <w:vertAlign w:val="superscript"/>
        </w:rPr>
        <w:t>3</w:t>
      </w:r>
      <w:r w:rsidRPr="00F13D6B">
        <w:rPr>
          <w:vertAlign w:val="superscript"/>
        </w:rPr>
        <w:fldChar w:fldCharType="end"/>
      </w:r>
    </w:p>
    <w:p w14:paraId="0B4F5012" w14:textId="77777777" w:rsidR="00A55853" w:rsidRPr="00D259B9" w:rsidRDefault="00A55853" w:rsidP="00BE6A58">
      <w:r w:rsidRPr="00D259B9">
        <w:t xml:space="preserve">External strategies are usually quicker and easier to use for tāngata whai ora experiencing cognitive impairment. These strategies can be used and taught by a range of different roles and are not limited to clinical practitioners. </w:t>
      </w:r>
    </w:p>
    <w:p w14:paraId="3A6752AA" w14:textId="77777777" w:rsidR="00122447" w:rsidRDefault="00A55853" w:rsidP="00BE6A58">
      <w:r w:rsidRPr="00D259B9">
        <w:t>Many people already use compensatory strategies. Start by asking and finding out what people already use and what they find most helpful. While some examples are listed below, adapt and use examples that are relevant to people’s daily lives.</w:t>
      </w:r>
    </w:p>
    <w:p w14:paraId="7CBF6F1E" w14:textId="4CAA4008" w:rsidR="00A55853" w:rsidRPr="00D259B9" w:rsidRDefault="00A55853" w:rsidP="00BE6A58">
      <w:r w:rsidRPr="00D259B9">
        <w:t xml:space="preserve"> </w:t>
      </w:r>
    </w:p>
    <w:p w14:paraId="5716D506" w14:textId="77777777" w:rsidR="00A55853" w:rsidRPr="00A440F4" w:rsidRDefault="00A55853" w:rsidP="00A55853">
      <w:pPr>
        <w:rPr>
          <w:rFonts w:cstheme="minorHAnsi"/>
          <w:b/>
          <w:bCs/>
          <w:color w:val="1E7880" w:themeColor="accent2" w:themeShade="BF"/>
          <w:sz w:val="28"/>
          <w:szCs w:val="28"/>
        </w:rPr>
      </w:pPr>
      <w:r w:rsidRPr="00A440F4">
        <w:rPr>
          <w:rFonts w:cstheme="minorHAnsi"/>
          <w:b/>
          <w:bCs/>
          <w:color w:val="1E7880" w:themeColor="accent2" w:themeShade="BF"/>
          <w:sz w:val="28"/>
          <w:szCs w:val="28"/>
        </w:rPr>
        <w:t>Internal strategies</w:t>
      </w:r>
    </w:p>
    <w:p w14:paraId="21F71C3A" w14:textId="04EBF69E" w:rsidR="00A55853" w:rsidRPr="00BE6A58" w:rsidRDefault="00A55853" w:rsidP="00122447">
      <w:pPr>
        <w:pStyle w:val="Figure"/>
      </w:pPr>
      <w:bookmarkStart w:id="1323" w:name="_Ref124699820"/>
      <w:bookmarkStart w:id="1324" w:name="_Toc129609428"/>
      <w:bookmarkStart w:id="1325" w:name="_Toc146624906"/>
      <w:bookmarkStart w:id="1326" w:name="_Toc179544009"/>
      <w:r w:rsidRPr="00BE6A58">
        <w:t xml:space="preserve">Table </w:t>
      </w:r>
      <w:r w:rsidRPr="00BE6A58">
        <w:fldChar w:fldCharType="begin"/>
      </w:r>
      <w:r w:rsidRPr="00BE6A58">
        <w:instrText xml:space="preserve"> SEQ Table \* ARABIC </w:instrText>
      </w:r>
      <w:r w:rsidRPr="00BE6A58">
        <w:fldChar w:fldCharType="separate"/>
      </w:r>
      <w:r w:rsidR="007F1966">
        <w:rPr>
          <w:noProof/>
        </w:rPr>
        <w:t>7</w:t>
      </w:r>
      <w:r w:rsidRPr="00BE6A58">
        <w:fldChar w:fldCharType="end"/>
      </w:r>
      <w:bookmarkEnd w:id="1323"/>
      <w:r w:rsidRPr="00BE6A58">
        <w:t>. Internal strategies and examples</w:t>
      </w:r>
      <w:bookmarkEnd w:id="1324"/>
      <w:r w:rsidRPr="00BE6A58">
        <w:rPr>
          <w:shd w:val="clear" w:color="auto" w:fill="E6E6E6"/>
        </w:rPr>
        <w:fldChar w:fldCharType="begin"/>
      </w:r>
      <w:r w:rsidRPr="00BE6A58">
        <w:instrText xml:space="preserve"> ADDIN ZOTERO_ITEM CSL_CITATION {"citationID":"BryFVFRR","properties":{"formattedCitation":"\\super 3,151\\nosupersub{}","plainCitation":"3,151","noteIndex":0},"citationItems":[{"id":14007,"uris":["http://zotero.org/groups/4745233/items/U3GGYCKU"],"itemData":{"id":14007,"type":"report","event-place":"Richmond, Victoria","language":"en","publisher":"Turning Point","publisher-place":"Richmond, Victoria","source":"Zotero","title":"Managing Cognitive Impairment in AOD Treatment: Practice Guidelines for Healthcare Professionals","URL":"https://www.turningpoint.org.au/treatment/clinicians/Managing-Cognitive-Impairment-in-AOD-Treatment-Guidelines","author":[{"family":"Manning","given":"Victoria"},{"family":"Gooden","given":"James"},{"family":"Cox","given":"Catherine"},{"family":"Whelan","given":"Danielle"},{"family":"Miroz","given":"Katherine"}],"issued":{"date-parts":[["2021"]]}}},{"id":12709,"uris":["http://zotero.org/groups/4745233/items/5PFADN2U"],"itemData":{"id":12709,"type":"article-journal","abstract":"Background Striving to cope with day-to-day challenges is a basic human behaviour. Self-initiated management approaches provide a resource that has yet to be discovered and systematically used in occupational therapy practice. This resource might be especially important for people with dementia who are less likely to adopt management approaches initiated by others.Aims/objectives Based on the findings of former studies on management and problem-solving actions among people with cognitive impairment, this article aims to identify and categorize the study participants’ self-initiated management approaches and how these may be manifested in strategies in everyday occupations.Material and methods The study utilized a form of meta-synthesis; an aggregated analysis, where findings from 11 studies published 2004–2020 were compared and categorized, incorporating the views of participants with dementia/mild cognitive impairment, or acquired brain injury.Results Thirty strategies were identified and grouped into seven categories of management approaches, used in a variety of everyday occupations and situations. A majority of the strategies were found in both populations, suggesting that management approaches are more similar than different across populations with cognitive impairment.Conclusions and significance Attending to the rich variation of self-initiated management approaches/strategies among persons with cognitive impairment offers possibilities for developing occupational therapy interventions.","container-title":"Scandinavian Journal of Occupational Therapy","DOI":"10.1080/11038128.2021.1925740","ISSN":"1103-8128","issue":"2","note":"publisher: Taylor &amp; Francis\n_eprint: https://doi.org/10.1080/11038128.2021.1925740\nPMID: 34410888","page":"139-151","source":"Taylor and Francis+NEJM","title":"Self-initiated management approaches in everyday occupations used by people with acquired cognitive impairment","volume":"29","author":[{"family":"Nygård","given":"Louise"},{"family":"Ryd","given":"Charlotta"},{"family":"Astell","given":"Arlene"},{"family":"Nedlund","given":"Ann-Charlotte"},{"family":"Boger","given":"Jennifer"},{"family":"Mäki Petäjä Leinonen","given":"Anna"},{"family":"Issakainen","given":"Mervi"},{"family":"Larsson Lund","given":"Maria"}],"issued":{"date-parts":[["2022",2,17]]}}}],"schema":"https://github.com/citation-style-language/schema/raw/master/csl-citation.json"} </w:instrText>
      </w:r>
      <w:r w:rsidRPr="00BE6A58">
        <w:rPr>
          <w:shd w:val="clear" w:color="auto" w:fill="E6E6E6"/>
        </w:rPr>
        <w:fldChar w:fldCharType="separate"/>
      </w:r>
      <w:r w:rsidRPr="00BE6A58">
        <w:rPr>
          <w:vertAlign w:val="superscript"/>
        </w:rPr>
        <w:t>3,151</w:t>
      </w:r>
      <w:bookmarkEnd w:id="1325"/>
      <w:bookmarkEnd w:id="1326"/>
      <w:r w:rsidRPr="00BE6A58">
        <w:rPr>
          <w:shd w:val="clear" w:color="auto" w:fill="E6E6E6"/>
        </w:rPr>
        <w:fldChar w:fldCharType="end"/>
      </w:r>
    </w:p>
    <w:tbl>
      <w:tblPr>
        <w:tblStyle w:val="GridTable4-Accent3"/>
        <w:tblW w:w="9209" w:type="dxa"/>
        <w:tblBorders>
          <w:top w:val="none" w:sz="0" w:space="0" w:color="auto"/>
          <w:left w:val="none" w:sz="0" w:space="0" w:color="auto"/>
          <w:bottom w:val="none" w:sz="0" w:space="0" w:color="auto"/>
          <w:right w:val="none" w:sz="0" w:space="0" w:color="auto"/>
          <w:insideH w:val="double" w:sz="4" w:space="0" w:color="auto"/>
          <w:insideV w:val="double" w:sz="4" w:space="0" w:color="auto"/>
        </w:tblBorders>
        <w:tblLook w:val="04A0" w:firstRow="1" w:lastRow="0" w:firstColumn="1" w:lastColumn="0" w:noHBand="0" w:noVBand="1"/>
        <w:tblCaption w:val="Internal strategies"/>
        <w:tblDescription w:val="Contains examples of different internal strategies. Internal strategies include repetition, spaced repetition and retrieval, bilingualism, association, chunking, self-prompting, if-then plans, musical mnemonics, acronyms and acrostics, narrative mnemonics, and memorised movements. "/>
      </w:tblPr>
      <w:tblGrid>
        <w:gridCol w:w="1800"/>
        <w:gridCol w:w="7409"/>
      </w:tblGrid>
      <w:tr w:rsidR="00A55853" w:rsidRPr="00F13D6B" w14:paraId="31D7BBB9" w14:textId="77777777" w:rsidTr="002348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Borders>
              <w:top w:val="nil"/>
              <w:bottom w:val="nil"/>
              <w:right w:val="double" w:sz="4" w:space="0" w:color="660033" w:themeColor="accent6"/>
            </w:tcBorders>
            <w:shd w:val="clear" w:color="auto" w:fill="002060"/>
          </w:tcPr>
          <w:p w14:paraId="200296C4" w14:textId="77777777" w:rsidR="00A55853" w:rsidRPr="00F13D6B" w:rsidRDefault="00A55853" w:rsidP="00234887">
            <w:pPr>
              <w:rPr>
                <w:rFonts w:cstheme="minorHAnsi"/>
                <w:sz w:val="22"/>
              </w:rPr>
            </w:pPr>
            <w:r w:rsidRPr="00F13D6B">
              <w:rPr>
                <w:rFonts w:cstheme="minorHAnsi"/>
                <w:sz w:val="22"/>
              </w:rPr>
              <w:t>Strategy</w:t>
            </w:r>
          </w:p>
        </w:tc>
        <w:tc>
          <w:tcPr>
            <w:tcW w:w="7409" w:type="dxa"/>
            <w:tcBorders>
              <w:top w:val="nil"/>
              <w:left w:val="double" w:sz="4" w:space="0" w:color="660033" w:themeColor="accent6"/>
              <w:bottom w:val="nil"/>
            </w:tcBorders>
            <w:shd w:val="clear" w:color="auto" w:fill="002060"/>
          </w:tcPr>
          <w:p w14:paraId="1E5EB1CD" w14:textId="77777777" w:rsidR="00A55853" w:rsidRPr="00F13D6B" w:rsidRDefault="00A55853" w:rsidP="00234887">
            <w:pPr>
              <w:pStyle w:val="List"/>
              <w:ind w:left="0" w:firstLine="0"/>
              <w:cnfStyle w:val="100000000000" w:firstRow="1" w:lastRow="0" w:firstColumn="0" w:lastColumn="0" w:oddVBand="0" w:evenVBand="0" w:oddHBand="0" w:evenHBand="0" w:firstRowFirstColumn="0" w:firstRowLastColumn="0" w:lastRowFirstColumn="0" w:lastRowLastColumn="0"/>
              <w:rPr>
                <w:rFonts w:cstheme="minorHAnsi"/>
                <w:sz w:val="22"/>
              </w:rPr>
            </w:pPr>
            <w:r w:rsidRPr="00F13D6B">
              <w:rPr>
                <w:rFonts w:cstheme="minorHAnsi"/>
                <w:sz w:val="22"/>
              </w:rPr>
              <w:t>Examples</w:t>
            </w:r>
          </w:p>
        </w:tc>
      </w:tr>
      <w:tr w:rsidR="00A55853" w:rsidRPr="00F13D6B" w14:paraId="407C345D" w14:textId="77777777" w:rsidTr="002348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Borders>
              <w:top w:val="nil"/>
              <w:bottom w:val="nil"/>
              <w:right w:val="double" w:sz="4" w:space="0" w:color="660033" w:themeColor="accent6"/>
            </w:tcBorders>
          </w:tcPr>
          <w:p w14:paraId="3C496F2A" w14:textId="77777777" w:rsidR="00A55853" w:rsidRPr="00F13D6B" w:rsidRDefault="00A55853" w:rsidP="00BE6A58">
            <w:pPr>
              <w:rPr>
                <w:b w:val="0"/>
                <w:bCs w:val="0"/>
              </w:rPr>
            </w:pPr>
            <w:r w:rsidRPr="00F13D6B">
              <w:t xml:space="preserve">Repetition </w:t>
            </w:r>
          </w:p>
          <w:p w14:paraId="683A789F" w14:textId="77777777" w:rsidR="00A55853" w:rsidRPr="00F13D6B" w:rsidRDefault="00A55853" w:rsidP="00234887">
            <w:pPr>
              <w:rPr>
                <w:rFonts w:cstheme="minorHAnsi"/>
                <w:b w:val="0"/>
                <w:bCs w:val="0"/>
                <w:sz w:val="22"/>
              </w:rPr>
            </w:pPr>
          </w:p>
          <w:p w14:paraId="263247DA" w14:textId="77777777" w:rsidR="00A55853" w:rsidRPr="00F13D6B" w:rsidRDefault="00A55853" w:rsidP="00234887">
            <w:pPr>
              <w:rPr>
                <w:rFonts w:cstheme="minorHAnsi"/>
                <w:sz w:val="22"/>
              </w:rPr>
            </w:pPr>
          </w:p>
        </w:tc>
        <w:tc>
          <w:tcPr>
            <w:tcW w:w="7409" w:type="dxa"/>
            <w:tcBorders>
              <w:top w:val="nil"/>
              <w:left w:val="double" w:sz="4" w:space="0" w:color="660033" w:themeColor="accent6"/>
              <w:bottom w:val="nil"/>
            </w:tcBorders>
          </w:tcPr>
          <w:p w14:paraId="71FB32BC" w14:textId="77777777" w:rsidR="00A55853" w:rsidRPr="00F13D6B" w:rsidRDefault="00A55853" w:rsidP="00BE6A58">
            <w:pPr>
              <w:cnfStyle w:val="000000100000" w:firstRow="0" w:lastRow="0" w:firstColumn="0" w:lastColumn="0" w:oddVBand="0" w:evenVBand="0" w:oddHBand="1" w:evenHBand="0" w:firstRowFirstColumn="0" w:firstRowLastColumn="0" w:lastRowFirstColumn="0" w:lastRowLastColumn="0"/>
            </w:pPr>
            <w:r w:rsidRPr="00F13D6B">
              <w:t xml:space="preserve">Repetition enhances attention to information and strengthens neuronal pathways. </w:t>
            </w:r>
          </w:p>
          <w:p w14:paraId="4CD64D82" w14:textId="77777777" w:rsidR="00A55853" w:rsidRPr="00F13D6B" w:rsidRDefault="00A55853" w:rsidP="00BE6A58">
            <w:pPr>
              <w:pStyle w:val="Bulletpoint"/>
              <w:cnfStyle w:val="000000100000" w:firstRow="0" w:lastRow="0" w:firstColumn="0" w:lastColumn="0" w:oddVBand="0" w:evenVBand="0" w:oddHBand="1" w:evenHBand="0" w:firstRowFirstColumn="0" w:firstRowLastColumn="0" w:lastRowFirstColumn="0" w:lastRowLastColumn="0"/>
            </w:pPr>
            <w:r w:rsidRPr="00F13D6B">
              <w:t>Repeat key information in different ways (like writing, speaking) and ask people to repeat back information in their own words.</w:t>
            </w:r>
          </w:p>
          <w:p w14:paraId="54684DC4" w14:textId="77777777" w:rsidR="00A55853" w:rsidRPr="00F13D6B" w:rsidRDefault="00A55853" w:rsidP="00BE6A58">
            <w:pPr>
              <w:pStyle w:val="Bulletpoint"/>
              <w:cnfStyle w:val="000000100000" w:firstRow="0" w:lastRow="0" w:firstColumn="0" w:lastColumn="0" w:oddVBand="0" w:evenVBand="0" w:oddHBand="1" w:evenHBand="0" w:firstRowFirstColumn="0" w:firstRowLastColumn="0" w:lastRowFirstColumn="0" w:lastRowLastColumn="0"/>
            </w:pPr>
            <w:r w:rsidRPr="00F13D6B">
              <w:t xml:space="preserve">Encourage people to talk out loud to themselves. </w:t>
            </w:r>
          </w:p>
        </w:tc>
      </w:tr>
      <w:tr w:rsidR="00A55853" w:rsidRPr="00F13D6B" w14:paraId="57F27749" w14:textId="77777777" w:rsidTr="00234887">
        <w:tc>
          <w:tcPr>
            <w:cnfStyle w:val="001000000000" w:firstRow="0" w:lastRow="0" w:firstColumn="1" w:lastColumn="0" w:oddVBand="0" w:evenVBand="0" w:oddHBand="0" w:evenHBand="0" w:firstRowFirstColumn="0" w:firstRowLastColumn="0" w:lastRowFirstColumn="0" w:lastRowLastColumn="0"/>
            <w:tcW w:w="1800" w:type="dxa"/>
            <w:tcBorders>
              <w:top w:val="nil"/>
              <w:bottom w:val="nil"/>
              <w:right w:val="double" w:sz="4" w:space="0" w:color="660033" w:themeColor="accent6"/>
            </w:tcBorders>
          </w:tcPr>
          <w:p w14:paraId="77F1BDA8" w14:textId="77777777" w:rsidR="00A55853" w:rsidRPr="00F13D6B" w:rsidRDefault="00A55853" w:rsidP="00BE6A58">
            <w:pPr>
              <w:rPr>
                <w:b w:val="0"/>
                <w:bCs w:val="0"/>
              </w:rPr>
            </w:pPr>
            <w:r w:rsidRPr="00F13D6B">
              <w:t xml:space="preserve">Spaced repetition and retrieval </w:t>
            </w:r>
          </w:p>
        </w:tc>
        <w:tc>
          <w:tcPr>
            <w:tcW w:w="7409" w:type="dxa"/>
            <w:tcBorders>
              <w:top w:val="nil"/>
              <w:left w:val="double" w:sz="4" w:space="0" w:color="660033" w:themeColor="accent6"/>
              <w:bottom w:val="nil"/>
            </w:tcBorders>
          </w:tcPr>
          <w:p w14:paraId="1005C920" w14:textId="77777777" w:rsidR="00A55853" w:rsidRPr="00F13D6B" w:rsidRDefault="00A55853" w:rsidP="00BE6A58">
            <w:pPr>
              <w:cnfStyle w:val="000000000000" w:firstRow="0" w:lastRow="0" w:firstColumn="0" w:lastColumn="0" w:oddVBand="0" w:evenVBand="0" w:oddHBand="0" w:evenHBand="0" w:firstRowFirstColumn="0" w:firstRowLastColumn="0" w:lastRowFirstColumn="0" w:lastRowLastColumn="0"/>
            </w:pPr>
            <w:r w:rsidRPr="00F13D6B">
              <w:t xml:space="preserve">Spaced repetition refers to repeating key information over increasing time intervals, such as 5 minutes and 10 minutes, then 1 hour. </w:t>
            </w:r>
          </w:p>
          <w:p w14:paraId="4901841A" w14:textId="77777777" w:rsidR="00A55853" w:rsidRPr="00F13D6B" w:rsidRDefault="00A55853" w:rsidP="00BE6A58">
            <w:pPr>
              <w:pStyle w:val="Bulletpoint"/>
              <w:cnfStyle w:val="000000000000" w:firstRow="0" w:lastRow="0" w:firstColumn="0" w:lastColumn="0" w:oddVBand="0" w:evenVBand="0" w:oddHBand="0" w:evenHBand="0" w:firstRowFirstColumn="0" w:firstRowLastColumn="0" w:lastRowFirstColumn="0" w:lastRowLastColumn="0"/>
            </w:pPr>
            <w:r w:rsidRPr="00F13D6B">
              <w:t>Prompt people to retrieve information at spaced time intervals by giving specific cues. For example, “What is my name, it starts with S?” or “When is your next court date? It is in July.”</w:t>
            </w:r>
          </w:p>
          <w:p w14:paraId="5A35AB1E" w14:textId="77777777" w:rsidR="00A55853" w:rsidRPr="00F13D6B" w:rsidRDefault="00A55853" w:rsidP="00BE6A58">
            <w:pPr>
              <w:pStyle w:val="Bulletpoint"/>
              <w:cnfStyle w:val="000000000000" w:firstRow="0" w:lastRow="0" w:firstColumn="0" w:lastColumn="0" w:oddVBand="0" w:evenVBand="0" w:oddHBand="0" w:evenHBand="0" w:firstRowFirstColumn="0" w:firstRowLastColumn="0" w:lastRowFirstColumn="0" w:lastRowLastColumn="0"/>
              <w:rPr>
                <w:rFonts w:eastAsia="Calibri"/>
              </w:rPr>
            </w:pPr>
            <w:r w:rsidRPr="00F13D6B">
              <w:t>If the person struggles to recall the information, shorten the time intervals. Only lengthen the time intervals</w:t>
            </w:r>
            <w:r w:rsidRPr="00F13D6B">
              <w:rPr>
                <w:rFonts w:eastAsia="Calibri"/>
              </w:rPr>
              <w:t xml:space="preserve"> again once they can recall information at the shorter intervals.</w:t>
            </w:r>
          </w:p>
        </w:tc>
      </w:tr>
      <w:tr w:rsidR="00A55853" w:rsidRPr="00F13D6B" w14:paraId="05D4099E" w14:textId="77777777" w:rsidTr="002348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Borders>
              <w:top w:val="nil"/>
              <w:bottom w:val="nil"/>
              <w:right w:val="double" w:sz="4" w:space="0" w:color="660033" w:themeColor="accent6"/>
            </w:tcBorders>
          </w:tcPr>
          <w:p w14:paraId="0BD7201D" w14:textId="77777777" w:rsidR="00A55853" w:rsidRPr="00F13D6B" w:rsidRDefault="00A55853" w:rsidP="00BE6A58">
            <w:r w:rsidRPr="00F13D6B">
              <w:t xml:space="preserve">Bilingualism – using </w:t>
            </w:r>
            <w:r w:rsidRPr="00F13D6B">
              <w:lastRenderedPageBreak/>
              <w:t>additional languages</w:t>
            </w:r>
          </w:p>
        </w:tc>
        <w:tc>
          <w:tcPr>
            <w:tcW w:w="7409" w:type="dxa"/>
            <w:tcBorders>
              <w:top w:val="nil"/>
              <w:left w:val="double" w:sz="4" w:space="0" w:color="660033" w:themeColor="accent6"/>
              <w:bottom w:val="nil"/>
            </w:tcBorders>
          </w:tcPr>
          <w:p w14:paraId="56F79DEC" w14:textId="77777777" w:rsidR="00A55853" w:rsidRPr="00F13D6B" w:rsidRDefault="00A55853" w:rsidP="00BE6A58">
            <w:pPr>
              <w:cnfStyle w:val="000000100000" w:firstRow="0" w:lastRow="0" w:firstColumn="0" w:lastColumn="0" w:oddVBand="0" w:evenVBand="0" w:oddHBand="1" w:evenHBand="0" w:firstRowFirstColumn="0" w:firstRowLastColumn="0" w:lastRowFirstColumn="0" w:lastRowLastColumn="0"/>
            </w:pPr>
            <w:r w:rsidRPr="00F13D6B">
              <w:lastRenderedPageBreak/>
              <w:t>Speaking different languages can enhance people’s cognitive function, particularly in older people.</w:t>
            </w:r>
            <w:r w:rsidRPr="00F13D6B">
              <w:fldChar w:fldCharType="begin"/>
            </w:r>
            <w:r w:rsidRPr="00F13D6B">
              <w:instrText xml:space="preserve"> ADDIN ZOTERO_ITEM CSL_CITATION {"citationID":"ab2hojn5jf","properties":{"formattedCitation":"\\super 152\\nosupersub{}","plainCitation":"152","noteIndex":0},"citationItems":[{"id":14207,"uris":["http://zotero.org/groups/4745233/items/QPEWGC7C"],"itemData":{"id":14207,"type":"article-journal","abstract":"As the population ages, understanding how to maintain older adults' cognitive abilities is essential. Bilingualism has been linked to higher cognitive reserve, better performance in executive control, changes in brain structure and function relative to monolinguals, and delay in dementia onset. Learning a second language thus seems a promising avenue for cognitive enhancement in older adults. Our review aims to determine whether learning a foreign language in later life improves cognition and promotes neuroplasticity. We screened articles from the Pubmed, Scopus, and Science Direct databases to identify interventional studies using second language training in senior participants, including either cognition or neuroimaging as outcome measures. A total of nine articles were found, with only one neuroimaging study. Results from these studies are inconsistent, but tend to suggest that second language learning is associated with improvement in attentional switching, inhibition, working memory, and increased functional connectivity. We discuss the implications of these results, and suggest new directions and methodological recommendations for future research.","container-title":"Frontiers in Aging Neuroscience","DOI":"10.3389/fnagi.2021.706672","ISSN":"1663-4365","journalAbbreviation":"Front Aging Neurosci","language":"eng","note":"PMID: 34867264\nPMCID: PMC8633567","page":"706672","source":"PubMed","title":"Does second language learning promote neuroplasticity in aging? A systematic review of cognitive and neuroimaging studies","title-short":"Does Second Language Learning Promote Neuroplasticity in Aging?","volume":"13","author":[{"family":"Ware","given":"Caitlin"},{"family":"Dautricourt","given":"Sophie"},{"family":"Gonneaud","given":"Julie"},{"family":"Chételat","given":"Gael"}],"issued":{"date-parts":[["2021"]]}}}],"schema":"https://github.com/citation-style-language/schema/raw/master/csl-citation.json"} </w:instrText>
            </w:r>
            <w:r w:rsidRPr="00F13D6B">
              <w:fldChar w:fldCharType="separate"/>
            </w:r>
            <w:r w:rsidRPr="00F13D6B">
              <w:rPr>
                <w:vertAlign w:val="superscript"/>
              </w:rPr>
              <w:t>152</w:t>
            </w:r>
            <w:r w:rsidRPr="00F13D6B">
              <w:fldChar w:fldCharType="end"/>
            </w:r>
            <w:r w:rsidRPr="00F13D6B">
              <w:t xml:space="preserve"> </w:t>
            </w:r>
          </w:p>
          <w:p w14:paraId="74725912" w14:textId="77777777" w:rsidR="00A55853" w:rsidRPr="00F13D6B" w:rsidRDefault="00A55853" w:rsidP="00BE6A58">
            <w:pPr>
              <w:pStyle w:val="Bulletpoint"/>
              <w:cnfStyle w:val="000000100000" w:firstRow="0" w:lastRow="0" w:firstColumn="0" w:lastColumn="0" w:oddVBand="0" w:evenVBand="0" w:oddHBand="1" w:evenHBand="0" w:firstRowFirstColumn="0" w:firstRowLastColumn="0" w:lastRowFirstColumn="0" w:lastRowLastColumn="0"/>
            </w:pPr>
            <w:r w:rsidRPr="00F13D6B">
              <w:lastRenderedPageBreak/>
              <w:t xml:space="preserve">Where helpful, encourage tāngata whai ora Māori to enhance and use their te reo Māori learning. </w:t>
            </w:r>
          </w:p>
          <w:p w14:paraId="61D00EC8" w14:textId="77777777" w:rsidR="00A55853" w:rsidRPr="00F13D6B" w:rsidRDefault="00A55853" w:rsidP="00BE6A58">
            <w:pPr>
              <w:pStyle w:val="Bulletpoint"/>
              <w:cnfStyle w:val="000000100000" w:firstRow="0" w:lastRow="0" w:firstColumn="0" w:lastColumn="0" w:oddVBand="0" w:evenVBand="0" w:oddHBand="1" w:evenHBand="0" w:firstRowFirstColumn="0" w:firstRowLastColumn="0" w:lastRowFirstColumn="0" w:lastRowLastColumn="0"/>
            </w:pPr>
            <w:r w:rsidRPr="00F13D6B">
              <w:t xml:space="preserve">Encourage people who speak other languages to use them as much as possible. Use interpreters to assist this process. </w:t>
            </w:r>
          </w:p>
        </w:tc>
      </w:tr>
      <w:tr w:rsidR="00A55853" w:rsidRPr="00F13D6B" w14:paraId="68A200D5" w14:textId="77777777" w:rsidTr="00234887">
        <w:tc>
          <w:tcPr>
            <w:cnfStyle w:val="001000000000" w:firstRow="0" w:lastRow="0" w:firstColumn="1" w:lastColumn="0" w:oddVBand="0" w:evenVBand="0" w:oddHBand="0" w:evenHBand="0" w:firstRowFirstColumn="0" w:firstRowLastColumn="0" w:lastRowFirstColumn="0" w:lastRowLastColumn="0"/>
            <w:tcW w:w="1800" w:type="dxa"/>
            <w:tcBorders>
              <w:top w:val="nil"/>
              <w:bottom w:val="nil"/>
              <w:right w:val="double" w:sz="4" w:space="0" w:color="660033" w:themeColor="accent6"/>
            </w:tcBorders>
          </w:tcPr>
          <w:p w14:paraId="3281A8A6" w14:textId="77777777" w:rsidR="00A55853" w:rsidRPr="00F13D6B" w:rsidRDefault="00A55853" w:rsidP="00BE6A58">
            <w:pPr>
              <w:rPr>
                <w:b w:val="0"/>
                <w:bCs w:val="0"/>
              </w:rPr>
            </w:pPr>
            <w:r w:rsidRPr="00F13D6B">
              <w:lastRenderedPageBreak/>
              <w:t xml:space="preserve">Association </w:t>
            </w:r>
          </w:p>
          <w:p w14:paraId="332FAF43" w14:textId="77777777" w:rsidR="00A55853" w:rsidRPr="00F13D6B" w:rsidRDefault="00A55853" w:rsidP="00234887">
            <w:pPr>
              <w:rPr>
                <w:rFonts w:cstheme="minorHAnsi"/>
                <w:b w:val="0"/>
                <w:bCs w:val="0"/>
                <w:sz w:val="22"/>
              </w:rPr>
            </w:pPr>
          </w:p>
          <w:p w14:paraId="476377B4" w14:textId="77777777" w:rsidR="00A55853" w:rsidRPr="00F13D6B" w:rsidRDefault="00A55853" w:rsidP="00234887">
            <w:pPr>
              <w:rPr>
                <w:rFonts w:cstheme="minorHAnsi"/>
                <w:sz w:val="22"/>
              </w:rPr>
            </w:pPr>
          </w:p>
        </w:tc>
        <w:tc>
          <w:tcPr>
            <w:tcW w:w="7409" w:type="dxa"/>
            <w:tcBorders>
              <w:top w:val="nil"/>
              <w:left w:val="double" w:sz="4" w:space="0" w:color="660033" w:themeColor="accent6"/>
              <w:bottom w:val="nil"/>
            </w:tcBorders>
          </w:tcPr>
          <w:p w14:paraId="4DF4107A" w14:textId="77777777" w:rsidR="00A55853" w:rsidRPr="00F13D6B" w:rsidRDefault="00A55853" w:rsidP="00BE6A58">
            <w:pPr>
              <w:cnfStyle w:val="000000000000" w:firstRow="0" w:lastRow="0" w:firstColumn="0" w:lastColumn="0" w:oddVBand="0" w:evenVBand="0" w:oddHBand="0" w:evenHBand="0" w:firstRowFirstColumn="0" w:firstRowLastColumn="0" w:lastRowFirstColumn="0" w:lastRowLastColumn="0"/>
            </w:pPr>
            <w:r w:rsidRPr="00F13D6B">
              <w:t xml:space="preserve">Associations help people to remember things better. Tāngata whai ora may benefit from learning associations using words, images, or materials associated with their culture. </w:t>
            </w:r>
          </w:p>
          <w:p w14:paraId="2728FB3A" w14:textId="77777777" w:rsidR="00A55853" w:rsidRPr="00F13D6B" w:rsidRDefault="00A55853" w:rsidP="00BE6A58">
            <w:pPr>
              <w:pStyle w:val="BoxBullet"/>
              <w:cnfStyle w:val="000000000000" w:firstRow="0" w:lastRow="0" w:firstColumn="0" w:lastColumn="0" w:oddVBand="0" w:evenVBand="0" w:oddHBand="0" w:evenHBand="0" w:firstRowFirstColumn="0" w:firstRowLastColumn="0" w:lastRowFirstColumn="0" w:lastRowLastColumn="0"/>
            </w:pPr>
            <w:r w:rsidRPr="00F13D6B">
              <w:t>Encourage people to create associations to remember information. For example, “I need to catch the number 4 bus to get to my appointment at 4pm”.</w:t>
            </w:r>
          </w:p>
          <w:p w14:paraId="6A3AB0EA" w14:textId="77777777" w:rsidR="00A55853" w:rsidRPr="00F13D6B" w:rsidRDefault="00A55853" w:rsidP="00BE6A58">
            <w:pPr>
              <w:pStyle w:val="BoxBullet"/>
              <w:cnfStyle w:val="000000000000" w:firstRow="0" w:lastRow="0" w:firstColumn="0" w:lastColumn="0" w:oddVBand="0" w:evenVBand="0" w:oddHBand="0" w:evenHBand="0" w:firstRowFirstColumn="0" w:firstRowLastColumn="0" w:lastRowFirstColumn="0" w:lastRowLastColumn="0"/>
            </w:pPr>
            <w:r w:rsidRPr="00F13D6B">
              <w:t xml:space="preserve">Familiar associations are easier to remember compared to unusual associations that have no clear link. For example, “My new case manager’s name is Kathy Cook, and I remember her name because she is nice, and I have nice memories of visiting Aoraki/Mt Cook”. </w:t>
            </w:r>
          </w:p>
        </w:tc>
      </w:tr>
      <w:tr w:rsidR="00A55853" w:rsidRPr="00F13D6B" w14:paraId="374E7017" w14:textId="77777777" w:rsidTr="002348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Borders>
              <w:top w:val="nil"/>
              <w:bottom w:val="nil"/>
              <w:right w:val="double" w:sz="4" w:space="0" w:color="660033" w:themeColor="accent6"/>
            </w:tcBorders>
          </w:tcPr>
          <w:p w14:paraId="2A06E6F0" w14:textId="77777777" w:rsidR="00A55853" w:rsidRPr="00F13D6B" w:rsidRDefault="00A55853" w:rsidP="00BE6A58">
            <w:pPr>
              <w:rPr>
                <w:b w:val="0"/>
                <w:bCs w:val="0"/>
              </w:rPr>
            </w:pPr>
            <w:r w:rsidRPr="00F13D6B">
              <w:t xml:space="preserve">Chunking </w:t>
            </w:r>
          </w:p>
          <w:p w14:paraId="65D64CD1" w14:textId="77777777" w:rsidR="00A55853" w:rsidRPr="00F13D6B" w:rsidRDefault="00A55853" w:rsidP="00234887">
            <w:pPr>
              <w:rPr>
                <w:rFonts w:cstheme="minorHAnsi"/>
                <w:b w:val="0"/>
                <w:bCs w:val="0"/>
                <w:sz w:val="22"/>
              </w:rPr>
            </w:pPr>
          </w:p>
          <w:p w14:paraId="694DE0A4" w14:textId="77777777" w:rsidR="00A55853" w:rsidRPr="00F13D6B" w:rsidRDefault="00A55853" w:rsidP="00234887">
            <w:pPr>
              <w:rPr>
                <w:rFonts w:cstheme="minorHAnsi"/>
                <w:sz w:val="22"/>
              </w:rPr>
            </w:pPr>
          </w:p>
        </w:tc>
        <w:tc>
          <w:tcPr>
            <w:tcW w:w="7409" w:type="dxa"/>
            <w:tcBorders>
              <w:top w:val="nil"/>
              <w:left w:val="double" w:sz="4" w:space="0" w:color="660033" w:themeColor="accent6"/>
              <w:bottom w:val="nil"/>
            </w:tcBorders>
          </w:tcPr>
          <w:p w14:paraId="6BAFD0F0" w14:textId="77777777" w:rsidR="00A55853" w:rsidRPr="00F13D6B" w:rsidRDefault="00A55853" w:rsidP="00BE6A58">
            <w:pPr>
              <w:cnfStyle w:val="000000100000" w:firstRow="0" w:lastRow="0" w:firstColumn="0" w:lastColumn="0" w:oddVBand="0" w:evenVBand="0" w:oddHBand="1" w:evenHBand="0" w:firstRowFirstColumn="0" w:firstRowLastColumn="0" w:lastRowFirstColumn="0" w:lastRowLastColumn="0"/>
            </w:pPr>
            <w:r w:rsidRPr="00F13D6B">
              <w:t>Chunking reduces the load on memory by grouping similar things together. For example, teach people to:</w:t>
            </w:r>
          </w:p>
          <w:p w14:paraId="52EF6D77" w14:textId="77777777" w:rsidR="00A55853" w:rsidRPr="00F13D6B" w:rsidRDefault="00A55853" w:rsidP="00BE6A58">
            <w:pPr>
              <w:pStyle w:val="Bulletpoint"/>
              <w:cnfStyle w:val="000000100000" w:firstRow="0" w:lastRow="0" w:firstColumn="0" w:lastColumn="0" w:oddVBand="0" w:evenVBand="0" w:oddHBand="1" w:evenHBand="0" w:firstRowFirstColumn="0" w:firstRowLastColumn="0" w:lastRowFirstColumn="0" w:lastRowLastColumn="0"/>
            </w:pPr>
            <w:r w:rsidRPr="00F13D6B">
              <w:t xml:space="preserve">break a phone number into three groups (021 123 456) as that is easier to remember than the whole number </w:t>
            </w:r>
          </w:p>
          <w:p w14:paraId="464745D2" w14:textId="77777777" w:rsidR="00A55853" w:rsidRPr="00F13D6B" w:rsidRDefault="00A55853" w:rsidP="00BE6A58">
            <w:pPr>
              <w:pStyle w:val="Bulletpoint"/>
              <w:cnfStyle w:val="000000100000" w:firstRow="0" w:lastRow="0" w:firstColumn="0" w:lastColumn="0" w:oddVBand="0" w:evenVBand="0" w:oddHBand="1" w:evenHBand="0" w:firstRowFirstColumn="0" w:firstRowLastColumn="0" w:lastRowFirstColumn="0" w:lastRowLastColumn="0"/>
            </w:pPr>
            <w:r w:rsidRPr="00F13D6B">
              <w:t xml:space="preserve">use lists when shopping to group similar items together (like milk and yoghurt). </w:t>
            </w:r>
          </w:p>
        </w:tc>
      </w:tr>
      <w:tr w:rsidR="00A55853" w:rsidRPr="00F13D6B" w14:paraId="270D59D0" w14:textId="77777777" w:rsidTr="00234887">
        <w:tc>
          <w:tcPr>
            <w:cnfStyle w:val="001000000000" w:firstRow="0" w:lastRow="0" w:firstColumn="1" w:lastColumn="0" w:oddVBand="0" w:evenVBand="0" w:oddHBand="0" w:evenHBand="0" w:firstRowFirstColumn="0" w:firstRowLastColumn="0" w:lastRowFirstColumn="0" w:lastRowLastColumn="0"/>
            <w:tcW w:w="1800" w:type="dxa"/>
            <w:tcBorders>
              <w:top w:val="nil"/>
              <w:bottom w:val="nil"/>
              <w:right w:val="double" w:sz="4" w:space="0" w:color="660033" w:themeColor="accent6"/>
            </w:tcBorders>
          </w:tcPr>
          <w:p w14:paraId="572F0449" w14:textId="77777777" w:rsidR="00A55853" w:rsidRPr="00F13D6B" w:rsidRDefault="00A55853" w:rsidP="00BE6A58">
            <w:pPr>
              <w:rPr>
                <w:b w:val="0"/>
                <w:bCs w:val="0"/>
              </w:rPr>
            </w:pPr>
            <w:r w:rsidRPr="00F13D6B">
              <w:t xml:space="preserve">Self-prompting </w:t>
            </w:r>
          </w:p>
          <w:p w14:paraId="41C44DDE" w14:textId="77777777" w:rsidR="00A55853" w:rsidRPr="00F13D6B" w:rsidRDefault="00A55853" w:rsidP="00234887">
            <w:pPr>
              <w:rPr>
                <w:rFonts w:cstheme="minorHAnsi"/>
                <w:b w:val="0"/>
                <w:bCs w:val="0"/>
                <w:sz w:val="22"/>
              </w:rPr>
            </w:pPr>
          </w:p>
          <w:p w14:paraId="22EC2653" w14:textId="77777777" w:rsidR="00A55853" w:rsidRPr="00F13D6B" w:rsidRDefault="00A55853" w:rsidP="00234887">
            <w:pPr>
              <w:rPr>
                <w:rFonts w:cstheme="minorHAnsi"/>
                <w:sz w:val="22"/>
              </w:rPr>
            </w:pPr>
          </w:p>
        </w:tc>
        <w:tc>
          <w:tcPr>
            <w:tcW w:w="7409" w:type="dxa"/>
            <w:tcBorders>
              <w:top w:val="nil"/>
              <w:left w:val="double" w:sz="4" w:space="0" w:color="660033" w:themeColor="accent6"/>
              <w:bottom w:val="nil"/>
            </w:tcBorders>
          </w:tcPr>
          <w:p w14:paraId="58870E79" w14:textId="77777777" w:rsidR="00A55853" w:rsidRPr="00F13D6B" w:rsidRDefault="00A55853" w:rsidP="00BE6A58">
            <w:pPr>
              <w:cnfStyle w:val="000000000000" w:firstRow="0" w:lastRow="0" w:firstColumn="0" w:lastColumn="0" w:oddVBand="0" w:evenVBand="0" w:oddHBand="0" w:evenHBand="0" w:firstRowFirstColumn="0" w:firstRowLastColumn="0" w:lastRowFirstColumn="0" w:lastRowLastColumn="0"/>
            </w:pPr>
            <w:r w:rsidRPr="00F13D6B">
              <w:t xml:space="preserve">Self-prompting uses contextual information to aid recall. </w:t>
            </w:r>
          </w:p>
          <w:p w14:paraId="50432D5E" w14:textId="77777777" w:rsidR="00A55853" w:rsidRPr="00F13D6B" w:rsidRDefault="00A55853" w:rsidP="00BE6A58">
            <w:pPr>
              <w:pStyle w:val="Bulletpoint"/>
              <w:cnfStyle w:val="000000000000" w:firstRow="0" w:lastRow="0" w:firstColumn="0" w:lastColumn="0" w:oddVBand="0" w:evenVBand="0" w:oddHBand="0" w:evenHBand="0" w:firstRowFirstColumn="0" w:firstRowLastColumn="0" w:lastRowFirstColumn="0" w:lastRowLastColumn="0"/>
            </w:pPr>
            <w:r w:rsidRPr="00F13D6B">
              <w:t xml:space="preserve">For example, ask people to think about where they were and what they were doing. </w:t>
            </w:r>
          </w:p>
          <w:p w14:paraId="3C306131" w14:textId="77777777" w:rsidR="00A55853" w:rsidRPr="00F13D6B" w:rsidRDefault="00A55853" w:rsidP="00BE6A58">
            <w:pPr>
              <w:pStyle w:val="Bulletpoint"/>
              <w:cnfStyle w:val="000000000000" w:firstRow="0" w:lastRow="0" w:firstColumn="0" w:lastColumn="0" w:oddVBand="0" w:evenVBand="0" w:oddHBand="0" w:evenHBand="0" w:firstRowFirstColumn="0" w:firstRowLastColumn="0" w:lastRowFirstColumn="0" w:lastRowLastColumn="0"/>
            </w:pPr>
            <w:r w:rsidRPr="00F13D6B">
              <w:t xml:space="preserve">Ask people to retrace their steps and ask questions like who they were with and what room they were in when they learned a piece of information, or an event happened (like losing keys). </w:t>
            </w:r>
          </w:p>
        </w:tc>
      </w:tr>
      <w:tr w:rsidR="00A55853" w:rsidRPr="00F13D6B" w14:paraId="3DA5BE02" w14:textId="77777777" w:rsidTr="002348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Borders>
              <w:top w:val="nil"/>
              <w:bottom w:val="nil"/>
              <w:right w:val="double" w:sz="4" w:space="0" w:color="660033" w:themeColor="accent6"/>
            </w:tcBorders>
          </w:tcPr>
          <w:p w14:paraId="463B3F34" w14:textId="77777777" w:rsidR="00A55853" w:rsidRPr="00F13D6B" w:rsidRDefault="00A55853" w:rsidP="00BE6A58">
            <w:r w:rsidRPr="00F13D6B">
              <w:t>If-then plans</w:t>
            </w:r>
          </w:p>
        </w:tc>
        <w:tc>
          <w:tcPr>
            <w:tcW w:w="7409" w:type="dxa"/>
            <w:tcBorders>
              <w:top w:val="nil"/>
              <w:left w:val="double" w:sz="4" w:space="0" w:color="660033" w:themeColor="accent6"/>
              <w:bottom w:val="nil"/>
            </w:tcBorders>
          </w:tcPr>
          <w:p w14:paraId="69F48208" w14:textId="77777777" w:rsidR="00A55853" w:rsidRPr="00F13D6B" w:rsidRDefault="00A55853" w:rsidP="00BE6A58">
            <w:pPr>
              <w:cnfStyle w:val="000000100000" w:firstRow="0" w:lastRow="0" w:firstColumn="0" w:lastColumn="0" w:oddVBand="0" w:evenVBand="0" w:oddHBand="1" w:evenHBand="0" w:firstRowFirstColumn="0" w:firstRowLastColumn="0" w:lastRowFirstColumn="0" w:lastRowLastColumn="0"/>
            </w:pPr>
            <w:r w:rsidRPr="00F13D6B">
              <w:t xml:space="preserve">If-then plans help with remembering to do things in the future. </w:t>
            </w:r>
          </w:p>
          <w:p w14:paraId="642D6C6F" w14:textId="77777777" w:rsidR="00A55853" w:rsidRPr="00F13D6B" w:rsidRDefault="00A55853" w:rsidP="00BE6A58">
            <w:pPr>
              <w:pStyle w:val="Bulletpoint"/>
              <w:cnfStyle w:val="000000100000" w:firstRow="0" w:lastRow="0" w:firstColumn="0" w:lastColumn="0" w:oddVBand="0" w:evenVBand="0" w:oddHBand="1" w:evenHBand="0" w:firstRowFirstColumn="0" w:firstRowLastColumn="0" w:lastRowFirstColumn="0" w:lastRowLastColumn="0"/>
            </w:pPr>
            <w:r w:rsidRPr="00F13D6B">
              <w:lastRenderedPageBreak/>
              <w:t>Encourage people to create if-then plans in their mind and visualise themselves doing it. For example, "If I drive past the supermarket on my way home, then I will stop to buy milk".</w:t>
            </w:r>
          </w:p>
        </w:tc>
      </w:tr>
      <w:tr w:rsidR="00A55853" w:rsidRPr="00F13D6B" w14:paraId="7CC8B064" w14:textId="77777777" w:rsidTr="00234887">
        <w:tc>
          <w:tcPr>
            <w:cnfStyle w:val="001000000000" w:firstRow="0" w:lastRow="0" w:firstColumn="1" w:lastColumn="0" w:oddVBand="0" w:evenVBand="0" w:oddHBand="0" w:evenHBand="0" w:firstRowFirstColumn="0" w:firstRowLastColumn="0" w:lastRowFirstColumn="0" w:lastRowLastColumn="0"/>
            <w:tcW w:w="1800" w:type="dxa"/>
            <w:tcBorders>
              <w:top w:val="nil"/>
              <w:bottom w:val="nil"/>
              <w:right w:val="double" w:sz="4" w:space="0" w:color="660033" w:themeColor="accent6"/>
            </w:tcBorders>
          </w:tcPr>
          <w:p w14:paraId="1A772AD8" w14:textId="77777777" w:rsidR="00A55853" w:rsidRPr="00F13D6B" w:rsidRDefault="00A55853" w:rsidP="00BE6A58">
            <w:pPr>
              <w:rPr>
                <w:b w:val="0"/>
                <w:bCs w:val="0"/>
              </w:rPr>
            </w:pPr>
            <w:r w:rsidRPr="00F13D6B">
              <w:lastRenderedPageBreak/>
              <w:t xml:space="preserve">Musical mnemonics </w:t>
            </w:r>
            <w:r w:rsidRPr="00F13D6B">
              <w:rPr>
                <w:color w:val="2B579A"/>
                <w:shd w:val="clear" w:color="auto" w:fill="E6E6E6"/>
              </w:rPr>
              <w:fldChar w:fldCharType="begin"/>
            </w:r>
            <w:r w:rsidRPr="00F13D6B">
              <w:instrText xml:space="preserve"> ADDIN ZOTERO_ITEM CSL_CITATION {"citationID":"KmpJeWrQ","properties":{"formattedCitation":"(Verdejo-Garcia et al., 2019)","plainCitation":"(Verdejo-Garcia et al., 2019)","dontUpdate":true,"noteIndex":0},"citationItems":[{"id":12717,"uris":["http://zotero.org/groups/4745233/items/3I2A3SYX"],"itemData":{"id":12717,"type":"article-journal","abstract":"Although there is general consensus that altered brain structure and function underpins addictive disorders, clinicians working in addiction treatment rarely incorporate neuroscience-informed approaches into their practice. We recently launched the Neuroscience Interest Group within the International Society of Addiction Medicine (ISAM-NIG) to promote initiatives to bridge this gap. This article summarizes the ISAM-NIG key priorities and strategies to achieve implementation of addiction neuroscience knowledge and tools for the assessment and treatment of substance use disorders. We cover two assessment areas: cognitive assessment and neuroimaging, and two interventional areas: cognitive training/remediation and neuromodulation, where we identify key challenges and proposed solutions. We reason that incorporating cognitive assessment into clinical settings requires the identification of constructs that predict meaningful clinical outcomes. Other requirements are the development of measures that are easily-administered, reliable, and ecologically-valid. Translation of neuroimaging techniques requires the development of diagnostic and prognostic biomarkers and testing the cost-effectiveness of these biomarkers in individualized prediction algorithms for relapse prevention and treatment selection. Integration of cognitive assessments with neuroimaging can provide multilevel targets including neural, cognitive, and behavioral outcomes for neuroscience-informed interventions. Application of neuroscience-informed interventions including cognitive training/remediation and neuromodulation requires clear pathways to design treatments based on multilevel targets, additional evidence from randomized trials and subsequent clinical implementation, including evaluation of cost-effectiveness. We propose to address these challenges by promoting international collaboration between researchers and clinicians, developing harmonized protocols and data management systems, and prioritizing multi-site research that focuses on improving clinical outcomes.","container-title":"Frontiers in Psychiatry","ISSN":"1664-0640","source":"Frontiers","title":"A Roadmap for Integrating Neuroscience Into Addiction Treatment: A Consensus of the Neuroscience Interest Group of the International Society of Addiction Medicine","title-short":"A Roadmap for Integrating Neuroscience Into Addiction Treatment","URL":"https://www.frontiersin.org/articles/10.3389/fpsyt.2019.00877","volume":"10","author":[{"family":"Verdejo-Garcia","given":"Antonio"},{"family":"Lorenzetti","given":"Valentina"},{"family":"Manning","given":"Victoria"},{"family":"Piercy","given":"Hugh"},{"family":"Bruno","given":"Raimondo"},{"family":"Hester","given":"Rob"},{"family":"Pennington","given":"David"},{"family":"Tolomeo","given":"Serenella"},{"family":"Arunogiri","given":"Shalini"},{"family":"Bates","given":"Marsha E."},{"family":"Bowden-Jones","given":"Henrietta"},{"family":"Campanella","given":"Salvatore"},{"family":"Daughters","given":"Stacey B."},{"family":"Kouimtsidis","given":"Christos"},{"family":"Lubman","given":"Dan I."},{"family":"Meyerhoff","given":"Dieter J."},{"family":"Ralph","given":"Annaketurah"},{"family":"Rezapour","given":"Tara"},{"family":"Tavakoli","given":"Hosna"},{"family":"Zare-Bidoky","given":"Mehran"},{"family":"Zilverstand","given":"Anna"},{"family":"Steele","given":"Douglas"},{"family":"Moeller","given":"Scott J."},{"family":"Paulus","given":"Martin"},{"family":"Baldacchino","given":"Alex"},{"family":"Ekhtiari","given":"Hamed"}],"accessed":{"date-parts":[["2022",10,25]]},"issued":{"date-parts":[["2019"]]}}}],"schema":"https://github.com/citation-style-language/schema/raw/master/csl-citation.json"} </w:instrText>
            </w:r>
            <w:r w:rsidR="00000000">
              <w:rPr>
                <w:color w:val="2B579A"/>
                <w:shd w:val="clear" w:color="auto" w:fill="E6E6E6"/>
              </w:rPr>
              <w:fldChar w:fldCharType="separate"/>
            </w:r>
            <w:r w:rsidRPr="00F13D6B">
              <w:rPr>
                <w:color w:val="2B579A"/>
                <w:shd w:val="clear" w:color="auto" w:fill="E6E6E6"/>
              </w:rPr>
              <w:fldChar w:fldCharType="end"/>
            </w:r>
            <w:r w:rsidRPr="00F13D6B">
              <w:t xml:space="preserve"> </w:t>
            </w:r>
          </w:p>
          <w:p w14:paraId="68B36B52" w14:textId="77777777" w:rsidR="00A55853" w:rsidRPr="00F13D6B" w:rsidRDefault="00A55853" w:rsidP="00234887">
            <w:pPr>
              <w:rPr>
                <w:rFonts w:cstheme="minorHAnsi"/>
                <w:b w:val="0"/>
                <w:bCs w:val="0"/>
                <w:sz w:val="22"/>
              </w:rPr>
            </w:pPr>
          </w:p>
          <w:p w14:paraId="4629143C" w14:textId="77777777" w:rsidR="00A55853" w:rsidRPr="00F13D6B" w:rsidRDefault="00A55853" w:rsidP="00234887">
            <w:pPr>
              <w:rPr>
                <w:rFonts w:cstheme="minorHAnsi"/>
                <w:b w:val="0"/>
                <w:bCs w:val="0"/>
                <w:sz w:val="22"/>
              </w:rPr>
            </w:pPr>
          </w:p>
        </w:tc>
        <w:tc>
          <w:tcPr>
            <w:tcW w:w="7409" w:type="dxa"/>
            <w:tcBorders>
              <w:top w:val="nil"/>
              <w:left w:val="double" w:sz="4" w:space="0" w:color="660033" w:themeColor="accent6"/>
              <w:bottom w:val="nil"/>
            </w:tcBorders>
          </w:tcPr>
          <w:p w14:paraId="30FA2DC5" w14:textId="77777777" w:rsidR="00A55853" w:rsidRPr="00F13D6B" w:rsidRDefault="00A55853" w:rsidP="00BE6A58">
            <w:pPr>
              <w:cnfStyle w:val="000000000000" w:firstRow="0" w:lastRow="0" w:firstColumn="0" w:lastColumn="0" w:oddVBand="0" w:evenVBand="0" w:oddHBand="0" w:evenHBand="0" w:firstRowFirstColumn="0" w:firstRowLastColumn="0" w:lastRowFirstColumn="0" w:lastRowLastColumn="0"/>
            </w:pPr>
            <w:r w:rsidRPr="00F13D6B">
              <w:t xml:space="preserve">A mnemonic is a pattern of letters, ideas, or associations that assists with memory. Musical mnemonics use songs or rhymes and requires some creativity. </w:t>
            </w:r>
          </w:p>
          <w:p w14:paraId="08BAAE98" w14:textId="77777777" w:rsidR="00A55853" w:rsidRPr="00F13D6B" w:rsidRDefault="00A55853" w:rsidP="00BE6A58">
            <w:pPr>
              <w:pStyle w:val="Bulletpoint"/>
              <w:cnfStyle w:val="000000000000" w:firstRow="0" w:lastRow="0" w:firstColumn="0" w:lastColumn="0" w:oddVBand="0" w:evenVBand="0" w:oddHBand="0" w:evenHBand="0" w:firstRowFirstColumn="0" w:firstRowLastColumn="0" w:lastRowFirstColumn="0" w:lastRowLastColumn="0"/>
            </w:pPr>
            <w:r w:rsidRPr="00F13D6B">
              <w:t xml:space="preserve">Work collaboratively with each tangata whai ora to identify what’s most helpful or meaningful for them. </w:t>
            </w:r>
          </w:p>
        </w:tc>
      </w:tr>
      <w:tr w:rsidR="00A55853" w:rsidRPr="00F13D6B" w14:paraId="32C1D605" w14:textId="77777777" w:rsidTr="002348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Borders>
              <w:top w:val="nil"/>
              <w:bottom w:val="nil"/>
              <w:right w:val="double" w:sz="4" w:space="0" w:color="660033" w:themeColor="accent6"/>
            </w:tcBorders>
          </w:tcPr>
          <w:p w14:paraId="3A23EEDB" w14:textId="77777777" w:rsidR="00A55853" w:rsidRPr="00F13D6B" w:rsidRDefault="00A55853" w:rsidP="00BE6A58">
            <w:pPr>
              <w:rPr>
                <w:b w:val="0"/>
                <w:bCs w:val="0"/>
              </w:rPr>
            </w:pPr>
            <w:r w:rsidRPr="00F13D6B">
              <w:t xml:space="preserve">Acronyms and acrostics </w:t>
            </w:r>
          </w:p>
          <w:p w14:paraId="0F8F0B39" w14:textId="77777777" w:rsidR="00A55853" w:rsidRPr="00F13D6B" w:rsidRDefault="00A55853" w:rsidP="00234887">
            <w:pPr>
              <w:rPr>
                <w:rFonts w:cstheme="minorHAnsi"/>
                <w:sz w:val="22"/>
              </w:rPr>
            </w:pPr>
          </w:p>
        </w:tc>
        <w:tc>
          <w:tcPr>
            <w:tcW w:w="7409" w:type="dxa"/>
            <w:tcBorders>
              <w:top w:val="nil"/>
              <w:left w:val="double" w:sz="4" w:space="0" w:color="660033" w:themeColor="accent6"/>
              <w:bottom w:val="nil"/>
            </w:tcBorders>
          </w:tcPr>
          <w:p w14:paraId="7DAE3E01" w14:textId="77777777" w:rsidR="00A55853" w:rsidRPr="00F13D6B" w:rsidRDefault="00A55853" w:rsidP="00BE6A58">
            <w:pPr>
              <w:cnfStyle w:val="000000100000" w:firstRow="0" w:lastRow="0" w:firstColumn="0" w:lastColumn="0" w:oddVBand="0" w:evenVBand="0" w:oddHBand="1" w:evenHBand="0" w:firstRowFirstColumn="0" w:firstRowLastColumn="0" w:lastRowFirstColumn="0" w:lastRowLastColumn="0"/>
            </w:pPr>
            <w:r w:rsidRPr="00F13D6B">
              <w:t xml:space="preserve">Acronyms are abbreviations formed from the initial letters of a phrase. </w:t>
            </w:r>
          </w:p>
          <w:p w14:paraId="208DA453" w14:textId="77777777" w:rsidR="00A55853" w:rsidRPr="00F13D6B" w:rsidRDefault="00A55853" w:rsidP="00BE6A58">
            <w:pPr>
              <w:pStyle w:val="Bulletpoint"/>
              <w:cnfStyle w:val="000000100000" w:firstRow="0" w:lastRow="0" w:firstColumn="0" w:lastColumn="0" w:oddVBand="0" w:evenVBand="0" w:oddHBand="1" w:evenHBand="0" w:firstRowFirstColumn="0" w:firstRowLastColumn="0" w:lastRowFirstColumn="0" w:lastRowLastColumn="0"/>
            </w:pPr>
            <w:r w:rsidRPr="00F13D6B">
              <w:t xml:space="preserve">For example, ID for intellectual disability. </w:t>
            </w:r>
          </w:p>
          <w:p w14:paraId="74E5D6A5" w14:textId="77777777" w:rsidR="00A55853" w:rsidRPr="003205BC" w:rsidRDefault="00A55853" w:rsidP="00BE6A58">
            <w:pPr>
              <w:pStyle w:val="Bulletpoint"/>
              <w:cnfStyle w:val="000000100000" w:firstRow="0" w:lastRow="0" w:firstColumn="0" w:lastColumn="0" w:oddVBand="0" w:evenVBand="0" w:oddHBand="1" w:evenHBand="0" w:firstRowFirstColumn="0" w:firstRowLastColumn="0" w:lastRowFirstColumn="0" w:lastRowLastColumn="0"/>
            </w:pPr>
            <w:r w:rsidRPr="003205BC">
              <w:t xml:space="preserve">Acrostics use sentences that help people remember the order of things. </w:t>
            </w:r>
          </w:p>
          <w:p w14:paraId="3068779F" w14:textId="77777777" w:rsidR="00A55853" w:rsidRPr="00F13D6B" w:rsidRDefault="00A55853" w:rsidP="00BE6A58">
            <w:pPr>
              <w:pStyle w:val="Bulletpoint"/>
              <w:cnfStyle w:val="000000100000" w:firstRow="0" w:lastRow="0" w:firstColumn="0" w:lastColumn="0" w:oddVBand="0" w:evenVBand="0" w:oddHBand="1" w:evenHBand="0" w:firstRowFirstColumn="0" w:firstRowLastColumn="0" w:lastRowFirstColumn="0" w:lastRowLastColumn="0"/>
            </w:pPr>
            <w:r w:rsidRPr="00F13D6B">
              <w:t>For example, what is my GAP (Goal and Plan)?</w:t>
            </w:r>
          </w:p>
        </w:tc>
      </w:tr>
      <w:tr w:rsidR="00A55853" w:rsidRPr="00F13D6B" w14:paraId="01A7B922" w14:textId="77777777" w:rsidTr="00234887">
        <w:tc>
          <w:tcPr>
            <w:cnfStyle w:val="001000000000" w:firstRow="0" w:lastRow="0" w:firstColumn="1" w:lastColumn="0" w:oddVBand="0" w:evenVBand="0" w:oddHBand="0" w:evenHBand="0" w:firstRowFirstColumn="0" w:firstRowLastColumn="0" w:lastRowFirstColumn="0" w:lastRowLastColumn="0"/>
            <w:tcW w:w="1800" w:type="dxa"/>
            <w:tcBorders>
              <w:top w:val="nil"/>
              <w:bottom w:val="nil"/>
              <w:right w:val="double" w:sz="4" w:space="0" w:color="660033" w:themeColor="accent6"/>
            </w:tcBorders>
          </w:tcPr>
          <w:p w14:paraId="513C4DB0" w14:textId="77777777" w:rsidR="00A55853" w:rsidRPr="00F13D6B" w:rsidRDefault="00A55853" w:rsidP="00BE6A58">
            <w:pPr>
              <w:rPr>
                <w:b w:val="0"/>
                <w:bCs w:val="0"/>
              </w:rPr>
            </w:pPr>
            <w:r w:rsidRPr="00F13D6B">
              <w:t xml:space="preserve">Narrative mnemonics </w:t>
            </w:r>
          </w:p>
          <w:p w14:paraId="117D4AE8" w14:textId="77777777" w:rsidR="00A55853" w:rsidRPr="00F13D6B" w:rsidRDefault="00A55853" w:rsidP="00234887">
            <w:pPr>
              <w:rPr>
                <w:rFonts w:cstheme="minorHAnsi"/>
                <w:b w:val="0"/>
                <w:bCs w:val="0"/>
                <w:sz w:val="22"/>
              </w:rPr>
            </w:pPr>
          </w:p>
          <w:p w14:paraId="0EAF6453" w14:textId="77777777" w:rsidR="00A55853" w:rsidRPr="00F13D6B" w:rsidRDefault="00A55853" w:rsidP="00234887">
            <w:pPr>
              <w:rPr>
                <w:rFonts w:cstheme="minorHAnsi"/>
                <w:sz w:val="22"/>
              </w:rPr>
            </w:pPr>
          </w:p>
        </w:tc>
        <w:tc>
          <w:tcPr>
            <w:tcW w:w="7409" w:type="dxa"/>
            <w:tcBorders>
              <w:top w:val="nil"/>
              <w:left w:val="double" w:sz="4" w:space="0" w:color="660033" w:themeColor="accent6"/>
              <w:bottom w:val="nil"/>
            </w:tcBorders>
          </w:tcPr>
          <w:p w14:paraId="79A886E9" w14:textId="77777777" w:rsidR="00A55853" w:rsidRPr="00F13D6B" w:rsidRDefault="00A55853" w:rsidP="00BE6A58">
            <w:pPr>
              <w:cnfStyle w:val="000000000000" w:firstRow="0" w:lastRow="0" w:firstColumn="0" w:lastColumn="0" w:oddVBand="0" w:evenVBand="0" w:oddHBand="0" w:evenHBand="0" w:firstRowFirstColumn="0" w:firstRowLastColumn="0" w:lastRowFirstColumn="0" w:lastRowLastColumn="0"/>
            </w:pPr>
            <w:r w:rsidRPr="00F13D6B">
              <w:t>Narrative mnemonics involve people creating a short story out of important information. This is similar to the association strategy.</w:t>
            </w:r>
          </w:p>
          <w:p w14:paraId="514C92C7" w14:textId="77777777" w:rsidR="00A55853" w:rsidRPr="00F13D6B" w:rsidRDefault="00A55853" w:rsidP="00BE6A58">
            <w:pPr>
              <w:pStyle w:val="BoxBullet"/>
              <w:cnfStyle w:val="000000000000" w:firstRow="0" w:lastRow="0" w:firstColumn="0" w:lastColumn="0" w:oddVBand="0" w:evenVBand="0" w:oddHBand="0" w:evenHBand="0" w:firstRowFirstColumn="0" w:firstRowLastColumn="0" w:lastRowFirstColumn="0" w:lastRowLastColumn="0"/>
            </w:pPr>
            <w:r w:rsidRPr="00F13D6B">
              <w:t xml:space="preserve">Encourage people to make simple stories. For example, “If you need to remember to bring your work boots, lunch, and glasses to work, imagine your work boots wearing glasses and eating lunch”. </w:t>
            </w:r>
          </w:p>
        </w:tc>
      </w:tr>
      <w:tr w:rsidR="00A55853" w:rsidRPr="00F13D6B" w14:paraId="04A29155" w14:textId="77777777" w:rsidTr="002348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Borders>
              <w:top w:val="nil"/>
              <w:bottom w:val="double" w:sz="4" w:space="0" w:color="003399" w:themeColor="accent3"/>
              <w:right w:val="double" w:sz="4" w:space="0" w:color="660033" w:themeColor="accent6"/>
            </w:tcBorders>
          </w:tcPr>
          <w:p w14:paraId="1A7602DA" w14:textId="77777777" w:rsidR="00A55853" w:rsidRPr="00F13D6B" w:rsidRDefault="00A55853" w:rsidP="00BE6A58">
            <w:pPr>
              <w:rPr>
                <w:b w:val="0"/>
                <w:bCs w:val="0"/>
              </w:rPr>
            </w:pPr>
            <w:r w:rsidRPr="00F13D6B">
              <w:t xml:space="preserve">Memorised movements </w:t>
            </w:r>
          </w:p>
        </w:tc>
        <w:tc>
          <w:tcPr>
            <w:tcW w:w="7409" w:type="dxa"/>
            <w:tcBorders>
              <w:top w:val="nil"/>
              <w:left w:val="double" w:sz="4" w:space="0" w:color="660033" w:themeColor="accent6"/>
              <w:bottom w:val="double" w:sz="4" w:space="0" w:color="003399" w:themeColor="accent3"/>
            </w:tcBorders>
          </w:tcPr>
          <w:p w14:paraId="3C583333" w14:textId="77777777" w:rsidR="00A55853" w:rsidRPr="00F13D6B" w:rsidRDefault="00A55853" w:rsidP="00BE6A58">
            <w:pPr>
              <w:cnfStyle w:val="000000100000" w:firstRow="0" w:lastRow="0" w:firstColumn="0" w:lastColumn="0" w:oddVBand="0" w:evenVBand="0" w:oddHBand="1" w:evenHBand="0" w:firstRowFirstColumn="0" w:firstRowLastColumn="0" w:lastRowFirstColumn="0" w:lastRowLastColumn="0"/>
              <w:rPr>
                <w:b/>
                <w:bCs/>
              </w:rPr>
            </w:pPr>
            <w:r w:rsidRPr="00F13D6B">
              <w:t>People can use body language gestures when words are forgotten.</w:t>
            </w:r>
          </w:p>
          <w:p w14:paraId="1EB0EDE1" w14:textId="77777777" w:rsidR="00A55853" w:rsidRPr="00F13D6B" w:rsidRDefault="00A55853" w:rsidP="00BE6A58">
            <w:pPr>
              <w:pStyle w:val="Bulletpoint"/>
              <w:cnfStyle w:val="000000100000" w:firstRow="0" w:lastRow="0" w:firstColumn="0" w:lastColumn="0" w:oddVBand="0" w:evenVBand="0" w:oddHBand="1" w:evenHBand="0" w:firstRowFirstColumn="0" w:firstRowLastColumn="0" w:lastRowFirstColumn="0" w:lastRowLastColumn="0"/>
              <w:rPr>
                <w:b/>
                <w:bCs/>
              </w:rPr>
            </w:pPr>
            <w:r w:rsidRPr="00F13D6B">
              <w:t xml:space="preserve">Encourage people to ‘act out’ gestures that help them to remember actions. For example, using movements to remember a pin number when paying with an eftpos card. </w:t>
            </w:r>
          </w:p>
        </w:tc>
      </w:tr>
    </w:tbl>
    <w:p w14:paraId="579DF462" w14:textId="77777777" w:rsidR="00A55853" w:rsidRDefault="00A55853" w:rsidP="00420977">
      <w:pPr>
        <w:rPr>
          <w:sz w:val="22"/>
        </w:rPr>
      </w:pPr>
    </w:p>
    <w:p w14:paraId="46B0EADB" w14:textId="77777777" w:rsidR="00122447" w:rsidRDefault="00122447" w:rsidP="00420977">
      <w:pPr>
        <w:rPr>
          <w:sz w:val="22"/>
        </w:rPr>
      </w:pPr>
    </w:p>
    <w:p w14:paraId="75269A94" w14:textId="77777777" w:rsidR="00122447" w:rsidRDefault="00122447" w:rsidP="00420977">
      <w:pPr>
        <w:rPr>
          <w:sz w:val="22"/>
        </w:rPr>
      </w:pPr>
    </w:p>
    <w:p w14:paraId="0ED3B3D9" w14:textId="77777777" w:rsidR="00122447" w:rsidRDefault="00122447" w:rsidP="00420977">
      <w:pPr>
        <w:rPr>
          <w:sz w:val="22"/>
        </w:rPr>
      </w:pPr>
    </w:p>
    <w:p w14:paraId="3394B12E" w14:textId="77777777" w:rsidR="00F95CB5" w:rsidRPr="00A440F4" w:rsidRDefault="00F95CB5" w:rsidP="00F95CB5">
      <w:pPr>
        <w:rPr>
          <w:b/>
          <w:bCs/>
          <w:color w:val="1E7880" w:themeColor="accent2" w:themeShade="BF"/>
          <w:sz w:val="28"/>
          <w:szCs w:val="28"/>
        </w:rPr>
      </w:pPr>
      <w:r w:rsidRPr="00A440F4">
        <w:rPr>
          <w:b/>
          <w:bCs/>
          <w:color w:val="1E7880" w:themeColor="accent2" w:themeShade="BF"/>
          <w:sz w:val="28"/>
          <w:szCs w:val="28"/>
        </w:rPr>
        <w:lastRenderedPageBreak/>
        <w:t xml:space="preserve">External strategies </w:t>
      </w:r>
    </w:p>
    <w:p w14:paraId="6A5E06FA" w14:textId="11B399CD" w:rsidR="00F95CB5" w:rsidRPr="005511B9" w:rsidRDefault="00F95CB5" w:rsidP="00BE6A58">
      <w:r w:rsidRPr="005511B9">
        <w:t>External strategies are most often used for people with memory problems.</w:t>
      </w:r>
      <w:r w:rsidRPr="005511B9">
        <w:rPr>
          <w:color w:val="2B579A"/>
          <w:shd w:val="clear" w:color="auto" w:fill="E6E6E6"/>
        </w:rPr>
        <w:fldChar w:fldCharType="begin"/>
      </w:r>
      <w:r w:rsidRPr="005511B9">
        <w:instrText xml:space="preserve"> ADDIN ZOTERO_ITEM CSL_CITATION {"citationID":"hkqjUcpc","properties":{"formattedCitation":"\\super 3\\nosupersub{}","plainCitation":"3","noteIndex":0},"citationItems":[{"id":14007,"uris":["http://zotero.org/groups/4745233/items/U3GGYCKU"],"itemData":{"id":14007,"type":"report","event-place":"Richmond, Victoria","language":"en","publisher":"Turning Point","publisher-place":"Richmond, Victoria","source":"Zotero","title":"Managing Cognitive Impairment in AOD Treatment: Practice Guidelines for Healthcare Professionals","URL":"https://www.turningpoint.org.au/treatment/clinicians/Managing-Cognitive-Impairment-in-AOD-Treatment-Guidelines","author":[{"family":"Manning","given":"Victoria"},{"family":"Gooden","given":"James"},{"family":"Cox","given":"Catherine"},{"family":"Whelan","given":"Danielle"},{"family":"Miroz","given":"Katherine"}],"issued":{"date-parts":[["2021"]]}}}],"schema":"https://github.com/citation-style-language/schema/raw/master/csl-citation.json"} </w:instrText>
      </w:r>
      <w:r w:rsidRPr="005511B9">
        <w:rPr>
          <w:color w:val="2B579A"/>
          <w:shd w:val="clear" w:color="auto" w:fill="E6E6E6"/>
        </w:rPr>
        <w:fldChar w:fldCharType="separate"/>
      </w:r>
      <w:r w:rsidRPr="005511B9">
        <w:rPr>
          <w:rFonts w:cs="Arial"/>
          <w:vertAlign w:val="superscript"/>
        </w:rPr>
        <w:t>3</w:t>
      </w:r>
      <w:r w:rsidRPr="005511B9">
        <w:rPr>
          <w:color w:val="2B579A"/>
          <w:shd w:val="clear" w:color="auto" w:fill="E6E6E6"/>
        </w:rPr>
        <w:fldChar w:fldCharType="end"/>
      </w:r>
      <w:r w:rsidRPr="005511B9">
        <w:t xml:space="preserve"> Smartphones are a helpful memory aid tool. </w:t>
      </w:r>
      <w:r w:rsidRPr="005511B9">
        <w:fldChar w:fldCharType="begin"/>
      </w:r>
      <w:r w:rsidRPr="005511B9">
        <w:instrText xml:space="preserve"> REF _Ref126158253 \h  \* MERGEFORMAT </w:instrText>
      </w:r>
      <w:r w:rsidRPr="005511B9">
        <w:fldChar w:fldCharType="separate"/>
      </w:r>
      <w:r w:rsidR="007F1966" w:rsidRPr="00BE6A58">
        <w:t xml:space="preserve">Table </w:t>
      </w:r>
      <w:r w:rsidR="007F1966">
        <w:t>8</w:t>
      </w:r>
      <w:r w:rsidRPr="005511B9">
        <w:fldChar w:fldCharType="end"/>
      </w:r>
      <w:r w:rsidRPr="005511B9">
        <w:t xml:space="preserve"> includes external strategies with and without a smartphone and strategies for remembering medications. Be mindful of the load and impact on people’s whānau when they are taking on new responsibilities. </w:t>
      </w:r>
    </w:p>
    <w:p w14:paraId="343E99C9" w14:textId="23B996AA" w:rsidR="00F95CB5" w:rsidRPr="00BE6A58" w:rsidRDefault="00F95CB5" w:rsidP="00122447">
      <w:pPr>
        <w:pStyle w:val="Figure"/>
      </w:pPr>
      <w:bookmarkStart w:id="1327" w:name="_Ref126158253"/>
      <w:bookmarkStart w:id="1328" w:name="_Toc129609429"/>
      <w:bookmarkStart w:id="1329" w:name="_Toc146624907"/>
      <w:bookmarkStart w:id="1330" w:name="_Toc179544010"/>
      <w:r w:rsidRPr="00BE6A58">
        <w:t xml:space="preserve">Table </w:t>
      </w:r>
      <w:r w:rsidRPr="00BE6A58">
        <w:fldChar w:fldCharType="begin"/>
      </w:r>
      <w:r w:rsidRPr="00BE6A58">
        <w:instrText xml:space="preserve"> SEQ Table \* ARABIC </w:instrText>
      </w:r>
      <w:r w:rsidRPr="00BE6A58">
        <w:fldChar w:fldCharType="separate"/>
      </w:r>
      <w:r w:rsidR="007F1966">
        <w:rPr>
          <w:noProof/>
        </w:rPr>
        <w:t>8</w:t>
      </w:r>
      <w:r w:rsidRPr="00BE6A58">
        <w:fldChar w:fldCharType="end"/>
      </w:r>
      <w:bookmarkEnd w:id="1327"/>
      <w:r w:rsidRPr="00BE6A58">
        <w:t>. External strategies and examples</w:t>
      </w:r>
      <w:bookmarkEnd w:id="1328"/>
      <w:r w:rsidRPr="00BE6A58">
        <w:rPr>
          <w:shd w:val="clear" w:color="auto" w:fill="E6E6E6"/>
        </w:rPr>
        <w:fldChar w:fldCharType="begin"/>
      </w:r>
      <w:r w:rsidRPr="00BE6A58">
        <w:instrText xml:space="preserve"> ADDIN ZOTERO_ITEM CSL_CITATION {"citationID":"y6DcHmuL","properties":{"formattedCitation":"\\super 3\\nosupersub{}","plainCitation":"3","noteIndex":0},"citationItems":[{"id":14007,"uris":["http://zotero.org/groups/4745233/items/U3GGYCKU"],"itemData":{"id":14007,"type":"report","event-place":"Richmond, Victoria","language":"en","publisher":"Turning Point","publisher-place":"Richmond, Victoria","source":"Zotero","title":"Managing Cognitive Impairment in AOD Treatment: Practice Guidelines for Healthcare Professionals","URL":"https://www.turningpoint.org.au/treatment/clinicians/Managing-Cognitive-Impairment-in-AOD-Treatment-Guidelines","author":[{"family":"Manning","given":"Victoria"},{"family":"Gooden","given":"James"},{"family":"Cox","given":"Catherine"},{"family":"Whelan","given":"Danielle"},{"family":"Miroz","given":"Katherine"}],"issued":{"date-parts":[["2021"]]}}}],"schema":"https://github.com/citation-style-language/schema/raw/master/csl-citation.json"} </w:instrText>
      </w:r>
      <w:r w:rsidRPr="00BE6A58">
        <w:rPr>
          <w:shd w:val="clear" w:color="auto" w:fill="E6E6E6"/>
        </w:rPr>
        <w:fldChar w:fldCharType="separate"/>
      </w:r>
      <w:r w:rsidRPr="00BE6A58">
        <w:rPr>
          <w:rFonts w:cs="Arial"/>
          <w:vertAlign w:val="superscript"/>
        </w:rPr>
        <w:t>3</w:t>
      </w:r>
      <w:bookmarkEnd w:id="1329"/>
      <w:bookmarkEnd w:id="1330"/>
      <w:r w:rsidRPr="00BE6A58">
        <w:rPr>
          <w:shd w:val="clear" w:color="auto" w:fill="E6E6E6"/>
        </w:rPr>
        <w:fldChar w:fldCharType="end"/>
      </w:r>
    </w:p>
    <w:tbl>
      <w:tblPr>
        <w:tblStyle w:val="GridTable4-Accent3"/>
        <w:tblW w:w="0" w:type="auto"/>
        <w:tblBorders>
          <w:top w:val="none" w:sz="0" w:space="0" w:color="auto"/>
          <w:left w:val="none" w:sz="0" w:space="0" w:color="auto"/>
          <w:bottom w:val="none" w:sz="0" w:space="0" w:color="auto"/>
          <w:right w:val="none" w:sz="0" w:space="0" w:color="auto"/>
          <w:insideH w:val="double" w:sz="4" w:space="0" w:color="660033" w:themeColor="accent6"/>
          <w:insideV w:val="double" w:sz="4" w:space="0" w:color="660033" w:themeColor="accent6"/>
        </w:tblBorders>
        <w:tblLook w:val="04A0" w:firstRow="1" w:lastRow="0" w:firstColumn="1" w:lastColumn="0" w:noHBand="0" w:noVBand="1"/>
        <w:tblCaption w:val="External strategies"/>
        <w:tblDescription w:val="Contains examples of strategies using a smartphone (like taking photos and notes, and using reminders), strategies without smartphones (like diaries or notepad, whānau helping out, and alarm clocks), and strategies for taking medications (like taking it at the same time, keeping them in sight, and organising medications by days of the week). "/>
      </w:tblPr>
      <w:tblGrid>
        <w:gridCol w:w="1800"/>
        <w:gridCol w:w="7210"/>
      </w:tblGrid>
      <w:tr w:rsidR="00F95CB5" w:rsidRPr="005511B9" w14:paraId="298E264E" w14:textId="77777777" w:rsidTr="002348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Borders>
              <w:top w:val="nil"/>
              <w:bottom w:val="nil"/>
              <w:right w:val="double" w:sz="4" w:space="0" w:color="003399" w:themeColor="accent3"/>
            </w:tcBorders>
            <w:shd w:val="clear" w:color="auto" w:fill="000066"/>
          </w:tcPr>
          <w:p w14:paraId="609E7C40" w14:textId="77777777" w:rsidR="00F95CB5" w:rsidRPr="005511B9" w:rsidRDefault="00F95CB5" w:rsidP="00234887">
            <w:pPr>
              <w:rPr>
                <w:sz w:val="22"/>
              </w:rPr>
            </w:pPr>
            <w:r w:rsidRPr="005511B9">
              <w:rPr>
                <w:sz w:val="22"/>
              </w:rPr>
              <w:t>Type</w:t>
            </w:r>
          </w:p>
        </w:tc>
        <w:tc>
          <w:tcPr>
            <w:tcW w:w="7210" w:type="dxa"/>
            <w:tcBorders>
              <w:top w:val="nil"/>
              <w:left w:val="double" w:sz="4" w:space="0" w:color="003399" w:themeColor="accent3"/>
              <w:bottom w:val="nil"/>
            </w:tcBorders>
            <w:shd w:val="clear" w:color="auto" w:fill="000066"/>
          </w:tcPr>
          <w:p w14:paraId="3B1180FC" w14:textId="77777777" w:rsidR="00F95CB5" w:rsidRPr="005511B9" w:rsidRDefault="00F95CB5" w:rsidP="00234887">
            <w:pPr>
              <w:pStyle w:val="List"/>
              <w:ind w:left="0" w:firstLine="0"/>
              <w:cnfStyle w:val="100000000000" w:firstRow="1" w:lastRow="0" w:firstColumn="0" w:lastColumn="0" w:oddVBand="0" w:evenVBand="0" w:oddHBand="0" w:evenHBand="0" w:firstRowFirstColumn="0" w:firstRowLastColumn="0" w:lastRowFirstColumn="0" w:lastRowLastColumn="0"/>
              <w:rPr>
                <w:sz w:val="22"/>
              </w:rPr>
            </w:pPr>
            <w:r w:rsidRPr="005511B9">
              <w:rPr>
                <w:sz w:val="22"/>
              </w:rPr>
              <w:t>Examples</w:t>
            </w:r>
          </w:p>
        </w:tc>
      </w:tr>
      <w:tr w:rsidR="00F95CB5" w:rsidRPr="005511B9" w14:paraId="77550306" w14:textId="77777777" w:rsidTr="002348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Borders>
              <w:top w:val="nil"/>
              <w:bottom w:val="nil"/>
              <w:right w:val="double" w:sz="4" w:space="0" w:color="003399" w:themeColor="accent3"/>
            </w:tcBorders>
          </w:tcPr>
          <w:p w14:paraId="4D60413F" w14:textId="77777777" w:rsidR="00F95CB5" w:rsidRPr="005511B9" w:rsidRDefault="00F95CB5" w:rsidP="00BE6A58">
            <w:r w:rsidRPr="005511B9">
              <w:t xml:space="preserve">Strategies for people with smartphones </w:t>
            </w:r>
          </w:p>
        </w:tc>
        <w:tc>
          <w:tcPr>
            <w:tcW w:w="7210" w:type="dxa"/>
            <w:tcBorders>
              <w:top w:val="nil"/>
              <w:left w:val="double" w:sz="4" w:space="0" w:color="003399" w:themeColor="accent3"/>
              <w:bottom w:val="nil"/>
            </w:tcBorders>
          </w:tcPr>
          <w:p w14:paraId="00B3EF99" w14:textId="77777777" w:rsidR="00F95CB5" w:rsidRPr="005511B9" w:rsidRDefault="00F95CB5" w:rsidP="00BE6A58">
            <w:pPr>
              <w:pStyle w:val="Bulletpoint"/>
              <w:cnfStyle w:val="000000100000" w:firstRow="0" w:lastRow="0" w:firstColumn="0" w:lastColumn="0" w:oddVBand="0" w:evenVBand="0" w:oddHBand="1" w:evenHBand="0" w:firstRowFirstColumn="0" w:firstRowLastColumn="0" w:lastRowFirstColumn="0" w:lastRowLastColumn="0"/>
            </w:pPr>
            <w:r w:rsidRPr="005511B9">
              <w:t>Take photos of important information to refer back to.</w:t>
            </w:r>
          </w:p>
          <w:p w14:paraId="11FB6EAB" w14:textId="77777777" w:rsidR="00F95CB5" w:rsidRPr="005511B9" w:rsidRDefault="00F95CB5" w:rsidP="00BE6A58">
            <w:pPr>
              <w:pStyle w:val="Bulletpoint"/>
              <w:cnfStyle w:val="000000100000" w:firstRow="0" w:lastRow="0" w:firstColumn="0" w:lastColumn="0" w:oddVBand="0" w:evenVBand="0" w:oddHBand="1" w:evenHBand="0" w:firstRowFirstColumn="0" w:firstRowLastColumn="0" w:lastRowFirstColumn="0" w:lastRowLastColumn="0"/>
            </w:pPr>
            <w:r w:rsidRPr="005511B9">
              <w:t>Use the note function to write important information.</w:t>
            </w:r>
          </w:p>
          <w:p w14:paraId="75D13E6E" w14:textId="77777777" w:rsidR="00F95CB5" w:rsidRPr="005511B9" w:rsidRDefault="00F95CB5" w:rsidP="00BE6A58">
            <w:pPr>
              <w:pStyle w:val="Bulletpoint"/>
              <w:cnfStyle w:val="000000100000" w:firstRow="0" w:lastRow="0" w:firstColumn="0" w:lastColumn="0" w:oddVBand="0" w:evenVBand="0" w:oddHBand="1" w:evenHBand="0" w:firstRowFirstColumn="0" w:firstRowLastColumn="0" w:lastRowFirstColumn="0" w:lastRowLastColumn="0"/>
            </w:pPr>
            <w:r w:rsidRPr="005511B9">
              <w:t>Set up text or smartwatch reminders to remember appointments and other events. Multiple reminders can be helpful (such as a month, week, and day before).</w:t>
            </w:r>
          </w:p>
        </w:tc>
      </w:tr>
      <w:tr w:rsidR="00F95CB5" w:rsidRPr="005511B9" w14:paraId="1F742426" w14:textId="77777777" w:rsidTr="00234887">
        <w:tc>
          <w:tcPr>
            <w:cnfStyle w:val="001000000000" w:firstRow="0" w:lastRow="0" w:firstColumn="1" w:lastColumn="0" w:oddVBand="0" w:evenVBand="0" w:oddHBand="0" w:evenHBand="0" w:firstRowFirstColumn="0" w:firstRowLastColumn="0" w:lastRowFirstColumn="0" w:lastRowLastColumn="0"/>
            <w:tcW w:w="1800" w:type="dxa"/>
            <w:tcBorders>
              <w:top w:val="nil"/>
              <w:bottom w:val="nil"/>
            </w:tcBorders>
          </w:tcPr>
          <w:p w14:paraId="1361E58F" w14:textId="77777777" w:rsidR="00F95CB5" w:rsidRPr="005511B9" w:rsidRDefault="00F95CB5" w:rsidP="00BE6A58">
            <w:r w:rsidRPr="005511B9">
              <w:t>Strategies for people without smartphones</w:t>
            </w:r>
          </w:p>
        </w:tc>
        <w:tc>
          <w:tcPr>
            <w:tcW w:w="7210" w:type="dxa"/>
            <w:tcBorders>
              <w:top w:val="nil"/>
              <w:bottom w:val="nil"/>
            </w:tcBorders>
          </w:tcPr>
          <w:p w14:paraId="2DB0537A" w14:textId="77777777" w:rsidR="00F95CB5" w:rsidRPr="005511B9" w:rsidRDefault="00F95CB5" w:rsidP="00BE6A58">
            <w:pPr>
              <w:pStyle w:val="Bulletpoint"/>
              <w:cnfStyle w:val="000000000000" w:firstRow="0" w:lastRow="0" w:firstColumn="0" w:lastColumn="0" w:oddVBand="0" w:evenVBand="0" w:oddHBand="0" w:evenHBand="0" w:firstRowFirstColumn="0" w:firstRowLastColumn="0" w:lastRowFirstColumn="0" w:lastRowLastColumn="0"/>
            </w:pPr>
            <w:r w:rsidRPr="005511B9">
              <w:t xml:space="preserve">Ask whānau to remind people of important information. </w:t>
            </w:r>
          </w:p>
          <w:p w14:paraId="607F2F75" w14:textId="77777777" w:rsidR="00F95CB5" w:rsidRPr="005511B9" w:rsidRDefault="00F95CB5" w:rsidP="00BE6A58">
            <w:pPr>
              <w:pStyle w:val="Bulletpoint"/>
              <w:cnfStyle w:val="000000000000" w:firstRow="0" w:lastRow="0" w:firstColumn="0" w:lastColumn="0" w:oddVBand="0" w:evenVBand="0" w:oddHBand="0" w:evenHBand="0" w:firstRowFirstColumn="0" w:firstRowLastColumn="0" w:lastRowFirstColumn="0" w:lastRowLastColumn="0"/>
            </w:pPr>
            <w:r w:rsidRPr="005511B9">
              <w:t>Set routines, like booking an appointment at the same time and day each week.</w:t>
            </w:r>
          </w:p>
          <w:p w14:paraId="0A4C87EE" w14:textId="77777777" w:rsidR="00F95CB5" w:rsidRPr="005511B9" w:rsidRDefault="00F95CB5" w:rsidP="00BE6A58">
            <w:pPr>
              <w:pStyle w:val="Bulletpoint"/>
              <w:cnfStyle w:val="000000000000" w:firstRow="0" w:lastRow="0" w:firstColumn="0" w:lastColumn="0" w:oddVBand="0" w:evenVBand="0" w:oddHBand="0" w:evenHBand="0" w:firstRowFirstColumn="0" w:firstRowLastColumn="0" w:lastRowFirstColumn="0" w:lastRowLastColumn="0"/>
            </w:pPr>
            <w:r w:rsidRPr="005511B9">
              <w:t>Use a physical diary or calendar to record important dates or information.</w:t>
            </w:r>
          </w:p>
          <w:p w14:paraId="35076292" w14:textId="77777777" w:rsidR="00F95CB5" w:rsidRPr="005511B9" w:rsidRDefault="00F95CB5" w:rsidP="00BE6A58">
            <w:pPr>
              <w:pStyle w:val="Bulletpoint"/>
              <w:cnfStyle w:val="000000000000" w:firstRow="0" w:lastRow="0" w:firstColumn="0" w:lastColumn="0" w:oddVBand="0" w:evenVBand="0" w:oddHBand="0" w:evenHBand="0" w:firstRowFirstColumn="0" w:firstRowLastColumn="0" w:lastRowFirstColumn="0" w:lastRowLastColumn="0"/>
            </w:pPr>
            <w:r w:rsidRPr="005511B9">
              <w:t>Use to-do lists.</w:t>
            </w:r>
          </w:p>
          <w:p w14:paraId="775D3BD9" w14:textId="77777777" w:rsidR="00F95CB5" w:rsidRPr="005511B9" w:rsidRDefault="00F95CB5" w:rsidP="00BE6A58">
            <w:pPr>
              <w:pStyle w:val="Bulletpoint"/>
              <w:cnfStyle w:val="000000000000" w:firstRow="0" w:lastRow="0" w:firstColumn="0" w:lastColumn="0" w:oddVBand="0" w:evenVBand="0" w:oddHBand="0" w:evenHBand="0" w:firstRowFirstColumn="0" w:firstRowLastColumn="0" w:lastRowFirstColumn="0" w:lastRowLastColumn="0"/>
            </w:pPr>
            <w:r w:rsidRPr="005511B9">
              <w:t>Set alarm clock reminders for specific tasks.</w:t>
            </w:r>
          </w:p>
          <w:p w14:paraId="4ECDF89B" w14:textId="77777777" w:rsidR="00F95CB5" w:rsidRPr="005511B9" w:rsidRDefault="00F95CB5" w:rsidP="00BE6A58">
            <w:pPr>
              <w:pStyle w:val="Bulletpoint"/>
              <w:cnfStyle w:val="000000000000" w:firstRow="0" w:lastRow="0" w:firstColumn="0" w:lastColumn="0" w:oddVBand="0" w:evenVBand="0" w:oddHBand="0" w:evenHBand="0" w:firstRowFirstColumn="0" w:firstRowLastColumn="0" w:lastRowFirstColumn="0" w:lastRowLastColumn="0"/>
            </w:pPr>
            <w:r w:rsidRPr="005511B9">
              <w:t>Consider wearable emergency response alarms for older people.</w:t>
            </w:r>
            <w:r w:rsidRPr="005511B9">
              <w:rPr>
                <w:vertAlign w:val="superscript"/>
              </w:rPr>
              <w:fldChar w:fldCharType="begin"/>
            </w:r>
            <w:r w:rsidRPr="005511B9">
              <w:rPr>
                <w:vertAlign w:val="superscript"/>
              </w:rPr>
              <w:instrText xml:space="preserve"> ADDIN ZOTERO_ITEM CSL_CITATION {"citationID":"sMpJ6hqr","properties":{"formattedCitation":"\\super 153\\nosupersub{}","plainCitation":"153","noteIndex":0},"citationItems":[{"id":12747,"uris":["http://zotero.org/groups/4745233/items/RIAYRZEQ"],"itemData":{"id":12747,"type":"webpage","abstract":"Get tips to care for a patient with cognitive impairment such as Alzheimer's dementia. Develop medical and family support plans. Get drug advice.","container-title":"National Institute on Aging","language":"en","title":"Managing Older Patients with Cognitive Impairment","URL":"https://www.nia.nih.gov/health/managing-older-patients-cognitive-impairment","author":[{"literal":"National Institute on Aging"}],"accessed":{"date-parts":[["2022",10,21]]}}}],"schema":"https://github.com/citation-style-language/schema/raw/master/csl-citation.json"} </w:instrText>
            </w:r>
            <w:r w:rsidRPr="005511B9">
              <w:rPr>
                <w:vertAlign w:val="superscript"/>
              </w:rPr>
              <w:fldChar w:fldCharType="separate"/>
            </w:r>
            <w:r w:rsidRPr="005511B9">
              <w:rPr>
                <w:vertAlign w:val="superscript"/>
              </w:rPr>
              <w:t>153</w:t>
            </w:r>
            <w:r w:rsidRPr="005511B9">
              <w:rPr>
                <w:vertAlign w:val="superscript"/>
              </w:rPr>
              <w:fldChar w:fldCharType="end"/>
            </w:r>
          </w:p>
          <w:p w14:paraId="4EC7270D" w14:textId="77777777" w:rsidR="00F95CB5" w:rsidRPr="005511B9" w:rsidRDefault="00F95CB5" w:rsidP="00BE6A58">
            <w:pPr>
              <w:pStyle w:val="Bulletpoint"/>
              <w:cnfStyle w:val="000000000000" w:firstRow="0" w:lastRow="0" w:firstColumn="0" w:lastColumn="0" w:oddVBand="0" w:evenVBand="0" w:oddHBand="0" w:evenHBand="0" w:firstRowFirstColumn="0" w:firstRowLastColumn="0" w:lastRowFirstColumn="0" w:lastRowLastColumn="0"/>
            </w:pPr>
            <w:r w:rsidRPr="005511B9">
              <w:t>Suggest people take notes or record sessions to look at later.</w:t>
            </w:r>
          </w:p>
          <w:p w14:paraId="49320845" w14:textId="77777777" w:rsidR="00F95CB5" w:rsidRPr="005511B9" w:rsidRDefault="00F95CB5" w:rsidP="00BE6A58">
            <w:pPr>
              <w:pStyle w:val="Bulletpoint"/>
              <w:cnfStyle w:val="000000000000" w:firstRow="0" w:lastRow="0" w:firstColumn="0" w:lastColumn="0" w:oddVBand="0" w:evenVBand="0" w:oddHBand="0" w:evenHBand="0" w:firstRowFirstColumn="0" w:firstRowLastColumn="0" w:lastRowFirstColumn="0" w:lastRowLastColumn="0"/>
            </w:pPr>
            <w:r w:rsidRPr="005511B9">
              <w:t>People can set up and use memory stations at home. These usually</w:t>
            </w:r>
            <w:r>
              <w:t xml:space="preserve"> </w:t>
            </w:r>
            <w:r w:rsidRPr="005511B9">
              <w:t xml:space="preserve">include a whiteboard or pinboard and a small table to keep important items. For example, it could be where people keep their keys, medications, wallet, glasses, and/or important documents like bills to be paid. The board can be used to write down upcoming appointments, important dates, or tasks that need to be completed. </w:t>
            </w:r>
          </w:p>
        </w:tc>
      </w:tr>
      <w:tr w:rsidR="00F95CB5" w:rsidRPr="005511B9" w14:paraId="7FC25791" w14:textId="77777777" w:rsidTr="002348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Borders>
              <w:top w:val="nil"/>
              <w:bottom w:val="double" w:sz="4" w:space="0" w:color="003399" w:themeColor="accent3"/>
            </w:tcBorders>
          </w:tcPr>
          <w:p w14:paraId="459B7A8E" w14:textId="77777777" w:rsidR="00F95CB5" w:rsidRPr="005511B9" w:rsidRDefault="00F95CB5" w:rsidP="00BE6A58">
            <w:r w:rsidRPr="005511B9">
              <w:lastRenderedPageBreak/>
              <w:t>Strategies for remembering to take medications</w:t>
            </w:r>
          </w:p>
        </w:tc>
        <w:tc>
          <w:tcPr>
            <w:tcW w:w="7210" w:type="dxa"/>
            <w:tcBorders>
              <w:top w:val="nil"/>
              <w:bottom w:val="double" w:sz="4" w:space="0" w:color="003399" w:themeColor="accent3"/>
            </w:tcBorders>
          </w:tcPr>
          <w:p w14:paraId="78B96EA0" w14:textId="77777777" w:rsidR="00F95CB5" w:rsidRPr="005511B9" w:rsidRDefault="00F95CB5" w:rsidP="00BE6A58">
            <w:pPr>
              <w:pStyle w:val="Bulletpoint"/>
              <w:cnfStyle w:val="000000100000" w:firstRow="0" w:lastRow="0" w:firstColumn="0" w:lastColumn="0" w:oddVBand="0" w:evenVBand="0" w:oddHBand="1" w:evenHBand="0" w:firstRowFirstColumn="0" w:firstRowLastColumn="0" w:lastRowFirstColumn="0" w:lastRowLastColumn="0"/>
            </w:pPr>
            <w:r w:rsidRPr="005511B9">
              <w:t>Link taking medications to daily events, like eating a meal or brushing teeth.</w:t>
            </w:r>
          </w:p>
          <w:p w14:paraId="7CD5F68B" w14:textId="77777777" w:rsidR="00F95CB5" w:rsidRPr="005511B9" w:rsidRDefault="00F95CB5" w:rsidP="00BE6A58">
            <w:pPr>
              <w:pStyle w:val="Bulletpoint"/>
              <w:cnfStyle w:val="000000100000" w:firstRow="0" w:lastRow="0" w:firstColumn="0" w:lastColumn="0" w:oddVBand="0" w:evenVBand="0" w:oddHBand="1" w:evenHBand="0" w:firstRowFirstColumn="0" w:firstRowLastColumn="0" w:lastRowFirstColumn="0" w:lastRowLastColumn="0"/>
            </w:pPr>
            <w:r w:rsidRPr="005511B9">
              <w:t xml:space="preserve">Keep medications somewhere in plain sight (but out of reach of children). </w:t>
            </w:r>
          </w:p>
          <w:p w14:paraId="37602D9B" w14:textId="77777777" w:rsidR="00F95CB5" w:rsidRPr="005511B9" w:rsidRDefault="00F95CB5" w:rsidP="00BE6A58">
            <w:pPr>
              <w:pStyle w:val="Bulletpoint"/>
              <w:cnfStyle w:val="000000100000" w:firstRow="0" w:lastRow="0" w:firstColumn="0" w:lastColumn="0" w:oddVBand="0" w:evenVBand="0" w:oddHBand="1" w:evenHBand="0" w:firstRowFirstColumn="0" w:firstRowLastColumn="0" w:lastRowFirstColumn="0" w:lastRowLastColumn="0"/>
            </w:pPr>
            <w:r w:rsidRPr="005511B9">
              <w:t>Ask pharmacies if they can organise medications into separate blister packets by time of day if taking multiple medications.</w:t>
            </w:r>
          </w:p>
        </w:tc>
      </w:tr>
    </w:tbl>
    <w:p w14:paraId="222071FE" w14:textId="77777777" w:rsidR="002D27C0" w:rsidRDefault="002D27C0" w:rsidP="00F95CB5">
      <w:pPr>
        <w:keepNext/>
        <w:rPr>
          <w:b/>
          <w:bCs/>
          <w:color w:val="00C7C7" w:themeColor="accent5" w:themeTint="BF"/>
        </w:rPr>
      </w:pPr>
    </w:p>
    <w:p w14:paraId="5DA641B9" w14:textId="19991DFF" w:rsidR="00F95CB5" w:rsidRPr="00A440F4" w:rsidRDefault="00F95CB5" w:rsidP="00F95CB5">
      <w:pPr>
        <w:keepNext/>
        <w:rPr>
          <w:b/>
          <w:bCs/>
          <w:color w:val="1E7880" w:themeColor="accent2" w:themeShade="BF"/>
          <w:sz w:val="28"/>
          <w:szCs w:val="28"/>
        </w:rPr>
      </w:pPr>
      <w:r w:rsidRPr="00A440F4">
        <w:rPr>
          <w:b/>
          <w:bCs/>
          <w:color w:val="1E7880" w:themeColor="accent2" w:themeShade="BF"/>
          <w:sz w:val="28"/>
          <w:szCs w:val="28"/>
        </w:rPr>
        <w:t xml:space="preserve">Adapting treatment for problematic substance use </w:t>
      </w:r>
    </w:p>
    <w:p w14:paraId="4E342D59" w14:textId="77777777" w:rsidR="00F95CB5" w:rsidRPr="00C721AA" w:rsidRDefault="00F95CB5" w:rsidP="00BE6A58">
      <w:r w:rsidRPr="00C721AA">
        <w:t>Many strategies for problematic substance use need to be adapted to ensure people experiencing cognitive impairment can fully engage. Examples include cognitive behavioural therapy (CBT), motivational interviewing (MI), and mindfulness based relapse prevention (MBRP).</w:t>
      </w:r>
      <w:r w:rsidRPr="00C721AA">
        <w:rPr>
          <w:color w:val="2B579A"/>
          <w:shd w:val="clear" w:color="auto" w:fill="E6E6E6"/>
        </w:rPr>
        <w:fldChar w:fldCharType="begin"/>
      </w:r>
      <w:r w:rsidRPr="00C721AA">
        <w:instrText xml:space="preserve"> ADDIN ZOTERO_ITEM CSL_CITATION {"citationID":"DaGM0AlG","properties":{"formattedCitation":"\\super 3\\nosupersub{}","plainCitation":"3","noteIndex":0},"citationItems":[{"id":14007,"uris":["http://zotero.org/groups/4745233/items/U3GGYCKU"],"itemData":{"id":14007,"type":"report","event-place":"Richmond, Victoria","language":"en","publisher":"Turning Point","publisher-place":"Richmond, Victoria","source":"Zotero","title":"Managing Cognitive Impairment in AOD Treatment: Practice Guidelines for Healthcare Professionals","URL":"https://www.turningpoint.org.au/treatment/clinicians/Managing-Cognitive-Impairment-in-AOD-Treatment-Guidelines","author":[{"family":"Manning","given":"Victoria"},{"family":"Gooden","given":"James"},{"family":"Cox","given":"Catherine"},{"family":"Whelan","given":"Danielle"},{"family":"Miroz","given":"Katherine"}],"issued":{"date-parts":[["2021"]]}}}],"schema":"https://github.com/citation-style-language/schema/raw/master/csl-citation.json"} </w:instrText>
      </w:r>
      <w:r w:rsidRPr="00C721AA">
        <w:rPr>
          <w:color w:val="2B579A"/>
          <w:shd w:val="clear" w:color="auto" w:fill="E6E6E6"/>
        </w:rPr>
        <w:fldChar w:fldCharType="separate"/>
      </w:r>
      <w:r w:rsidRPr="00C721AA">
        <w:rPr>
          <w:rFonts w:cs="Arial"/>
          <w:vertAlign w:val="superscript"/>
        </w:rPr>
        <w:t>3</w:t>
      </w:r>
      <w:r w:rsidRPr="00C721AA">
        <w:rPr>
          <w:color w:val="2B579A"/>
          <w:shd w:val="clear" w:color="auto" w:fill="E6E6E6"/>
        </w:rPr>
        <w:fldChar w:fldCharType="end"/>
      </w:r>
      <w:r w:rsidRPr="00C721AA">
        <w:t xml:space="preserve"> The general principles listed below can be used across roles. </w:t>
      </w:r>
    </w:p>
    <w:p w14:paraId="42BC92B0" w14:textId="77777777" w:rsidR="00F95CB5" w:rsidRPr="00C721AA" w:rsidRDefault="00F95CB5" w:rsidP="00BE6A58">
      <w:pPr>
        <w:pStyle w:val="Bulletpoint"/>
      </w:pPr>
      <w:r w:rsidRPr="00C721AA">
        <w:t>Modify how people engage with support, like having shorter, more frequent encounters with regular breaks to help consolidate learning.</w:t>
      </w:r>
      <w:r w:rsidRPr="00C721AA">
        <w:rPr>
          <w:color w:val="2B579A"/>
        </w:rPr>
        <w:fldChar w:fldCharType="begin"/>
      </w:r>
      <w:r w:rsidRPr="00C721AA">
        <w:instrText xml:space="preserve"> ADDIN ZOTERO_ITEM CSL_CITATION {"citationID":"dlyapub5","properties":{"formattedCitation":"\\super 3\\nosupersub{}","plainCitation":"3","noteIndex":0},"citationItems":[{"id":14007,"uris":["http://zotero.org/groups/4745233/items/U3GGYCKU"],"itemData":{"id":14007,"type":"report","event-place":"Richmond, Victoria","language":"en","publisher":"Turning Point","publisher-place":"Richmond, Victoria","source":"Zotero","title":"Managing Cognitive Impairment in AOD Treatment: Practice Guidelines for Healthcare Professionals","URL":"https://www.turningpoint.org.au/treatment/clinicians/Managing-Cognitive-Impairment-in-AOD-Treatment-Guidelines","author":[{"family":"Manning","given":"Victoria"},{"family":"Gooden","given":"James"},{"family":"Cox","given":"Catherine"},{"family":"Whelan","given":"Danielle"},{"family":"Miroz","given":"Katherine"}],"issued":{"date-parts":[["2021"]]}}}],"schema":"https://github.com/citation-style-language/schema/raw/master/csl-citation.json"} </w:instrText>
      </w:r>
      <w:r w:rsidRPr="00C721AA">
        <w:rPr>
          <w:color w:val="2B579A"/>
        </w:rPr>
        <w:fldChar w:fldCharType="separate"/>
      </w:r>
      <w:r w:rsidRPr="00C721AA">
        <w:rPr>
          <w:rFonts w:cs="Arial"/>
          <w:vertAlign w:val="superscript"/>
        </w:rPr>
        <w:t>3</w:t>
      </w:r>
      <w:r w:rsidRPr="00C721AA">
        <w:rPr>
          <w:color w:val="2B579A"/>
        </w:rPr>
        <w:fldChar w:fldCharType="end"/>
      </w:r>
      <w:r w:rsidRPr="00C721AA">
        <w:t xml:space="preserve"> </w:t>
      </w:r>
    </w:p>
    <w:p w14:paraId="57543E3B" w14:textId="77777777" w:rsidR="00F95CB5" w:rsidRPr="00C721AA" w:rsidRDefault="00F95CB5" w:rsidP="00BE6A58">
      <w:pPr>
        <w:pStyle w:val="Bulletpoint"/>
      </w:pPr>
      <w:r w:rsidRPr="00C721AA">
        <w:t xml:space="preserve">For tāngata whai ora Māori, ask if te reo Māori and Te Ao Māori concepts and imagery would be helpful. </w:t>
      </w:r>
    </w:p>
    <w:p w14:paraId="55E44489" w14:textId="77777777" w:rsidR="00F95CB5" w:rsidRPr="00C721AA" w:rsidRDefault="00F95CB5" w:rsidP="00BE6A58">
      <w:pPr>
        <w:pStyle w:val="Bulletpoint"/>
      </w:pPr>
      <w:r w:rsidRPr="00C721AA">
        <w:t>Set shared goals and clear expectations for each person’s role in the therapeutic relationship.</w:t>
      </w:r>
      <w:r w:rsidRPr="00C721AA">
        <w:rPr>
          <w:color w:val="2B579A"/>
        </w:rPr>
        <w:fldChar w:fldCharType="begin"/>
      </w:r>
      <w:r w:rsidRPr="00C721AA">
        <w:instrText xml:space="preserve"> ADDIN ZOTERO_ITEM CSL_CITATION {"citationID":"y1XJgXm2","properties":{"formattedCitation":"\\super 154,155\\nosupersub{}","plainCitation":"154,155","noteIndex":0},"citationItems":[{"id":13889,"uris":["http://zotero.org/groups/4745233/items/U6MHGLXY"],"itemData":{"id":13889,"type":"article-journal","abstract":"Objective Although person-centred outcome measures have been recommended to evaluate cognitive rehabilitation interventions, few validated measures have been developed for this purpose. The current study examined aspects of feasibility, reliability and validity of a modified version of goal attainment scaling that uses a goal menu, calculator and control goals.Method Participants were N=25 female residents of a substance use disorder therapeutic community who were allocated to a four-week cognitive remediation (n=13) or treatment as usual (n=12) control group in a controlled sequential groups trial. Modified goal attainment scaling was used to set goals. Limited efficacy and efficiency, quality appraisal criteria, and convergent and discriminant validity of target and control goals were used to examine feasibility, reliability and content validity, and construct validity, respectively.Results Target goals were achieved at a higher rate than control goals for the Intervention, but not Control, group, with a medium effect size (r = 0.5). The approach was efficient and 44% of reliability and 75% of content validity criteria were met. Target goals correlated more strongly than control goals with the Behavior Rating Inventory of Executive Function - Adult version.Conclusions The modified approach to goal attainment scaling demonstrated aspects of feasibility, reliability and validity.","container-title":"Australian Journal of Psychology","DOI":"10.1080/00049530.2023.2170652","ISSN":"0004-9530","issue":"1","note":"publisher: Routledge\n_eprint: https://doi.org/10.1080/00049530.2023.2170652","page":"2170652","source":"Taylor and Francis+NEJM","title":"Feasibility, reliability and validity of a modified approach to goal attainment scaling to measure goal outcomes following cognitive remediation in a residential substance use disorder rehabilitation setting","volume":"75","author":[{"family":"Berry","given":"Jamie"},{"family":"Marceau","given":"Ely M."},{"family":"Lunn","given":"Jo"}],"issued":{"date-parts":[["2023",12,31]]}}},{"id":12609,"uris":["http://zotero.org/groups/4745233/items/I953AG9A"],"itemData":{"id":12609,"type":"article-journal","abstract":"This paper is an introduction to adaptations to make cognitive behaviour therapy (CBT) more accessible to people with intellectual disabilities. It is intended to inform therapists who may work with people with intellectual disabilities in mainstream services.\nThe paper describes adaptations that consider neuropsychological processes, such as memory, and executive functions, such as planning, problem solving and self-regulation, and identifies that these factors are not unique to people with intellectual disabilities. We describe adaptations based on a review of literature describing CBT for people with intellectual disabilities (Surley and Dagnan, 2019) and draw on clinical experience to give examples of adaptations where possible. The paper particularly emphasises the generalisability of adaptations used with people with intellectual disabilities to therapy with wider populations and suggests that CBT therapists working in mainstream services will have the skills to be able to adapt therapy for people with intellectual disabilities.\n\nKey learning aims\n\n\n\n\n(1) To overview the evidence base supporting the use of CBT with people with intellectual disabilities.\n\n\n\n(2) To describe the epidemiology of intellectual disability and discuss its implications for the generalisability of adaptations discussed in this paper.\n\n\n\n(3) To describe a range of adaptations to make CBT more accessible people with intellectual disabilities.\n\n\n\n(4) To consider whether such adaptations are part of the skill set of CBT therapists mainly working with people without intellectual disabilities.","container-title":"the Cognitive Behaviour Therapist","DOI":"10.1017/S1754470X22000587","ISSN":"1754-470X","language":"en","note":"publisher: Cambridge University Press","page":"e3","source":"Cambridge University Press","title":"Adapting cognitive behaviour therapy for people with intellectual disabilities: an overview for therapist working in mainstream or specialist services","title-short":"Adapting cognitive behaviour therapy for people with intellectual disabilities","volume":"16","author":[{"family":"Dagnan","given":"Dave"},{"family":"Taylor","given":"Lara"},{"family":"Burke","given":"Christine-Koulla"}],"issued":{"date-parts":[["2023"]],"season":"ed"}}}],"schema":"https://github.com/citation-style-language/schema/raw/master/csl-citation.json"} </w:instrText>
      </w:r>
      <w:r w:rsidRPr="00C721AA">
        <w:rPr>
          <w:color w:val="2B579A"/>
        </w:rPr>
        <w:fldChar w:fldCharType="separate"/>
      </w:r>
      <w:r w:rsidRPr="00C721AA">
        <w:rPr>
          <w:rFonts w:cs="Arial"/>
          <w:vertAlign w:val="superscript"/>
        </w:rPr>
        <w:t>154,155</w:t>
      </w:r>
      <w:r w:rsidRPr="00C721AA">
        <w:rPr>
          <w:color w:val="2B579A"/>
        </w:rPr>
        <w:fldChar w:fldCharType="end"/>
      </w:r>
      <w:r w:rsidRPr="00C721AA">
        <w:t xml:space="preserve"> For one-on-one support, this could include outlining the goals of the therapeutic process (like learning skills to better cope with peer pressure to use substances). The worker’s role might include suggesting evidence-based approaches that can be explored collaboratively with the person. The person’s role might include outlining their day-to-day challenges, making a genuine attempt to implement agreed-upon strategies, and providing clear feedback about what works and what doesn’t. </w:t>
      </w:r>
    </w:p>
    <w:p w14:paraId="572332CB" w14:textId="77777777" w:rsidR="007F1966" w:rsidRDefault="00F95CB5" w:rsidP="007F1966">
      <w:pPr>
        <w:pStyle w:val="Bulletpoint"/>
      </w:pPr>
      <w:r w:rsidRPr="00C721AA">
        <w:lastRenderedPageBreak/>
        <w:t>Provide a clear structure for each session and activity, while allowing for flexibility.</w:t>
      </w:r>
      <w:r w:rsidRPr="00C721AA">
        <w:rPr>
          <w:color w:val="2B579A"/>
        </w:rPr>
        <w:fldChar w:fldCharType="begin"/>
      </w:r>
      <w:r w:rsidRPr="00C721AA">
        <w:instrText xml:space="preserve"> ADDIN ZOTERO_ITEM CSL_CITATION {"citationID":"hsMJNGBd","properties":{"formattedCitation":"\\super 155\\nosupersub{}","plainCitation":"155","noteIndex":0},"citationItems":[{"id":12609,"uris":["http://zotero.org/groups/4745233/items/I953AG9A"],"itemData":{"id":12609,"type":"article-journal","abstract":"This paper is an introduction to adaptations to make cognitive behaviour therapy (CBT) more accessible to people with intellectual disabilities. It is intended to inform therapists who may work with people with intellectual disabilities in mainstream services.\nThe paper describes adaptations that consider neuropsychological processes, such as memory, and executive functions, such as planning, problem solving and self-regulation, and identifies that these factors are not unique to people with intellectual disabilities. We describe adaptations based on a review of literature describing CBT for people with intellectual disabilities (Surley and Dagnan, 2019) and draw on clinical experience to give examples of adaptations where possible. The paper particularly emphasises the generalisability of adaptations used with people with intellectual disabilities to therapy with wider populations and suggests that CBT therapists working in mainstream services will have the skills to be able to adapt therapy for people with intellectual disabilities.\n\nKey learning aims\n\n\n\n\n(1) To overview the evidence base supporting the use of CBT with people with intellectual disabilities.\n\n\n\n(2) To describe the epidemiology of intellectual disability and discuss its implications for the generalisability of adaptations discussed in this paper.\n\n\n\n(3) To describe a range of adaptations to make CBT more accessible people with intellectual disabilities.\n\n\n\n(4) To consider whether such adaptations are part of the skill set of CBT therapists mainly working with people without intellectual disabilities.","container-title":"the Cognitive Behaviour Therapist","DOI":"10.1017/S1754470X22000587","ISSN":"1754-470X","language":"en","note":"publisher: Cambridge University Press","page":"e3","source":"Cambridge University Press","title":"Adapting cognitive behaviour therapy for people with intellectual disabilities: an overview for therapist working in mainstream or specialist services","title-short":"Adapting cognitive behaviour therapy for people with intellectual disabilities","volume":"16","author":[{"family":"Dagnan","given":"Dave"},{"family":"Taylor","given":"Lara"},{"family":"Burke","given":"Christine-Koulla"}],"issued":{"date-parts":[["2023"]],"season":"ed"}}}],"schema":"https://github.com/citation-style-language/schema/raw/master/csl-citation.json"} </w:instrText>
      </w:r>
      <w:r w:rsidRPr="00C721AA">
        <w:rPr>
          <w:color w:val="2B579A"/>
        </w:rPr>
        <w:fldChar w:fldCharType="separate"/>
      </w:r>
      <w:r w:rsidRPr="00C721AA">
        <w:rPr>
          <w:rFonts w:cs="Arial"/>
          <w:vertAlign w:val="superscript"/>
        </w:rPr>
        <w:t>155</w:t>
      </w:r>
      <w:r w:rsidRPr="00C721AA">
        <w:rPr>
          <w:color w:val="2B579A"/>
        </w:rPr>
        <w:fldChar w:fldCharType="end"/>
      </w:r>
      <w:r w:rsidRPr="00C721AA">
        <w:t xml:space="preserve"> </w:t>
      </w:r>
      <w:r w:rsidRPr="00C721AA">
        <w:fldChar w:fldCharType="begin"/>
      </w:r>
      <w:r w:rsidRPr="00C721AA">
        <w:instrText xml:space="preserve"> REF _Ref146120307 \h  \* MERGEFORMAT </w:instrText>
      </w:r>
      <w:r w:rsidRPr="00C721AA">
        <w:fldChar w:fldCharType="separate"/>
      </w:r>
      <w:r w:rsidR="007F1966" w:rsidRPr="007F1966">
        <w:rPr>
          <w:noProof/>
        </w:rPr>
        <w:drawing>
          <wp:inline distT="0" distB="0" distL="0" distR="0" wp14:anchorId="1F0C6C78" wp14:editId="3AAA0CF0">
            <wp:extent cx="2474595" cy="2294255"/>
            <wp:effectExtent l="0" t="0" r="1905" b="0"/>
            <wp:docPr id="678134464" name="Picture 678134464" descr="Circular diagram split into 4 parts to show a session structure. 1. Review previous session and set expectations. 2) Discuss new topic. 3) Practice, discuss, feedback, questions. 4) Review s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015329" name="Picture 1554015329" descr="Circular diagram split into 4 parts to show a session structure. 1. Review previous session and set expectations. 2) Discuss new topic. 3) Practice, discuss, feedback, questions. 4) Review session"/>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474595" cy="2294255"/>
                    </a:xfrm>
                    <a:prstGeom prst="rect">
                      <a:avLst/>
                    </a:prstGeom>
                  </pic:spPr>
                </pic:pic>
              </a:graphicData>
            </a:graphic>
          </wp:inline>
        </w:drawing>
      </w:r>
    </w:p>
    <w:p w14:paraId="31261336" w14:textId="28BF28C2" w:rsidR="00F95CB5" w:rsidRPr="00C721AA" w:rsidRDefault="007F1966" w:rsidP="00BE6A58">
      <w:pPr>
        <w:pStyle w:val="Bulletpoint"/>
      </w:pPr>
      <w:r w:rsidRPr="00DC6D75">
        <w:rPr>
          <w:noProof/>
        </w:rPr>
        <w:t>Figure</w:t>
      </w:r>
      <w:r w:rsidRPr="00DC6D75">
        <w:t xml:space="preserve"> </w:t>
      </w:r>
      <w:r>
        <w:rPr>
          <w:noProof/>
        </w:rPr>
        <w:t>7</w:t>
      </w:r>
      <w:r w:rsidR="00F95CB5" w:rsidRPr="00C721AA">
        <w:fldChar w:fldCharType="end"/>
      </w:r>
      <w:r w:rsidR="00F95CB5" w:rsidRPr="00C721AA">
        <w:t xml:space="preserve"> outlines a simple session structure. </w:t>
      </w:r>
    </w:p>
    <w:p w14:paraId="44273808" w14:textId="77777777" w:rsidR="00A440F4" w:rsidRDefault="00F95CB5" w:rsidP="00BE6A58">
      <w:pPr>
        <w:pStyle w:val="Figure"/>
      </w:pPr>
      <w:bookmarkStart w:id="1331" w:name="_Ref146120307"/>
      <w:bookmarkStart w:id="1332" w:name="_Toc179461356"/>
      <w:r w:rsidRPr="00DC6D75">
        <w:rPr>
          <w:noProof/>
          <w:lang w:val="mi-NZ"/>
        </w:rPr>
        <w:drawing>
          <wp:inline distT="0" distB="0" distL="0" distR="0" wp14:anchorId="3614B841" wp14:editId="4BC73472">
            <wp:extent cx="2474595" cy="2294255"/>
            <wp:effectExtent l="0" t="0" r="1905" b="0"/>
            <wp:docPr id="1554015329" name="Picture 1554015329" descr="Circular diagram split into 4 parts to show a session structure. 1. Review previous session and set expectations. 2) Discuss new topic. 3) Practice, discuss, feedback, questions. 4) Review s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015329" name="Picture 1554015329" descr="Circular diagram split into 4 parts to show a session structure. 1. Review previous session and set expectations. 2) Discuss new topic. 3) Practice, discuss, feedback, questions. 4) Review session"/>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474595" cy="2294255"/>
                    </a:xfrm>
                    <a:prstGeom prst="rect">
                      <a:avLst/>
                    </a:prstGeom>
                  </pic:spPr>
                </pic:pic>
              </a:graphicData>
            </a:graphic>
          </wp:inline>
        </w:drawing>
      </w:r>
    </w:p>
    <w:p w14:paraId="1CBBD77C" w14:textId="1655F23F" w:rsidR="00F95CB5" w:rsidRPr="00DC6D75" w:rsidRDefault="00F95CB5" w:rsidP="00BE6A58">
      <w:pPr>
        <w:pStyle w:val="Figure"/>
      </w:pPr>
      <w:r w:rsidRPr="00DC6D75">
        <w:t xml:space="preserve">Figure </w:t>
      </w:r>
      <w:r w:rsidRPr="00DC6D75">
        <w:fldChar w:fldCharType="begin"/>
      </w:r>
      <w:r w:rsidRPr="00DC6D75">
        <w:instrText xml:space="preserve"> SEQ Figure \* ARABIC </w:instrText>
      </w:r>
      <w:r w:rsidRPr="00DC6D75">
        <w:fldChar w:fldCharType="separate"/>
      </w:r>
      <w:r w:rsidR="007F1966">
        <w:rPr>
          <w:noProof/>
        </w:rPr>
        <w:t>7</w:t>
      </w:r>
      <w:r w:rsidRPr="00DC6D75">
        <w:fldChar w:fldCharType="end"/>
      </w:r>
      <w:bookmarkEnd w:id="1331"/>
      <w:r w:rsidRPr="00DC6D75">
        <w:t>. Example of a session structure</w:t>
      </w:r>
      <w:bookmarkEnd w:id="1332"/>
    </w:p>
    <w:p w14:paraId="13CE2349" w14:textId="77777777" w:rsidR="002D27C0" w:rsidRPr="00C721AA" w:rsidRDefault="002D27C0" w:rsidP="00F95CB5">
      <w:pPr>
        <w:rPr>
          <w:sz w:val="22"/>
        </w:rPr>
      </w:pPr>
    </w:p>
    <w:p w14:paraId="54D94201" w14:textId="0D839670" w:rsidR="00F95CB5" w:rsidRPr="00C44078" w:rsidRDefault="00F95CB5" w:rsidP="00BE6A58">
      <w:r w:rsidRPr="00C44078">
        <w:rPr>
          <w:color w:val="2B579A"/>
          <w:shd w:val="clear" w:color="auto" w:fill="E6E6E6"/>
        </w:rPr>
        <w:fldChar w:fldCharType="begin"/>
      </w:r>
      <w:r w:rsidRPr="00C44078">
        <w:instrText xml:space="preserve"> REF _Ref146120380 \h </w:instrText>
      </w:r>
      <w:r w:rsidRPr="00C44078">
        <w:rPr>
          <w:color w:val="2B579A"/>
          <w:shd w:val="clear" w:color="auto" w:fill="E6E6E6"/>
        </w:rPr>
        <w:instrText xml:space="preserve"> \* MERGEFORMAT </w:instrText>
      </w:r>
      <w:r w:rsidRPr="00C44078">
        <w:rPr>
          <w:color w:val="2B579A"/>
          <w:shd w:val="clear" w:color="auto" w:fill="E6E6E6"/>
        </w:rPr>
      </w:r>
      <w:r w:rsidRPr="00C44078">
        <w:rPr>
          <w:color w:val="2B579A"/>
          <w:shd w:val="clear" w:color="auto" w:fill="E6E6E6"/>
        </w:rPr>
        <w:fldChar w:fldCharType="separate"/>
      </w:r>
      <w:r w:rsidR="007F1966" w:rsidRPr="00BE6A58">
        <w:t xml:space="preserve">Table </w:t>
      </w:r>
      <w:r w:rsidR="007F1966">
        <w:rPr>
          <w:noProof/>
        </w:rPr>
        <w:t>9</w:t>
      </w:r>
      <w:r w:rsidRPr="00C44078">
        <w:rPr>
          <w:color w:val="2B579A"/>
          <w:shd w:val="clear" w:color="auto" w:fill="E6E6E6"/>
        </w:rPr>
        <w:fldChar w:fldCharType="end"/>
      </w:r>
      <w:r w:rsidRPr="00C44078">
        <w:t xml:space="preserve"> summarises specific strategies that can be used during treatment to adapt for various aspects of cognition. </w:t>
      </w:r>
    </w:p>
    <w:p w14:paraId="2DC5F2A3" w14:textId="2215EE62" w:rsidR="00F95CB5" w:rsidRPr="00BE6A58" w:rsidRDefault="00F95CB5" w:rsidP="00122447">
      <w:pPr>
        <w:pStyle w:val="Figure"/>
      </w:pPr>
      <w:bookmarkStart w:id="1333" w:name="_Ref146120380"/>
      <w:bookmarkStart w:id="1334" w:name="_Toc146624908"/>
      <w:bookmarkStart w:id="1335" w:name="_Toc179544011"/>
      <w:r w:rsidRPr="00BE6A58">
        <w:t xml:space="preserve">Table </w:t>
      </w:r>
      <w:r w:rsidRPr="00BE6A58">
        <w:fldChar w:fldCharType="begin"/>
      </w:r>
      <w:r w:rsidRPr="00BE6A58">
        <w:instrText xml:space="preserve"> SEQ Table \* ARABIC </w:instrText>
      </w:r>
      <w:r w:rsidRPr="00BE6A58">
        <w:fldChar w:fldCharType="separate"/>
      </w:r>
      <w:r w:rsidR="007F1966">
        <w:rPr>
          <w:noProof/>
        </w:rPr>
        <w:t>9</w:t>
      </w:r>
      <w:r w:rsidRPr="00BE6A58">
        <w:fldChar w:fldCharType="end"/>
      </w:r>
      <w:bookmarkEnd w:id="1333"/>
      <w:r w:rsidRPr="00BE6A58">
        <w:t>. Adaptations based on affected aspects of cognition</w:t>
      </w:r>
      <w:bookmarkEnd w:id="1334"/>
      <w:bookmarkEnd w:id="1335"/>
    </w:p>
    <w:tbl>
      <w:tblPr>
        <w:tblStyle w:val="GridTable4-Accent3"/>
        <w:tblW w:w="9209" w:type="dxa"/>
        <w:tblBorders>
          <w:top w:val="none" w:sz="0" w:space="0" w:color="auto"/>
          <w:left w:val="none" w:sz="0" w:space="0" w:color="auto"/>
          <w:bottom w:val="none" w:sz="0" w:space="0" w:color="auto"/>
          <w:right w:val="none" w:sz="0" w:space="0" w:color="auto"/>
          <w:insideH w:val="double" w:sz="4" w:space="0" w:color="660033" w:themeColor="accent6"/>
          <w:insideV w:val="double" w:sz="4" w:space="0" w:color="660033" w:themeColor="accent6"/>
        </w:tblBorders>
        <w:tblLook w:val="04A0" w:firstRow="1" w:lastRow="0" w:firstColumn="1" w:lastColumn="0" w:noHBand="0" w:noVBand="1"/>
        <w:tblCaption w:val="Adaptations to treatment"/>
        <w:tblDescription w:val="Covers adaptations workers can make when supporting people that takes into account various cognitive challenges. Includes alertness and fatigue (provide quiet spaces, pace activities, have breaks), attention and processing speed (make key information clear, reduce distractions), visuospatial awareness (make plans for if people get lost), memory (wear a name tag, pictures, and summarise key information), executive functioning (use simple sentences, concrete examples, role play), language (use simple sentences, avoid jargon), and social cognition (roleplay social situations, practice recognising emotions)"/>
      </w:tblPr>
      <w:tblGrid>
        <w:gridCol w:w="1795"/>
        <w:gridCol w:w="7414"/>
      </w:tblGrid>
      <w:tr w:rsidR="00F95CB5" w:rsidRPr="00C44078" w14:paraId="42441A23" w14:textId="77777777" w:rsidTr="002348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top w:val="nil"/>
              <w:bottom w:val="nil"/>
              <w:right w:val="double" w:sz="4" w:space="0" w:color="003399" w:themeColor="accent3"/>
            </w:tcBorders>
            <w:shd w:val="clear" w:color="auto" w:fill="000070"/>
          </w:tcPr>
          <w:p w14:paraId="1DFA1BA0" w14:textId="77777777" w:rsidR="00F95CB5" w:rsidRPr="00C44078" w:rsidRDefault="00F95CB5" w:rsidP="00234887">
            <w:pPr>
              <w:rPr>
                <w:rFonts w:cstheme="minorHAnsi"/>
                <w:sz w:val="22"/>
              </w:rPr>
            </w:pPr>
            <w:r w:rsidRPr="00C44078">
              <w:rPr>
                <w:rFonts w:cstheme="minorHAnsi"/>
                <w:sz w:val="22"/>
              </w:rPr>
              <w:t>Challenge</w:t>
            </w:r>
          </w:p>
        </w:tc>
        <w:tc>
          <w:tcPr>
            <w:tcW w:w="7414" w:type="dxa"/>
            <w:tcBorders>
              <w:top w:val="nil"/>
              <w:left w:val="double" w:sz="4" w:space="0" w:color="003399" w:themeColor="accent3"/>
              <w:bottom w:val="nil"/>
            </w:tcBorders>
            <w:shd w:val="clear" w:color="auto" w:fill="000070"/>
          </w:tcPr>
          <w:p w14:paraId="1F029CBF" w14:textId="77777777" w:rsidR="00F95CB5" w:rsidRPr="00C44078" w:rsidRDefault="00F95CB5" w:rsidP="00234887">
            <w:pPr>
              <w:cnfStyle w:val="100000000000" w:firstRow="1" w:lastRow="0" w:firstColumn="0" w:lastColumn="0" w:oddVBand="0" w:evenVBand="0" w:oddHBand="0" w:evenHBand="0" w:firstRowFirstColumn="0" w:firstRowLastColumn="0" w:lastRowFirstColumn="0" w:lastRowLastColumn="0"/>
              <w:rPr>
                <w:rFonts w:cstheme="minorHAnsi"/>
                <w:sz w:val="22"/>
              </w:rPr>
            </w:pPr>
            <w:r w:rsidRPr="00C44078">
              <w:rPr>
                <w:rFonts w:cstheme="minorHAnsi"/>
                <w:sz w:val="22"/>
              </w:rPr>
              <w:t>Adaptations to treatment</w:t>
            </w:r>
          </w:p>
        </w:tc>
      </w:tr>
      <w:tr w:rsidR="00F95CB5" w:rsidRPr="00C44078" w14:paraId="21B12587" w14:textId="77777777" w:rsidTr="002348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top w:val="nil"/>
              <w:bottom w:val="nil"/>
            </w:tcBorders>
          </w:tcPr>
          <w:p w14:paraId="49AB86E2" w14:textId="77777777" w:rsidR="00F95CB5" w:rsidRPr="00BE6A58" w:rsidRDefault="00F95CB5" w:rsidP="00234887">
            <w:pPr>
              <w:rPr>
                <w:rFonts w:cstheme="minorHAnsi"/>
                <w:b w:val="0"/>
                <w:bCs w:val="0"/>
                <w:szCs w:val="24"/>
              </w:rPr>
            </w:pPr>
            <w:r w:rsidRPr="00BE6A58">
              <w:rPr>
                <w:rFonts w:cstheme="minorHAnsi"/>
                <w:szCs w:val="24"/>
              </w:rPr>
              <w:t>Alertness and fatigue</w:t>
            </w:r>
            <w:r w:rsidRPr="00BE6A58">
              <w:rPr>
                <w:rFonts w:cstheme="minorHAnsi"/>
                <w:color w:val="2B579A"/>
                <w:szCs w:val="24"/>
                <w:shd w:val="clear" w:color="auto" w:fill="E6E6E6"/>
              </w:rPr>
              <w:fldChar w:fldCharType="begin"/>
            </w:r>
            <w:r w:rsidRPr="00BE6A58">
              <w:rPr>
                <w:rFonts w:cstheme="minorHAnsi"/>
                <w:b w:val="0"/>
                <w:bCs w:val="0"/>
                <w:szCs w:val="24"/>
              </w:rPr>
              <w:instrText xml:space="preserve"> ADDIN ZOTERO_ITEM CSL_CITATION {"citationID":"4MUJePdu","properties":{"formattedCitation":"\\super 3,54,155\\nosupersub{}","plainCitation":"3,54,155","noteIndex":0},"citationItems":[{"id":12609,"uris":["http://zotero.org/groups/4745233/items/I953AG9A"],"itemData":{"id":12609,"type":"article-journal","abstract":"This paper is an introduction to adaptations to make cognitive behaviour therapy (CBT) more accessible to people with intellectual disabilities. It is intended to inform therapists who may work with people with intellectual disabilities in mainstream services.\nThe paper describes adaptations that consider neuropsychological processes, such as memory, and executive functions, such as planning, problem solving and self-regulation, and identifies that these factors are not unique to people with intellectual disabilities. We describe adaptations based on a review of literature describing CBT for people with intellectual disabilities (Surley and Dagnan, 2019) and draw on clinical experience to give examples of adaptations where possible. The paper particularly emphasises the generalisability of adaptations used with people with intellectual disabilities to therapy with wider populations and suggests that CBT therapists working in mainstream services will have the skills to be able to adapt therapy for people with intellectual disabilities.\n\nKey learning aims\n\n\n\n\n(1) To overview the evidence base supporting the use of CBT with people with intellectual disabilities.\n\n\n\n(2) To describe the epidemiology of intellectual disability and discuss its implications for the generalisability of adaptations discussed in this paper.\n\n\n\n(3) To describe a range of adaptations to make CBT more accessible people with intellectual disabilities.\n\n\n\n(4) To consider whether such adaptations are part of the skill set of CBT therapists mainly working with people without intellectual disabilities.","container-title":"the Cognitive Behaviour Therapist","DOI":"10.1017/S1754470X22000587","ISSN":"1754-470X","language":"en","note":"publisher: Cambridge University Press","page":"e3","source":"Cambridge University Press","title":"Adapting cognitive behaviour therapy for people with intellectual disabilities: an overview for therapist working in mainstream or specialist services","title-short":"Adapting cognitive behaviour therapy for people with intellectual disabilities","volume":"16","author":[{"family":"Dagnan","given":"Dave"},{"family":"Taylor","given":"Lara"},{"family":"Burke","given":"Christine-Koulla"}],"issued":{"date-parts":[["2023"]],"season":"ed"}}},{"id":14216,"uris":["http://zotero.org/groups/4745233/items/866CDPL8"],"itemData":{"id":14216,"type":"report","publisher":"Addiction Technology Transfer Center Network","title":"Traumatic brain injury and substance use disorders: Making the connections","URL":"https://attcnetwork.org/sites/default/files/2021-11/TBI%20%20SUD%20Toolkit%20FINAL%2011.05.2021.pdf","author":[{"family":"Lemsky","given":"Carolyn"}],"collection-editor":[{"family":"Stilen","given":"P"},{"family":"Heitkamp","given":"T"}],"accessed":{"date-parts":[["2022",12,15]]},"issued":{"date-parts":[["2021"]]}}},{"id":14007,"uris":["http://zotero.org/groups/4745233/items/U3GGYCKU"],"itemData":{"id":14007,"type":"report","event-place":"Richmond, Victoria","language":"en","publisher":"Turning Point","publisher-place":"Richmond, Victoria","source":"Zotero","title":"Managing Cognitive Impairment in AOD Treatment: Practice Guidelines for Healthcare Professionals","URL":"https://www.turningpoint.org.au/treatment/clinicians/Managing-Cognitive-Impairment-in-AOD-Treatment-Guidelines","author":[{"family":"Manning","given":"Victoria"},{"family":"Gooden","given":"James"},{"family":"Cox","given":"Catherine"},{"family":"Whelan","given":"Danielle"},{"family":"Miroz","given":"Katherine"}],"issued":{"date-parts":[["2021"]]}}}],"schema":"https://github.com/citation-style-language/schema/raw/master/csl-citation.json"} </w:instrText>
            </w:r>
            <w:r w:rsidRPr="00BE6A58">
              <w:rPr>
                <w:rFonts w:cstheme="minorHAnsi"/>
                <w:color w:val="2B579A"/>
                <w:szCs w:val="24"/>
                <w:shd w:val="clear" w:color="auto" w:fill="E6E6E6"/>
              </w:rPr>
              <w:fldChar w:fldCharType="separate"/>
            </w:r>
            <w:r w:rsidRPr="00BE6A58">
              <w:rPr>
                <w:rFonts w:cstheme="minorHAnsi"/>
                <w:b w:val="0"/>
                <w:bCs w:val="0"/>
                <w:szCs w:val="24"/>
                <w:vertAlign w:val="superscript"/>
              </w:rPr>
              <w:t>3,54,155</w:t>
            </w:r>
            <w:r w:rsidRPr="00BE6A58">
              <w:rPr>
                <w:rFonts w:cstheme="minorHAnsi"/>
                <w:color w:val="2B579A"/>
                <w:szCs w:val="24"/>
                <w:shd w:val="clear" w:color="auto" w:fill="E6E6E6"/>
              </w:rPr>
              <w:fldChar w:fldCharType="end"/>
            </w:r>
          </w:p>
        </w:tc>
        <w:tc>
          <w:tcPr>
            <w:tcW w:w="7414" w:type="dxa"/>
            <w:tcBorders>
              <w:top w:val="nil"/>
              <w:bottom w:val="nil"/>
            </w:tcBorders>
          </w:tcPr>
          <w:p w14:paraId="54626198" w14:textId="77777777" w:rsidR="00F95CB5" w:rsidRPr="00C44078" w:rsidRDefault="00F95CB5" w:rsidP="00BE6A58">
            <w:pPr>
              <w:pStyle w:val="Bulletpoint"/>
              <w:cnfStyle w:val="000000100000" w:firstRow="0" w:lastRow="0" w:firstColumn="0" w:lastColumn="0" w:oddVBand="0" w:evenVBand="0" w:oddHBand="1" w:evenHBand="0" w:firstRowFirstColumn="0" w:firstRowLastColumn="0" w:lastRowFirstColumn="0" w:lastRowLastColumn="0"/>
            </w:pPr>
            <w:r w:rsidRPr="00C44078">
              <w:t>Consider if the tangata whai ora is on medication and ask if that impacts their alertness and fatigue</w:t>
            </w:r>
          </w:p>
          <w:p w14:paraId="5D46E7B9" w14:textId="77777777" w:rsidR="00F95CB5" w:rsidRPr="00C44078" w:rsidRDefault="00F95CB5" w:rsidP="00BE6A58">
            <w:pPr>
              <w:pStyle w:val="Bulletpoint"/>
              <w:cnfStyle w:val="000000100000" w:firstRow="0" w:lastRow="0" w:firstColumn="0" w:lastColumn="0" w:oddVBand="0" w:evenVBand="0" w:oddHBand="1" w:evenHBand="0" w:firstRowFirstColumn="0" w:firstRowLastColumn="0" w:lastRowFirstColumn="0" w:lastRowLastColumn="0"/>
            </w:pPr>
            <w:r w:rsidRPr="00C44078">
              <w:lastRenderedPageBreak/>
              <w:t>Provide quiet rest areas and schedule rest after any mental activity</w:t>
            </w:r>
          </w:p>
          <w:p w14:paraId="04348671" w14:textId="77777777" w:rsidR="00F95CB5" w:rsidRPr="00C44078" w:rsidRDefault="00F95CB5" w:rsidP="00BE6A58">
            <w:pPr>
              <w:pStyle w:val="Bulletpoint"/>
              <w:cnfStyle w:val="000000100000" w:firstRow="0" w:lastRow="0" w:firstColumn="0" w:lastColumn="0" w:oddVBand="0" w:evenVBand="0" w:oddHBand="1" w:evenHBand="0" w:firstRowFirstColumn="0" w:firstRowLastColumn="0" w:lastRowFirstColumn="0" w:lastRowLastColumn="0"/>
            </w:pPr>
            <w:r w:rsidRPr="00C44078">
              <w:t>Pace activities, start with more complex information or activities when people are most alert</w:t>
            </w:r>
          </w:p>
          <w:p w14:paraId="6E16558B" w14:textId="77777777" w:rsidR="00F95CB5" w:rsidRPr="00C44078" w:rsidRDefault="00F95CB5" w:rsidP="00BE6A58">
            <w:pPr>
              <w:pStyle w:val="Bulletpoint"/>
              <w:cnfStyle w:val="000000100000" w:firstRow="0" w:lastRow="0" w:firstColumn="0" w:lastColumn="0" w:oddVBand="0" w:evenVBand="0" w:oddHBand="1" w:evenHBand="0" w:firstRowFirstColumn="0" w:firstRowLastColumn="0" w:lastRowFirstColumn="0" w:lastRowLastColumn="0"/>
            </w:pPr>
            <w:r w:rsidRPr="00C44078">
              <w:t xml:space="preserve">Regularly have a stretch break </w:t>
            </w:r>
          </w:p>
          <w:p w14:paraId="69DCB40C" w14:textId="77777777" w:rsidR="00F95CB5" w:rsidRPr="00C44078" w:rsidRDefault="00F95CB5" w:rsidP="00BE6A58">
            <w:pPr>
              <w:pStyle w:val="Bulletpoint"/>
              <w:cnfStyle w:val="000000100000" w:firstRow="0" w:lastRow="0" w:firstColumn="0" w:lastColumn="0" w:oddVBand="0" w:evenVBand="0" w:oddHBand="1" w:evenHBand="0" w:firstRowFirstColumn="0" w:firstRowLastColumn="0" w:lastRowFirstColumn="0" w:lastRowLastColumn="0"/>
            </w:pPr>
            <w:r w:rsidRPr="00C44078">
              <w:t>Encourage people to have a snack before meeting if it helps with their alertness</w:t>
            </w:r>
          </w:p>
          <w:p w14:paraId="52F4289E" w14:textId="77777777" w:rsidR="00F95CB5" w:rsidRPr="00C44078" w:rsidRDefault="00F95CB5" w:rsidP="00BE6A58">
            <w:pPr>
              <w:pStyle w:val="Bulletpoint"/>
              <w:cnfStyle w:val="000000100000" w:firstRow="0" w:lastRow="0" w:firstColumn="0" w:lastColumn="0" w:oddVBand="0" w:evenVBand="0" w:oddHBand="1" w:evenHBand="0" w:firstRowFirstColumn="0" w:firstRowLastColumn="0" w:lastRowFirstColumn="0" w:lastRowLastColumn="0"/>
            </w:pPr>
            <w:r w:rsidRPr="00C44078">
              <w:t>Consider shorter, more frequent sessions</w:t>
            </w:r>
          </w:p>
          <w:p w14:paraId="7BC723B1" w14:textId="77777777" w:rsidR="00F95CB5" w:rsidRPr="00C44078" w:rsidRDefault="00F95CB5" w:rsidP="00BE6A58">
            <w:pPr>
              <w:pStyle w:val="Bulletpoint"/>
              <w:cnfStyle w:val="000000100000" w:firstRow="0" w:lastRow="0" w:firstColumn="0" w:lastColumn="0" w:oddVBand="0" w:evenVBand="0" w:oddHBand="1" w:evenHBand="0" w:firstRowFirstColumn="0" w:firstRowLastColumn="0" w:lastRowFirstColumn="0" w:lastRowLastColumn="0"/>
            </w:pPr>
            <w:r w:rsidRPr="00C44078">
              <w:t>Simplify and break down information or activities into chunks</w:t>
            </w:r>
          </w:p>
        </w:tc>
      </w:tr>
      <w:tr w:rsidR="00F95CB5" w:rsidRPr="00C44078" w14:paraId="204FF44D" w14:textId="77777777" w:rsidTr="00234887">
        <w:tc>
          <w:tcPr>
            <w:cnfStyle w:val="001000000000" w:firstRow="0" w:lastRow="0" w:firstColumn="1" w:lastColumn="0" w:oddVBand="0" w:evenVBand="0" w:oddHBand="0" w:evenHBand="0" w:firstRowFirstColumn="0" w:firstRowLastColumn="0" w:lastRowFirstColumn="0" w:lastRowLastColumn="0"/>
            <w:tcW w:w="1795" w:type="dxa"/>
            <w:tcBorders>
              <w:top w:val="nil"/>
              <w:bottom w:val="nil"/>
            </w:tcBorders>
          </w:tcPr>
          <w:p w14:paraId="23F978FF" w14:textId="77777777" w:rsidR="00F95CB5" w:rsidRPr="00BE6A58" w:rsidRDefault="00F95CB5" w:rsidP="00234887">
            <w:pPr>
              <w:rPr>
                <w:rFonts w:cstheme="minorHAnsi"/>
                <w:szCs w:val="24"/>
              </w:rPr>
            </w:pPr>
            <w:r w:rsidRPr="00BE6A58">
              <w:rPr>
                <w:rFonts w:cstheme="minorHAnsi"/>
                <w:szCs w:val="24"/>
              </w:rPr>
              <w:lastRenderedPageBreak/>
              <w:t>Attention and processing speed</w:t>
            </w:r>
            <w:r w:rsidRPr="00BE6A58">
              <w:rPr>
                <w:rFonts w:cstheme="minorHAnsi"/>
                <w:color w:val="2B579A"/>
                <w:szCs w:val="24"/>
                <w:shd w:val="clear" w:color="auto" w:fill="E6E6E6"/>
              </w:rPr>
              <w:fldChar w:fldCharType="begin"/>
            </w:r>
            <w:r w:rsidRPr="00BE6A58">
              <w:rPr>
                <w:rFonts w:cstheme="minorHAnsi"/>
                <w:b w:val="0"/>
                <w:bCs w:val="0"/>
                <w:szCs w:val="24"/>
              </w:rPr>
              <w:instrText xml:space="preserve"> ADDIN ZOTERO_ITEM CSL_CITATION {"citationID":"KDK04SNw","properties":{"formattedCitation":"\\super 3,54,156\\nosupersub{}","plainCitation":"3,54,156","noteIndex":0},"citationItems":[{"id":14216,"uris":["http://zotero.org/groups/4745233/items/866CDPL8"],"itemData":{"id":14216,"type":"report","publisher":"Addiction Technology Transfer Center Network","title":"Traumatic brain injury and substance use disorders: Making the connections","URL":"https://attcnetwork.org/sites/default/files/2021-11/TBI%20%20SUD%20Toolkit%20FINAL%2011.05.2021.pdf","author":[{"family":"Lemsky","given":"Carolyn"}],"collection-editor":[{"family":"Stilen","given":"P"},{"family":"Heitkamp","given":"T"}],"accessed":{"date-parts":[["2022",12,15]]},"issued":{"date-parts":[["2021"]]}}},{"id":14007,"uris":["http://zotero.org/groups/4745233/items/U3GGYCKU"],"itemData":{"id":14007,"type":"report","event-place":"Richmond, Victoria","language":"en","publisher":"Turning Point","publisher-place":"Richmond, Victoria","source":"Zotero","title":"Managing Cognitive Impairment in AOD Treatment: Practice Guidelines for Healthcare Professionals","URL":"https://www.turningpoint.org.au/treatment/clinicians/Managing-Cognitive-Impairment-in-AOD-Treatment-Guidelines","author":[{"family":"Manning","given":"Victoria"},{"family":"Gooden","given":"James"},{"family":"Cox","given":"Catherine"},{"family":"Whelan","given":"Danielle"},{"family":"Miroz","given":"Katherine"}],"issued":{"date-parts":[["2021"]]}}},{"id":8470,"uris":["http://zotero.org/groups/4406622/items/JD22U8FL"],"itemData":{"id":8470,"type":"article-journal","abstract":"Treatment for opioid use disorder (OUD) is often in the context of biobehavioural interventions, consisting of medication for OUD (for example, methadone and buprenorphine), which is accompanied by psychoeducation and/or behavioural therapies. Patients with OUD often display weaknesses in cognitive function that may impact the efficacy of such behavioural interventions., A review of the literature was conducted to: (1) describe common cognitive dysfunction profiles among patients with OUD, (2) outline intervention approaches for patients with OUD, (3) consider the cognitive demands that interventions place on patients with OUD and (4) identify potential accommodation strategies that may be used to optimise treatment outcomes., Cognitive profiles of patients with OUD often include weaknesses in executive function, attention, memory and information processing. Behavioural interventions require the patients’ ability to learn, understand and remember information (placing specific cognitive demands on patients). Accommodation strategies are, therefore, needed for patients with challenges in one or more of these areas. Research on accommodation strategies for patients with OUD is very limited. We applied research from populations with similar cognitive profiles to form a comprehensive collection of potential strategies to compensate for cognitive dysfunction among patients with OUD. The cognitive profiles and accommodation strategies included in this review are intended to inform future intervention research aimed at improving outcomes among patients with OUD.","container-title":"General Psychiatry","DOI":"10.1136/gpsych-2020-100412","ISSN":"2517-729X","issue":"4","journalAbbreviation":"Gen Psychiatr","note":"PMID: 34504995\nPMCID: PMC8370499","page":"e100412","source":"PubMed Central","title":"Adapting behavioural interventions to compensate for cognitive dysfunction in persons with opioid use disorder","volume":"34","author":[{"family":"Mistler","given":"Colleen B"},{"family":"Shrestha","given":"Roman"},{"family":"Gunstad","given":"John"},{"family":"Sanborn","given":"Victoria"},{"family":"Copenhaver","given":"Michael M"}],"issued":{"date-parts":[["2021",8,16]]}}}],"schema":"https://github.com/citation-style-language/schema/raw/master/csl-citation.json"} </w:instrText>
            </w:r>
            <w:r w:rsidRPr="00BE6A58">
              <w:rPr>
                <w:rFonts w:cstheme="minorHAnsi"/>
                <w:color w:val="2B579A"/>
                <w:szCs w:val="24"/>
                <w:shd w:val="clear" w:color="auto" w:fill="E6E6E6"/>
              </w:rPr>
              <w:fldChar w:fldCharType="separate"/>
            </w:r>
            <w:r w:rsidRPr="00BE6A58">
              <w:rPr>
                <w:rFonts w:cstheme="minorHAnsi"/>
                <w:b w:val="0"/>
                <w:bCs w:val="0"/>
                <w:szCs w:val="24"/>
                <w:vertAlign w:val="superscript"/>
              </w:rPr>
              <w:t>3,54,156</w:t>
            </w:r>
            <w:r w:rsidRPr="00BE6A58">
              <w:rPr>
                <w:rFonts w:cstheme="minorHAnsi"/>
                <w:color w:val="2B579A"/>
                <w:szCs w:val="24"/>
                <w:shd w:val="clear" w:color="auto" w:fill="E6E6E6"/>
              </w:rPr>
              <w:fldChar w:fldCharType="end"/>
            </w:r>
          </w:p>
        </w:tc>
        <w:tc>
          <w:tcPr>
            <w:tcW w:w="7414" w:type="dxa"/>
            <w:tcBorders>
              <w:top w:val="nil"/>
              <w:bottom w:val="nil"/>
            </w:tcBorders>
          </w:tcPr>
          <w:p w14:paraId="34A39705" w14:textId="77777777" w:rsidR="00F95CB5" w:rsidRPr="00C44078" w:rsidRDefault="00F95CB5" w:rsidP="00BE6A58">
            <w:pPr>
              <w:pStyle w:val="Bulletpoint"/>
              <w:cnfStyle w:val="000000000000" w:firstRow="0" w:lastRow="0" w:firstColumn="0" w:lastColumn="0" w:oddVBand="0" w:evenVBand="0" w:oddHBand="0" w:evenHBand="0" w:firstRowFirstColumn="0" w:firstRowLastColumn="0" w:lastRowFirstColumn="0" w:lastRowLastColumn="0"/>
            </w:pPr>
            <w:r w:rsidRPr="00C44078">
              <w:t>Make information or tasks more engaging (such as using videos)</w:t>
            </w:r>
          </w:p>
          <w:p w14:paraId="02E56021" w14:textId="77777777" w:rsidR="00F95CB5" w:rsidRPr="00C44078" w:rsidRDefault="00F95CB5" w:rsidP="00BE6A58">
            <w:pPr>
              <w:pStyle w:val="Bulletpoint"/>
              <w:cnfStyle w:val="000000000000" w:firstRow="0" w:lastRow="0" w:firstColumn="0" w:lastColumn="0" w:oddVBand="0" w:evenVBand="0" w:oddHBand="0" w:evenHBand="0" w:firstRowFirstColumn="0" w:firstRowLastColumn="0" w:lastRowFirstColumn="0" w:lastRowLastColumn="0"/>
            </w:pPr>
            <w:r w:rsidRPr="00C44078">
              <w:t>Reduce distractions in the environment</w:t>
            </w:r>
          </w:p>
          <w:p w14:paraId="34A58624" w14:textId="77777777" w:rsidR="00F95CB5" w:rsidRPr="00C44078" w:rsidRDefault="00F95CB5" w:rsidP="00BE6A58">
            <w:pPr>
              <w:pStyle w:val="Bulletpoint"/>
              <w:cnfStyle w:val="000000000000" w:firstRow="0" w:lastRow="0" w:firstColumn="0" w:lastColumn="0" w:oddVBand="0" w:evenVBand="0" w:oddHBand="0" w:evenHBand="0" w:firstRowFirstColumn="0" w:firstRowLastColumn="0" w:lastRowFirstColumn="0" w:lastRowLastColumn="0"/>
            </w:pPr>
            <w:r w:rsidRPr="00C44078">
              <w:t>Present one idea at a time, per session if possible</w:t>
            </w:r>
          </w:p>
          <w:p w14:paraId="4D17D6BE" w14:textId="77777777" w:rsidR="00F95CB5" w:rsidRPr="00C44078" w:rsidRDefault="00F95CB5" w:rsidP="00BE6A58">
            <w:pPr>
              <w:pStyle w:val="Bulletpoint"/>
              <w:cnfStyle w:val="000000000000" w:firstRow="0" w:lastRow="0" w:firstColumn="0" w:lastColumn="0" w:oddVBand="0" w:evenVBand="0" w:oddHBand="0" w:evenHBand="0" w:firstRowFirstColumn="0" w:firstRowLastColumn="0" w:lastRowFirstColumn="0" w:lastRowLastColumn="0"/>
            </w:pPr>
            <w:r w:rsidRPr="00C44078">
              <w:t>Make it clear when the topic is being changed</w:t>
            </w:r>
          </w:p>
          <w:p w14:paraId="26960254" w14:textId="77777777" w:rsidR="00F95CB5" w:rsidRPr="00C44078" w:rsidRDefault="00F95CB5" w:rsidP="00BE6A58">
            <w:pPr>
              <w:pStyle w:val="Bulletpoint"/>
              <w:cnfStyle w:val="000000000000" w:firstRow="0" w:lastRow="0" w:firstColumn="0" w:lastColumn="0" w:oddVBand="0" w:evenVBand="0" w:oddHBand="0" w:evenHBand="0" w:firstRowFirstColumn="0" w:firstRowLastColumn="0" w:lastRowFirstColumn="0" w:lastRowLastColumn="0"/>
            </w:pPr>
            <w:r w:rsidRPr="00C44078">
              <w:t>Make priorities or most important information clear</w:t>
            </w:r>
          </w:p>
          <w:p w14:paraId="63E4190B" w14:textId="77777777" w:rsidR="00F95CB5" w:rsidRPr="00C44078" w:rsidRDefault="00F95CB5" w:rsidP="00BE6A58">
            <w:pPr>
              <w:pStyle w:val="Bulletpoint"/>
              <w:cnfStyle w:val="000000000000" w:firstRow="0" w:lastRow="0" w:firstColumn="0" w:lastColumn="0" w:oddVBand="0" w:evenVBand="0" w:oddHBand="0" w:evenHBand="0" w:firstRowFirstColumn="0" w:firstRowLastColumn="0" w:lastRowFirstColumn="0" w:lastRowLastColumn="0"/>
            </w:pPr>
            <w:r w:rsidRPr="00C44078">
              <w:t>Keep concepts and ideas simple</w:t>
            </w:r>
          </w:p>
          <w:p w14:paraId="40A1B49B" w14:textId="77777777" w:rsidR="00F95CB5" w:rsidRPr="00C44078" w:rsidRDefault="00F95CB5" w:rsidP="00BE6A58">
            <w:pPr>
              <w:pStyle w:val="Bulletpoint"/>
              <w:cnfStyle w:val="000000000000" w:firstRow="0" w:lastRow="0" w:firstColumn="0" w:lastColumn="0" w:oddVBand="0" w:evenVBand="0" w:oddHBand="0" w:evenHBand="0" w:firstRowFirstColumn="0" w:firstRowLastColumn="0" w:lastRowFirstColumn="0" w:lastRowLastColumn="0"/>
            </w:pPr>
            <w:r w:rsidRPr="00C44078">
              <w:t>Slow down speech and give people enough time to process, ask, and respond to questions</w:t>
            </w:r>
          </w:p>
          <w:p w14:paraId="169A7095" w14:textId="77777777" w:rsidR="00F95CB5" w:rsidRPr="00C44078" w:rsidRDefault="00F95CB5" w:rsidP="00BE6A58">
            <w:pPr>
              <w:pStyle w:val="Bulletpoint"/>
              <w:cnfStyle w:val="000000000000" w:firstRow="0" w:lastRow="0" w:firstColumn="0" w:lastColumn="0" w:oddVBand="0" w:evenVBand="0" w:oddHBand="0" w:evenHBand="0" w:firstRowFirstColumn="0" w:firstRowLastColumn="0" w:lastRowFirstColumn="0" w:lastRowLastColumn="0"/>
            </w:pPr>
            <w:r w:rsidRPr="00C44078">
              <w:t>Check peoples’ understanding and repeat back</w:t>
            </w:r>
          </w:p>
          <w:p w14:paraId="3DDDC88A" w14:textId="77777777" w:rsidR="00F95CB5" w:rsidRPr="00C44078" w:rsidRDefault="00F95CB5" w:rsidP="00BE6A58">
            <w:pPr>
              <w:pStyle w:val="Bulletpoint"/>
              <w:cnfStyle w:val="000000000000" w:firstRow="0" w:lastRow="0" w:firstColumn="0" w:lastColumn="0" w:oddVBand="0" w:evenVBand="0" w:oddHBand="0" w:evenHBand="0" w:firstRowFirstColumn="0" w:firstRowLastColumn="0" w:lastRowFirstColumn="0" w:lastRowLastColumn="0"/>
            </w:pPr>
            <w:r w:rsidRPr="00C44078">
              <w:t>Go at the person’s pace</w:t>
            </w:r>
          </w:p>
          <w:p w14:paraId="006329C2" w14:textId="77777777" w:rsidR="00F95CB5" w:rsidRPr="00C44078" w:rsidRDefault="00F95CB5" w:rsidP="00BE6A58">
            <w:pPr>
              <w:pStyle w:val="Bulletpoint"/>
              <w:cnfStyle w:val="000000000000" w:firstRow="0" w:lastRow="0" w:firstColumn="0" w:lastColumn="0" w:oddVBand="0" w:evenVBand="0" w:oddHBand="0" w:evenHBand="0" w:firstRowFirstColumn="0" w:firstRowLastColumn="0" w:lastRowFirstColumn="0" w:lastRowLastColumn="0"/>
            </w:pPr>
            <w:r w:rsidRPr="00C44078">
              <w:t>Maintain eye contact if culturally appropriate</w:t>
            </w:r>
          </w:p>
          <w:p w14:paraId="77459FDC" w14:textId="77777777" w:rsidR="00F95CB5" w:rsidRPr="00C44078" w:rsidRDefault="00F95CB5" w:rsidP="00BE6A58">
            <w:pPr>
              <w:pStyle w:val="Bulletpoint"/>
              <w:cnfStyle w:val="000000000000" w:firstRow="0" w:lastRow="0" w:firstColumn="0" w:lastColumn="0" w:oddVBand="0" w:evenVBand="0" w:oddHBand="0" w:evenHBand="0" w:firstRowFirstColumn="0" w:firstRowLastColumn="0" w:lastRowFirstColumn="0" w:lastRowLastColumn="0"/>
            </w:pPr>
            <w:r w:rsidRPr="00C44078">
              <w:t>Use peoples’ name and pronounce them correctly – ask how people prefer to be addressed (such as Mr...)</w:t>
            </w:r>
          </w:p>
          <w:p w14:paraId="4512B774" w14:textId="77777777" w:rsidR="00F95CB5" w:rsidRPr="00C44078" w:rsidRDefault="00F95CB5" w:rsidP="00BE6A58">
            <w:pPr>
              <w:pStyle w:val="Bulletpoint"/>
              <w:cnfStyle w:val="000000000000" w:firstRow="0" w:lastRow="0" w:firstColumn="0" w:lastColumn="0" w:oddVBand="0" w:evenVBand="0" w:oddHBand="0" w:evenHBand="0" w:firstRowFirstColumn="0" w:firstRowLastColumn="0" w:lastRowFirstColumn="0" w:lastRowLastColumn="0"/>
            </w:pPr>
            <w:r w:rsidRPr="00C44078">
              <w:t>Take breaks as needed – agree on a signal for needing a break</w:t>
            </w:r>
          </w:p>
          <w:p w14:paraId="7A14C104" w14:textId="77777777" w:rsidR="00F95CB5" w:rsidRPr="00C44078" w:rsidRDefault="00F95CB5" w:rsidP="00BE6A58">
            <w:pPr>
              <w:pStyle w:val="Bulletpoint"/>
              <w:cnfStyle w:val="000000000000" w:firstRow="0" w:lastRow="0" w:firstColumn="0" w:lastColumn="0" w:oddVBand="0" w:evenVBand="0" w:oddHBand="0" w:evenHBand="0" w:firstRowFirstColumn="0" w:firstRowLastColumn="0" w:lastRowFirstColumn="0" w:lastRowLastColumn="0"/>
            </w:pPr>
            <w:r w:rsidRPr="00C44078">
              <w:t>Link new information back to ideas already discussed</w:t>
            </w:r>
          </w:p>
          <w:p w14:paraId="093DBB88" w14:textId="77777777" w:rsidR="00F95CB5" w:rsidRPr="00C44078" w:rsidRDefault="00F95CB5" w:rsidP="00BE6A58">
            <w:pPr>
              <w:pStyle w:val="Bulletpoint"/>
              <w:cnfStyle w:val="000000000000" w:firstRow="0" w:lastRow="0" w:firstColumn="0" w:lastColumn="0" w:oddVBand="0" w:evenVBand="0" w:oddHBand="0" w:evenHBand="0" w:firstRowFirstColumn="0" w:firstRowLastColumn="0" w:lastRowFirstColumn="0" w:lastRowLastColumn="0"/>
            </w:pPr>
            <w:r w:rsidRPr="00C44078">
              <w:lastRenderedPageBreak/>
              <w:t>Encourage people to follow a routine like sleeping and eating at regular times</w:t>
            </w:r>
          </w:p>
        </w:tc>
      </w:tr>
      <w:tr w:rsidR="00F95CB5" w:rsidRPr="00C44078" w14:paraId="7258E956" w14:textId="77777777" w:rsidTr="002348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top w:val="nil"/>
              <w:bottom w:val="nil"/>
            </w:tcBorders>
          </w:tcPr>
          <w:p w14:paraId="365BE1AD" w14:textId="77777777" w:rsidR="00F95CB5" w:rsidRPr="00C44078" w:rsidRDefault="00F95CB5" w:rsidP="00BE6A58">
            <w:r w:rsidRPr="00C44078">
              <w:lastRenderedPageBreak/>
              <w:t>Visuospatial awareness</w:t>
            </w:r>
            <w:r w:rsidRPr="00C44078">
              <w:rPr>
                <w:color w:val="2B579A"/>
                <w:shd w:val="clear" w:color="auto" w:fill="E6E6E6"/>
              </w:rPr>
              <w:fldChar w:fldCharType="begin"/>
            </w:r>
            <w:r w:rsidRPr="00C44078">
              <w:instrText xml:space="preserve"> ADDIN ZOTERO_ITEM CSL_CITATION {"citationID":"6BxRMGaX","properties":{"formattedCitation":"\\super 3\\nosupersub{}","plainCitation":"3","noteIndex":0},"citationItems":[{"id":14007,"uris":["http://zotero.org/groups/4745233/items/U3GGYCKU"],"itemData":{"id":14007,"type":"report","event-place":"Richmond, Victoria","language":"en","publisher":"Turning Point","publisher-place":"Richmond, Victoria","source":"Zotero","title":"Managing Cognitive Impairment in AOD Treatment: Practice Guidelines for Healthcare Professionals","URL":"https://www.turningpoint.org.au/treatment/clinicians/Managing-Cognitive-Impairment-in-AOD-Treatment-Guidelines","author":[{"family":"Manning","given":"Victoria"},{"family":"Gooden","given":"James"},{"family":"Cox","given":"Catherine"},{"family":"Whelan","given":"Danielle"},{"family":"Miroz","given":"Katherine"}],"issued":{"date-parts":[["2021"]]}}}],"schema":"https://github.com/citation-style-language/schema/raw/master/csl-citation.json"} </w:instrText>
            </w:r>
            <w:r w:rsidRPr="00C44078">
              <w:rPr>
                <w:color w:val="2B579A"/>
                <w:shd w:val="clear" w:color="auto" w:fill="E6E6E6"/>
              </w:rPr>
              <w:fldChar w:fldCharType="separate"/>
            </w:r>
            <w:r w:rsidRPr="00C44078">
              <w:rPr>
                <w:vertAlign w:val="superscript"/>
              </w:rPr>
              <w:t>3</w:t>
            </w:r>
            <w:r w:rsidRPr="00C44078">
              <w:rPr>
                <w:color w:val="2B579A"/>
                <w:shd w:val="clear" w:color="auto" w:fill="E6E6E6"/>
              </w:rPr>
              <w:fldChar w:fldCharType="end"/>
            </w:r>
          </w:p>
        </w:tc>
        <w:tc>
          <w:tcPr>
            <w:tcW w:w="7414" w:type="dxa"/>
            <w:tcBorders>
              <w:top w:val="nil"/>
              <w:bottom w:val="nil"/>
            </w:tcBorders>
          </w:tcPr>
          <w:p w14:paraId="7DED6A0F" w14:textId="77777777" w:rsidR="00F95CB5" w:rsidRPr="00C44078" w:rsidRDefault="00F95CB5" w:rsidP="00BE6A58">
            <w:pPr>
              <w:pStyle w:val="Bulletpoint"/>
              <w:cnfStyle w:val="000000100000" w:firstRow="0" w:lastRow="0" w:firstColumn="0" w:lastColumn="0" w:oddVBand="0" w:evenVBand="0" w:oddHBand="1" w:evenHBand="0" w:firstRowFirstColumn="0" w:firstRowLastColumn="0" w:lastRowFirstColumn="0" w:lastRowLastColumn="0"/>
            </w:pPr>
            <w:r w:rsidRPr="00C44078">
              <w:t>Make plans with people for if they get lost on their way to an appointment</w:t>
            </w:r>
          </w:p>
          <w:p w14:paraId="180AB4D7" w14:textId="77777777" w:rsidR="00F95CB5" w:rsidRPr="00C44078" w:rsidRDefault="00F95CB5" w:rsidP="00BE6A58">
            <w:pPr>
              <w:pStyle w:val="Bulletpoint"/>
              <w:cnfStyle w:val="000000100000" w:firstRow="0" w:lastRow="0" w:firstColumn="0" w:lastColumn="0" w:oddVBand="0" w:evenVBand="0" w:oddHBand="1" w:evenHBand="0" w:firstRowFirstColumn="0" w:firstRowLastColumn="0" w:lastRowFirstColumn="0" w:lastRowLastColumn="0"/>
            </w:pPr>
            <w:r w:rsidRPr="00C44078">
              <w:t>Refer to a GP to rule out problems with vision and/or spatial awareness</w:t>
            </w:r>
          </w:p>
          <w:p w14:paraId="6DC86B74" w14:textId="77777777" w:rsidR="00F95CB5" w:rsidRPr="00C44078" w:rsidRDefault="00F95CB5" w:rsidP="00BE6A58">
            <w:pPr>
              <w:pStyle w:val="Bulletpoint"/>
              <w:cnfStyle w:val="000000100000" w:firstRow="0" w:lastRow="0" w:firstColumn="0" w:lastColumn="0" w:oddVBand="0" w:evenVBand="0" w:oddHBand="1" w:evenHBand="0" w:firstRowFirstColumn="0" w:firstRowLastColumn="0" w:lastRowFirstColumn="0" w:lastRowLastColumn="0"/>
            </w:pPr>
            <w:r w:rsidRPr="00C44078">
              <w:t>Determine if people can safely drive to appointments and plan alternatives for getting around if needed</w:t>
            </w:r>
          </w:p>
          <w:p w14:paraId="3CCF28B1" w14:textId="77777777" w:rsidR="00F95CB5" w:rsidRPr="00C44078" w:rsidRDefault="00F95CB5" w:rsidP="00BE6A58">
            <w:pPr>
              <w:pStyle w:val="Bulletpoint"/>
              <w:cnfStyle w:val="000000100000" w:firstRow="0" w:lastRow="0" w:firstColumn="0" w:lastColumn="0" w:oddVBand="0" w:evenVBand="0" w:oddHBand="1" w:evenHBand="0" w:firstRowFirstColumn="0" w:firstRowLastColumn="0" w:lastRowFirstColumn="0" w:lastRowLastColumn="0"/>
            </w:pPr>
            <w:r w:rsidRPr="00C44078">
              <w:t>Determine if people can safely use power tools and other machinery and plan accordingly (for example, they may need to renegotiate work duties)</w:t>
            </w:r>
          </w:p>
        </w:tc>
      </w:tr>
      <w:tr w:rsidR="00F95CB5" w:rsidRPr="00C44078" w14:paraId="280B9999" w14:textId="77777777" w:rsidTr="00234887">
        <w:tc>
          <w:tcPr>
            <w:cnfStyle w:val="001000000000" w:firstRow="0" w:lastRow="0" w:firstColumn="1" w:lastColumn="0" w:oddVBand="0" w:evenVBand="0" w:oddHBand="0" w:evenHBand="0" w:firstRowFirstColumn="0" w:firstRowLastColumn="0" w:lastRowFirstColumn="0" w:lastRowLastColumn="0"/>
            <w:tcW w:w="1795" w:type="dxa"/>
            <w:tcBorders>
              <w:top w:val="nil"/>
              <w:bottom w:val="nil"/>
            </w:tcBorders>
          </w:tcPr>
          <w:p w14:paraId="57FC7CAE" w14:textId="77777777" w:rsidR="00F95CB5" w:rsidRPr="00C44078" w:rsidRDefault="00F95CB5" w:rsidP="00BE6A58">
            <w:r w:rsidRPr="00C44078">
              <w:t>Memory</w:t>
            </w:r>
            <w:r w:rsidRPr="00C44078">
              <w:rPr>
                <w:color w:val="2B579A"/>
                <w:shd w:val="clear" w:color="auto" w:fill="E6E6E6"/>
              </w:rPr>
              <w:fldChar w:fldCharType="begin"/>
            </w:r>
            <w:r w:rsidRPr="00C44078">
              <w:instrText xml:space="preserve"> ADDIN ZOTERO_ITEM CSL_CITATION {"citationID":"kYrTJzBI","properties":{"formattedCitation":"\\super 54,157\\nosupersub{}","plainCitation":"54,157","noteIndex":0},"citationItems":[{"id":13541,"uris":["http://zotero.org/groups/4745233/items/4JESRJD6"],"itemData":{"id":13541,"type":"article-journal","abstract":"Background\nApproximately half of the substance dependence treatment population is estimated to have a cognitive impairment, which reduces participation, retention, and post-treatment outcomes. Cognitive behaviour change approaches are less effective for this population and cognitive remediation strategies have been found to improve outcomes. Evidence on modified programs to remove environmental barriers for treatment seekers with disability does not exist.\n\nObjective\nA modified residential substance misuse treatment program in New South Wales, Australia was piloted and evaluated to address this knowledge gap.\n\nMethod\nOf 67 residents who received treatment during the evaluation period, 33 were screened as having cognitive impairment. Twelve residents took part in an interview and 10 staff in a focus group to understand their views of the pilot program. Resident characteristics and retention rates and themes about program benefits and challenges are reported.\n\nResults\nTreatment completion was up to 5 times higher for residents with cognitive impairment after the new program was implemented. The pilot program provided simplified written and visual materials and concrete examples and introduced a daily virtues program to embed new learning and support behaviour change. Resources to allow staff to engage more intensively with residents and provision of ongoing staff training were viewed as essential for program success.\n\nConclusions\nEnvironmental adaptations, including a combination of conventional treatment modalities with accessible design and person-centred principles, removed barriers to treatment for residents with cognitive impairment. Creating a climate where respect, tolerance and peer support were normalised was likely to have been particularly beneficial for these residents.","container-title":"Disability and Health Journal","DOI":"10.1016/j.dhjo.2022.101295","journalAbbreviation":"Disability and Health Journal","page":"101295","source":"ResearchGate","title":"Improving treatment for people with cognitive impairment and substance misuse issues: Lessons from an inclusive residential treatment program pilot in Australia","title-short":"Improving treatment for people with cognitive impairment and substance misuse issues","volume":"15","author":[{"family":"Collings","given":"Susan"},{"family":"Allan","given":"Julaine"},{"family":"Munro","given":"Alice"}],"issued":{"date-parts":[["2022",3,1]]}}},{"id":14216,"uris":["http://zotero.org/groups/4745233/items/866CDPL8"],"itemData":{"id":14216,"type":"report","publisher":"Addiction Technology Transfer Center Network","title":"Traumatic brain injury and substance use disorders: Making the connections","URL":"https://attcnetwork.org/sites/default/files/2021-11/TBI%20%20SUD%20Toolkit%20FINAL%2011.05.2021.pdf","author":[{"family":"Lemsky","given":"Carolyn"}],"collection-editor":[{"family":"Stilen","given":"P"},{"family":"Heitkamp","given":"T"}],"accessed":{"date-parts":[["2022",12,15]]},"issued":{"date-parts":[["2021"]]}}}],"schema":"https://github.com/citation-style-language/schema/raw/master/csl-citation.json"} </w:instrText>
            </w:r>
            <w:r w:rsidRPr="00C44078">
              <w:rPr>
                <w:color w:val="2B579A"/>
                <w:shd w:val="clear" w:color="auto" w:fill="E6E6E6"/>
              </w:rPr>
              <w:fldChar w:fldCharType="separate"/>
            </w:r>
            <w:r w:rsidRPr="00C44078">
              <w:rPr>
                <w:vertAlign w:val="superscript"/>
              </w:rPr>
              <w:t>54,157</w:t>
            </w:r>
            <w:r w:rsidRPr="00C44078">
              <w:rPr>
                <w:color w:val="2B579A"/>
                <w:shd w:val="clear" w:color="auto" w:fill="E6E6E6"/>
              </w:rPr>
              <w:fldChar w:fldCharType="end"/>
            </w:r>
          </w:p>
        </w:tc>
        <w:tc>
          <w:tcPr>
            <w:tcW w:w="7414" w:type="dxa"/>
            <w:tcBorders>
              <w:top w:val="nil"/>
              <w:bottom w:val="nil"/>
            </w:tcBorders>
          </w:tcPr>
          <w:p w14:paraId="0C48038B" w14:textId="77777777" w:rsidR="00F95CB5" w:rsidRPr="00C44078" w:rsidRDefault="00F95CB5" w:rsidP="00BE6A58">
            <w:pPr>
              <w:pStyle w:val="Bulletpoint"/>
              <w:cnfStyle w:val="000000000000" w:firstRow="0" w:lastRow="0" w:firstColumn="0" w:lastColumn="0" w:oddVBand="0" w:evenVBand="0" w:oddHBand="0" w:evenHBand="0" w:firstRowFirstColumn="0" w:firstRowLastColumn="0" w:lastRowFirstColumn="0" w:lastRowLastColumn="0"/>
            </w:pPr>
            <w:r w:rsidRPr="00C44078">
              <w:t>Encourage people to use the external strategies listed earlier</w:t>
            </w:r>
          </w:p>
          <w:p w14:paraId="41BCA74A" w14:textId="77777777" w:rsidR="00F95CB5" w:rsidRPr="00C44078" w:rsidRDefault="00F95CB5" w:rsidP="00BE6A58">
            <w:pPr>
              <w:pStyle w:val="Bulletpoint"/>
              <w:cnfStyle w:val="000000000000" w:firstRow="0" w:lastRow="0" w:firstColumn="0" w:lastColumn="0" w:oddVBand="0" w:evenVBand="0" w:oddHBand="0" w:evenHBand="0" w:firstRowFirstColumn="0" w:firstRowLastColumn="0" w:lastRowFirstColumn="0" w:lastRowLastColumn="0"/>
            </w:pPr>
            <w:r w:rsidRPr="00C44078">
              <w:t>Focus on and emphasise the most important information</w:t>
            </w:r>
          </w:p>
          <w:p w14:paraId="7D6A99C5" w14:textId="77777777" w:rsidR="00F95CB5" w:rsidRPr="00C44078" w:rsidRDefault="00F95CB5" w:rsidP="00BE6A58">
            <w:pPr>
              <w:pStyle w:val="Bulletpoint"/>
              <w:cnfStyle w:val="000000000000" w:firstRow="0" w:lastRow="0" w:firstColumn="0" w:lastColumn="0" w:oddVBand="0" w:evenVBand="0" w:oddHBand="0" w:evenHBand="0" w:firstRowFirstColumn="0" w:firstRowLastColumn="0" w:lastRowFirstColumn="0" w:lastRowLastColumn="0"/>
            </w:pPr>
            <w:r w:rsidRPr="00C44078">
              <w:t>Use internal strategies like associations</w:t>
            </w:r>
          </w:p>
          <w:p w14:paraId="7D9A1D3D" w14:textId="77777777" w:rsidR="00F95CB5" w:rsidRPr="00C44078" w:rsidRDefault="00F95CB5" w:rsidP="00BE6A58">
            <w:pPr>
              <w:pStyle w:val="Bulletpoint"/>
              <w:cnfStyle w:val="000000000000" w:firstRow="0" w:lastRow="0" w:firstColumn="0" w:lastColumn="0" w:oddVBand="0" w:evenVBand="0" w:oddHBand="0" w:evenHBand="0" w:firstRowFirstColumn="0" w:firstRowLastColumn="0" w:lastRowFirstColumn="0" w:lastRowLastColumn="0"/>
            </w:pPr>
            <w:r w:rsidRPr="00C44078">
              <w:t>Ask people to summarise key information</w:t>
            </w:r>
          </w:p>
          <w:p w14:paraId="1C60A4F9" w14:textId="77777777" w:rsidR="00F95CB5" w:rsidRPr="00C44078" w:rsidRDefault="00F95CB5" w:rsidP="00BE6A58">
            <w:pPr>
              <w:pStyle w:val="Bulletpoint"/>
              <w:cnfStyle w:val="000000000000" w:firstRow="0" w:lastRow="0" w:firstColumn="0" w:lastColumn="0" w:oddVBand="0" w:evenVBand="0" w:oddHBand="0" w:evenHBand="0" w:firstRowFirstColumn="0" w:firstRowLastColumn="0" w:lastRowFirstColumn="0" w:lastRowLastColumn="0"/>
            </w:pPr>
            <w:r w:rsidRPr="00C44078">
              <w:t>Use visual aids and pictures if appropriate</w:t>
            </w:r>
          </w:p>
          <w:p w14:paraId="42A5A904" w14:textId="77777777" w:rsidR="00F95CB5" w:rsidRPr="00C44078" w:rsidRDefault="00F95CB5" w:rsidP="00BE6A58">
            <w:pPr>
              <w:pStyle w:val="Bulletpoint"/>
              <w:cnfStyle w:val="000000000000" w:firstRow="0" w:lastRow="0" w:firstColumn="0" w:lastColumn="0" w:oddVBand="0" w:evenVBand="0" w:oddHBand="0" w:evenHBand="0" w:firstRowFirstColumn="0" w:firstRowLastColumn="0" w:lastRowFirstColumn="0" w:lastRowLastColumn="0"/>
            </w:pPr>
            <w:r w:rsidRPr="00C44078">
              <w:t>Provide a written list of key points at each session</w:t>
            </w:r>
          </w:p>
          <w:p w14:paraId="6851E002" w14:textId="77777777" w:rsidR="00F95CB5" w:rsidRPr="00C44078" w:rsidRDefault="00F95CB5" w:rsidP="00BE6A58">
            <w:pPr>
              <w:pStyle w:val="Bulletpoint"/>
              <w:cnfStyle w:val="000000000000" w:firstRow="0" w:lastRow="0" w:firstColumn="0" w:lastColumn="0" w:oddVBand="0" w:evenVBand="0" w:oddHBand="0" w:evenHBand="0" w:firstRowFirstColumn="0" w:firstRowLastColumn="0" w:lastRowFirstColumn="0" w:lastRowLastColumn="0"/>
            </w:pPr>
            <w:r w:rsidRPr="00C44078">
              <w:t>Wear a name tag</w:t>
            </w:r>
          </w:p>
        </w:tc>
      </w:tr>
      <w:tr w:rsidR="00F95CB5" w:rsidRPr="00C44078" w14:paraId="09F9FD83" w14:textId="77777777" w:rsidTr="002348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top w:val="nil"/>
              <w:bottom w:val="nil"/>
            </w:tcBorders>
          </w:tcPr>
          <w:p w14:paraId="6010597F" w14:textId="77777777" w:rsidR="00F95CB5" w:rsidRPr="00BE6A58" w:rsidRDefault="00F95CB5" w:rsidP="00234887">
            <w:pPr>
              <w:rPr>
                <w:rFonts w:cstheme="minorHAnsi"/>
                <w:b w:val="0"/>
                <w:bCs w:val="0"/>
                <w:szCs w:val="24"/>
              </w:rPr>
            </w:pPr>
            <w:r w:rsidRPr="00BE6A58">
              <w:rPr>
                <w:rFonts w:cstheme="minorHAnsi"/>
                <w:szCs w:val="24"/>
              </w:rPr>
              <w:t xml:space="preserve">Executive functioning </w:t>
            </w:r>
            <w:r w:rsidRPr="00BE6A58">
              <w:rPr>
                <w:rFonts w:cstheme="minorHAnsi"/>
                <w:b w:val="0"/>
                <w:bCs w:val="0"/>
                <w:szCs w:val="24"/>
              </w:rPr>
              <w:t>such as abstract thinking, mental flexibility, problem solving, impulsivity, and insight</w:t>
            </w:r>
            <w:r w:rsidRPr="00BE6A58">
              <w:rPr>
                <w:rFonts w:cstheme="minorHAnsi"/>
                <w:color w:val="2B579A"/>
                <w:szCs w:val="24"/>
                <w:shd w:val="clear" w:color="auto" w:fill="E6E6E6"/>
              </w:rPr>
              <w:fldChar w:fldCharType="begin"/>
            </w:r>
            <w:r w:rsidRPr="00BE6A58">
              <w:rPr>
                <w:rFonts w:cstheme="minorHAnsi"/>
                <w:b w:val="0"/>
                <w:bCs w:val="0"/>
                <w:szCs w:val="24"/>
              </w:rPr>
              <w:instrText xml:space="preserve"> ADDIN ZOTERO_ITEM CSL_CITATION {"citationID":"TypSf6t3","properties":{"formattedCitation":"\\super 3,54,158\\nosupersub{}","plainCitation":"3,54,158","noteIndex":0},"citationItems":[{"id":14216,"uris":["http://zotero.org/groups/4745233/items/866CDPL8"],"itemData":{"id":14216,"type":"report","publisher":"Addiction Technology Transfer Center Network","title":"Traumatic brain injury and substance use disorders: Making the connections","URL":"https://attcnetwork.org/sites/default/files/2021-11/TBI%20%20SUD%20Toolkit%20FINAL%2011.05.2021.pdf","author":[{"family":"Lemsky","given":"Carolyn"}],"collection-editor":[{"family":"Stilen","given":"P"},{"family":"Heitkamp","given":"T"}],"accessed":{"date-parts":[["2022",12,15]]},"issued":{"date-parts":[["2021"]]}}},{"id":14007,"uris":["http://zotero.org/groups/4745233/items/U3GGYCKU"],"itemData":{"id":14007,"type":"report","event-place":"Richmond, Victoria","language":"en","publisher":"Turning Point","publisher-place":"Richmond, Victoria","source":"Zotero","title":"Managing Cognitive Impairment in AOD Treatment: Practice Guidelines for Healthcare Professionals","URL":"https://www.turningpoint.org.au/treatment/clinicians/Managing-Cognitive-Impairment-in-AOD-Treatment-Guidelines","author":[{"family":"Manning","given":"Victoria"},{"family":"Gooden","given":"James"},{"family":"Cox","given":"Catherine"},{"family":"Whelan","given":"Danielle"},{"family":"Miroz","given":"Katherine"}],"issued":{"date-parts":[["2021"]]}}},{"id":14206,"uris":["http://zotero.org/groups/4745233/items/94Y5TAUX"],"itemData":{"id":14206,"type":"article-journal","abstract":"Background: Individuals with fetal alcohol spectrum disorders (FASDs) can experience profound impairments and long-term adverse outcomes. This systematic review adopts a life span perspective providing an extensive analysis of the available literature.\nMethods: Studies were identiﬁed from PsycInfo, PubMed, Scopus, Web of Knowledge, CINAHL, ERIC, The Cochrane Central Register of Controlled Trials, and gray literature. Two reviewers independently screened the title and abstract of each reference, and the methodological rigor of the included studies was assessed using the Eﬀective Public Health Project assessment tool.\nResults: Thirty-two studies met the inclusion criteria, of which the vast majority targeted early to middle childhood. Two studies focused on early intervention in the postnatal period, and 6 studies aimed to improve attention and/or self-regulation in childhood. Three of these provided promising evidence on improving self-regulatory diﬃculties for children with FASDs. Nine studies focused on improving speciﬁc areas of dysfunction. Six studies addressed social skills; 3 of these used an adaptation of a well-validated social skills program. Three studies provided promising initial evidence that parents and caregivers could beneﬁt from support with child behavior and a further 4 studies provided education and advocacy for parents/caregivers, teachers, or child welfare workers. The ﬁnal 2 studies were aimed at supporting parents who were themselves aﬀected by prenatal alcohol exposure.\nConclusions: There is growing evidence for interventions that improve outcomes for early to middle childhood. However, a lack of research exists outside of this developmental period. This lack of research is concerning given the potential positive impact of early intervention, for individuals and, ﬁnancially, for governments. In addition, the lack of interventions for adolescents and adults further highlights the widening developmental gap and the potential inﬂuence of secondary disabilities for this at-risk population.","container-title":"Alcoholism: Clinical and Experimental Research","DOI":"10.1111/acer.12903","ISSN":"01456008","issue":"12","journalAbbreviation":"Alcohol Clin Exp Res","language":"en","page":"2283-2295","source":"DOI.org (Crossref)","title":"Systematic review of Fetal Alcohol Spectrum Disorder interventions across the life span","volume":"39","author":[{"family":"Reid","given":"Natasha"},{"family":"Dawe","given":"Sharon"},{"family":"Shelton","given":"Douglas"},{"family":"Harnett","given":"Paul"},{"family":"Warner","given":"Judith"},{"family":"Armstrong","given":"Eleanor"},{"family":"LeGros","given":"Kim"},{"family":"O'Callaghan","given":"Frances"}],"issued":{"date-parts":[["2015",12]]}}}],"schema":"https://github.com/citation-style-language/schema/raw/master/csl-citation.json"} </w:instrText>
            </w:r>
            <w:r w:rsidRPr="00BE6A58">
              <w:rPr>
                <w:rFonts w:cstheme="minorHAnsi"/>
                <w:color w:val="2B579A"/>
                <w:szCs w:val="24"/>
                <w:shd w:val="clear" w:color="auto" w:fill="E6E6E6"/>
              </w:rPr>
              <w:fldChar w:fldCharType="separate"/>
            </w:r>
            <w:r w:rsidRPr="00BE6A58">
              <w:rPr>
                <w:rFonts w:cstheme="minorHAnsi"/>
                <w:b w:val="0"/>
                <w:bCs w:val="0"/>
                <w:szCs w:val="24"/>
                <w:vertAlign w:val="superscript"/>
              </w:rPr>
              <w:t>3,54,158</w:t>
            </w:r>
            <w:r w:rsidRPr="00BE6A58">
              <w:rPr>
                <w:rFonts w:cstheme="minorHAnsi"/>
                <w:color w:val="2B579A"/>
                <w:szCs w:val="24"/>
                <w:shd w:val="clear" w:color="auto" w:fill="E6E6E6"/>
              </w:rPr>
              <w:fldChar w:fldCharType="end"/>
            </w:r>
          </w:p>
        </w:tc>
        <w:tc>
          <w:tcPr>
            <w:tcW w:w="7414" w:type="dxa"/>
            <w:tcBorders>
              <w:top w:val="nil"/>
              <w:bottom w:val="nil"/>
            </w:tcBorders>
          </w:tcPr>
          <w:p w14:paraId="6E4651F3" w14:textId="77777777" w:rsidR="00F95CB5" w:rsidRPr="00C44078" w:rsidRDefault="00F95CB5" w:rsidP="00BE6A58">
            <w:pPr>
              <w:pStyle w:val="Bulletpoint"/>
              <w:cnfStyle w:val="000000100000" w:firstRow="0" w:lastRow="0" w:firstColumn="0" w:lastColumn="0" w:oddVBand="0" w:evenVBand="0" w:oddHBand="1" w:evenHBand="0" w:firstRowFirstColumn="0" w:firstRowLastColumn="0" w:lastRowFirstColumn="0" w:lastRowLastColumn="0"/>
            </w:pPr>
            <w:r w:rsidRPr="00C44078">
              <w:t>Help and encourage people to use to-do lists</w:t>
            </w:r>
          </w:p>
          <w:p w14:paraId="1AC2B7F0" w14:textId="77777777" w:rsidR="00F95CB5" w:rsidRPr="00C44078" w:rsidRDefault="00F95CB5" w:rsidP="00BE6A58">
            <w:pPr>
              <w:pStyle w:val="Bulletpoint"/>
              <w:cnfStyle w:val="000000100000" w:firstRow="0" w:lastRow="0" w:firstColumn="0" w:lastColumn="0" w:oddVBand="0" w:evenVBand="0" w:oddHBand="1" w:evenHBand="0" w:firstRowFirstColumn="0" w:firstRowLastColumn="0" w:lastRowFirstColumn="0" w:lastRowLastColumn="0"/>
            </w:pPr>
            <w:r w:rsidRPr="00C44078">
              <w:t xml:space="preserve">Use cues to think about triggers as these are often automatic. For example: </w:t>
            </w:r>
          </w:p>
          <w:p w14:paraId="3B1731F4" w14:textId="77777777" w:rsidR="00F95CB5" w:rsidRPr="00C44078" w:rsidRDefault="00F95CB5" w:rsidP="00BE6A58">
            <w:pPr>
              <w:pStyle w:val="Bulletpoint"/>
              <w:cnfStyle w:val="000000100000" w:firstRow="0" w:lastRow="0" w:firstColumn="0" w:lastColumn="0" w:oddVBand="0" w:evenVBand="0" w:oddHBand="1" w:evenHBand="0" w:firstRowFirstColumn="0" w:firstRowLastColumn="0" w:lastRowFirstColumn="0" w:lastRowLastColumn="0"/>
            </w:pPr>
            <w:r w:rsidRPr="00C44078">
              <w:t>‘Stop and think’ or STOP (stop, think, observe, proceed) encourages people to consider an action before doing it like using substances</w:t>
            </w:r>
          </w:p>
          <w:p w14:paraId="03E42739" w14:textId="77777777" w:rsidR="00F95CB5" w:rsidRPr="00C44078" w:rsidRDefault="00F95CB5" w:rsidP="00BE6A58">
            <w:pPr>
              <w:pStyle w:val="Bulletpoint"/>
              <w:cnfStyle w:val="000000100000" w:firstRow="0" w:lastRow="0" w:firstColumn="0" w:lastColumn="0" w:oddVBand="0" w:evenVBand="0" w:oddHBand="1" w:evenHBand="0" w:firstRowFirstColumn="0" w:firstRowLastColumn="0" w:lastRowFirstColumn="0" w:lastRowLastColumn="0"/>
            </w:pPr>
            <w:r w:rsidRPr="00C44078">
              <w:t>‘Zoom in and out’ encourages people to consider elements of the bigger picture that might be missing – like not wanting to try a certain treatment as it hasn’t been explained properly or not knowing how to get to an appointment on public transport</w:t>
            </w:r>
          </w:p>
          <w:p w14:paraId="62C1776B" w14:textId="77777777" w:rsidR="00F95CB5" w:rsidRPr="00C44078" w:rsidRDefault="00F95CB5" w:rsidP="00BE6A58">
            <w:pPr>
              <w:pStyle w:val="Bulletpoint"/>
              <w:cnfStyle w:val="000000100000" w:firstRow="0" w:lastRow="0" w:firstColumn="0" w:lastColumn="0" w:oddVBand="0" w:evenVBand="0" w:oddHBand="1" w:evenHBand="0" w:firstRowFirstColumn="0" w:firstRowLastColumn="0" w:lastRowFirstColumn="0" w:lastRowLastColumn="0"/>
            </w:pPr>
            <w:r w:rsidRPr="00C44078">
              <w:lastRenderedPageBreak/>
              <w:t>Use short simple sentences</w:t>
            </w:r>
          </w:p>
          <w:p w14:paraId="330F292D" w14:textId="77777777" w:rsidR="00F95CB5" w:rsidRPr="00C44078" w:rsidRDefault="00F95CB5" w:rsidP="00BE6A58">
            <w:pPr>
              <w:pStyle w:val="Bulletpoint"/>
              <w:cnfStyle w:val="000000100000" w:firstRow="0" w:lastRow="0" w:firstColumn="0" w:lastColumn="0" w:oddVBand="0" w:evenVBand="0" w:oddHBand="1" w:evenHBand="0" w:firstRowFirstColumn="0" w:firstRowLastColumn="0" w:lastRowFirstColumn="0" w:lastRowLastColumn="0"/>
            </w:pPr>
            <w:r w:rsidRPr="00C44078">
              <w:t>Use examples from a person’s life when doing decisional balance exercises using MI, or when exploring core beliefs in CBT</w:t>
            </w:r>
          </w:p>
          <w:p w14:paraId="67AB6D00" w14:textId="77777777" w:rsidR="00F95CB5" w:rsidRPr="00C44078" w:rsidRDefault="00F95CB5" w:rsidP="00BE6A58">
            <w:pPr>
              <w:pStyle w:val="Bulletpoint"/>
              <w:cnfStyle w:val="000000100000" w:firstRow="0" w:lastRow="0" w:firstColumn="0" w:lastColumn="0" w:oddVBand="0" w:evenVBand="0" w:oddHBand="1" w:evenHBand="0" w:firstRowFirstColumn="0" w:firstRowLastColumn="0" w:lastRowFirstColumn="0" w:lastRowLastColumn="0"/>
            </w:pPr>
            <w:r w:rsidRPr="00C44078">
              <w:t>Use role play to practice strategies to cope with triggers or high-risk situations</w:t>
            </w:r>
          </w:p>
          <w:p w14:paraId="3681880B" w14:textId="77777777" w:rsidR="00F95CB5" w:rsidRPr="00C44078" w:rsidRDefault="00F95CB5" w:rsidP="00BE6A58">
            <w:pPr>
              <w:pStyle w:val="Bulletpoint"/>
              <w:cnfStyle w:val="000000100000" w:firstRow="0" w:lastRow="0" w:firstColumn="0" w:lastColumn="0" w:oddVBand="0" w:evenVBand="0" w:oddHBand="1" w:evenHBand="0" w:firstRowFirstColumn="0" w:firstRowLastColumn="0" w:lastRowFirstColumn="0" w:lastRowLastColumn="0"/>
            </w:pPr>
            <w:r w:rsidRPr="00C44078">
              <w:t>Try to avoid changes to routine (like appointments booked at the same time) but if these happen, remind people several times</w:t>
            </w:r>
          </w:p>
          <w:p w14:paraId="224CEF2E" w14:textId="77777777" w:rsidR="00F95CB5" w:rsidRPr="00C44078" w:rsidRDefault="00F95CB5" w:rsidP="00BE6A58">
            <w:pPr>
              <w:pStyle w:val="Bulletpoint"/>
              <w:cnfStyle w:val="000000100000" w:firstRow="0" w:lastRow="0" w:firstColumn="0" w:lastColumn="0" w:oddVBand="0" w:evenVBand="0" w:oddHBand="1" w:evenHBand="0" w:firstRowFirstColumn="0" w:firstRowLastColumn="0" w:lastRowFirstColumn="0" w:lastRowLastColumn="0"/>
            </w:pPr>
            <w:r w:rsidRPr="00C44078">
              <w:t>For problem solving, work with people to break tasks into smaller parts. Frameworks can help with set steps, like identifying the problem, setting realistic goals, generating solutions, and monitoring. Equip whānau with the skills to follow this process at home too</w:t>
            </w:r>
          </w:p>
          <w:p w14:paraId="7C8081BD" w14:textId="77777777" w:rsidR="00F95CB5" w:rsidRPr="00C44078" w:rsidRDefault="00F95CB5" w:rsidP="00BE6A58">
            <w:pPr>
              <w:pStyle w:val="Bulletpoint"/>
              <w:cnfStyle w:val="000000100000" w:firstRow="0" w:lastRow="0" w:firstColumn="0" w:lastColumn="0" w:oddVBand="0" w:evenVBand="0" w:oddHBand="1" w:evenHBand="0" w:firstRowFirstColumn="0" w:firstRowLastColumn="0" w:lastRowFirstColumn="0" w:lastRowLastColumn="0"/>
            </w:pPr>
            <w:r w:rsidRPr="00C44078">
              <w:t>Use mind maps when generating ideas to solve problems with people – people can then choose and work through the simplest most practicable option for them</w:t>
            </w:r>
          </w:p>
          <w:p w14:paraId="68FE1B2E" w14:textId="77777777" w:rsidR="00F95CB5" w:rsidRPr="00C44078" w:rsidRDefault="00F95CB5" w:rsidP="00BE6A58">
            <w:pPr>
              <w:pStyle w:val="Bulletpoint"/>
              <w:cnfStyle w:val="000000100000" w:firstRow="0" w:lastRow="0" w:firstColumn="0" w:lastColumn="0" w:oddVBand="0" w:evenVBand="0" w:oddHBand="1" w:evenHBand="0" w:firstRowFirstColumn="0" w:firstRowLastColumn="0" w:lastRowFirstColumn="0" w:lastRowLastColumn="0"/>
            </w:pPr>
            <w:r w:rsidRPr="00C44078">
              <w:t>Encourage the practice of new skills in different environments</w:t>
            </w:r>
          </w:p>
          <w:p w14:paraId="7765A6B9" w14:textId="77777777" w:rsidR="00F95CB5" w:rsidRPr="00C44078" w:rsidRDefault="00F95CB5" w:rsidP="00BE6A58">
            <w:pPr>
              <w:pStyle w:val="Bulletpoint"/>
              <w:cnfStyle w:val="000000100000" w:firstRow="0" w:lastRow="0" w:firstColumn="0" w:lastColumn="0" w:oddVBand="0" w:evenVBand="0" w:oddHBand="1" w:evenHBand="0" w:firstRowFirstColumn="0" w:firstRowLastColumn="0" w:lastRowFirstColumn="0" w:lastRowLastColumn="0"/>
            </w:pPr>
            <w:r w:rsidRPr="00C44078">
              <w:t>Use neutral language and speak in a calm manner</w:t>
            </w:r>
          </w:p>
          <w:p w14:paraId="11BA0072" w14:textId="77777777" w:rsidR="00F95CB5" w:rsidRPr="00C44078" w:rsidRDefault="00F95CB5" w:rsidP="00BE6A58">
            <w:pPr>
              <w:pStyle w:val="Bulletpoint"/>
              <w:cnfStyle w:val="000000100000" w:firstRow="0" w:lastRow="0" w:firstColumn="0" w:lastColumn="0" w:oddVBand="0" w:evenVBand="0" w:oddHBand="1" w:evenHBand="0" w:firstRowFirstColumn="0" w:firstRowLastColumn="0" w:lastRowFirstColumn="0" w:lastRowLastColumn="0"/>
            </w:pPr>
            <w:r w:rsidRPr="00C44078">
              <w:t>Set clear boundaries with people</w:t>
            </w:r>
          </w:p>
          <w:p w14:paraId="27AFC4FF" w14:textId="77777777" w:rsidR="00F95CB5" w:rsidRPr="00C44078" w:rsidRDefault="00F95CB5" w:rsidP="00BE6A58">
            <w:pPr>
              <w:pStyle w:val="Bulletpoint"/>
              <w:cnfStyle w:val="000000100000" w:firstRow="0" w:lastRow="0" w:firstColumn="0" w:lastColumn="0" w:oddVBand="0" w:evenVBand="0" w:oddHBand="1" w:evenHBand="0" w:firstRowFirstColumn="0" w:firstRowLastColumn="0" w:lastRowFirstColumn="0" w:lastRowLastColumn="0"/>
            </w:pPr>
            <w:r w:rsidRPr="00C44078">
              <w:t>If people are frustrated, ask them to explain how they’re feeling, what led to them feeling that way, and what would help them</w:t>
            </w:r>
          </w:p>
          <w:p w14:paraId="1D252B3A" w14:textId="77777777" w:rsidR="00F95CB5" w:rsidRPr="00C44078" w:rsidRDefault="00F95CB5" w:rsidP="00BE6A58">
            <w:pPr>
              <w:pStyle w:val="Bulletpoint"/>
              <w:cnfStyle w:val="000000100000" w:firstRow="0" w:lastRow="0" w:firstColumn="0" w:lastColumn="0" w:oddVBand="0" w:evenVBand="0" w:oddHBand="1" w:evenHBand="0" w:firstRowFirstColumn="0" w:firstRowLastColumn="0" w:lastRowFirstColumn="0" w:lastRowLastColumn="0"/>
            </w:pPr>
            <w:r w:rsidRPr="00C44078">
              <w:t>Help people to set realistic goals and break longer term goals up into achievable parts</w:t>
            </w:r>
          </w:p>
          <w:p w14:paraId="35F81993" w14:textId="77777777" w:rsidR="00F95CB5" w:rsidRPr="00C44078" w:rsidRDefault="00F95CB5" w:rsidP="00BE6A58">
            <w:pPr>
              <w:pStyle w:val="Bulletpoint"/>
              <w:cnfStyle w:val="000000100000" w:firstRow="0" w:lastRow="0" w:firstColumn="0" w:lastColumn="0" w:oddVBand="0" w:evenVBand="0" w:oddHBand="1" w:evenHBand="0" w:firstRowFirstColumn="0" w:firstRowLastColumn="0" w:lastRowFirstColumn="0" w:lastRowLastColumn="0"/>
            </w:pPr>
            <w:r w:rsidRPr="00C44078">
              <w:t>Praise peoples’ strengths and use positive reinforcement – give specific examples by naming the strength and how they used it well</w:t>
            </w:r>
          </w:p>
        </w:tc>
      </w:tr>
      <w:tr w:rsidR="00F95CB5" w:rsidRPr="00C44078" w14:paraId="7EB12B60" w14:textId="77777777" w:rsidTr="00234887">
        <w:tc>
          <w:tcPr>
            <w:cnfStyle w:val="001000000000" w:firstRow="0" w:lastRow="0" w:firstColumn="1" w:lastColumn="0" w:oddVBand="0" w:evenVBand="0" w:oddHBand="0" w:evenHBand="0" w:firstRowFirstColumn="0" w:firstRowLastColumn="0" w:lastRowFirstColumn="0" w:lastRowLastColumn="0"/>
            <w:tcW w:w="1795" w:type="dxa"/>
            <w:tcBorders>
              <w:top w:val="nil"/>
              <w:bottom w:val="nil"/>
            </w:tcBorders>
          </w:tcPr>
          <w:p w14:paraId="567F4DA6" w14:textId="77777777" w:rsidR="00F95CB5" w:rsidRPr="00C44078" w:rsidRDefault="00F95CB5" w:rsidP="005F22ED">
            <w:r w:rsidRPr="00C44078">
              <w:lastRenderedPageBreak/>
              <w:t>Language</w:t>
            </w:r>
            <w:r w:rsidRPr="00C44078">
              <w:rPr>
                <w:color w:val="2B579A"/>
                <w:shd w:val="clear" w:color="auto" w:fill="E6E6E6"/>
              </w:rPr>
              <w:fldChar w:fldCharType="begin"/>
            </w:r>
            <w:r w:rsidRPr="00C44078">
              <w:instrText xml:space="preserve"> ADDIN ZOTERO_ITEM CSL_CITATION {"citationID":"DWVPUOcR","properties":{"formattedCitation":"\\super 3,155\\nosupersub{}","plainCitation":"3,155","noteIndex":0},"citationItems":[{"id":12609,"uris":["http://zotero.org/groups/4745233/items/I953AG9A"],"itemData":{"id":12609,"type":"article-journal","abstract":"This paper is an introduction to adaptations to make cognitive behaviour therapy (CBT) more accessible to people with intellectual disabilities. It is intended to inform therapists who may work with people with intellectual disabilities in mainstream services.\nThe paper describes adaptations that consider neuropsychological processes, such as memory, and executive functions, such as planning, problem solving and self-regulation, and identifies that these factors are not unique to people with intellectual disabilities. We describe adaptations based on a review of literature describing CBT for people with intellectual disabilities (Surley and Dagnan, 2019) and draw on clinical experience to give examples of adaptations where possible. The paper particularly emphasises the generalisability of adaptations used with people with intellectual disabilities to therapy with wider populations and suggests that CBT therapists working in mainstream services will have the skills to be able to adapt therapy for people with intellectual disabilities.\n\nKey learning aims\n\n\n\n\n(1) To overview the evidence base supporting the use of CBT with people with intellectual disabilities.\n\n\n\n(2) To describe the epidemiology of intellectual disability and discuss its implications for the generalisability of adaptations discussed in this paper.\n\n\n\n(3) To describe a range of adaptations to make CBT more accessible people with intellectual disabilities.\n\n\n\n(4) To consider whether such adaptations are part of the skill set of CBT therapists mainly working with people without intellectual disabilities.","container-title":"the Cognitive Behaviour Therapist","DOI":"10.1017/S1754470X22000587","ISSN":"1754-470X","language":"en","note":"publisher: Cambridge University Press","page":"e3","source":"Cambridge University Press","title":"Adapting cognitive behaviour therapy for people with intellectual disabilities: an overview for therapist working in mainstream or specialist services","title-short":"Adapting cognitive behaviour therapy for people with intellectual disabilities","volume":"16","author":[{"family":"Dagnan","given":"Dave"},{"family":"Taylor","given":"Lara"},{"family":"Burke","given":"Christine-Koulla"}],"issued":{"date-parts":[["2023"]],"season":"ed"}}},{"id":14007,"uris":["http://zotero.org/groups/4745233/items/U3GGYCKU"],"itemData":{"id":14007,"type":"report","event-place":"Richmond, Victoria","language":"en","publisher":"Turning Point","publisher-place":"Richmond, Victoria","source":"Zotero","title":"Managing Cognitive Impairment in AOD Treatment: Practice Guidelines for Healthcare Professionals","URL":"https://www.turningpoint.org.au/treatment/clinicians/Managing-Cognitive-Impairment-in-AOD-Treatment-Guidelines","author":[{"family":"Manning","given":"Victoria"},{"family":"Gooden","given":"James"},{"family":"Cox","given":"Catherine"},{"family":"Whelan","given":"Danielle"},{"family":"Miroz","given":"Katherine"}],"issued":{"date-parts":[["2021"]]}}}],"schema":"https://github.com/citation-style-language/schema/raw/master/csl-citation.json"} </w:instrText>
            </w:r>
            <w:r w:rsidRPr="00C44078">
              <w:rPr>
                <w:color w:val="2B579A"/>
                <w:shd w:val="clear" w:color="auto" w:fill="E6E6E6"/>
              </w:rPr>
              <w:fldChar w:fldCharType="separate"/>
            </w:r>
            <w:r w:rsidRPr="00C44078">
              <w:rPr>
                <w:vertAlign w:val="superscript"/>
              </w:rPr>
              <w:t>3,155</w:t>
            </w:r>
            <w:r w:rsidRPr="00C44078">
              <w:rPr>
                <w:color w:val="2B579A"/>
                <w:shd w:val="clear" w:color="auto" w:fill="E6E6E6"/>
              </w:rPr>
              <w:fldChar w:fldCharType="end"/>
            </w:r>
          </w:p>
        </w:tc>
        <w:tc>
          <w:tcPr>
            <w:tcW w:w="7414" w:type="dxa"/>
            <w:tcBorders>
              <w:top w:val="nil"/>
              <w:bottom w:val="nil"/>
            </w:tcBorders>
          </w:tcPr>
          <w:p w14:paraId="6CD2C8F2" w14:textId="77777777" w:rsidR="00F95CB5" w:rsidRPr="00C44078" w:rsidRDefault="00F95CB5" w:rsidP="00BE6A58">
            <w:pPr>
              <w:pStyle w:val="Bulletpoint"/>
              <w:cnfStyle w:val="000000000000" w:firstRow="0" w:lastRow="0" w:firstColumn="0" w:lastColumn="0" w:oddVBand="0" w:evenVBand="0" w:oddHBand="0" w:evenHBand="0" w:firstRowFirstColumn="0" w:firstRowLastColumn="0" w:lastRowFirstColumn="0" w:lastRowLastColumn="0"/>
            </w:pPr>
            <w:r w:rsidRPr="00C44078">
              <w:t>Ask simple questions that can have yes/no answers if people find open-ended questions unhelpful</w:t>
            </w:r>
          </w:p>
          <w:p w14:paraId="6D73DE7A" w14:textId="77777777" w:rsidR="00F95CB5" w:rsidRPr="00C44078" w:rsidRDefault="00F95CB5" w:rsidP="00BE6A58">
            <w:pPr>
              <w:pStyle w:val="Bulletpoint"/>
              <w:cnfStyle w:val="000000000000" w:firstRow="0" w:lastRow="0" w:firstColumn="0" w:lastColumn="0" w:oddVBand="0" w:evenVBand="0" w:oddHBand="0" w:evenHBand="0" w:firstRowFirstColumn="0" w:firstRowLastColumn="0" w:lastRowFirstColumn="0" w:lastRowLastColumn="0"/>
            </w:pPr>
            <w:r w:rsidRPr="00C44078">
              <w:t>Use short sentences and avoid long words or clinical jargon</w:t>
            </w:r>
          </w:p>
          <w:p w14:paraId="112AE430" w14:textId="77777777" w:rsidR="00F95CB5" w:rsidRPr="00C44078" w:rsidRDefault="00F95CB5" w:rsidP="00BE6A58">
            <w:pPr>
              <w:pStyle w:val="Bulletpoint"/>
              <w:cnfStyle w:val="000000000000" w:firstRow="0" w:lastRow="0" w:firstColumn="0" w:lastColumn="0" w:oddVBand="0" w:evenVBand="0" w:oddHBand="0" w:evenHBand="0" w:firstRowFirstColumn="0" w:firstRowLastColumn="0" w:lastRowFirstColumn="0" w:lastRowLastColumn="0"/>
            </w:pPr>
            <w:r w:rsidRPr="00C44078">
              <w:lastRenderedPageBreak/>
              <w:t>Use consistent and familiar terminology</w:t>
            </w:r>
          </w:p>
          <w:p w14:paraId="3580AE46" w14:textId="77777777" w:rsidR="00F95CB5" w:rsidRPr="00C44078" w:rsidRDefault="00F95CB5" w:rsidP="00BE6A58">
            <w:pPr>
              <w:pStyle w:val="Bulletpoint"/>
              <w:cnfStyle w:val="000000000000" w:firstRow="0" w:lastRow="0" w:firstColumn="0" w:lastColumn="0" w:oddVBand="0" w:evenVBand="0" w:oddHBand="0" w:evenHBand="0" w:firstRowFirstColumn="0" w:firstRowLastColumn="0" w:lastRowFirstColumn="0" w:lastRowLastColumn="0"/>
            </w:pPr>
            <w:r w:rsidRPr="00C44078">
              <w:t>Use alternative communication strategies like writing, pictures, or body language gestures</w:t>
            </w:r>
          </w:p>
          <w:p w14:paraId="24AA8D0C" w14:textId="77777777" w:rsidR="00F95CB5" w:rsidRPr="00C44078" w:rsidRDefault="00F95CB5" w:rsidP="00BE6A58">
            <w:pPr>
              <w:pStyle w:val="Bulletpoint"/>
              <w:cnfStyle w:val="000000000000" w:firstRow="0" w:lastRow="0" w:firstColumn="0" w:lastColumn="0" w:oddVBand="0" w:evenVBand="0" w:oddHBand="0" w:evenHBand="0" w:firstRowFirstColumn="0" w:firstRowLastColumn="0" w:lastRowFirstColumn="0" w:lastRowLastColumn="0"/>
            </w:pPr>
            <w:r w:rsidRPr="00C44078">
              <w:t>Avoid interrupting people and their train of thought</w:t>
            </w:r>
          </w:p>
          <w:p w14:paraId="3DF1C220" w14:textId="77777777" w:rsidR="00F95CB5" w:rsidRPr="00C44078" w:rsidRDefault="00F95CB5" w:rsidP="00BE6A58">
            <w:pPr>
              <w:pStyle w:val="Bulletpoint"/>
              <w:cnfStyle w:val="000000000000" w:firstRow="0" w:lastRow="0" w:firstColumn="0" w:lastColumn="0" w:oddVBand="0" w:evenVBand="0" w:oddHBand="0" w:evenHBand="0" w:firstRowFirstColumn="0" w:firstRowLastColumn="0" w:lastRowFirstColumn="0" w:lastRowLastColumn="0"/>
            </w:pPr>
            <w:r w:rsidRPr="00C44078">
              <w:t>If needed discuss referral to a speech pathologist for further support</w:t>
            </w:r>
          </w:p>
        </w:tc>
      </w:tr>
      <w:tr w:rsidR="00F95CB5" w:rsidRPr="00C44078" w14:paraId="70200257" w14:textId="77777777" w:rsidTr="002348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top w:val="nil"/>
              <w:bottom w:val="double" w:sz="4" w:space="0" w:color="003399" w:themeColor="accent3"/>
            </w:tcBorders>
          </w:tcPr>
          <w:p w14:paraId="6DD9F556" w14:textId="77777777" w:rsidR="00F95CB5" w:rsidRPr="00C44078" w:rsidRDefault="00F95CB5" w:rsidP="005F22ED">
            <w:r w:rsidRPr="00C44078">
              <w:lastRenderedPageBreak/>
              <w:t>Social cognition</w:t>
            </w:r>
            <w:r w:rsidRPr="00C44078">
              <w:rPr>
                <w:color w:val="2B579A"/>
                <w:shd w:val="clear" w:color="auto" w:fill="E6E6E6"/>
              </w:rPr>
              <w:fldChar w:fldCharType="begin"/>
            </w:r>
            <w:r w:rsidRPr="00C44078">
              <w:instrText xml:space="preserve"> ADDIN ZOTERO_ITEM CSL_CITATION {"citationID":"IBduRxop","properties":{"formattedCitation":"\\super 3\\nosupersub{}","plainCitation":"3","noteIndex":0},"citationItems":[{"id":14007,"uris":["http://zotero.org/groups/4745233/items/U3GGYCKU"],"itemData":{"id":14007,"type":"report","event-place":"Richmond, Victoria","language":"en","publisher":"Turning Point","publisher-place":"Richmond, Victoria","source":"Zotero","title":"Managing Cognitive Impairment in AOD Treatment: Practice Guidelines for Healthcare Professionals","URL":"https://www.turningpoint.org.au/treatment/clinicians/Managing-Cognitive-Impairment-in-AOD-Treatment-Guidelines","author":[{"family":"Manning","given":"Victoria"},{"family":"Gooden","given":"James"},{"family":"Cox","given":"Catherine"},{"family":"Whelan","given":"Danielle"},{"family":"Miroz","given":"Katherine"}],"issued":{"date-parts":[["2021"]]}}}],"schema":"https://github.com/citation-style-language/schema/raw/master/csl-citation.json"} </w:instrText>
            </w:r>
            <w:r w:rsidRPr="00C44078">
              <w:rPr>
                <w:color w:val="2B579A"/>
                <w:shd w:val="clear" w:color="auto" w:fill="E6E6E6"/>
              </w:rPr>
              <w:fldChar w:fldCharType="separate"/>
            </w:r>
            <w:r w:rsidRPr="00C44078">
              <w:rPr>
                <w:vertAlign w:val="superscript"/>
              </w:rPr>
              <w:t>3</w:t>
            </w:r>
            <w:r w:rsidRPr="00C44078">
              <w:rPr>
                <w:color w:val="2B579A"/>
                <w:shd w:val="clear" w:color="auto" w:fill="E6E6E6"/>
              </w:rPr>
              <w:fldChar w:fldCharType="end"/>
            </w:r>
          </w:p>
        </w:tc>
        <w:tc>
          <w:tcPr>
            <w:tcW w:w="7414" w:type="dxa"/>
            <w:tcBorders>
              <w:top w:val="nil"/>
              <w:bottom w:val="double" w:sz="4" w:space="0" w:color="003399" w:themeColor="accent3"/>
            </w:tcBorders>
          </w:tcPr>
          <w:p w14:paraId="5DA5E0FF" w14:textId="77777777" w:rsidR="00F95CB5" w:rsidRPr="00C44078" w:rsidRDefault="00F95CB5" w:rsidP="00BE6A58">
            <w:pPr>
              <w:pStyle w:val="Bulletpoint"/>
              <w:cnfStyle w:val="000000100000" w:firstRow="0" w:lastRow="0" w:firstColumn="0" w:lastColumn="0" w:oddVBand="0" w:evenVBand="0" w:oddHBand="1" w:evenHBand="0" w:firstRowFirstColumn="0" w:firstRowLastColumn="0" w:lastRowFirstColumn="0" w:lastRowLastColumn="0"/>
            </w:pPr>
            <w:r w:rsidRPr="00C44078">
              <w:t>Indicate that interruptions may be needed to progress the session</w:t>
            </w:r>
          </w:p>
          <w:p w14:paraId="3FB5811C" w14:textId="77777777" w:rsidR="00F95CB5" w:rsidRPr="00C44078" w:rsidRDefault="00F95CB5" w:rsidP="00BE6A58">
            <w:pPr>
              <w:pStyle w:val="Bulletpoint"/>
              <w:cnfStyle w:val="000000100000" w:firstRow="0" w:lastRow="0" w:firstColumn="0" w:lastColumn="0" w:oddVBand="0" w:evenVBand="0" w:oddHBand="1" w:evenHBand="0" w:firstRowFirstColumn="0" w:firstRowLastColumn="0" w:lastRowFirstColumn="0" w:lastRowLastColumn="0"/>
            </w:pPr>
            <w:r w:rsidRPr="00C44078">
              <w:t>Make clear statements about how you or others might be feeling, as the person may not be able to pick this up from non-verbal cues</w:t>
            </w:r>
          </w:p>
          <w:p w14:paraId="3126ED48" w14:textId="77777777" w:rsidR="00F95CB5" w:rsidRPr="00C44078" w:rsidRDefault="00F95CB5" w:rsidP="00BE6A58">
            <w:pPr>
              <w:pStyle w:val="Bulletpoint"/>
              <w:cnfStyle w:val="000000100000" w:firstRow="0" w:lastRow="0" w:firstColumn="0" w:lastColumn="0" w:oddVBand="0" w:evenVBand="0" w:oddHBand="1" w:evenHBand="0" w:firstRowFirstColumn="0" w:firstRowLastColumn="0" w:lastRowFirstColumn="0" w:lastRowLastColumn="0"/>
            </w:pPr>
            <w:r w:rsidRPr="00C44078">
              <w:t xml:space="preserve">Be open to discussing relationship dynamics with the person </w:t>
            </w:r>
          </w:p>
          <w:p w14:paraId="3D69C264" w14:textId="77777777" w:rsidR="00F95CB5" w:rsidRPr="00C44078" w:rsidRDefault="00F95CB5" w:rsidP="00BE6A58">
            <w:pPr>
              <w:pStyle w:val="Bulletpoint"/>
              <w:cnfStyle w:val="000000100000" w:firstRow="0" w:lastRow="0" w:firstColumn="0" w:lastColumn="0" w:oddVBand="0" w:evenVBand="0" w:oddHBand="1" w:evenHBand="0" w:firstRowFirstColumn="0" w:firstRowLastColumn="0" w:lastRowFirstColumn="0" w:lastRowLastColumn="0"/>
            </w:pPr>
            <w:r w:rsidRPr="00C44078">
              <w:t>Roleplay common social situations and practice assertiveness and skills like maintaining eye contact, active listening, and asking questions to show interest in others</w:t>
            </w:r>
          </w:p>
          <w:p w14:paraId="1D534B00" w14:textId="77777777" w:rsidR="00F95CB5" w:rsidRPr="00C44078" w:rsidRDefault="00F95CB5" w:rsidP="00BE6A58">
            <w:pPr>
              <w:pStyle w:val="Bulletpoint"/>
              <w:cnfStyle w:val="000000100000" w:firstRow="0" w:lastRow="0" w:firstColumn="0" w:lastColumn="0" w:oddVBand="0" w:evenVBand="0" w:oddHBand="1" w:evenHBand="0" w:firstRowFirstColumn="0" w:firstRowLastColumn="0" w:lastRowFirstColumn="0" w:lastRowLastColumn="0"/>
            </w:pPr>
            <w:r w:rsidRPr="00C44078">
              <w:t>Consider peoples’ developmental level and adapt accordingly, especially skills like understanding others’ perspective and recognising emotions</w:t>
            </w:r>
          </w:p>
          <w:p w14:paraId="1F70FC38" w14:textId="77777777" w:rsidR="00F95CB5" w:rsidRPr="00C44078" w:rsidRDefault="00F95CB5" w:rsidP="00BE6A58">
            <w:pPr>
              <w:pStyle w:val="Bulletpoint"/>
              <w:cnfStyle w:val="000000100000" w:firstRow="0" w:lastRow="0" w:firstColumn="0" w:lastColumn="0" w:oddVBand="0" w:evenVBand="0" w:oddHBand="1" w:evenHBand="0" w:firstRowFirstColumn="0" w:firstRowLastColumn="0" w:lastRowFirstColumn="0" w:lastRowLastColumn="0"/>
            </w:pPr>
            <w:r w:rsidRPr="00C44078">
              <w:t>Practice recognising different emotions using pictures</w:t>
            </w:r>
          </w:p>
          <w:p w14:paraId="4C88B32E" w14:textId="77777777" w:rsidR="00F95CB5" w:rsidRPr="00C44078" w:rsidRDefault="00F95CB5" w:rsidP="00BE6A58">
            <w:pPr>
              <w:pStyle w:val="Bulletpoint"/>
              <w:cnfStyle w:val="000000100000" w:firstRow="0" w:lastRow="0" w:firstColumn="0" w:lastColumn="0" w:oddVBand="0" w:evenVBand="0" w:oddHBand="1" w:evenHBand="0" w:firstRowFirstColumn="0" w:firstRowLastColumn="0" w:lastRowFirstColumn="0" w:lastRowLastColumn="0"/>
            </w:pPr>
            <w:r w:rsidRPr="00C44078">
              <w:t>Encourage people to take notice of other people’s reactions, and work through any negative situations with them</w:t>
            </w:r>
          </w:p>
          <w:p w14:paraId="334EC673" w14:textId="77777777" w:rsidR="00F95CB5" w:rsidRPr="00C44078" w:rsidRDefault="00F95CB5" w:rsidP="00BE6A58">
            <w:pPr>
              <w:pStyle w:val="Bulletpoint"/>
              <w:cnfStyle w:val="000000100000" w:firstRow="0" w:lastRow="0" w:firstColumn="0" w:lastColumn="0" w:oddVBand="0" w:evenVBand="0" w:oddHBand="1" w:evenHBand="0" w:firstRowFirstColumn="0" w:firstRowLastColumn="0" w:lastRowFirstColumn="0" w:lastRowLastColumn="0"/>
            </w:pPr>
            <w:r w:rsidRPr="00C44078">
              <w:t>Involve whānau to practice these techniques</w:t>
            </w:r>
          </w:p>
        </w:tc>
      </w:tr>
    </w:tbl>
    <w:p w14:paraId="396B6803" w14:textId="77777777" w:rsidR="004E621D" w:rsidRDefault="004E621D" w:rsidP="00F95CB5">
      <w:pPr>
        <w:rPr>
          <w:b/>
          <w:bCs/>
          <w:color w:val="00C7C7" w:themeColor="accent5" w:themeTint="BF"/>
          <w:szCs w:val="24"/>
        </w:rPr>
      </w:pPr>
    </w:p>
    <w:p w14:paraId="1706B846" w14:textId="23637425" w:rsidR="00F95CB5" w:rsidRPr="00A440F4" w:rsidRDefault="00F95CB5" w:rsidP="00F95CB5">
      <w:pPr>
        <w:rPr>
          <w:b/>
          <w:bCs/>
          <w:color w:val="1E7880" w:themeColor="accent2" w:themeShade="BF"/>
          <w:sz w:val="28"/>
          <w:szCs w:val="28"/>
        </w:rPr>
      </w:pPr>
      <w:r w:rsidRPr="00A440F4">
        <w:rPr>
          <w:b/>
          <w:bCs/>
          <w:color w:val="1E7880" w:themeColor="accent2" w:themeShade="BF"/>
          <w:sz w:val="28"/>
          <w:szCs w:val="28"/>
        </w:rPr>
        <w:t>Adapting group sessions</w:t>
      </w:r>
    </w:p>
    <w:p w14:paraId="77D801DC" w14:textId="77777777" w:rsidR="00F95CB5" w:rsidRPr="00193529" w:rsidRDefault="00F95CB5" w:rsidP="00BE6A58">
      <w:r w:rsidRPr="00193529">
        <w:t>Extra considerations for adapting group sessions are listed below.</w:t>
      </w:r>
      <w:r w:rsidRPr="00193529">
        <w:fldChar w:fldCharType="begin"/>
      </w:r>
      <w:r w:rsidRPr="00193529">
        <w:instrText xml:space="preserve"> ADDIN ZOTERO_ITEM CSL_CITATION {"citationID":"a1un16ln7au","properties":{"formattedCitation":"\\super 156,159\\nosupersub{}","plainCitation":"156,159","noteIndex":0},"citationItems":[{"id":13765,"uris":["http://zotero.org/groups/4745233/items/SV8UWA8R"],"itemData":{"id":13765,"type":"document","title":"Mental and substance us disorder treatment for people with physical and cognitive disabilities: Advisory","URL":"chrome-extension://efaidnbmnnnibpcajpcglclefindmkaj/https://store.samhsa.gov/sites/default/files/pep19-02-00-002.pdf","author":[{"literal":"SAMHSA"}],"issued":{"date-parts":[["2019"]]}}},{"id":8470,"uris":["http://zotero.org/groups/4406622/items/JD22U8FL"],"itemData":{"id":8470,"type":"article-journal","abstract":"Treatment for opioid use disorder (OUD) is often in the context of biobehavioural interventions, consisting of medication for OUD (for example, methadone and buprenorphine), which is accompanied by psychoeducation and/or behavioural therapies. Patients with OUD often display weaknesses in cognitive function that may impact the efficacy of such behavioural interventions., A review of the literature was conducted to: (1) describe common cognitive dysfunction profiles among patients with OUD, (2) outline intervention approaches for patients with OUD, (3) consider the cognitive demands that interventions place on patients with OUD and (4) identify potential accommodation strategies that may be used to optimise treatment outcomes., Cognitive profiles of patients with OUD often include weaknesses in executive function, attention, memory and information processing. Behavioural interventions require the patients’ ability to learn, understand and remember information (placing specific cognitive demands on patients). Accommodation strategies are, therefore, needed for patients with challenges in one or more of these areas. Research on accommodation strategies for patients with OUD is very limited. We applied research from populations with similar cognitive profiles to form a comprehensive collection of potential strategies to compensate for cognitive dysfunction among patients with OUD. The cognitive profiles and accommodation strategies included in this review are intended to inform future intervention research aimed at improving outcomes among patients with OUD.","container-title":"General Psychiatry","DOI":"10.1136/gpsych-2020-100412","ISSN":"2517-729X","issue":"4","journalAbbreviation":"Gen Psychiatr","note":"PMID: 34504995\nPMCID: PMC8370499","page":"e100412","source":"PubMed Central","title":"Adapting behavioural interventions to compensate for cognitive dysfunction in persons with opioid use disorder","volume":"34","author":[{"family":"Mistler","given":"Colleen B"},{"family":"Shrestha","given":"Roman"},{"family":"Gunstad","given":"John"},{"family":"Sanborn","given":"Victoria"},{"family":"Copenhaver","given":"Michael M"}],"issued":{"date-parts":[["2021",8,16]]}}}],"schema":"https://github.com/citation-style-language/schema/raw/master/csl-citation.json"} </w:instrText>
      </w:r>
      <w:r w:rsidRPr="00193529">
        <w:fldChar w:fldCharType="separate"/>
      </w:r>
      <w:r w:rsidRPr="00193529">
        <w:rPr>
          <w:rFonts w:cs="Arial"/>
          <w:vertAlign w:val="superscript"/>
        </w:rPr>
        <w:t>156,159</w:t>
      </w:r>
      <w:r w:rsidRPr="00193529">
        <w:fldChar w:fldCharType="end"/>
      </w:r>
      <w:r w:rsidRPr="00193529">
        <w:t xml:space="preserve"> </w:t>
      </w:r>
    </w:p>
    <w:p w14:paraId="34CC4A1C" w14:textId="77777777" w:rsidR="00F95CB5" w:rsidRPr="00193529" w:rsidRDefault="00F95CB5" w:rsidP="00BE6A58">
      <w:pPr>
        <w:pStyle w:val="Bulletpoint"/>
      </w:pPr>
      <w:r w:rsidRPr="00193529">
        <w:t>Set rules and expectations to maximise participation including reducing noise, distractions, and interruptions.</w:t>
      </w:r>
    </w:p>
    <w:p w14:paraId="1C43F14F" w14:textId="77777777" w:rsidR="00F95CB5" w:rsidRPr="00193529" w:rsidRDefault="00F95CB5" w:rsidP="00BE6A58">
      <w:pPr>
        <w:pStyle w:val="Bulletpoint"/>
      </w:pPr>
      <w:r w:rsidRPr="00193529">
        <w:t xml:space="preserve">Cover the agenda at the beginning. </w:t>
      </w:r>
    </w:p>
    <w:p w14:paraId="758D3512" w14:textId="77777777" w:rsidR="00F95CB5" w:rsidRPr="00193529" w:rsidRDefault="00F95CB5" w:rsidP="00BE6A58">
      <w:pPr>
        <w:pStyle w:val="Bulletpoint"/>
      </w:pPr>
      <w:r w:rsidRPr="00193529">
        <w:lastRenderedPageBreak/>
        <w:t xml:space="preserve">Appoint a timekeeper to help the group stay focused and on track. </w:t>
      </w:r>
    </w:p>
    <w:p w14:paraId="4539D76B" w14:textId="77777777" w:rsidR="00F95CB5" w:rsidRPr="00193529" w:rsidRDefault="00F95CB5" w:rsidP="00BE6A58">
      <w:pPr>
        <w:pStyle w:val="Bulletpoint"/>
      </w:pPr>
      <w:r w:rsidRPr="00193529">
        <w:t>Incorporate role-playing and skills practice.</w:t>
      </w:r>
    </w:p>
    <w:p w14:paraId="570A02A8" w14:textId="77777777" w:rsidR="00F95CB5" w:rsidRDefault="00F95CB5" w:rsidP="00BE6A58">
      <w:pPr>
        <w:pStyle w:val="Bulletpoint"/>
      </w:pPr>
      <w:r w:rsidRPr="00193529">
        <w:t>Offer time after sessions for anyone who needs one-on-one time or further support to understand information.</w:t>
      </w:r>
    </w:p>
    <w:p w14:paraId="1AF0845C" w14:textId="77777777" w:rsidR="00122447" w:rsidRPr="00122447" w:rsidRDefault="00122447" w:rsidP="00122447"/>
    <w:p w14:paraId="2EA2C1E5" w14:textId="77777777" w:rsidR="00062FA9" w:rsidRPr="00A440F4" w:rsidRDefault="00062FA9" w:rsidP="00062FA9">
      <w:pPr>
        <w:spacing w:before="240"/>
        <w:rPr>
          <w:b/>
          <w:bCs/>
          <w:color w:val="1E7880" w:themeColor="accent2" w:themeShade="BF"/>
          <w:sz w:val="28"/>
          <w:szCs w:val="28"/>
        </w:rPr>
      </w:pPr>
      <w:r w:rsidRPr="00A440F4">
        <w:rPr>
          <w:b/>
          <w:bCs/>
          <w:color w:val="1E7880" w:themeColor="accent2" w:themeShade="BF"/>
          <w:sz w:val="28"/>
          <w:szCs w:val="28"/>
        </w:rPr>
        <w:t xml:space="preserve">Cognitive training and remediation </w:t>
      </w:r>
    </w:p>
    <w:p w14:paraId="34F54A21" w14:textId="77777777" w:rsidR="00062FA9" w:rsidRPr="00275946" w:rsidRDefault="00062FA9" w:rsidP="00BE6A58">
      <w:r w:rsidRPr="00275946">
        <w:t xml:space="preserve">Cognitive training and remediation include strategies aimed at restoring cognitive function, as well as compensatory strategies aimed at working around impairments in cognitive function. </w:t>
      </w:r>
      <w:r w:rsidRPr="00275946">
        <w:rPr>
          <w:rFonts w:cs="Arial"/>
        </w:rPr>
        <w:t>Cognitive training and remediation can be taught alongside problematic substance use treatment as part of abstinence oriented and harm reduction support options,</w:t>
      </w:r>
      <w:r w:rsidRPr="00275946">
        <w:t xml:space="preserve"> and are ideally taught early on in a person’s recovery journey.</w:t>
      </w:r>
      <w:r w:rsidRPr="00275946">
        <w:rPr>
          <w:rFonts w:cs="Arial"/>
          <w:color w:val="2B579A"/>
          <w:shd w:val="clear" w:color="auto" w:fill="E6E6E6"/>
        </w:rPr>
        <w:fldChar w:fldCharType="begin"/>
      </w:r>
      <w:r w:rsidRPr="00275946">
        <w:rPr>
          <w:rFonts w:cs="Arial"/>
        </w:rPr>
        <w:instrText xml:space="preserve"> ADDIN ZOTERO_ITEM CSL_CITATION {"citationID":"Zrf8v1AV","properties":{"formattedCitation":"\\super 160,161\\nosupersub{}","plainCitation":"160,161","noteIndex":0},"citationItems":[{"id":14205,"uris":["http://zotero.org/groups/4745233/items/SNFXG3CT"],"itemData":{"id":14205,"type":"article-journal","abstract":"Background: Cerebral neuroplasticity is compromised due to substance abuse. There is damage to neuronal areas that are involved in memory and executive functioning. Treatments with worse outcomes are often associated with cognitive deficits that have resulted from substance dependence. However, there is evidence that cognitive training can lead to improvements in cognitive functions and can be useful when treating addictions. This systematic review aims to synthesize evidence on the effectiveness of cognitive training in memory, executive functioning, and processing speed in individuals with substance use disorder (SUD).Methods: The Joanna Briggs Institute's PICO strategy was used to develop this systematic literature review. Four databases were searched (PubMed, the Cochrane Library, Web of Science, and PsycINFO) to identify controlled randomized clinical studies and quasi-experimental studies, in English, Portuguese, and Spanish, from 1985 to 2019. The literature found was examined by two independent reviewers, who assessed the quality of studies that met the inclusion criteria. The Cochrane risk-of-bias tool for the randomized controlled trials and the ROBINS-I tool for non-randomized studies were used to assess the risk of bias. In data extraction, the Cochrane Handbook for Systematic Reviews was considered.Results: From a total of 470 studies, 319 were selected for analysis after the elimination of duplicates. According to the inclusion criteria defined, 26 studies were eligible and evaluated. An evaluation was performed considering the participant characteristics, countries, substance type, study and intervention details, and key findings. Of the 26 selected studies, 14 considered only alcoholics, six included participants with various SUD (alcohol and other substances), three exclusively looked into methamphetamine-consuming users and another three into opioid/methadone users. Moreover, 18 studies found some kind of cognitive improvement, with two of these reporting only marginally significant effects. One study found improvements only in measures similar to the training tasks, and two others had ambiguous results.Conclusions: The included studies revealed the benefits of cognitive training with regard to improving cognitive functions in individuals with SUD. Memory was the most scrutinized cognitive function in this type of intervention, and it is also one of the areas most affected by substance use.Systematic Review Registration: [PROSPERO], identifier [CRD42020161039].","container-title":"Frontiers in Psychology","ISSN":"1664-1078","source":"Frontiers","title":"Cognitive training effectiveness on memory, executive functioning, and processing speed in individuals with substance use disorders: A systematic review","title-short":"Cognitive Training Effectiveness on Memory, Executive Functioning, and Processing Speed in Individuals With Substance Use Disorders","URL":"https://www.frontiersin.org/articles/10.3389/fpsyg.2021.730165","volume":"12","author":[{"family":"Caetano","given":"Tânia"},{"family":"Pinho","given":"Maria Salomé"},{"family":"Ramadas","given":"Eduardo"},{"family":"Clara","given":"Cátia"},{"family":"Areosa","given":"Timóteo"},{"family":"Dixe","given":"Maria dos Anjos"}],"accessed":{"date-parts":[["2022",10,25]]},"issued":{"date-parts":[["2021"]]}}},{"id":14204,"uris":["http://zotero.org/groups/4745233/items/J6Q4NVAE"],"itemData":{"id":14204,"type":"article-journal","abstract":"Background and Aims: Substance use disorders (SUD) are associated with cognitive deficits that are not always addressed in current treatments, and this hampers recovery. Cognitive training and remediation interventions are well suited to fill the gap for managing cognitive deficits in SUD. We aimed to reach consensus on recommendations for developing and applying these interventions. Design: Delphi approach with two sequential phases: survey development and iterative surveying of experts. Setting: Online study. Participants: During survey development, we engaged a group of 15 experts from a working group of the International Society of Addiction Medicine (Steering Committee). During the surveying process, we engaged a larger pool of experts (n=53) identified via recommendations from the Steering Committee and a systematic review.\nMeasurements: Survey with 67 items covering four key areas of intervention development, i.e., targets, intervention approaches, active ingredients, and modes of delivery. Findings: Across two iterative rounds (98% retention rate), the experts reached a consensus on 50 items including: (i) implicit biases, positive affect, arousal, executive functions, and social processing as key targets of interventions; (ii) cognitive bias modification, contingency management, emotion regulation training, and cognitive remediation as preferred approaches; (iii) practice, feedback, difficulty-titration, bias-modification, goal setting, strategy learning, and meta-awareness as active ingredients; and (iv) both addiction treatment workforce and specialized neuropsychologists facilitating delivery, together with novel digital-based delivery modalities.\nConclusions: Expert recommendations on cognitive training and remediation for SUD highlight the relevance of targeting implicit biases, reward, emotion regulation, and higher-","container-title":"Addiction Medicine","issue":"5","language":"en","note":"DOI: 10.1101/2022.07.28.22278144","page":"935-951","source":"DOI.org (Crossref)","title":"Cognitive training and remediation interventions for substance use disorders: A Delphi consensus study","title-short":"Cognitive training and remediation interventions for substance use disorders","volume":"118","author":[{"family":"Verdejo-Garcia","given":"Antonio"},{"family":"Rezapour","given":"Tara"},{"family":"Giddens","given":"Emily"},{"family":"Zonoozi","given":"Arash Khojasteh"},{"family":"Rafei","given":"Parnian"},{"family":"Berry","given":"Jamie"},{"family":"Caracuel","given":"Alfonso"},{"family":"Copersino","given":"Marc L."},{"family":"Field","given":"Matt"},{"family":"Garland","given":"Eric L."},{"family":"Lorenzetti","given":"Valentina"},{"family":"Malloy-Diniz","given":"Leandro"},{"family":"Manning","given":"Victoria"},{"family":"Marceau","given":"Ely M."},{"family":"Pennington","given":"David L."},{"family":"Strickland","given":"Justin"},{"family":"Wiers","given":"Reinout"},{"family":"Fairhead","given":"Rahia"},{"family":"Anderson","given":"Alexandra"},{"family":"Bell","given":"Morris"},{"family":"Boendermaker","given":"Wouter J."},{"family":"Brooks","given":"Samantha"},{"family":"Bruno","given":"Raimondo"},{"family":"Campanella","given":"Salvatore"},{"family":"Cousijn","given":"Janna"},{"family":"Cox","given":"Miles"},{"family":"Dean","given":"Andrew C."},{"family":"Ersche","given":"Karen D"},{"family":"Franken","given":"Ingmar"},{"family":"Froeliger","given":"Brett"},{"family":"Gamito","given":"Pedro"},{"family":"Gladwin","given":"Thomas E."},{"family":"Goncalves","given":"Priscila D."},{"family":"Houben","given":"Katrijn"},{"family":"Jacobus","given":"Joanna"},{"family":"Jones","given":"Andrew"},{"family":"Kaag","given":"Anne M."},{"family":"Lindenmeyer","given":"Johannes"},{"family":"McGrath","given":"Elly"},{"family":"Nardo","given":"Talia"},{"family":"Oliveira","given":"Jorge"},{"family":"Pennington","given":"Charlotte R."},{"family":"Perrykkad","given":"Kelsey"},{"family":"Piercy","given":"Hugh"},{"family":"Rupp","given":"Claudia I"},{"family":"Schulte","given":"Mieke H. J."},{"family":"Squeglia","given":"Lindsay M."},{"family":"Staiger","given":"Petra"},{"family":"Stein","given":"Dan J"},{"family":"Stein","given":"Jeff"},{"family":"Stein","given":"Maria"},{"family":"Stoops","given":"William W."},{"family":"Sweeney","given":"Mary"},{"family":"Vo","given":"Hoa"},{"family":"Witkiewitz","given":"Katie"},{"family":"Woods","given":"Steven P"},{"family":"Yi","given":"Richard"},{"family":"Zhao","given":"Min"},{"family":"Ekhtiari","given":"Hamed"}],"issued":{"date-parts":[["2022",7,31]]}}}],"schema":"https://github.com/citation-style-language/schema/raw/master/csl-citation.json"} </w:instrText>
      </w:r>
      <w:r w:rsidRPr="00275946">
        <w:rPr>
          <w:rFonts w:cs="Arial"/>
          <w:color w:val="2B579A"/>
          <w:shd w:val="clear" w:color="auto" w:fill="E6E6E6"/>
        </w:rPr>
        <w:fldChar w:fldCharType="separate"/>
      </w:r>
      <w:r w:rsidRPr="00275946">
        <w:rPr>
          <w:rFonts w:cs="Arial"/>
          <w:vertAlign w:val="superscript"/>
        </w:rPr>
        <w:t>160,161</w:t>
      </w:r>
      <w:r w:rsidRPr="00275946">
        <w:rPr>
          <w:rFonts w:cs="Arial"/>
          <w:color w:val="2B579A"/>
          <w:shd w:val="clear" w:color="auto" w:fill="E6E6E6"/>
        </w:rPr>
        <w:fldChar w:fldCharType="end"/>
      </w:r>
      <w:r w:rsidRPr="00275946">
        <w:t xml:space="preserve">  </w:t>
      </w:r>
    </w:p>
    <w:p w14:paraId="4129A8F5" w14:textId="77777777" w:rsidR="00062FA9" w:rsidRPr="00275946" w:rsidRDefault="00062FA9" w:rsidP="00BE6A58">
      <w:r w:rsidRPr="00275946">
        <w:rPr>
          <w:rFonts w:cs="Arial"/>
        </w:rPr>
        <w:t>Use one or more of the following best practice recommendations for cognitive training and remediation.</w:t>
      </w:r>
      <w:r w:rsidRPr="00275946">
        <w:rPr>
          <w:color w:val="2B579A"/>
          <w:shd w:val="clear" w:color="auto" w:fill="E6E6E6"/>
        </w:rPr>
        <w:fldChar w:fldCharType="begin"/>
      </w:r>
      <w:r w:rsidRPr="00275946">
        <w:instrText xml:space="preserve"> ADDIN ZOTERO_ITEM CSL_CITATION {"citationID":"wWpsIB9g","properties":{"formattedCitation":"\\super 161\\nosupersub{}","plainCitation":"161","noteIndex":0},"citationItems":[{"id":14204,"uris":["http://zotero.org/groups/4745233/items/J6Q4NVAE"],"itemData":{"id":14204,"type":"article-journal","abstract":"Background and Aims: Substance use disorders (SUD) are associated with cognitive deficits that are not always addressed in current treatments, and this hampers recovery. Cognitive training and remediation interventions are well suited to fill the gap for managing cognitive deficits in SUD. We aimed to reach consensus on recommendations for developing and applying these interventions. Design: Delphi approach with two sequential phases: survey development and iterative surveying of experts. Setting: Online study. Participants: During survey development, we engaged a group of 15 experts from a working group of the International Society of Addiction Medicine (Steering Committee). During the surveying process, we engaged a larger pool of experts (n=53) identified via recommendations from the Steering Committee and a systematic review.\nMeasurements: Survey with 67 items covering four key areas of intervention development, i.e., targets, intervention approaches, active ingredients, and modes of delivery. Findings: Across two iterative rounds (98% retention rate), the experts reached a consensus on 50 items including: (i) implicit biases, positive affect, arousal, executive functions, and social processing as key targets of interventions; (ii) cognitive bias modification, contingency management, emotion regulation training, and cognitive remediation as preferred approaches; (iii) practice, feedback, difficulty-titration, bias-modification, goal setting, strategy learning, and meta-awareness as active ingredients; and (iv) both addiction treatment workforce and specialized neuropsychologists facilitating delivery, together with novel digital-based delivery modalities.\nConclusions: Expert recommendations on cognitive training and remediation for SUD highlight the relevance of targeting implicit biases, reward, emotion regulation, and higher-","container-title":"Addiction Medicine","issue":"5","language":"en","note":"DOI: 10.1101/2022.07.28.22278144","page":"935-951","source":"DOI.org (Crossref)","title":"Cognitive training and remediation interventions for substance use disorders: A Delphi consensus study","title-short":"Cognitive training and remediation interventions for substance use disorders","volume":"118","author":[{"family":"Verdejo-Garcia","given":"Antonio"},{"family":"Rezapour","given":"Tara"},{"family":"Giddens","given":"Emily"},{"family":"Zonoozi","given":"Arash Khojasteh"},{"family":"Rafei","given":"Parnian"},{"family":"Berry","given":"Jamie"},{"family":"Caracuel","given":"Alfonso"},{"family":"Copersino","given":"Marc L."},{"family":"Field","given":"Matt"},{"family":"Garland","given":"Eric L."},{"family":"Lorenzetti","given":"Valentina"},{"family":"Malloy-Diniz","given":"Leandro"},{"family":"Manning","given":"Victoria"},{"family":"Marceau","given":"Ely M."},{"family":"Pennington","given":"David L."},{"family":"Strickland","given":"Justin"},{"family":"Wiers","given":"Reinout"},{"family":"Fairhead","given":"Rahia"},{"family":"Anderson","given":"Alexandra"},{"family":"Bell","given":"Morris"},{"family":"Boendermaker","given":"Wouter J."},{"family":"Brooks","given":"Samantha"},{"family":"Bruno","given":"Raimondo"},{"family":"Campanella","given":"Salvatore"},{"family":"Cousijn","given":"Janna"},{"family":"Cox","given":"Miles"},{"family":"Dean","given":"Andrew C."},{"family":"Ersche","given":"Karen D"},{"family":"Franken","given":"Ingmar"},{"family":"Froeliger","given":"Brett"},{"family":"Gamito","given":"Pedro"},{"family":"Gladwin","given":"Thomas E."},{"family":"Goncalves","given":"Priscila D."},{"family":"Houben","given":"Katrijn"},{"family":"Jacobus","given":"Joanna"},{"family":"Jones","given":"Andrew"},{"family":"Kaag","given":"Anne M."},{"family":"Lindenmeyer","given":"Johannes"},{"family":"McGrath","given":"Elly"},{"family":"Nardo","given":"Talia"},{"family":"Oliveira","given":"Jorge"},{"family":"Pennington","given":"Charlotte R."},{"family":"Perrykkad","given":"Kelsey"},{"family":"Piercy","given":"Hugh"},{"family":"Rupp","given":"Claudia I"},{"family":"Schulte","given":"Mieke H. J."},{"family":"Squeglia","given":"Lindsay M."},{"family":"Staiger","given":"Petra"},{"family":"Stein","given":"Dan J"},{"family":"Stein","given":"Jeff"},{"family":"Stein","given":"Maria"},{"family":"Stoops","given":"William W."},{"family":"Sweeney","given":"Mary"},{"family":"Vo","given":"Hoa"},{"family":"Witkiewitz","given":"Katie"},{"family":"Woods","given":"Steven P"},{"family":"Yi","given":"Richard"},{"family":"Zhao","given":"Min"},{"family":"Ekhtiari","given":"Hamed"}],"issued":{"date-parts":[["2022",7,31]]}}}],"schema":"https://github.com/citation-style-language/schema/raw/master/csl-citation.json"} </w:instrText>
      </w:r>
      <w:r w:rsidRPr="00275946">
        <w:rPr>
          <w:color w:val="2B579A"/>
          <w:shd w:val="clear" w:color="auto" w:fill="E6E6E6"/>
        </w:rPr>
        <w:fldChar w:fldCharType="separate"/>
      </w:r>
      <w:r w:rsidRPr="00275946">
        <w:rPr>
          <w:rFonts w:cs="Arial"/>
          <w:vertAlign w:val="superscript"/>
        </w:rPr>
        <w:t>161</w:t>
      </w:r>
      <w:r w:rsidRPr="00275946">
        <w:rPr>
          <w:color w:val="2B579A"/>
          <w:shd w:val="clear" w:color="auto" w:fill="E6E6E6"/>
        </w:rPr>
        <w:fldChar w:fldCharType="end"/>
      </w:r>
      <w:r w:rsidRPr="00275946">
        <w:t xml:space="preserve"> These can be taught or delivered by both specialised roles and the broader AOD treatment workforce. However, some training is required. </w:t>
      </w:r>
    </w:p>
    <w:p w14:paraId="76439817" w14:textId="77777777" w:rsidR="00062FA9" w:rsidRPr="00275946" w:rsidRDefault="00062FA9" w:rsidP="00BE6A58">
      <w:pPr>
        <w:pStyle w:val="Bulletpoint"/>
      </w:pPr>
      <w:r w:rsidRPr="00275946">
        <w:t>Cognitive bias training – retrains implicit biases, automatic processes, and preferences for substances.</w:t>
      </w:r>
      <w:r w:rsidRPr="00275946">
        <w:fldChar w:fldCharType="begin"/>
      </w:r>
      <w:r w:rsidRPr="00275946">
        <w:instrText xml:space="preserve"> ADDIN ZOTERO_ITEM CSL_CITATION {"citationID":"a1cjv17aibv","properties":{"formattedCitation":"\\super 3,161\\nosupersub{}","plainCitation":"3,161","noteIndex":0},"citationItems":[{"id":14007,"uris":["http://zotero.org/groups/4745233/items/U3GGYCKU"],"itemData":{"id":14007,"type":"report","event-place":"Richmond, Victoria","language":"en","publisher":"Turning Point","publisher-place":"Richmond, Victoria","source":"Zotero","title":"Managing Cognitive Impairment in AOD Treatment: Practice Guidelines for Healthcare Professionals","URL":"https://www.turningpoint.org.au/treatment/clinicians/Managing-Cognitive-Impairment-in-AOD-Treatment-Guidelines","author":[{"family":"Manning","given":"Victoria"},{"family":"Gooden","given":"James"},{"family":"Cox","given":"Catherine"},{"family":"Whelan","given":"Danielle"},{"family":"Miroz","given":"Katherine"}],"issued":{"date-parts":[["2021"]]}}},{"id":14204,"uris":["http://zotero.org/groups/4745233/items/J6Q4NVAE"],"itemData":{"id":14204,"type":"article-journal","abstract":"Background and Aims: Substance use disorders (SUD) are associated with cognitive deficits that are not always addressed in current treatments, and this hampers recovery. Cognitive training and remediation interventions are well suited to fill the gap for managing cognitive deficits in SUD. We aimed to reach consensus on recommendations for developing and applying these interventions. Design: Delphi approach with two sequential phases: survey development and iterative surveying of experts. Setting: Online study. Participants: During survey development, we engaged a group of 15 experts from a working group of the International Society of Addiction Medicine (Steering Committee). During the surveying process, we engaged a larger pool of experts (n=53) identified via recommendations from the Steering Committee and a systematic review.\nMeasurements: Survey with 67 items covering four key areas of intervention development, i.e., targets, intervention approaches, active ingredients, and modes of delivery. Findings: Across two iterative rounds (98% retention rate), the experts reached a consensus on 50 items including: (i) implicit biases, positive affect, arousal, executive functions, and social processing as key targets of interventions; (ii) cognitive bias modification, contingency management, emotion regulation training, and cognitive remediation as preferred approaches; (iii) practice, feedback, difficulty-titration, bias-modification, goal setting, strategy learning, and meta-awareness as active ingredients; and (iv) both addiction treatment workforce and specialized neuropsychologists facilitating delivery, together with novel digital-based delivery modalities.\nConclusions: Expert recommendations on cognitive training and remediation for SUD highlight the relevance of targeting implicit biases, reward, emotion regulation, and higher-","container-title":"Addiction Medicine","issue":"5","language":"en","note":"DOI: 10.1101/2022.07.28.22278144","page":"935-951","source":"DOI.org (Crossref)","title":"Cognitive training and remediation interventions for substance use disorders: A Delphi consensus study","title-short":"Cognitive training and remediation interventions for substance use disorders","volume":"118","author":[{"family":"Verdejo-Garcia","given":"Antonio"},{"family":"Rezapour","given":"Tara"},{"family":"Giddens","given":"Emily"},{"family":"Zonoozi","given":"Arash Khojasteh"},{"family":"Rafei","given":"Parnian"},{"family":"Berry","given":"Jamie"},{"family":"Caracuel","given":"Alfonso"},{"family":"Copersino","given":"Marc L."},{"family":"Field","given":"Matt"},{"family":"Garland","given":"Eric L."},{"family":"Lorenzetti","given":"Valentina"},{"family":"Malloy-Diniz","given":"Leandro"},{"family":"Manning","given":"Victoria"},{"family":"Marceau","given":"Ely M."},{"family":"Pennington","given":"David L."},{"family":"Strickland","given":"Justin"},{"family":"Wiers","given":"Reinout"},{"family":"Fairhead","given":"Rahia"},{"family":"Anderson","given":"Alexandra"},{"family":"Bell","given":"Morris"},{"family":"Boendermaker","given":"Wouter J."},{"family":"Brooks","given":"Samantha"},{"family":"Bruno","given":"Raimondo"},{"family":"Campanella","given":"Salvatore"},{"family":"Cousijn","given":"Janna"},{"family":"Cox","given":"Miles"},{"family":"Dean","given":"Andrew C."},{"family":"Ersche","given":"Karen D"},{"family":"Franken","given":"Ingmar"},{"family":"Froeliger","given":"Brett"},{"family":"Gamito","given":"Pedro"},{"family":"Gladwin","given":"Thomas E."},{"family":"Goncalves","given":"Priscila D."},{"family":"Houben","given":"Katrijn"},{"family":"Jacobus","given":"Joanna"},{"family":"Jones","given":"Andrew"},{"family":"Kaag","given":"Anne M."},{"family":"Lindenmeyer","given":"Johannes"},{"family":"McGrath","given":"Elly"},{"family":"Nardo","given":"Talia"},{"family":"Oliveira","given":"Jorge"},{"family":"Pennington","given":"Charlotte R."},{"family":"Perrykkad","given":"Kelsey"},{"family":"Piercy","given":"Hugh"},{"family":"Rupp","given":"Claudia I"},{"family":"Schulte","given":"Mieke H. J."},{"family":"Squeglia","given":"Lindsay M."},{"family":"Staiger","given":"Petra"},{"family":"Stein","given":"Dan J"},{"family":"Stein","given":"Jeff"},{"family":"Stein","given":"Maria"},{"family":"Stoops","given":"William W."},{"family":"Sweeney","given":"Mary"},{"family":"Vo","given":"Hoa"},{"family":"Witkiewitz","given":"Katie"},{"family":"Woods","given":"Steven P"},{"family":"Yi","given":"Richard"},{"family":"Zhao","given":"Min"},{"family":"Ekhtiari","given":"Hamed"}],"issued":{"date-parts":[["2022",7,31]]}}}],"schema":"https://github.com/citation-style-language/schema/raw/master/csl-citation.json"} </w:instrText>
      </w:r>
      <w:r w:rsidRPr="00275946">
        <w:fldChar w:fldCharType="separate"/>
      </w:r>
      <w:r w:rsidRPr="00275946">
        <w:rPr>
          <w:rFonts w:cs="Arial"/>
          <w:vertAlign w:val="superscript"/>
        </w:rPr>
        <w:t>3,161</w:t>
      </w:r>
      <w:r w:rsidRPr="00275946">
        <w:fldChar w:fldCharType="end"/>
      </w:r>
    </w:p>
    <w:p w14:paraId="1A2EA970" w14:textId="77777777" w:rsidR="00062FA9" w:rsidRPr="00275946" w:rsidRDefault="00062FA9" w:rsidP="00BE6A58">
      <w:pPr>
        <w:pStyle w:val="Bulletpoint"/>
      </w:pPr>
      <w:r w:rsidRPr="00275946">
        <w:t>Cognitive remediation and rehabilitation – aims to improve cognitive function through both training and compensating, by strengthening executive control processes and reducing automatic or impulsive cognitive processes.</w:t>
      </w:r>
      <w:r w:rsidRPr="00275946">
        <w:fldChar w:fldCharType="begin"/>
      </w:r>
      <w:r w:rsidRPr="00275946">
        <w:instrText xml:space="preserve"> ADDIN ZOTERO_ITEM CSL_CITATION {"citationID":"a2l1j2maqp7","properties":{"formattedCitation":"\\super 3,161\\nosupersub{}","plainCitation":"3,161","noteIndex":0},"citationItems":[{"id":14204,"uris":["http://zotero.org/groups/4745233/items/J6Q4NVAE"],"itemData":{"id":14204,"type":"article-journal","abstract":"Background and Aims: Substance use disorders (SUD) are associated with cognitive deficits that are not always addressed in current treatments, and this hampers recovery. Cognitive training and remediation interventions are well suited to fill the gap for managing cognitive deficits in SUD. We aimed to reach consensus on recommendations for developing and applying these interventions. Design: Delphi approach with two sequential phases: survey development and iterative surveying of experts. Setting: Online study. Participants: During survey development, we engaged a group of 15 experts from a working group of the International Society of Addiction Medicine (Steering Committee). During the surveying process, we engaged a larger pool of experts (n=53) identified via recommendations from the Steering Committee and a systematic review.\nMeasurements: Survey with 67 items covering four key areas of intervention development, i.e., targets, intervention approaches, active ingredients, and modes of delivery. Findings: Across two iterative rounds (98% retention rate), the experts reached a consensus on 50 items including: (i) implicit biases, positive affect, arousal, executive functions, and social processing as key targets of interventions; (ii) cognitive bias modification, contingency management, emotion regulation training, and cognitive remediation as preferred approaches; (iii) practice, feedback, difficulty-titration, bias-modification, goal setting, strategy learning, and meta-awareness as active ingredients; and (iv) both addiction treatment workforce and specialized neuropsychologists facilitating delivery, together with novel digital-based delivery modalities.\nConclusions: Expert recommendations on cognitive training and remediation for SUD highlight the relevance of targeting implicit biases, reward, emotion regulation, and higher-","container-title":"Addiction Medicine","issue":"5","language":"en","note":"DOI: 10.1101/2022.07.28.22278144","page":"935-951","source":"DOI.org (Crossref)","title":"Cognitive training and remediation interventions for substance use disorders: A Delphi consensus study","title-short":"Cognitive training and remediation interventions for substance use disorders","volume":"118","author":[{"family":"Verdejo-Garcia","given":"Antonio"},{"family":"Rezapour","given":"Tara"},{"family":"Giddens","given":"Emily"},{"family":"Zonoozi","given":"Arash Khojasteh"},{"family":"Rafei","given":"Parnian"},{"family":"Berry","given":"Jamie"},{"family":"Caracuel","given":"Alfonso"},{"family":"Copersino","given":"Marc L."},{"family":"Field","given":"Matt"},{"family":"Garland","given":"Eric L."},{"family":"Lorenzetti","given":"Valentina"},{"family":"Malloy-Diniz","given":"Leandro"},{"family":"Manning","given":"Victoria"},{"family":"Marceau","given":"Ely M."},{"family":"Pennington","given":"David L."},{"family":"Strickland","given":"Justin"},{"family":"Wiers","given":"Reinout"},{"family":"Fairhead","given":"Rahia"},{"family":"Anderson","given":"Alexandra"},{"family":"Bell","given":"Morris"},{"family":"Boendermaker","given":"Wouter J."},{"family":"Brooks","given":"Samantha"},{"family":"Bruno","given":"Raimondo"},{"family":"Campanella","given":"Salvatore"},{"family":"Cousijn","given":"Janna"},{"family":"Cox","given":"Miles"},{"family":"Dean","given":"Andrew C."},{"family":"Ersche","given":"Karen D"},{"family":"Franken","given":"Ingmar"},{"family":"Froeliger","given":"Brett"},{"family":"Gamito","given":"Pedro"},{"family":"Gladwin","given":"Thomas E."},{"family":"Goncalves","given":"Priscila D."},{"family":"Houben","given":"Katrijn"},{"family":"Jacobus","given":"Joanna"},{"family":"Jones","given":"Andrew"},{"family":"Kaag","given":"Anne M."},{"family":"Lindenmeyer","given":"Johannes"},{"family":"McGrath","given":"Elly"},{"family":"Nardo","given":"Talia"},{"family":"Oliveira","given":"Jorge"},{"family":"Pennington","given":"Charlotte R."},{"family":"Perrykkad","given":"Kelsey"},{"family":"Piercy","given":"Hugh"},{"family":"Rupp","given":"Claudia I"},{"family":"Schulte","given":"Mieke H. J."},{"family":"Squeglia","given":"Lindsay M."},{"family":"Staiger","given":"Petra"},{"family":"Stein","given":"Dan J"},{"family":"Stein","given":"Jeff"},{"family":"Stein","given":"Maria"},{"family":"Stoops","given":"William W."},{"family":"Sweeney","given":"Mary"},{"family":"Vo","given":"Hoa"},{"family":"Witkiewitz","given":"Katie"},{"family":"Woods","given":"Steven P"},{"family":"Yi","given":"Richard"},{"family":"Zhao","given":"Min"},{"family":"Ekhtiari","given":"Hamed"}],"issued":{"date-parts":[["2022",7,31]]}}},{"id":14007,"uris":["http://zotero.org/groups/4745233/items/U3GGYCKU"],"itemData":{"id":14007,"type":"report","event-place":"Richmond, Victoria","language":"en","publisher":"Turning Point","publisher-place":"Richmond, Victoria","source":"Zotero","title":"Managing Cognitive Impairment in AOD Treatment: Practice Guidelines for Healthcare Professionals","URL":"https://www.turningpoint.org.au/treatment/clinicians/Managing-Cognitive-Impairment-in-AOD-Treatment-Guidelines","author":[{"family":"Manning","given":"Victoria"},{"family":"Gooden","given":"James"},{"family":"Cox","given":"Catherine"},{"family":"Whelan","given":"Danielle"},{"family":"Miroz","given":"Katherine"}],"issued":{"date-parts":[["2021"]]}}}],"schema":"https://github.com/citation-style-language/schema/raw/master/csl-citation.json"} </w:instrText>
      </w:r>
      <w:r w:rsidRPr="00275946">
        <w:fldChar w:fldCharType="separate"/>
      </w:r>
      <w:r w:rsidRPr="00275946">
        <w:rPr>
          <w:rFonts w:cs="Arial"/>
          <w:vertAlign w:val="superscript"/>
        </w:rPr>
        <w:t>3,161</w:t>
      </w:r>
      <w:r w:rsidRPr="00275946">
        <w:fldChar w:fldCharType="end"/>
      </w:r>
    </w:p>
    <w:p w14:paraId="0B26E391" w14:textId="77777777" w:rsidR="00062FA9" w:rsidRPr="00275946" w:rsidRDefault="00062FA9" w:rsidP="00BE6A58">
      <w:pPr>
        <w:pStyle w:val="Bulletpoint"/>
      </w:pPr>
      <w:r w:rsidRPr="00275946">
        <w:t>Contingency management</w:t>
      </w:r>
      <w:r w:rsidRPr="00275946">
        <w:rPr>
          <w:rStyle w:val="FootnoteReference"/>
          <w:sz w:val="22"/>
        </w:rPr>
        <w:footnoteReference w:id="6"/>
      </w:r>
      <w:r w:rsidRPr="00275946">
        <w:t xml:space="preserve"> – where people are rewarded based on behaviour change to encourage desired behaviours.</w:t>
      </w:r>
      <w:r w:rsidRPr="00275946">
        <w:fldChar w:fldCharType="begin"/>
      </w:r>
      <w:r w:rsidRPr="00275946">
        <w:instrText xml:space="preserve"> ADDIN ZOTERO_ITEM CSL_CITATION {"citationID":"a147u0p8jl7","properties":{"formattedCitation":"\\super 161,162\\nosupersub{}","plainCitation":"161,162","noteIndex":0},"citationItems":[{"id":14204,"uris":["http://zotero.org/groups/4745233/items/J6Q4NVAE"],"itemData":{"id":14204,"type":"article-journal","abstract":"Background and Aims: Substance use disorders (SUD) are associated with cognitive deficits that are not always addressed in current treatments, and this hampers recovery. Cognitive training and remediation interventions are well suited to fill the gap for managing cognitive deficits in SUD. We aimed to reach consensus on recommendations for developing and applying these interventions. Design: Delphi approach with two sequential phases: survey development and iterative surveying of experts. Setting: Online study. Participants: During survey development, we engaged a group of 15 experts from a working group of the International Society of Addiction Medicine (Steering Committee). During the surveying process, we engaged a larger pool of experts (n=53) identified via recommendations from the Steering Committee and a systematic review.\nMeasurements: Survey with 67 items covering four key areas of intervention development, i.e., targets, intervention approaches, active ingredients, and modes of delivery. Findings: Across two iterative rounds (98% retention rate), the experts reached a consensus on 50 items including: (i) implicit biases, positive affect, arousal, executive functions, and social processing as key targets of interventions; (ii) cognitive bias modification, contingency management, emotion regulation training, and cognitive remediation as preferred approaches; (iii) practice, feedback, difficulty-titration, bias-modification, goal setting, strategy learning, and meta-awareness as active ingredients; and (iv) both addiction treatment workforce and specialized neuropsychologists facilitating delivery, together with novel digital-based delivery modalities.\nConclusions: Expert recommendations on cognitive training and remediation for SUD highlight the relevance of targeting implicit biases, reward, emotion regulation, and higher-","container-title":"Addiction Medicine","issue":"5","language":"en","note":"DOI: 10.1101/2022.07.28.22278144","page":"935-951","source":"DOI.org (Crossref)","title":"Cognitive training and remediation interventions for substance use disorders: A Delphi consensus study","title-short":"Cognitive training and remediation interventions for substance use disorders","volume":"118","author":[{"family":"Verdejo-Garcia","given":"Antonio"},{"family":"Rezapour","given":"Tara"},{"family":"Giddens","given":"Emily"},{"family":"Zonoozi","given":"Arash Khojasteh"},{"family":"Rafei","given":"Parnian"},{"family":"Berry","given":"Jamie"},{"family":"Caracuel","given":"Alfonso"},{"family":"Copersino","given":"Marc L."},{"family":"Field","given":"Matt"},{"family":"Garland","given":"Eric L."},{"family":"Lorenzetti","given":"Valentina"},{"family":"Malloy-Diniz","given":"Leandro"},{"family":"Manning","given":"Victoria"},{"family":"Marceau","given":"Ely M."},{"family":"Pennington","given":"David L."},{"family":"Strickland","given":"Justin"},{"family":"Wiers","given":"Reinout"},{"family":"Fairhead","given":"Rahia"},{"family":"Anderson","given":"Alexandra"},{"family":"Bell","given":"Morris"},{"family":"Boendermaker","given":"Wouter J."},{"family":"Brooks","given":"Samantha"},{"family":"Bruno","given":"Raimondo"},{"family":"Campanella","given":"Salvatore"},{"family":"Cousijn","given":"Janna"},{"family":"Cox","given":"Miles"},{"family":"Dean","given":"Andrew C."},{"family":"Ersche","given":"Karen D"},{"family":"Franken","given":"Ingmar"},{"family":"Froeliger","given":"Brett"},{"family":"Gamito","given":"Pedro"},{"family":"Gladwin","given":"Thomas E."},{"family":"Goncalves","given":"Priscila D."},{"family":"Houben","given":"Katrijn"},{"family":"Jacobus","given":"Joanna"},{"family":"Jones","given":"Andrew"},{"family":"Kaag","given":"Anne M."},{"family":"Lindenmeyer","given":"Johannes"},{"family":"McGrath","given":"Elly"},{"family":"Nardo","given":"Talia"},{"family":"Oliveira","given":"Jorge"},{"family":"Pennington","given":"Charlotte R."},{"family":"Perrykkad","given":"Kelsey"},{"family":"Piercy","given":"Hugh"},{"family":"Rupp","given":"Claudia I"},{"family":"Schulte","given":"Mieke H. J."},{"family":"Squeglia","given":"Lindsay M."},{"family":"Staiger","given":"Petra"},{"family":"Stein","given":"Dan J"},{"family":"Stein","given":"Jeff"},{"family":"Stein","given":"Maria"},{"family":"Stoops","given":"William W."},{"family":"Sweeney","given":"Mary"},{"family":"Vo","given":"Hoa"},{"family":"Witkiewitz","given":"Katie"},{"family":"Woods","given":"Steven P"},{"family":"Yi","given":"Richard"},{"family":"Zhao","given":"Min"},{"family":"Ekhtiari","given":"Hamed"}],"issued":{"date-parts":[["2022",7,31]]}}},{"id":13574,"uris":["http://zotero.org/groups/4745233/items/ZX3ZC79L"],"itemData":{"id":13574,"type":"document","publisher":"UpToDate","title":"Contingency management for substance use disorders: Efficacy, implementation, and training","author":[{"family":"Stitzer","given":"M"},{"family":"Sweeney","given":"M M"},{"family":"Cunningham","given":"C S"}],"issued":{"date-parts":[["2022"]]}}}],"schema":"https://github.com/citation-style-language/schema/raw/master/csl-citation.json"} </w:instrText>
      </w:r>
      <w:r w:rsidRPr="00275946">
        <w:fldChar w:fldCharType="separate"/>
      </w:r>
      <w:r w:rsidRPr="00275946">
        <w:rPr>
          <w:rFonts w:cs="Arial"/>
          <w:vertAlign w:val="superscript"/>
        </w:rPr>
        <w:t>161,162</w:t>
      </w:r>
      <w:r w:rsidRPr="00275946">
        <w:fldChar w:fldCharType="end"/>
      </w:r>
    </w:p>
    <w:p w14:paraId="6DF4D5CA" w14:textId="77777777" w:rsidR="00062FA9" w:rsidRPr="00275946" w:rsidRDefault="00062FA9" w:rsidP="00BE6A58">
      <w:pPr>
        <w:pStyle w:val="Bulletpoint"/>
      </w:pPr>
      <w:r w:rsidRPr="00275946">
        <w:t>Emotional regulation training – trains people to use adaptive or helpful strategies to manage or regulate their emotions.</w:t>
      </w:r>
      <w:r w:rsidRPr="00275946">
        <w:fldChar w:fldCharType="begin"/>
      </w:r>
      <w:r w:rsidRPr="00275946">
        <w:instrText xml:space="preserve"> ADDIN ZOTERO_ITEM CSL_CITATION {"citationID":"a771q5t3bp","properties":{"formattedCitation":"\\super 161,163\\nosupersub{}","plainCitation":"161,163","noteIndex":0},"citationItems":[{"id":14204,"uris":["http://zotero.org/groups/4745233/items/J6Q4NVAE"],"itemData":{"id":14204,"type":"article-journal","abstract":"Background and Aims: Substance use disorders (SUD) are associated with cognitive deficits that are not always addressed in current treatments, and this hampers recovery. Cognitive training and remediation interventions are well suited to fill the gap for managing cognitive deficits in SUD. We aimed to reach consensus on recommendations for developing and applying these interventions. Design: Delphi approach with two sequential phases: survey development and iterative surveying of experts. Setting: Online study. Participants: During survey development, we engaged a group of 15 experts from a working group of the International Society of Addiction Medicine (Steering Committee). During the surveying process, we engaged a larger pool of experts (n=53) identified via recommendations from the Steering Committee and a systematic review.\nMeasurements: Survey with 67 items covering four key areas of intervention development, i.e., targets, intervention approaches, active ingredients, and modes of delivery. Findings: Across two iterative rounds (98% retention rate), the experts reached a consensus on 50 items including: (i) implicit biases, positive affect, arousal, executive functions, and social processing as key targets of interventions; (ii) cognitive bias modification, contingency management, emotion regulation training, and cognitive remediation as preferred approaches; (iii) practice, feedback, difficulty-titration, bias-modification, goal setting, strategy learning, and meta-awareness as active ingredients; and (iv) both addiction treatment workforce and specialized neuropsychologists facilitating delivery, together with novel digital-based delivery modalities.\nConclusions: Expert recommendations on cognitive training and remediation for SUD highlight the relevance of targeting implicit biases, reward, emotion regulation, and higher-","container-title":"Addiction Medicine","issue":"5","language":"en","note":"DOI: 10.1101/2022.07.28.22278144","page":"935-951","source":"DOI.org (Crossref)","title":"Cognitive training and remediation interventions for substance use disorders: A Delphi consensus study","title-short":"Cognitive training and remediation interventions for substance use disorders","volume":"118","author":[{"family":"Verdejo-Garcia","given":"Antonio"},{"family":"Rezapour","given":"Tara"},{"family":"Giddens","given":"Emily"},{"family":"Zonoozi","given":"Arash Khojasteh"},{"family":"Rafei","given":"Parnian"},{"family":"Berry","given":"Jamie"},{"family":"Caracuel","given":"Alfonso"},{"family":"Copersino","given":"Marc L."},{"family":"Field","given":"Matt"},{"family":"Garland","given":"Eric L."},{"family":"Lorenzetti","given":"Valentina"},{"family":"Malloy-Diniz","given":"Leandro"},{"family":"Manning","given":"Victoria"},{"family":"Marceau","given":"Ely M."},{"family":"Pennington","given":"David L."},{"family":"Strickland","given":"Justin"},{"family":"Wiers","given":"Reinout"},{"family":"Fairhead","given":"Rahia"},{"family":"Anderson","given":"Alexandra"},{"family":"Bell","given":"Morris"},{"family":"Boendermaker","given":"Wouter J."},{"family":"Brooks","given":"Samantha"},{"family":"Bruno","given":"Raimondo"},{"family":"Campanella","given":"Salvatore"},{"family":"Cousijn","given":"Janna"},{"family":"Cox","given":"Miles"},{"family":"Dean","given":"Andrew C."},{"family":"Ersche","given":"Karen D"},{"family":"Franken","given":"Ingmar"},{"family":"Froeliger","given":"Brett"},{"family":"Gamito","given":"Pedro"},{"family":"Gladwin","given":"Thomas E."},{"family":"Goncalves","given":"Priscila D."},{"family":"Houben","given":"Katrijn"},{"family":"Jacobus","given":"Joanna"},{"family":"Jones","given":"Andrew"},{"family":"Kaag","given":"Anne M."},{"family":"Lindenmeyer","given":"Johannes"},{"family":"McGrath","given":"Elly"},{"family":"Nardo","given":"Talia"},{"family":"Oliveira","given":"Jorge"},{"family":"Pennington","given":"Charlotte R."},{"family":"Perrykkad","given":"Kelsey"},{"family":"Piercy","given":"Hugh"},{"family":"Rupp","given":"Claudia I"},{"family":"Schulte","given":"Mieke H. J."},{"family":"Squeglia","given":"Lindsay M."},{"family":"Staiger","given":"Petra"},{"family":"Stein","given":"Dan J"},{"family":"Stein","given":"Jeff"},{"family":"Stein","given":"Maria"},{"family":"Stoops","given":"William W."},{"family":"Sweeney","given":"Mary"},{"family":"Vo","given":"Hoa"},{"family":"Witkiewitz","given":"Katie"},{"family":"Woods","given":"Steven P"},{"family":"Yi","given":"Richard"},{"family":"Zhao","given":"Min"},{"family":"Ekhtiari","given":"Hamed"}],"issued":{"date-parts":[["2022",7,31]]}}},{"id":13556,"uris":["http://zotero.org/groups/4745233/items/VAE84XAN"],"itemData":{"id":13556,"type":"chapter","abstract":"Congruent with current directions in affect science, these National Institute of Mental Health (NIMH) initiatives, and advances in the science of behavior therapy, we have developed an emotion regulation therapy (ERT) to improve treatment of distress disorders including generalized anxiety disorder (GAD)and major depressive disorder (MDD). ERT integrates traditional and contemporary CBT principles and practices, and emotion-focused interventions within a framework that reflects basic and translational findings in affect science. The result is a theoretically derived, evidence-based treatment that builds on the solid foundation of CBT by identifying and targeting putative mechanisms common to the distress disorders while striving to normalize emotion generation and regulation functioning. In the remainder of this chapter, we (1) describe and review relevant work related to normative and disordered motivation, regulation, and contextual learning consequences; (2) demonstrate how ERT reflects an approach to treatment that draws from common principles of cognitive-behavioral therapy (CBT) and affective science to target proposed mechanisms directly and provide preliminary efficacy and mechanism findings; and (3) provide an overview of future directions for ERT. (PsycInfo Database Record (c) 2022 APA, all rights reserved)","container-title":"Handbook of emotion regulation, 2nd ed","event-place":"New York, NY, US","ISBN":"978-1-4625-0350-6","page":"469-490","publisher":"The Guilford Press","publisher-place":"New York, NY, US","source":"APA PsycNet","title":"Emotion regulation therapy","author":[{"family":"Mennin","given":"Douglas S."},{"family":"Fresco","given":"David M."}],"issued":{"date-parts":[["2014"]]}}}],"schema":"https://github.com/citation-style-language/schema/raw/master/csl-citation.json"} </w:instrText>
      </w:r>
      <w:r w:rsidRPr="00275946">
        <w:fldChar w:fldCharType="separate"/>
      </w:r>
      <w:r w:rsidRPr="00275946">
        <w:rPr>
          <w:rFonts w:cs="Arial"/>
          <w:vertAlign w:val="superscript"/>
        </w:rPr>
        <w:t>161,163</w:t>
      </w:r>
      <w:r w:rsidRPr="00275946">
        <w:fldChar w:fldCharType="end"/>
      </w:r>
      <w:r w:rsidRPr="00275946">
        <w:t xml:space="preserve"> </w:t>
      </w:r>
    </w:p>
    <w:p w14:paraId="64BA955A" w14:textId="2124D1D0" w:rsidR="00062FA9" w:rsidRPr="00275946" w:rsidRDefault="00062FA9" w:rsidP="00BE6A58">
      <w:r w:rsidRPr="00275946">
        <w:t xml:space="preserve">Use the techniques in </w:t>
      </w:r>
      <w:r w:rsidRPr="00275946">
        <w:fldChar w:fldCharType="begin"/>
      </w:r>
      <w:r w:rsidRPr="00275946">
        <w:instrText xml:space="preserve"> REF _Ref146120420 \h </w:instrText>
      </w:r>
      <w:r>
        <w:instrText xml:space="preserve"> \* MERGEFORMAT </w:instrText>
      </w:r>
      <w:r w:rsidRPr="00275946">
        <w:fldChar w:fldCharType="separate"/>
      </w:r>
      <w:r w:rsidR="007F1966" w:rsidRPr="00275946">
        <w:t xml:space="preserve">Table </w:t>
      </w:r>
      <w:r w:rsidR="007F1966">
        <w:rPr>
          <w:noProof/>
        </w:rPr>
        <w:t>10</w:t>
      </w:r>
      <w:r w:rsidRPr="00275946">
        <w:fldChar w:fldCharType="end"/>
      </w:r>
      <w:r w:rsidRPr="00275946">
        <w:t xml:space="preserve"> when implementing cognitive training and remediation.</w:t>
      </w:r>
      <w:r w:rsidRPr="00275946">
        <w:fldChar w:fldCharType="begin"/>
      </w:r>
      <w:r w:rsidRPr="00275946">
        <w:instrText xml:space="preserve"> ADDIN ZOTERO_ITEM CSL_CITATION {"citationID":"a2cqhhhtpqb","properties":{"formattedCitation":"\\super 161\\nosupersub{}","plainCitation":"161","noteIndex":0},"citationItems":[{"id":14204,"uris":["http://zotero.org/groups/4745233/items/J6Q4NVAE"],"itemData":{"id":14204,"type":"article-journal","abstract":"Background and Aims: Substance use disorders (SUD) are associated with cognitive deficits that are not always addressed in current treatments, and this hampers recovery. Cognitive training and remediation interventions are well suited to fill the gap for managing cognitive deficits in SUD. We aimed to reach consensus on recommendations for developing and applying these interventions. Design: Delphi approach with two sequential phases: survey development and iterative surveying of experts. Setting: Online study. Participants: During survey development, we engaged a group of 15 experts from a working group of the International Society of Addiction Medicine (Steering Committee). During the surveying process, we engaged a larger pool of experts (n=53) identified via recommendations from the Steering Committee and a systematic review.\nMeasurements: Survey with 67 items covering four key areas of intervention development, i.e., targets, intervention approaches, active ingredients, and modes of delivery. Findings: Across two iterative rounds (98% retention rate), the experts reached a consensus on 50 items including: (i) implicit biases, positive affect, arousal, executive functions, and social processing as key targets of interventions; (ii) cognitive bias modification, contingency management, emotion regulation training, and cognitive remediation as preferred approaches; (iii) practice, feedback, difficulty-titration, bias-modification, goal setting, strategy learning, and meta-awareness as active ingredients; and (iv) both addiction treatment workforce and specialized neuropsychologists facilitating delivery, together with novel digital-based delivery modalities.\nConclusions: Expert recommendations on cognitive training and remediation for SUD highlight the relevance of targeting implicit biases, reward, emotion regulation, and higher-","container-title":"Addiction Medicine","issue":"5","language":"en","note":"DOI: 10.1101/2022.07.28.22278144","page":"935-951","source":"DOI.org (Crossref)","title":"Cognitive training and remediation interventions for substance use disorders: A Delphi consensus study","title-short":"Cognitive training and remediation interventions for substance use disorders","volume":"118","author":[{"family":"Verdejo-Garcia","given":"Antonio"},{"family":"Rezapour","given":"Tara"},{"family":"Giddens","given":"Emily"},{"family":"Zonoozi","given":"Arash Khojasteh"},{"family":"Rafei","given":"Parnian"},{"family":"Berry","given":"Jamie"},{"family":"Caracuel","given":"Alfonso"},{"family":"Copersino","given":"Marc L."},{"family":"Field","given":"Matt"},{"family":"Garland","given":"Eric L."},{"family":"Lorenzetti","given":"Valentina"},{"family":"Malloy-Diniz","given":"Leandro"},{"family":"Manning","given":"Victoria"},{"family":"Marceau","given":"Ely M."},{"family":"Pennington","given":"David L."},{"family":"Strickland","given":"Justin"},{"family":"Wiers","given":"Reinout"},{"family":"Fairhead","given":"Rahia"},{"family":"Anderson","given":"Alexandra"},{"family":"Bell","given":"Morris"},{"family":"Boendermaker","given":"Wouter J."},{"family":"Brooks","given":"Samantha"},{"family":"Bruno","given":"Raimondo"},{"family":"Campanella","given":"Salvatore"},{"family":"Cousijn","given":"Janna"},{"family":"Cox","given":"Miles"},{"family":"Dean","given":"Andrew C."},{"family":"Ersche","given":"Karen D"},{"family":"Franken","given":"Ingmar"},{"family":"Froeliger","given":"Brett"},{"family":"Gamito","given":"Pedro"},{"family":"Gladwin","given":"Thomas E."},{"family":"Goncalves","given":"Priscila D."},{"family":"Houben","given":"Katrijn"},{"family":"Jacobus","given":"Joanna"},{"family":"Jones","given":"Andrew"},{"family":"Kaag","given":"Anne M."},{"family":"Lindenmeyer","given":"Johannes"},{"family":"McGrath","given":"Elly"},{"family":"Nardo","given":"Talia"},{"family":"Oliveira","given":"Jorge"},{"family":"Pennington","given":"Charlotte R."},{"family":"Perrykkad","given":"Kelsey"},{"family":"Piercy","given":"Hugh"},{"family":"Rupp","given":"Claudia I"},{"family":"Schulte","given":"Mieke H. J."},{"family":"Squeglia","given":"Lindsay M."},{"family":"Staiger","given":"Petra"},{"family":"Stein","given":"Dan J"},{"family":"Stein","given":"Jeff"},{"family":"Stein","given":"Maria"},{"family":"Stoops","given":"William W."},{"family":"Sweeney","given":"Mary"},{"family":"Vo","given":"Hoa"},{"family":"Witkiewitz","given":"Katie"},{"family":"Woods","given":"Steven P"},{"family":"Yi","given":"Richard"},{"family":"Zhao","given":"Min"},{"family":"Ekhtiari","given":"Hamed"}],"issued":{"date-parts":[["2022",7,31]]}}}],"schema":"https://github.com/citation-style-language/schema/raw/master/csl-citation.json"} </w:instrText>
      </w:r>
      <w:r w:rsidRPr="00275946">
        <w:fldChar w:fldCharType="separate"/>
      </w:r>
      <w:r w:rsidRPr="00275946">
        <w:rPr>
          <w:vertAlign w:val="superscript"/>
        </w:rPr>
        <w:t>161</w:t>
      </w:r>
      <w:r w:rsidRPr="00275946">
        <w:fldChar w:fldCharType="end"/>
      </w:r>
    </w:p>
    <w:p w14:paraId="650077FB" w14:textId="0A54E0C4" w:rsidR="00062FA9" w:rsidRPr="00275946" w:rsidRDefault="00062FA9" w:rsidP="00122447">
      <w:pPr>
        <w:pStyle w:val="Figure"/>
        <w:rPr>
          <w:rFonts w:cs="Arial"/>
        </w:rPr>
      </w:pPr>
      <w:bookmarkStart w:id="1336" w:name="_Ref146120420"/>
      <w:bookmarkStart w:id="1337" w:name="_Toc146624909"/>
      <w:bookmarkStart w:id="1338" w:name="_Toc179544012"/>
      <w:r w:rsidRPr="00275946">
        <w:t xml:space="preserve">Table </w:t>
      </w:r>
      <w:r w:rsidRPr="00275946">
        <w:fldChar w:fldCharType="begin"/>
      </w:r>
      <w:r w:rsidRPr="00275946">
        <w:instrText xml:space="preserve"> SEQ Table \* ARABIC </w:instrText>
      </w:r>
      <w:r w:rsidRPr="00275946">
        <w:fldChar w:fldCharType="separate"/>
      </w:r>
      <w:r w:rsidR="007F1966">
        <w:rPr>
          <w:noProof/>
        </w:rPr>
        <w:t>10</w:t>
      </w:r>
      <w:r w:rsidRPr="00275946">
        <w:fldChar w:fldCharType="end"/>
      </w:r>
      <w:bookmarkEnd w:id="1336"/>
      <w:r w:rsidRPr="00275946">
        <w:t>. General techniques for implementing cognitive training and remediation</w:t>
      </w:r>
      <w:bookmarkEnd w:id="1337"/>
      <w:bookmarkEnd w:id="1338"/>
    </w:p>
    <w:tbl>
      <w:tblPr>
        <w:tblStyle w:val="GridTable4-Accent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echniques for implementing cognitive training and remediation"/>
        <w:tblDescription w:val="Covers general techniques to use when teaching cognitive training and remediation approaches. These include practicing, giving feedback on how people are doing, increasing difficulty over time, goal setting, and encouraging people to monitor their own cognition (called meta-cognition). "/>
      </w:tblPr>
      <w:tblGrid>
        <w:gridCol w:w="2830"/>
        <w:gridCol w:w="6180"/>
      </w:tblGrid>
      <w:tr w:rsidR="00062FA9" w:rsidRPr="00275946" w14:paraId="32477A7E" w14:textId="77777777" w:rsidTr="005F22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right w:val="double" w:sz="4" w:space="0" w:color="003399" w:themeColor="accent3"/>
            </w:tcBorders>
            <w:shd w:val="clear" w:color="auto" w:fill="000066"/>
          </w:tcPr>
          <w:p w14:paraId="5E07D3AA" w14:textId="77777777" w:rsidR="00062FA9" w:rsidRPr="00BE6A58" w:rsidRDefault="00062FA9" w:rsidP="00234887">
            <w:pPr>
              <w:rPr>
                <w:rFonts w:cs="Arial"/>
                <w:szCs w:val="24"/>
              </w:rPr>
            </w:pPr>
            <w:r w:rsidRPr="00BE6A58">
              <w:rPr>
                <w:rFonts w:cs="Arial"/>
                <w:szCs w:val="24"/>
              </w:rPr>
              <w:t>Technique</w:t>
            </w:r>
          </w:p>
        </w:tc>
        <w:tc>
          <w:tcPr>
            <w:tcW w:w="6180" w:type="dxa"/>
            <w:tcBorders>
              <w:left w:val="double" w:sz="4" w:space="0" w:color="003399" w:themeColor="accent3"/>
            </w:tcBorders>
            <w:shd w:val="clear" w:color="auto" w:fill="000066"/>
          </w:tcPr>
          <w:p w14:paraId="6D5007C8" w14:textId="77777777" w:rsidR="00062FA9" w:rsidRPr="00BE6A58" w:rsidRDefault="00062FA9" w:rsidP="00234887">
            <w:pPr>
              <w:pStyle w:val="List"/>
              <w:ind w:left="0" w:firstLine="0"/>
              <w:cnfStyle w:val="100000000000" w:firstRow="1" w:lastRow="0" w:firstColumn="0" w:lastColumn="0" w:oddVBand="0" w:evenVBand="0" w:oddHBand="0" w:evenHBand="0" w:firstRowFirstColumn="0" w:firstRowLastColumn="0" w:lastRowFirstColumn="0" w:lastRowLastColumn="0"/>
              <w:rPr>
                <w:szCs w:val="24"/>
              </w:rPr>
            </w:pPr>
            <w:r w:rsidRPr="00BE6A58">
              <w:rPr>
                <w:szCs w:val="24"/>
              </w:rPr>
              <w:t>Action</w:t>
            </w:r>
          </w:p>
        </w:tc>
      </w:tr>
      <w:tr w:rsidR="00062FA9" w:rsidRPr="00275946" w14:paraId="6F34597B" w14:textId="77777777" w:rsidTr="005F22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right w:val="double" w:sz="4" w:space="0" w:color="003399" w:themeColor="accent3"/>
            </w:tcBorders>
          </w:tcPr>
          <w:p w14:paraId="7B3310E8" w14:textId="77777777" w:rsidR="00062FA9" w:rsidRPr="00BE6A58" w:rsidRDefault="00062FA9" w:rsidP="00234887">
            <w:pPr>
              <w:rPr>
                <w:rFonts w:cs="Arial"/>
                <w:szCs w:val="24"/>
              </w:rPr>
            </w:pPr>
            <w:r w:rsidRPr="00BE6A58">
              <w:rPr>
                <w:rFonts w:cs="Arial"/>
                <w:szCs w:val="24"/>
              </w:rPr>
              <w:lastRenderedPageBreak/>
              <w:t>Practice</w:t>
            </w:r>
          </w:p>
        </w:tc>
        <w:tc>
          <w:tcPr>
            <w:tcW w:w="6180" w:type="dxa"/>
            <w:tcBorders>
              <w:left w:val="double" w:sz="4" w:space="0" w:color="003399" w:themeColor="accent3"/>
            </w:tcBorders>
          </w:tcPr>
          <w:p w14:paraId="711C8C04" w14:textId="77777777" w:rsidR="00062FA9" w:rsidRPr="00275946" w:rsidRDefault="00062FA9" w:rsidP="00BE6A58">
            <w:pPr>
              <w:pStyle w:val="Bulletpoint"/>
              <w:cnfStyle w:val="000000100000" w:firstRow="0" w:lastRow="0" w:firstColumn="0" w:lastColumn="0" w:oddVBand="0" w:evenVBand="0" w:oddHBand="1" w:evenHBand="0" w:firstRowFirstColumn="0" w:firstRowLastColumn="0" w:lastRowFirstColumn="0" w:lastRowLastColumn="0"/>
            </w:pPr>
            <w:r w:rsidRPr="00275946">
              <w:t>Encourage tāngata whai ora to repeat tasks so they become better at it</w:t>
            </w:r>
          </w:p>
        </w:tc>
      </w:tr>
      <w:tr w:rsidR="00062FA9" w:rsidRPr="00275946" w14:paraId="6DCA4566" w14:textId="77777777" w:rsidTr="005F22ED">
        <w:tc>
          <w:tcPr>
            <w:cnfStyle w:val="001000000000" w:firstRow="0" w:lastRow="0" w:firstColumn="1" w:lastColumn="0" w:oddVBand="0" w:evenVBand="0" w:oddHBand="0" w:evenHBand="0" w:firstRowFirstColumn="0" w:firstRowLastColumn="0" w:lastRowFirstColumn="0" w:lastRowLastColumn="0"/>
            <w:tcW w:w="2830" w:type="dxa"/>
            <w:tcBorders>
              <w:right w:val="double" w:sz="4" w:space="0" w:color="003399" w:themeColor="accent3"/>
            </w:tcBorders>
          </w:tcPr>
          <w:p w14:paraId="4659B068" w14:textId="77777777" w:rsidR="00062FA9" w:rsidRPr="00BE6A58" w:rsidRDefault="00062FA9" w:rsidP="00234887">
            <w:pPr>
              <w:rPr>
                <w:rFonts w:cs="Arial"/>
                <w:szCs w:val="24"/>
              </w:rPr>
            </w:pPr>
            <w:r w:rsidRPr="00BE6A58">
              <w:rPr>
                <w:rFonts w:cs="Arial"/>
                <w:szCs w:val="24"/>
              </w:rPr>
              <w:t>Feedback</w:t>
            </w:r>
          </w:p>
        </w:tc>
        <w:tc>
          <w:tcPr>
            <w:tcW w:w="6180" w:type="dxa"/>
            <w:tcBorders>
              <w:left w:val="double" w:sz="4" w:space="0" w:color="003399" w:themeColor="accent3"/>
            </w:tcBorders>
          </w:tcPr>
          <w:p w14:paraId="79D14ED5" w14:textId="77777777" w:rsidR="00062FA9" w:rsidRPr="00275946" w:rsidRDefault="00062FA9" w:rsidP="00BE6A58">
            <w:pPr>
              <w:pStyle w:val="Bulletpoint"/>
              <w:cnfStyle w:val="000000000000" w:firstRow="0" w:lastRow="0" w:firstColumn="0" w:lastColumn="0" w:oddVBand="0" w:evenVBand="0" w:oddHBand="0" w:evenHBand="0" w:firstRowFirstColumn="0" w:firstRowLastColumn="0" w:lastRowFirstColumn="0" w:lastRowLastColumn="0"/>
              <w:rPr>
                <w:rFonts w:cs="Arial"/>
              </w:rPr>
            </w:pPr>
            <w:r w:rsidRPr="00275946">
              <w:t xml:space="preserve">Provide feedback to </w:t>
            </w:r>
            <w:r w:rsidRPr="00275946">
              <w:rPr>
                <w:rFonts w:cs="Arial"/>
              </w:rPr>
              <w:t>tāngata whai ora</w:t>
            </w:r>
            <w:r w:rsidRPr="00275946">
              <w:t xml:space="preserve"> on how they are doing</w:t>
            </w:r>
          </w:p>
        </w:tc>
      </w:tr>
      <w:tr w:rsidR="00062FA9" w:rsidRPr="00275946" w14:paraId="0CEF9982" w14:textId="77777777" w:rsidTr="005F22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right w:val="double" w:sz="4" w:space="0" w:color="003399" w:themeColor="accent3"/>
            </w:tcBorders>
          </w:tcPr>
          <w:p w14:paraId="03D55C5C" w14:textId="77777777" w:rsidR="00062FA9" w:rsidRPr="00BE6A58" w:rsidRDefault="00062FA9" w:rsidP="00234887">
            <w:pPr>
              <w:rPr>
                <w:rFonts w:cs="Arial"/>
                <w:szCs w:val="24"/>
              </w:rPr>
            </w:pPr>
            <w:r w:rsidRPr="00BE6A58">
              <w:rPr>
                <w:rFonts w:cs="Arial"/>
                <w:szCs w:val="24"/>
              </w:rPr>
              <w:t>Titration or progressive difficulty</w:t>
            </w:r>
          </w:p>
        </w:tc>
        <w:tc>
          <w:tcPr>
            <w:tcW w:w="6180" w:type="dxa"/>
            <w:tcBorders>
              <w:left w:val="double" w:sz="4" w:space="0" w:color="003399" w:themeColor="accent3"/>
            </w:tcBorders>
          </w:tcPr>
          <w:p w14:paraId="2B44E41B" w14:textId="77777777" w:rsidR="00062FA9" w:rsidRPr="00275946" w:rsidRDefault="00062FA9" w:rsidP="00BE6A58">
            <w:pPr>
              <w:pStyle w:val="Bulletpoint"/>
              <w:cnfStyle w:val="000000100000" w:firstRow="0" w:lastRow="0" w:firstColumn="0" w:lastColumn="0" w:oddVBand="0" w:evenVBand="0" w:oddHBand="1" w:evenHBand="0" w:firstRowFirstColumn="0" w:firstRowLastColumn="0" w:lastRowFirstColumn="0" w:lastRowLastColumn="0"/>
            </w:pPr>
            <w:r w:rsidRPr="00275946">
              <w:t xml:space="preserve">Gradually increase the difficulty of tasks so tāngata whai ora get better over time </w:t>
            </w:r>
          </w:p>
        </w:tc>
      </w:tr>
      <w:tr w:rsidR="00062FA9" w:rsidRPr="00275946" w14:paraId="24D524DC" w14:textId="77777777" w:rsidTr="005F22ED">
        <w:tc>
          <w:tcPr>
            <w:cnfStyle w:val="001000000000" w:firstRow="0" w:lastRow="0" w:firstColumn="1" w:lastColumn="0" w:oddVBand="0" w:evenVBand="0" w:oddHBand="0" w:evenHBand="0" w:firstRowFirstColumn="0" w:firstRowLastColumn="0" w:lastRowFirstColumn="0" w:lastRowLastColumn="0"/>
            <w:tcW w:w="2830" w:type="dxa"/>
            <w:tcBorders>
              <w:right w:val="double" w:sz="4" w:space="0" w:color="003399" w:themeColor="accent3"/>
            </w:tcBorders>
          </w:tcPr>
          <w:p w14:paraId="5EE0BE75" w14:textId="77777777" w:rsidR="00062FA9" w:rsidRPr="00BE6A58" w:rsidRDefault="00062FA9" w:rsidP="00234887">
            <w:pPr>
              <w:rPr>
                <w:rFonts w:cs="Arial"/>
                <w:szCs w:val="24"/>
              </w:rPr>
            </w:pPr>
            <w:r w:rsidRPr="00BE6A58">
              <w:rPr>
                <w:rFonts w:cs="Arial"/>
                <w:szCs w:val="24"/>
              </w:rPr>
              <w:t>Goal setting</w:t>
            </w:r>
          </w:p>
        </w:tc>
        <w:tc>
          <w:tcPr>
            <w:tcW w:w="6180" w:type="dxa"/>
            <w:tcBorders>
              <w:left w:val="double" w:sz="4" w:space="0" w:color="003399" w:themeColor="accent3"/>
            </w:tcBorders>
          </w:tcPr>
          <w:p w14:paraId="6EF76B1D" w14:textId="77777777" w:rsidR="00062FA9" w:rsidRPr="00275946" w:rsidRDefault="00062FA9" w:rsidP="00BE6A58">
            <w:pPr>
              <w:pStyle w:val="Bulletpoint"/>
              <w:cnfStyle w:val="000000000000" w:firstRow="0" w:lastRow="0" w:firstColumn="0" w:lastColumn="0" w:oddVBand="0" w:evenVBand="0" w:oddHBand="0" w:evenHBand="0" w:firstRowFirstColumn="0" w:firstRowLastColumn="0" w:lastRowFirstColumn="0" w:lastRowLastColumn="0"/>
            </w:pPr>
            <w:r w:rsidRPr="00275946">
              <w:t>Collaboratively design an action plan designed to motivate and guide tāngata whai ora towards a goal</w:t>
            </w:r>
          </w:p>
        </w:tc>
      </w:tr>
      <w:tr w:rsidR="00062FA9" w:rsidRPr="00275946" w14:paraId="1DD17116" w14:textId="77777777" w:rsidTr="005F22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right w:val="double" w:sz="4" w:space="0" w:color="003399" w:themeColor="accent3"/>
            </w:tcBorders>
          </w:tcPr>
          <w:p w14:paraId="1FF3C000" w14:textId="77777777" w:rsidR="00062FA9" w:rsidRPr="00BE6A58" w:rsidRDefault="00062FA9" w:rsidP="00234887">
            <w:pPr>
              <w:rPr>
                <w:rFonts w:cs="Arial"/>
                <w:szCs w:val="24"/>
              </w:rPr>
            </w:pPr>
            <w:r w:rsidRPr="00BE6A58">
              <w:rPr>
                <w:rFonts w:cs="Arial"/>
                <w:szCs w:val="24"/>
              </w:rPr>
              <w:t>Metacognitive strategy learning</w:t>
            </w:r>
          </w:p>
        </w:tc>
        <w:tc>
          <w:tcPr>
            <w:tcW w:w="6180" w:type="dxa"/>
            <w:tcBorders>
              <w:left w:val="double" w:sz="4" w:space="0" w:color="003399" w:themeColor="accent3"/>
            </w:tcBorders>
          </w:tcPr>
          <w:p w14:paraId="65197CB1" w14:textId="77777777" w:rsidR="00062FA9" w:rsidRPr="00275946" w:rsidRDefault="00062FA9" w:rsidP="00BE6A58">
            <w:pPr>
              <w:pStyle w:val="Bulletpoint"/>
              <w:cnfStyle w:val="000000100000" w:firstRow="0" w:lastRow="0" w:firstColumn="0" w:lastColumn="0" w:oddVBand="0" w:evenVBand="0" w:oddHBand="1" w:evenHBand="0" w:firstRowFirstColumn="0" w:firstRowLastColumn="0" w:lastRowFirstColumn="0" w:lastRowLastColumn="0"/>
              <w:rPr>
                <w:rFonts w:cs="Arial"/>
              </w:rPr>
            </w:pPr>
            <w:r w:rsidRPr="00275946">
              <w:t>Encourage people to monitor their own cognition such as planning intentions, monitoring or awareness of task performance, and monitoring and regulating behaviour and emotions</w:t>
            </w:r>
          </w:p>
        </w:tc>
      </w:tr>
    </w:tbl>
    <w:p w14:paraId="5295573E" w14:textId="77777777" w:rsidR="00A440F4" w:rsidRDefault="00A440F4" w:rsidP="00062FA9">
      <w:pPr>
        <w:rPr>
          <w:b/>
          <w:bCs/>
          <w:color w:val="1E7880" w:themeColor="accent2" w:themeShade="BF"/>
        </w:rPr>
      </w:pPr>
    </w:p>
    <w:p w14:paraId="06EC2A38" w14:textId="0F2D2948" w:rsidR="00062FA9" w:rsidRPr="00A440F4" w:rsidRDefault="00062FA9" w:rsidP="00062FA9">
      <w:pPr>
        <w:rPr>
          <w:b/>
          <w:bCs/>
          <w:color w:val="1E7880" w:themeColor="accent2" w:themeShade="BF"/>
          <w:sz w:val="28"/>
          <w:szCs w:val="28"/>
        </w:rPr>
      </w:pPr>
      <w:r w:rsidRPr="00A440F4">
        <w:rPr>
          <w:b/>
          <w:bCs/>
          <w:color w:val="1E7880" w:themeColor="accent2" w:themeShade="BF"/>
          <w:sz w:val="28"/>
          <w:szCs w:val="28"/>
        </w:rPr>
        <w:t xml:space="preserve">Lifestyle strategies </w:t>
      </w:r>
    </w:p>
    <w:p w14:paraId="2D1C55ED" w14:textId="77777777" w:rsidR="00062FA9" w:rsidRPr="00275946" w:rsidRDefault="00062FA9" w:rsidP="00BE6A58">
      <w:r w:rsidRPr="00275946">
        <w:t>As well as supporting wellbeing, lifestyle strategies can help to slow cognitive impairment in conditions that tend to worsen over time, like dementia.</w:t>
      </w:r>
      <w:r w:rsidRPr="00275946">
        <w:rPr>
          <w:color w:val="2B579A"/>
          <w:shd w:val="clear" w:color="auto" w:fill="E6E6E6"/>
        </w:rPr>
        <w:fldChar w:fldCharType="begin"/>
      </w:r>
      <w:r w:rsidRPr="00275946">
        <w:instrText xml:space="preserve"> ADDIN ZOTERO_ITEM CSL_CITATION {"citationID":"a13ame50edg","properties":{"formattedCitation":"\\super 3,153,164,165\\nosupersub{}","plainCitation":"3,153,164,165","noteIndex":0},"citationItems":[{"id":12747,"uris":["http://zotero.org/groups/4745233/items/RIAYRZEQ"],"itemData":{"id":12747,"type":"webpage","abstract":"Get tips to care for a patient with cognitive impairment such as Alzheimer's dementia. Develop medical and family support plans. Get drug advice.","container-title":"National Institute on Aging","language":"en","title":"Managing Older Patients with Cognitive Impairment","URL":"https://www.nia.nih.gov/health/managing-older-patients-cognitive-impairment","author":[{"literal":"National Institute on Aging"}],"accessed":{"date-parts":[["2022",10,21]]}}},{"id":14007,"uris":["http://zotero.org/groups/4745233/items/U3GGYCKU"],"itemData":{"id":14007,"type":"report","event-place":"Richmond, Victoria","language":"en","publisher":"Turning Point","publisher-place":"Richmond, Victoria","source":"Zotero","title":"Managing Cognitive Impairment in AOD Treatment: Practice Guidelines for Healthcare Professionals","URL":"https://www.turningpoint.org.au/treatment/clinicians/Managing-Cognitive-Impairment-in-AOD-Treatment-Guidelines","author":[{"family":"Manning","given":"Victoria"},{"family":"Gooden","given":"James"},{"family":"Cox","given":"Catherine"},{"family":"Whelan","given":"Danielle"},{"family":"Miroz","given":"Katherine"}],"issued":{"date-parts":[["2021"]]}}},{"id":13551,"uris":["http://zotero.org/groups/4745233/items/EN7HRCSD"],"itemData":{"id":13551,"type":"article-journal","abstract":"Nutrition is an important lifestyle factor that can modify the risk of future cognitive impairment and dementia. Some, but not conclusive, evidence (mostly from observational studies and infrequently from clinical trials) exists of a protective association between certain nutrients (eg, folate, flavonoids, vitamin D, and certain lipids) or food groups (eg, seafood, vegetables, and fruits, and potentially moderate alcohol and caffeine consumption) and cognitive outcomes in older people. For some nutrients and food groups, protection might be greater in individuals with either deficiencies in certain nutrients or a genetic predisposition to cognitive impairment. Identification of potentially different associations between such subgroups should be a priority for future research. At present, evidence of an association between nutrition and cognitive outcomes is somehow stronger for healthy dietary patterns, such as the Mediterranean-type diet, than for individual nutrients and food groups, possibly because of the cumulative beneficial effects of the many ingredients in these diets. Multidomain interventions (including a nutrition component) might also hold some promise for the prevention of cognitive impairment and dementia, but their effectiveness is still uncertain. Use of advanced technologies for nutrition assessment (eg, metabolomics and innovative methods of dietary intake assessment) and recently identified biomarkers of nutrition and neurobiological outcomes will be important to achieve this goal.","container-title":"The Lancet. Neurology","DOI":"10.1016/S1474-4422(18)30338-7","ISSN":"1474-4465","issue":"11","journalAbbreviation":"Lancet Neurol","language":"eng","note":"PMID: 30244829","page":"1006-1015","source":"PubMed","title":"Nutrition and prevention of cognitive impairment","volume":"17","author":[{"family":"Scarmeas","given":"Nikolaos"},{"family":"Anastasiou","given":"Costas A."},{"family":"Yannakoulia","given":"Mary"}],"issued":{"date-parts":[["2018",11]]}}},{"id":14203,"uris":["http://zotero.org/groups/4745233/items/3WH2W72J"],"itemData":{"id":14203,"type":"article-journal","abstract":"Background: There is a lack of study comprehensively comparing the effects of all existing types of interventions on global cognition among patients with mild cognitive impairment (MCI).Aims: To conduct a network meta-analysis to evaluate the effectiveness of different types of interventions in improving global cognition among MCI patients.Methods: Randomized controlled trials (RCTs) assessing the effects of pharmacological or non-pharmacological interventions on the Mini-Mental State Examination (MMSE) in MCI patients were included. Two authors independently screened the studies and extracted the data. Random-effects network meta-analysis was used to synthesize the data. Results were summarized as mean difference (MD) and corresponding 95% CIs of MMSE in forest plots.Results: Fifty RCTs with 5,944 MCI patients met the inclusion criteria and 49 were included in the network meta-analysis. Compared with the control group, cognition-based intervention (MD = 0.80, 95% CI 0.04–1.57), physical exercise (MD = 1.92, 95% CI 1.19–2.64), combined physical exercise and cognition-based intervention (MD = 1.86, 95% CI 0.60–3.12), and antioxidants (MD = 0.94, 95% CI 0.04–1.83) had positive effects on MMSE in participants with MCI. There was no significant difference between all other interventions included and the control group.Conclusions: This study suggested that cognition-based intervention, physical exercise, combined physical exercise and cognition-based intervention, and antioxidants could be among the most effective interventions on global cognition in older adults with MCI. The availability, acceptability, and cost-effectiveness of interventions should also be taken into consideration when selecting interventions.Registration: PROSPERO CRD42020171985.","container-title":"Frontiers in Aging Neuroscience","ISSN":"1663-4365","source":"Frontiers","title":"Comparative effectiveness of interventions for global cognition in patients with mild cognitive impairment: A systematic review and network meta-analysis of randomized controlled trials","title-short":"Comparative Effectiveness of Interventions for Global Cognition in Patients With Mild Cognitive Impairment","URL":"https://www.frontiersin.org/articles/10.3389/fnagi.2021.653340","volume":"13","author":[{"family":"Xu","given":"Zijun"},{"family":"Sun","given":"Wen"},{"family":"Zhang","given":"Dexing"},{"family":"Chung","given":"Vincent Chi-Ho"},{"family":"Sit","given":"Regina Wing-Shan"},{"family":"Wong","given":"Samuel Yeung-Shan"}],"accessed":{"date-parts":[["2022",10,21]]},"issued":{"date-parts":[["2021"]]}}}],"schema":"https://github.com/citation-style-language/schema/raw/master/csl-citation.json"} </w:instrText>
      </w:r>
      <w:r w:rsidRPr="00275946">
        <w:rPr>
          <w:color w:val="2B579A"/>
          <w:shd w:val="clear" w:color="auto" w:fill="E6E6E6"/>
        </w:rPr>
        <w:fldChar w:fldCharType="separate"/>
      </w:r>
      <w:r w:rsidRPr="00275946">
        <w:rPr>
          <w:rFonts w:cs="Arial"/>
          <w:vertAlign w:val="superscript"/>
        </w:rPr>
        <w:t>3,153,164,165</w:t>
      </w:r>
      <w:r w:rsidRPr="00275946">
        <w:rPr>
          <w:color w:val="2B579A"/>
          <w:shd w:val="clear" w:color="auto" w:fill="E6E6E6"/>
        </w:rPr>
        <w:fldChar w:fldCharType="end"/>
      </w:r>
      <w:r w:rsidRPr="00275946">
        <w:t xml:space="preserve"> Lifestyle strategies can be encouraged across all types of roles.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Role of primary care "/>
        <w:tblDescription w:val="Box explaining primary care has a key role is supporting people with lifestyle factors including preventable and modifiable risk factors for cognitive impairment. Some practices have integrated teams including health coaches and others aside from a GP who can support people."/>
      </w:tblPr>
      <w:tblGrid>
        <w:gridCol w:w="9010"/>
      </w:tblGrid>
      <w:tr w:rsidR="00062FA9" w:rsidRPr="00275946" w14:paraId="66C79A71" w14:textId="77777777" w:rsidTr="00234887">
        <w:tc>
          <w:tcPr>
            <w:tcW w:w="9010" w:type="dxa"/>
            <w:shd w:val="clear" w:color="auto" w:fill="F2F2F2" w:themeFill="background1" w:themeFillShade="F2"/>
          </w:tcPr>
          <w:p w14:paraId="331925B0" w14:textId="77777777" w:rsidR="00062FA9" w:rsidRPr="00275946" w:rsidRDefault="00062FA9" w:rsidP="00BE6A58">
            <w:r w:rsidRPr="00275946">
              <w:t xml:space="preserve">Primary care plays a key role in supporting people with lifestyle strategies and to reduce any modifiable risk factors for cognitive impairment. This includes support to reduce or quit smoking. Refer to a primary care practice for support in this area. Some primary care practices have integrated mental health and addiction teams including support workers, health improvement practitioners, and health coaches </w:t>
            </w:r>
            <w:r w:rsidRPr="00122447">
              <w:rPr>
                <w:szCs w:val="24"/>
              </w:rPr>
              <w:t xml:space="preserve">who provide free support with these strategies. To find a provider go to the </w:t>
            </w:r>
            <w:hyperlink r:id="rId55" w:history="1">
              <w:r w:rsidRPr="00122447">
                <w:rPr>
                  <w:rStyle w:val="Hyperlink"/>
                  <w:color w:val="000000" w:themeColor="text1"/>
                  <w:szCs w:val="24"/>
                </w:rPr>
                <w:t>wellbeing support website.</w:t>
              </w:r>
              <w:r w:rsidRPr="00275946">
                <w:rPr>
                  <w:rStyle w:val="Hyperlink"/>
                  <w:color w:val="000000" w:themeColor="text1"/>
                  <w:sz w:val="22"/>
                </w:rPr>
                <w:t xml:space="preserve"> </w:t>
              </w:r>
            </w:hyperlink>
            <w:r w:rsidRPr="00275946">
              <w:t xml:space="preserve"> </w:t>
            </w:r>
          </w:p>
        </w:tc>
      </w:tr>
    </w:tbl>
    <w:p w14:paraId="127CC229" w14:textId="77777777" w:rsidR="00062FA9" w:rsidRPr="00275946" w:rsidRDefault="00062FA9" w:rsidP="00062FA9">
      <w:pPr>
        <w:pStyle w:val="Caption"/>
        <w:rPr>
          <w:sz w:val="22"/>
          <w:szCs w:val="22"/>
        </w:rPr>
      </w:pPr>
    </w:p>
    <w:p w14:paraId="573161F4" w14:textId="77777777" w:rsidR="00062FA9" w:rsidRPr="00275946" w:rsidRDefault="00062FA9" w:rsidP="00062FA9">
      <w:pPr>
        <w:spacing w:before="0" w:after="160" w:line="259" w:lineRule="auto"/>
        <w:rPr>
          <w:color w:val="474C55"/>
          <w:sz w:val="22"/>
        </w:rPr>
      </w:pPr>
      <w:r w:rsidRPr="00275946">
        <w:rPr>
          <w:sz w:val="22"/>
        </w:rPr>
        <w:br w:type="page"/>
      </w:r>
    </w:p>
    <w:p w14:paraId="1C87BD49" w14:textId="3BBBCBE3" w:rsidR="00062FA9" w:rsidRPr="00275946" w:rsidRDefault="00062FA9" w:rsidP="00BE6A58">
      <w:pPr>
        <w:pStyle w:val="Figure"/>
      </w:pPr>
      <w:bookmarkStart w:id="1339" w:name="_Toc179461357"/>
      <w:r w:rsidRPr="00275946">
        <w:rPr>
          <w:noProof/>
          <w:lang w:val="mi-NZ"/>
        </w:rPr>
        <w:lastRenderedPageBreak/>
        <w:drawing>
          <wp:anchor distT="0" distB="0" distL="114300" distR="114300" simplePos="0" relativeHeight="251795456" behindDoc="0" locked="0" layoutInCell="1" allowOverlap="1" wp14:anchorId="675EF246" wp14:editId="408152A7">
            <wp:simplePos x="0" y="0"/>
            <wp:positionH relativeFrom="column">
              <wp:posOffset>405130</wp:posOffset>
            </wp:positionH>
            <wp:positionV relativeFrom="paragraph">
              <wp:posOffset>443865</wp:posOffset>
            </wp:positionV>
            <wp:extent cx="1104900" cy="1093768"/>
            <wp:effectExtent l="0" t="0" r="0" b="0"/>
            <wp:wrapSquare wrapText="bothSides"/>
            <wp:docPr id="1213339785" name="Picture 12133397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339785" name="Picture 1213339785">
                      <a:extLst>
                        <a:ext uri="{C183D7F6-B498-43B3-948B-1728B52AA6E4}">
                          <adec:decorative xmlns:adec="http://schemas.microsoft.com/office/drawing/2017/decorative" val="1"/>
                        </a:ext>
                      </a:extLst>
                    </pic:cNvPr>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104900" cy="1093768"/>
                    </a:xfrm>
                    <a:prstGeom prst="rect">
                      <a:avLst/>
                    </a:prstGeom>
                  </pic:spPr>
                </pic:pic>
              </a:graphicData>
            </a:graphic>
          </wp:anchor>
        </w:drawing>
      </w:r>
      <w:r w:rsidRPr="00275946">
        <w:rPr>
          <w:noProof/>
          <w:lang w:val="mi-NZ"/>
        </w:rPr>
        <w:drawing>
          <wp:anchor distT="0" distB="0" distL="114300" distR="114300" simplePos="0" relativeHeight="251796480" behindDoc="0" locked="0" layoutInCell="1" allowOverlap="1" wp14:anchorId="3C4CA7BC" wp14:editId="63CBB3AE">
            <wp:simplePos x="0" y="0"/>
            <wp:positionH relativeFrom="margin">
              <wp:align>center</wp:align>
            </wp:positionH>
            <wp:positionV relativeFrom="paragraph">
              <wp:posOffset>455930</wp:posOffset>
            </wp:positionV>
            <wp:extent cx="1130300" cy="1118912"/>
            <wp:effectExtent l="0" t="0" r="0" b="5080"/>
            <wp:wrapSquare wrapText="bothSides"/>
            <wp:docPr id="633609890" name="Picture 6336098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609890" name="Picture 633609890">
                      <a:extLst>
                        <a:ext uri="{C183D7F6-B498-43B3-948B-1728B52AA6E4}">
                          <adec:decorative xmlns:adec="http://schemas.microsoft.com/office/drawing/2017/decorative" val="1"/>
                        </a:ext>
                      </a:extLst>
                    </pic:cNvPr>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130300" cy="1118912"/>
                    </a:xfrm>
                    <a:prstGeom prst="rect">
                      <a:avLst/>
                    </a:prstGeom>
                  </pic:spPr>
                </pic:pic>
              </a:graphicData>
            </a:graphic>
          </wp:anchor>
        </w:drawing>
      </w:r>
      <w:r w:rsidRPr="00275946">
        <w:rPr>
          <w:noProof/>
          <w:lang w:val="mi-NZ"/>
        </w:rPr>
        <w:drawing>
          <wp:anchor distT="0" distB="0" distL="114300" distR="114300" simplePos="0" relativeHeight="251797504" behindDoc="0" locked="0" layoutInCell="1" allowOverlap="1" wp14:anchorId="18B918FE" wp14:editId="100088A4">
            <wp:simplePos x="0" y="0"/>
            <wp:positionH relativeFrom="column">
              <wp:posOffset>4423410</wp:posOffset>
            </wp:positionH>
            <wp:positionV relativeFrom="paragraph">
              <wp:posOffset>401955</wp:posOffset>
            </wp:positionV>
            <wp:extent cx="1143000" cy="1131483"/>
            <wp:effectExtent l="0" t="0" r="0" b="0"/>
            <wp:wrapSquare wrapText="bothSides"/>
            <wp:docPr id="751724165" name="Picture 7517241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724165" name="Picture 751724165">
                      <a:extLst>
                        <a:ext uri="{C183D7F6-B498-43B3-948B-1728B52AA6E4}">
                          <adec:decorative xmlns:adec="http://schemas.microsoft.com/office/drawing/2017/decorative" val="1"/>
                        </a:ext>
                      </a:extLst>
                    </pic:cNvPr>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143000" cy="1131483"/>
                    </a:xfrm>
                    <a:prstGeom prst="rect">
                      <a:avLst/>
                    </a:prstGeom>
                  </pic:spPr>
                </pic:pic>
              </a:graphicData>
            </a:graphic>
          </wp:anchor>
        </w:drawing>
      </w:r>
      <w:r w:rsidRPr="00275946">
        <w:t xml:space="preserve">Figure </w:t>
      </w:r>
      <w:r w:rsidRPr="00275946">
        <w:fldChar w:fldCharType="begin"/>
      </w:r>
      <w:r w:rsidRPr="00275946">
        <w:instrText xml:space="preserve"> SEQ Figure \* ARABIC </w:instrText>
      </w:r>
      <w:r w:rsidRPr="00275946">
        <w:fldChar w:fldCharType="separate"/>
      </w:r>
      <w:r w:rsidR="007F1966">
        <w:rPr>
          <w:noProof/>
        </w:rPr>
        <w:t>8</w:t>
      </w:r>
      <w:r w:rsidRPr="00275946">
        <w:fldChar w:fldCharType="end"/>
      </w:r>
      <w:r w:rsidRPr="00275946">
        <w:t>. Key lifestyle strategies to support cognition</w:t>
      </w:r>
      <w:r w:rsidRPr="00275946">
        <w:fldChar w:fldCharType="begin"/>
      </w:r>
      <w:r w:rsidRPr="00275946">
        <w:instrText xml:space="preserve"> ADDIN ZOTERO_ITEM CSL_CITATION {"citationID":"a2o671ml4op","properties":{"formattedCitation":"\\super 3\\nosupersub{}","plainCitation":"3","noteIndex":0},"citationItems":[{"id":14007,"uris":["http://zotero.org/groups/4745233/items/U3GGYCKU"],"itemData":{"id":14007,"type":"report","event-place":"Richmond, Victoria","language":"en","publisher":"Turning Point","publisher-place":"Richmond, Victoria","source":"Zotero","title":"Managing Cognitive Impairment in AOD Treatment: Practice Guidelines for Healthcare Professionals","URL":"https://www.turningpoint.org.au/treatment/clinicians/Managing-Cognitive-Impairment-in-AOD-Treatment-Guidelines","author":[{"family":"Manning","given":"Victoria"},{"family":"Gooden","given":"James"},{"family":"Cox","given":"Catherine"},{"family":"Whelan","given":"Danielle"},{"family":"Miroz","given":"Katherine"}],"issued":{"date-parts":[["2021"]]}}}],"schema":"https://github.com/citation-style-language/schema/raw/master/csl-citation.json"} </w:instrText>
      </w:r>
      <w:r w:rsidRPr="00275946">
        <w:fldChar w:fldCharType="separate"/>
      </w:r>
      <w:r w:rsidRPr="00275946">
        <w:rPr>
          <w:rFonts w:cs="Arial"/>
          <w:vertAlign w:val="superscript"/>
        </w:rPr>
        <w:t>3</w:t>
      </w:r>
      <w:bookmarkEnd w:id="1339"/>
      <w:r w:rsidRPr="00275946">
        <w:fldChar w:fldCharType="end"/>
      </w:r>
    </w:p>
    <w:tbl>
      <w:tblPr>
        <w:tblStyle w:val="TableGrid"/>
        <w:tblW w:w="9185" w:type="dxa"/>
        <w:tblInd w:w="-5" w:type="dxa"/>
        <w:tblBorders>
          <w:top w:val="none" w:sz="0" w:space="0" w:color="auto"/>
          <w:left w:val="none" w:sz="0" w:space="0" w:color="auto"/>
          <w:bottom w:val="none" w:sz="0" w:space="0" w:color="auto"/>
          <w:right w:val="none" w:sz="0" w:space="0" w:color="auto"/>
          <w:insideH w:val="none" w:sz="0" w:space="0" w:color="auto"/>
          <w:insideV w:val="single" w:sz="24" w:space="0" w:color="FFFFFF" w:themeColor="background1"/>
        </w:tblBorders>
        <w:tblCellMar>
          <w:top w:w="227" w:type="dxa"/>
          <w:bottom w:w="227" w:type="dxa"/>
        </w:tblCellMar>
        <w:tblLook w:val="04A0" w:firstRow="1" w:lastRow="0" w:firstColumn="1" w:lastColumn="0" w:noHBand="0" w:noVBand="1"/>
        <w:tblCaption w:val="Lifstyle strategies that support cognition"/>
        <w:tblDescription w:val="Three boxes showing the lifestyle strategies to encourage - a nutritious diet, physical and social activity, and good sleep habits"/>
      </w:tblPr>
      <w:tblGrid>
        <w:gridCol w:w="3106"/>
        <w:gridCol w:w="3173"/>
        <w:gridCol w:w="2906"/>
      </w:tblGrid>
      <w:tr w:rsidR="00062FA9" w:rsidRPr="00275946" w14:paraId="3D2B577E" w14:textId="77777777" w:rsidTr="00DC0794">
        <w:trPr>
          <w:trHeight w:val="309"/>
        </w:trPr>
        <w:tc>
          <w:tcPr>
            <w:tcW w:w="3106" w:type="dxa"/>
            <w:shd w:val="clear" w:color="auto" w:fill="0C818E" w:themeFill="accent1"/>
          </w:tcPr>
          <w:p w14:paraId="1E7565B9" w14:textId="77777777" w:rsidR="00062FA9" w:rsidRPr="00122447" w:rsidRDefault="00062FA9" w:rsidP="00234887">
            <w:pPr>
              <w:rPr>
                <w:b/>
                <w:bCs/>
                <w:color w:val="FFFFFF" w:themeColor="background1"/>
                <w:szCs w:val="24"/>
              </w:rPr>
            </w:pPr>
            <w:r w:rsidRPr="00122447">
              <w:rPr>
                <w:b/>
                <w:bCs/>
                <w:color w:val="FFFFFF" w:themeColor="background1"/>
                <w:szCs w:val="24"/>
              </w:rPr>
              <w:t>Food and nutrition</w:t>
            </w:r>
          </w:p>
        </w:tc>
        <w:tc>
          <w:tcPr>
            <w:tcW w:w="3173" w:type="dxa"/>
            <w:shd w:val="clear" w:color="auto" w:fill="1E7880" w:themeFill="accent2" w:themeFillShade="BF"/>
          </w:tcPr>
          <w:p w14:paraId="18CC39A2" w14:textId="77777777" w:rsidR="00062FA9" w:rsidRPr="00122447" w:rsidRDefault="00062FA9" w:rsidP="00234887">
            <w:pPr>
              <w:rPr>
                <w:b/>
                <w:bCs/>
                <w:color w:val="FFFFFF" w:themeColor="background1"/>
                <w:szCs w:val="24"/>
              </w:rPr>
            </w:pPr>
            <w:r w:rsidRPr="00122447">
              <w:rPr>
                <w:b/>
                <w:bCs/>
                <w:color w:val="FFFFFF" w:themeColor="background1"/>
                <w:szCs w:val="24"/>
              </w:rPr>
              <w:t>Physical and social activity</w:t>
            </w:r>
          </w:p>
        </w:tc>
        <w:tc>
          <w:tcPr>
            <w:tcW w:w="2906" w:type="dxa"/>
            <w:shd w:val="clear" w:color="auto" w:fill="003399" w:themeFill="accent3"/>
          </w:tcPr>
          <w:p w14:paraId="6DCBC401" w14:textId="77777777" w:rsidR="00062FA9" w:rsidRPr="00122447" w:rsidRDefault="00062FA9" w:rsidP="00234887">
            <w:pPr>
              <w:rPr>
                <w:b/>
                <w:bCs/>
                <w:color w:val="FFFFFF" w:themeColor="background1"/>
                <w:szCs w:val="24"/>
              </w:rPr>
            </w:pPr>
            <w:r w:rsidRPr="00122447">
              <w:rPr>
                <w:b/>
                <w:bCs/>
                <w:color w:val="FFFFFF" w:themeColor="background1"/>
                <w:szCs w:val="24"/>
              </w:rPr>
              <w:t>Sleep</w:t>
            </w:r>
          </w:p>
        </w:tc>
      </w:tr>
      <w:tr w:rsidR="00062FA9" w:rsidRPr="00275946" w14:paraId="749F2774" w14:textId="77777777" w:rsidTr="00234887">
        <w:trPr>
          <w:trHeight w:val="4992"/>
        </w:trPr>
        <w:tc>
          <w:tcPr>
            <w:tcW w:w="3106" w:type="dxa"/>
            <w:shd w:val="clear" w:color="auto" w:fill="BDF3F9" w:themeFill="accent1" w:themeFillTint="33"/>
          </w:tcPr>
          <w:p w14:paraId="42C863CD" w14:textId="77777777" w:rsidR="00062FA9" w:rsidRPr="00BE6A58" w:rsidRDefault="00062FA9" w:rsidP="00DA2AEF">
            <w:pPr>
              <w:pStyle w:val="List"/>
              <w:numPr>
                <w:ilvl w:val="0"/>
                <w:numId w:val="86"/>
              </w:numPr>
              <w:spacing w:after="120"/>
              <w:contextualSpacing w:val="0"/>
              <w:rPr>
                <w:szCs w:val="24"/>
              </w:rPr>
            </w:pPr>
            <w:r w:rsidRPr="00BE6A58">
              <w:rPr>
                <w:szCs w:val="24"/>
              </w:rPr>
              <w:t>Encourage a variety of nutritious foods.</w:t>
            </w:r>
          </w:p>
          <w:p w14:paraId="1CA97FF3" w14:textId="77777777" w:rsidR="00062FA9" w:rsidRPr="00BE6A58" w:rsidRDefault="00062FA9" w:rsidP="00DA2AEF">
            <w:pPr>
              <w:pStyle w:val="List"/>
              <w:numPr>
                <w:ilvl w:val="0"/>
                <w:numId w:val="86"/>
              </w:numPr>
              <w:spacing w:after="120"/>
              <w:contextualSpacing w:val="0"/>
              <w:rPr>
                <w:szCs w:val="24"/>
              </w:rPr>
            </w:pPr>
            <w:r w:rsidRPr="00BE6A58">
              <w:rPr>
                <w:szCs w:val="24"/>
              </w:rPr>
              <w:t>Encourage people's traditional/cultural foods and practices.</w:t>
            </w:r>
          </w:p>
          <w:p w14:paraId="2D9E43E7" w14:textId="77777777" w:rsidR="00062FA9" w:rsidRPr="00BE6A58" w:rsidRDefault="00062FA9" w:rsidP="00DA2AEF">
            <w:pPr>
              <w:pStyle w:val="List"/>
              <w:numPr>
                <w:ilvl w:val="0"/>
                <w:numId w:val="86"/>
              </w:numPr>
              <w:spacing w:after="120"/>
              <w:contextualSpacing w:val="0"/>
              <w:rPr>
                <w:szCs w:val="24"/>
              </w:rPr>
            </w:pPr>
            <w:r w:rsidRPr="00BE6A58">
              <w:rPr>
                <w:szCs w:val="24"/>
              </w:rPr>
              <w:t xml:space="preserve">Explore food insecurity and reduced access to food. </w:t>
            </w:r>
          </w:p>
          <w:p w14:paraId="2B9FB85B" w14:textId="77777777" w:rsidR="00062FA9" w:rsidRPr="00BE6A58" w:rsidRDefault="00062FA9" w:rsidP="00DA2AEF">
            <w:pPr>
              <w:pStyle w:val="List"/>
              <w:numPr>
                <w:ilvl w:val="0"/>
                <w:numId w:val="86"/>
              </w:numPr>
              <w:spacing w:after="120"/>
              <w:contextualSpacing w:val="0"/>
              <w:rPr>
                <w:szCs w:val="24"/>
              </w:rPr>
            </w:pPr>
            <w:r w:rsidRPr="00BE6A58">
              <w:rPr>
                <w:szCs w:val="24"/>
              </w:rPr>
              <w:t xml:space="preserve">Explore barriers like difficulty swallowing. </w:t>
            </w:r>
          </w:p>
          <w:p w14:paraId="297040D2" w14:textId="77777777" w:rsidR="00062FA9" w:rsidRPr="00BE6A58" w:rsidRDefault="00062FA9" w:rsidP="00DA2AEF">
            <w:pPr>
              <w:pStyle w:val="List"/>
              <w:numPr>
                <w:ilvl w:val="0"/>
                <w:numId w:val="86"/>
              </w:numPr>
              <w:spacing w:after="120"/>
              <w:contextualSpacing w:val="0"/>
              <w:rPr>
                <w:szCs w:val="24"/>
              </w:rPr>
            </w:pPr>
            <w:r w:rsidRPr="00BE6A58">
              <w:rPr>
                <w:szCs w:val="24"/>
              </w:rPr>
              <w:t>Supplement with thiamine where appropriate.</w:t>
            </w:r>
          </w:p>
          <w:p w14:paraId="52736FE3" w14:textId="77777777" w:rsidR="00062FA9" w:rsidRPr="00275946" w:rsidRDefault="00062FA9" w:rsidP="00DA2AEF">
            <w:pPr>
              <w:pStyle w:val="List"/>
              <w:numPr>
                <w:ilvl w:val="0"/>
                <w:numId w:val="86"/>
              </w:numPr>
              <w:spacing w:after="120"/>
              <w:contextualSpacing w:val="0"/>
              <w:rPr>
                <w:sz w:val="22"/>
              </w:rPr>
            </w:pPr>
            <w:r w:rsidRPr="00BE6A58">
              <w:rPr>
                <w:szCs w:val="24"/>
              </w:rPr>
              <w:t>Refer to a dietitian if people want more support.</w:t>
            </w:r>
          </w:p>
        </w:tc>
        <w:tc>
          <w:tcPr>
            <w:tcW w:w="3173" w:type="dxa"/>
            <w:shd w:val="clear" w:color="auto" w:fill="CEF0F3" w:themeFill="accent2" w:themeFillTint="33"/>
          </w:tcPr>
          <w:p w14:paraId="319828C3" w14:textId="77777777" w:rsidR="00062FA9" w:rsidRPr="00BE6A58" w:rsidRDefault="00062FA9" w:rsidP="00DA2AEF">
            <w:pPr>
              <w:pStyle w:val="List"/>
              <w:numPr>
                <w:ilvl w:val="0"/>
                <w:numId w:val="87"/>
              </w:numPr>
              <w:spacing w:after="120"/>
              <w:contextualSpacing w:val="0"/>
              <w:rPr>
                <w:szCs w:val="24"/>
              </w:rPr>
            </w:pPr>
            <w:r w:rsidRPr="00BE6A58">
              <w:rPr>
                <w:szCs w:val="24"/>
              </w:rPr>
              <w:t>Encourage physical activity that is safe and enjoyable.</w:t>
            </w:r>
          </w:p>
          <w:p w14:paraId="35609DC0" w14:textId="77777777" w:rsidR="00062FA9" w:rsidRPr="00BE6A58" w:rsidRDefault="00062FA9" w:rsidP="00DA2AEF">
            <w:pPr>
              <w:pStyle w:val="List"/>
              <w:numPr>
                <w:ilvl w:val="0"/>
                <w:numId w:val="87"/>
              </w:numPr>
              <w:spacing w:after="120"/>
              <w:contextualSpacing w:val="0"/>
              <w:rPr>
                <w:szCs w:val="24"/>
              </w:rPr>
            </w:pPr>
            <w:r w:rsidRPr="00BE6A58">
              <w:rPr>
                <w:szCs w:val="24"/>
              </w:rPr>
              <w:t>Physical activity helps both cognitive functioning and supports reduction of problematic substance use as part of a support plan.</w:t>
            </w:r>
          </w:p>
          <w:p w14:paraId="5690B194" w14:textId="77777777" w:rsidR="00062FA9" w:rsidRPr="00BE6A58" w:rsidRDefault="00062FA9" w:rsidP="00DA2AEF">
            <w:pPr>
              <w:pStyle w:val="List"/>
              <w:numPr>
                <w:ilvl w:val="0"/>
                <w:numId w:val="87"/>
              </w:numPr>
              <w:spacing w:after="120"/>
              <w:contextualSpacing w:val="0"/>
              <w:rPr>
                <w:szCs w:val="24"/>
              </w:rPr>
            </w:pPr>
            <w:r w:rsidRPr="00BE6A58">
              <w:rPr>
                <w:szCs w:val="24"/>
              </w:rPr>
              <w:t>Encourage social activity especially for older people to slow cognitive changes.</w:t>
            </w:r>
          </w:p>
          <w:p w14:paraId="07F96B03" w14:textId="77777777" w:rsidR="00062FA9" w:rsidRPr="00275946" w:rsidRDefault="00062FA9" w:rsidP="00234887">
            <w:pPr>
              <w:pStyle w:val="List"/>
              <w:ind w:left="587" w:firstLine="0"/>
              <w:rPr>
                <w:sz w:val="22"/>
              </w:rPr>
            </w:pPr>
          </w:p>
        </w:tc>
        <w:tc>
          <w:tcPr>
            <w:tcW w:w="2906" w:type="dxa"/>
            <w:shd w:val="clear" w:color="auto" w:fill="B7CFFF" w:themeFill="accent3" w:themeFillTint="33"/>
          </w:tcPr>
          <w:p w14:paraId="068B0951" w14:textId="0DD43523" w:rsidR="00062FA9" w:rsidRPr="00BE6A58" w:rsidRDefault="00062FA9" w:rsidP="00BE6A58">
            <w:pPr>
              <w:pStyle w:val="List"/>
              <w:ind w:left="0" w:firstLine="0"/>
              <w:rPr>
                <w:szCs w:val="24"/>
              </w:rPr>
            </w:pPr>
            <w:r w:rsidRPr="00BE6A58">
              <w:rPr>
                <w:szCs w:val="24"/>
              </w:rPr>
              <w:t>Encourage people to:</w:t>
            </w:r>
          </w:p>
          <w:p w14:paraId="1EF116E2" w14:textId="77777777" w:rsidR="00062FA9" w:rsidRPr="00BE6A58" w:rsidRDefault="00062FA9" w:rsidP="00DA2AEF">
            <w:pPr>
              <w:pStyle w:val="List"/>
              <w:numPr>
                <w:ilvl w:val="0"/>
                <w:numId w:val="88"/>
              </w:numPr>
              <w:spacing w:after="120"/>
              <w:contextualSpacing w:val="0"/>
              <w:rPr>
                <w:szCs w:val="24"/>
              </w:rPr>
            </w:pPr>
            <w:r w:rsidRPr="00BE6A58">
              <w:rPr>
                <w:szCs w:val="24"/>
              </w:rPr>
              <w:t>have a regular bedtime routine</w:t>
            </w:r>
          </w:p>
          <w:p w14:paraId="2207A742" w14:textId="77777777" w:rsidR="00062FA9" w:rsidRPr="00BE6A58" w:rsidRDefault="00062FA9" w:rsidP="00DA2AEF">
            <w:pPr>
              <w:pStyle w:val="List"/>
              <w:numPr>
                <w:ilvl w:val="0"/>
                <w:numId w:val="88"/>
              </w:numPr>
              <w:spacing w:after="120"/>
              <w:contextualSpacing w:val="0"/>
              <w:rPr>
                <w:szCs w:val="24"/>
              </w:rPr>
            </w:pPr>
            <w:r w:rsidRPr="00BE6A58">
              <w:rPr>
                <w:szCs w:val="24"/>
              </w:rPr>
              <w:t>reduce caffeine and stimulant use after midday</w:t>
            </w:r>
          </w:p>
          <w:p w14:paraId="1AA84993" w14:textId="77777777" w:rsidR="00062FA9" w:rsidRPr="00BE6A58" w:rsidRDefault="00062FA9" w:rsidP="00DA2AEF">
            <w:pPr>
              <w:pStyle w:val="List"/>
              <w:numPr>
                <w:ilvl w:val="0"/>
                <w:numId w:val="88"/>
              </w:numPr>
              <w:spacing w:after="120"/>
              <w:contextualSpacing w:val="0"/>
              <w:rPr>
                <w:szCs w:val="24"/>
              </w:rPr>
            </w:pPr>
            <w:r w:rsidRPr="00BE6A58">
              <w:rPr>
                <w:szCs w:val="24"/>
              </w:rPr>
              <w:t>use blue light filters on devices and reduce screen time before bed</w:t>
            </w:r>
          </w:p>
          <w:p w14:paraId="451B4187" w14:textId="77777777" w:rsidR="00062FA9" w:rsidRPr="00BE6A58" w:rsidRDefault="00062FA9" w:rsidP="00DA2AEF">
            <w:pPr>
              <w:pStyle w:val="List"/>
              <w:numPr>
                <w:ilvl w:val="0"/>
                <w:numId w:val="88"/>
              </w:numPr>
              <w:spacing w:after="120"/>
              <w:contextualSpacing w:val="0"/>
              <w:rPr>
                <w:szCs w:val="24"/>
              </w:rPr>
            </w:pPr>
            <w:r w:rsidRPr="00BE6A58">
              <w:rPr>
                <w:szCs w:val="24"/>
              </w:rPr>
              <w:t>get outside in the morning</w:t>
            </w:r>
          </w:p>
          <w:p w14:paraId="41ADA991" w14:textId="77777777" w:rsidR="00062FA9" w:rsidRPr="00BE6A58" w:rsidRDefault="00062FA9" w:rsidP="00DA2AEF">
            <w:pPr>
              <w:pStyle w:val="List"/>
              <w:numPr>
                <w:ilvl w:val="0"/>
                <w:numId w:val="88"/>
              </w:numPr>
              <w:spacing w:after="120"/>
              <w:contextualSpacing w:val="0"/>
              <w:rPr>
                <w:szCs w:val="24"/>
              </w:rPr>
            </w:pPr>
            <w:r w:rsidRPr="00BE6A58">
              <w:rPr>
                <w:szCs w:val="24"/>
              </w:rPr>
              <w:t>use relaxation techniques like deep breathing.</w:t>
            </w:r>
          </w:p>
          <w:p w14:paraId="3E4EEB21" w14:textId="77777777" w:rsidR="00062FA9" w:rsidRPr="00275946" w:rsidRDefault="00062FA9" w:rsidP="00234887">
            <w:pPr>
              <w:pStyle w:val="List"/>
              <w:ind w:left="587" w:firstLine="0"/>
              <w:rPr>
                <w:sz w:val="22"/>
              </w:rPr>
            </w:pPr>
          </w:p>
        </w:tc>
      </w:tr>
    </w:tbl>
    <w:p w14:paraId="18B97E83" w14:textId="77777777" w:rsidR="00062FA9" w:rsidRDefault="00062FA9" w:rsidP="00062FA9">
      <w:pPr>
        <w:pStyle w:val="List"/>
        <w:ind w:left="720" w:firstLine="0"/>
        <w:rPr>
          <w:sz w:val="22"/>
        </w:rPr>
      </w:pPr>
    </w:p>
    <w:p w14:paraId="1F371453" w14:textId="77777777" w:rsidR="00062FA9" w:rsidRPr="00B9282B" w:rsidRDefault="00062FA9" w:rsidP="00BE6A58">
      <w:pPr>
        <w:pStyle w:val="Bulletpoint"/>
      </w:pPr>
      <w:r w:rsidRPr="00B9282B">
        <w:t xml:space="preserve">Encourage tāngata whai ora Māori who find it helpful to access support for wairuatanga (spirituality). For example, accessing environmental places of significance (marae, maunga/mountain, whenua/land, awa/river, moana/sea), and connecting with tūpuna (ancestors) in ways that are meaningful for them. </w:t>
      </w:r>
    </w:p>
    <w:p w14:paraId="1F13787D" w14:textId="77777777" w:rsidR="00062FA9" w:rsidRPr="00B9282B" w:rsidRDefault="00062FA9" w:rsidP="00BE6A58">
      <w:pPr>
        <w:pStyle w:val="Bulletpoint"/>
      </w:pPr>
      <w:r w:rsidRPr="00B9282B">
        <w:lastRenderedPageBreak/>
        <w:t>Encourage access to traditional cultural approaches like rongoā (such as mirimiri), herbal medicine, acupuncture, and other traditional practices that support people’s cognitive wellbeing.</w:t>
      </w:r>
    </w:p>
    <w:p w14:paraId="7194D8AE" w14:textId="4D3E9E35" w:rsidR="00062FA9" w:rsidRPr="005F22ED" w:rsidRDefault="00062FA9" w:rsidP="00BE6A58">
      <w:pPr>
        <w:pStyle w:val="Bulletpoint"/>
      </w:pPr>
      <w:r w:rsidRPr="00B9282B">
        <w:t xml:space="preserve">For healthy eating and activity guidance see the Ministry of Health Manatū Hauora </w:t>
      </w:r>
      <w:hyperlink r:id="rId59" w:history="1">
        <w:r w:rsidRPr="005F22ED">
          <w:rPr>
            <w:rStyle w:val="Hyperlink"/>
            <w:sz w:val="22"/>
          </w:rPr>
          <w:t>Eating and Activity Guidelines for New Zealand Adults</w:t>
        </w:r>
      </w:hyperlink>
      <w:r w:rsidRPr="005F22ED">
        <w:t xml:space="preserve">. </w:t>
      </w:r>
    </w:p>
    <w:p w14:paraId="7F823925" w14:textId="77777777" w:rsidR="00A440F4" w:rsidRPr="00A440F4" w:rsidRDefault="00A440F4" w:rsidP="00A440F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Thiamine supplementation"/>
        <w:tblDescription w:val="Box describing that vitamin B1/thiamine is helpful for most people people using alcohol problematically. The dose and method of administration for supplementation may differ depending on the context so medical review is required"/>
      </w:tblPr>
      <w:tblGrid>
        <w:gridCol w:w="9010"/>
      </w:tblGrid>
      <w:tr w:rsidR="00062FA9" w:rsidRPr="00B9282B" w14:paraId="3716238F" w14:textId="77777777" w:rsidTr="00234887">
        <w:tc>
          <w:tcPr>
            <w:tcW w:w="9010" w:type="dxa"/>
            <w:shd w:val="clear" w:color="auto" w:fill="F2F2F2" w:themeFill="background1" w:themeFillShade="F2"/>
          </w:tcPr>
          <w:p w14:paraId="7649875D" w14:textId="77777777" w:rsidR="00062FA9" w:rsidRPr="004233B9" w:rsidRDefault="00062FA9" w:rsidP="004233B9">
            <w:pPr>
              <w:rPr>
                <w:b/>
                <w:bCs/>
              </w:rPr>
            </w:pPr>
            <w:r w:rsidRPr="004233B9">
              <w:rPr>
                <w:b/>
                <w:bCs/>
              </w:rPr>
              <w:t>Thiamine supplementation</w:t>
            </w:r>
          </w:p>
          <w:p w14:paraId="7DDAFA3C" w14:textId="77777777" w:rsidR="00062FA9" w:rsidRPr="00B9282B" w:rsidRDefault="00062FA9" w:rsidP="004233B9">
            <w:r w:rsidRPr="00B9282B">
              <w:t>Vitamin B1/thiamine supplementation is helpful for most people using alcohol problematically and is generally safe with minimal (if any) side effects. Also encourage thiamine rich foods like wholegrain breads and cereals, nuts and seeds, and meat.</w:t>
            </w:r>
          </w:p>
          <w:p w14:paraId="54BECEF3" w14:textId="77777777" w:rsidR="00062FA9" w:rsidRPr="00B9282B" w:rsidRDefault="00062FA9" w:rsidP="004233B9">
            <w:r w:rsidRPr="00B9282B">
              <w:t>Different doses and methods of administration are appropriate in different situations. For example, oral thiamine supplements are not sufficient to treat or prevent Wernicke’s Encephalopathy during alcohol withdrawal.</w:t>
            </w:r>
            <w:r w:rsidRPr="00B9282B">
              <w:fldChar w:fldCharType="begin"/>
            </w:r>
            <w:r w:rsidRPr="00B9282B">
              <w:instrText xml:space="preserve"> ADDIN ZOTERO_ITEM CSL_CITATION {"citationID":"a24aitshlas","properties":{"formattedCitation":"\\super 166\\nosupersub{}","plainCitation":"166","noteIndex":0},"citationItems":[{"id":12476,"uris":["http://zotero.org/groups/4745233/items/DVIFYP9B"],"itemData":{"id":12476,"type":"webpage","genre":"Database","title":"Alcohol dependence","URL":"https://nzf.org.nz/nzf_2826","author":[{"literal":"New Zealand Formulary"}],"issued":{"date-parts":[["2023"]]}}}],"schema":"https://github.com/citation-style-language/schema/raw/master/csl-citation.json"} </w:instrText>
            </w:r>
            <w:r w:rsidRPr="00B9282B">
              <w:fldChar w:fldCharType="separate"/>
            </w:r>
            <w:r w:rsidRPr="00B9282B">
              <w:rPr>
                <w:rFonts w:cs="Arial"/>
                <w:vertAlign w:val="superscript"/>
              </w:rPr>
              <w:t>166</w:t>
            </w:r>
            <w:r w:rsidRPr="00B9282B">
              <w:fldChar w:fldCharType="end"/>
            </w:r>
            <w:r w:rsidRPr="00B9282B">
              <w:t xml:space="preserve"> Seek medical review for tāngata whai ora that may benefit from thiamine supplementation, including information on the method of administration and dosage. </w:t>
            </w:r>
          </w:p>
        </w:tc>
      </w:tr>
    </w:tbl>
    <w:p w14:paraId="67D83EDC" w14:textId="77777777" w:rsidR="00FA5046" w:rsidRDefault="00FA5046" w:rsidP="00420977">
      <w:pPr>
        <w:rPr>
          <w:sz w:val="22"/>
        </w:rPr>
      </w:pPr>
    </w:p>
    <w:p w14:paraId="01D2BEF9" w14:textId="20D66C48" w:rsidR="002A0053" w:rsidRPr="00A440F4" w:rsidRDefault="002A0053" w:rsidP="002A0053">
      <w:pPr>
        <w:rPr>
          <w:b/>
          <w:bCs/>
          <w:color w:val="1E7880" w:themeColor="accent2" w:themeShade="BF"/>
          <w:sz w:val="28"/>
          <w:szCs w:val="28"/>
        </w:rPr>
      </w:pPr>
      <w:bookmarkStart w:id="1340" w:name="_Toc146624842"/>
      <w:bookmarkStart w:id="1341" w:name="_Toc146714203"/>
      <w:bookmarkStart w:id="1342" w:name="_Toc178780133"/>
      <w:bookmarkStart w:id="1343" w:name="_Toc178838899"/>
      <w:bookmarkStart w:id="1344" w:name="_Toc178839086"/>
      <w:bookmarkStart w:id="1345" w:name="_Toc178839207"/>
      <w:bookmarkStart w:id="1346" w:name="_Toc178839435"/>
      <w:bookmarkStart w:id="1347" w:name="_Toc178841645"/>
      <w:bookmarkStart w:id="1348" w:name="_Toc179198205"/>
      <w:bookmarkStart w:id="1349" w:name="_Toc179198453"/>
      <w:bookmarkStart w:id="1350" w:name="_Toc179198561"/>
      <w:bookmarkStart w:id="1351" w:name="_Toc179198668"/>
      <w:bookmarkStart w:id="1352" w:name="_Toc179446112"/>
      <w:r w:rsidRPr="00A440F4">
        <w:rPr>
          <w:b/>
          <w:bCs/>
          <w:color w:val="1E7880" w:themeColor="accent2" w:themeShade="BF"/>
          <w:sz w:val="28"/>
          <w:szCs w:val="28"/>
        </w:rPr>
        <w:t>Tāngata whai ora experiencing cognitive impairment benefit from integrated and community support</w:t>
      </w:r>
      <w:bookmarkEnd w:id="1340"/>
      <w:bookmarkEnd w:id="1341"/>
      <w:bookmarkEnd w:id="1342"/>
      <w:bookmarkEnd w:id="1343"/>
      <w:bookmarkEnd w:id="1344"/>
      <w:bookmarkEnd w:id="1345"/>
      <w:bookmarkEnd w:id="1346"/>
      <w:bookmarkEnd w:id="1347"/>
      <w:bookmarkEnd w:id="1348"/>
      <w:bookmarkEnd w:id="1349"/>
      <w:bookmarkEnd w:id="1350"/>
      <w:bookmarkEnd w:id="1351"/>
      <w:bookmarkEnd w:id="1352"/>
    </w:p>
    <w:p w14:paraId="0CF50AE9" w14:textId="77777777" w:rsidR="002A0053" w:rsidRPr="00193529" w:rsidRDefault="002A0053" w:rsidP="004233B9">
      <w:r w:rsidRPr="00193529">
        <w:t>Integrated support is beneficial for people experiencing cognitive impairment, who are more likely to need to access multiple services and have unmet needs.</w:t>
      </w:r>
      <w:r w:rsidRPr="00193529">
        <w:rPr>
          <w:vertAlign w:val="superscript"/>
        </w:rPr>
        <w:fldChar w:fldCharType="begin"/>
      </w:r>
      <w:r w:rsidRPr="00193529">
        <w:rPr>
          <w:vertAlign w:val="superscript"/>
        </w:rPr>
        <w:instrText xml:space="preserve"> ADDIN ZOTERO_ITEM CSL_CITATION {"citationID":"agmpo8klor","properties":{"formattedCitation":"\\super 3,167\\uc0\\u8211{}170\\nosupersub{}","plainCitation":"3,167–170","noteIndex":0},"citationItems":[{"id":14007,"uris":["http://zotero.org/groups/4745233/items/U3GGYCKU"],"itemData":{"id":14007,"type":"report","event-place":"Richmond, Victoria","language":"en","publisher":"Turning Point","publisher-place":"Richmond, Victoria","source":"Zotero","title":"Managing Cognitive Impairment in AOD Treatment: Practice Guidelines for Healthcare Professionals","URL":"https://www.turningpoint.org.au/treatment/clinicians/Managing-Cognitive-Impairment-in-AOD-Treatment-Guidelines","author":[{"family":"Manning","given":"Victoria"},{"family":"Gooden","given":"James"},{"family":"Cox","given":"Catherine"},{"family":"Whelan","given":"Danielle"},{"family":"Miroz","given":"Katherine"}],"issued":{"date-parts":[["2021"]]}}},{"id":13539,"uris":["http://zotero.org/groups/4745233/items/JRNDFKWQ"],"itemData":{"id":13539,"type":"article-journal","abstract":"This Supplement of the Disability and Health Journal presents research at the intersection of disability and substance use disorders (SUD). A better understanding of their complex relationship is needed to (1) inform the development of culturally relevant, accessible, and inclusive prevention and intervention efforts aimed at eliminating disparities in SUD prevalence among people with disabilities; and (2) improve access, quality and outcomes of SUD treatment and other recovery support services for people with disabilities. These eleven articles include themes around prevalence and identiﬁcation of disabilityrelated disparities, perspectives of people with lived experience of disability, and adaptations to substance use measures and interventions. They highlight the importance of a public health focus on the unique needs of people with disabilities and development of accessible and person-centered interventions. Integrative and holistic SUD prevention and treatment efforts, including pain management, are essential to address the complex needs of people with both disability and SUD.","container-title":"Disability and Health Journal","DOI":"10.1016/j.dhjo.2022.101285","ISSN":"19366574","issue":"2","journalAbbreviation":"Disability and Health Journal","language":"en","page":"101285","source":"DOI.org (Crossref)","title":"The complexities of substance use disorder and people with disabilities: Current perspectives","title-short":"The complexities of substance use disorder and people with disabilities","volume":"15","author":[{"family":"Reif","given":"Sharon"},{"family":"Mitra","given":"Monika"}],"issued":{"date-parts":[["2022",6]]}}},{"id":12604,"uris":["http://zotero.org/groups/4745233/items/W4APJDDY"],"itemData":{"id":12604,"type":"article-journal","abstract":"There is widespread concern about the potential impact on health and social care services of the ageing population and long-term health conditions, such as dementia. To effectively plan services it is important to understand current need and use and identify gaps in provision. Using data from the Cognitive Function and Ageing Study Wales (CFAS Wales), we used logistic regression to model the relationship between health (self-rated health, cognitive impairment, and activities of daily living), and the use of health and care services. CFAS Wales is a longitudinal cohort study of people aged 65 years and over, in two areas in Wales, UK, over-sampling those aged 75 years and over. Participants (n = 3593) answered a wide range of health and lifestyle questions and completed a variety of cognitive and physical health assessments. Data from 3153 people from wave 1 and 1968 people from wave 2 were analysed., As anticipated we found poorer health, on some indicators, predicted greater service use, including social care, hospital, general practitioner, and nursing services. However, cognitive impairment did not predict greater service use, except for social care. Controlling for age, sex, socio-economic status, social connection indices and area environment, conversely we found lower reported uptake of allied health services by people with cognitive impairment. Further analysis showed that people with a cognitive impairment were less likely to report having a sight-check or seeing a dentist in the previous year, a finding replicated in wave 2. These differences were not explained by transportation issues. In contrast, we did not find a significant difference in reported uptake of hearing checks or physiotherapist use, with mixed evidence of differences in chiropodist visits. Not accessing these preventative services may not only exacerbate existing conditions but have further downstream negative consequences for health and well-being in people who are cognitively impaired., \n          \n            \n              •\n              Medical and social care service use typically increased as health decreased.\n            \n            \n              •\n              Allied health services uptake decreased for those with a cognitive impairment.\n            \n            \n              •\n              Cognitive impairment significantly lowered odds of sight checks and dentist visits.\n            \n            \n              •\n              Inequalities in sight and dental checks remain after factoring in accessibility.\n            \n            \n              •\n              Routine health checks remain important even if facing other health challenges.","container-title":"SSM - Population Health","DOI":"10.1016/j.ssmph.2020.100720","ISSN":"2352-8273","journalAbbreviation":"SSM Popul Health","note":"PMID: 33364299\nPMCID: PMC7750552","page":"100720","source":"PubMed Central","title":"Cognitive impairment negatively impacts allied health service uptake: Investigating the association between health and service use","title-short":"Cognitive impairment negatively impacts allied health service uptake","volume":"13","author":[{"family":"MacLeod","given":"Catherine A."},{"family":"Bu","given":"Feifei"},{"family":"Rutherford","given":"Alasdair C."},{"family":"Phillips","given":"Judith"},{"family":"Woods","given":"Robert"}],"issued":{"date-parts":[["2020",12,13]]}}},{"id":12601,"uris":["http://zotero.org/groups/4745233/items/7T7TYLSU"],"itemData":{"id":12601,"type":"article-journal","abstract":"The present study examined population level data on unmet needs for adults with physical, sensory and cognitive disabilities, using the National Population Health Survey. The study revealed that disabled adults (aged 20–64) reported more than three times as many unmet health care needs as their non</w:instrText>
      </w:r>
      <w:r w:rsidRPr="00193529">
        <w:rPr>
          <w:rFonts w:ascii="Cambria Math" w:hAnsi="Cambria Math" w:cs="Cambria Math"/>
          <w:vertAlign w:val="superscript"/>
        </w:rPr>
        <w:instrText>‐</w:instrText>
      </w:r>
      <w:r w:rsidRPr="00193529">
        <w:rPr>
          <w:vertAlign w:val="superscript"/>
        </w:rPr>
        <w:instrText xml:space="preserve">disabled counterparts. Even after controlling for the effects of age, gender and poor health, disability had a significant effect on the perception of unmet needs, particularly disabilities associated with pain, hearing impairment and emotional problems. The greatest deterrent to receiving needed services among individuals with disabilities was cost. Despite being publicly funded and thereby presumably equally accessible to all, the health care system in Canada fails to meet the needs of some of its most vulnerable constituents – adults with disabilities.","container-title":"Disability &amp; Society","DOI":"10.1080/09687590903537406","ISSN":"0968-7599","issue":"2","note":"publisher: Routledge\n_eprint: https://doi.org/10.1080/09687590903537406","page":"205-218","source":"Taylor and Francis+NEJM","title":"Unmet health care needs of people with disabilities: population level evidence","title-short":"Unmet health care needs of people with disabilities","volume":"25","author":[{"family":"McColl","given":"Mary   Ann"},{"family":"Jarzynowska","given":"Anna"},{"family":"Shortt","given":"S.E.D."}],"issued":{"date-parts":[["2010",3,1]]}}},{"id":14202,"uris":["http://zotero.org/groups/4745233/items/SG4T97VX"],"itemData":{"id":14202,"type":"article-journal","abstract":"Individuals with autism spectrum disorder (ASD) have many health needs that place demands on the health service sector. This study used administrative data to compare health profiles in young adults 18–24 years of age with ASD to peers with and without other developmental disability. Young adults with ASD were more likely to have almost all the examined clinical health issues and health service use indicators compared to peers without developmental disability. They were more likely to have at least one psychiatric diagnosis, and visit the family physician, pediatrician, psychiatrist, and emergency department for psychiatric reasons, compared to peers with other developmental disability. Planning for the mental health care of transition age adults with ASD is an important priority for health policy.","container-title":"Journal of Autism and Developmental Disorders","DOI":"10.1007/s10803-017-3292-0","ISSN":"1573-3432","issue":"1","journalAbbreviation":"J Autism Dev Disord","language":"en","page":"36-44","source":"Springer Link","title":"Health concerns and health service utilization in a population cohort of young adults with Autism Spectrum Disorder","volume":"48","author":[{"family":"Weiss","given":"Jonathan A."},{"family":"Isaacs","given":"Barry"},{"family":"Diepstra","given":"Heidi"},{"family":"Wilton","given":"Andrew S."},{"family":"Brown","given":"Hilary K."},{"family":"McGarry","given":"Caitlin"},{"family":"Lunsky","given":"Yona"}],"issued":{"date-parts":[["2018",1,1]]}}}],"schema":"https://github.com/citation-style-language/schema/raw/master/csl-citation.json"} </w:instrText>
      </w:r>
      <w:r w:rsidRPr="00193529">
        <w:rPr>
          <w:vertAlign w:val="superscript"/>
        </w:rPr>
        <w:fldChar w:fldCharType="separate"/>
      </w:r>
      <w:r w:rsidRPr="00193529">
        <w:rPr>
          <w:vertAlign w:val="superscript"/>
        </w:rPr>
        <w:t>3,167–170</w:t>
      </w:r>
      <w:r w:rsidRPr="00193529">
        <w:rPr>
          <w:vertAlign w:val="superscript"/>
        </w:rPr>
        <w:fldChar w:fldCharType="end"/>
      </w:r>
      <w:r w:rsidRPr="00193529">
        <w:t xml:space="preserve"> Design a support plan in partnership with tāngata whai ora and whānau while collaborating across the health and social sectors to ensure holistic needs are met. Multidisciplinary team meetings may be helpful for considering the range of supports available for wider needs. </w:t>
      </w:r>
    </w:p>
    <w:p w14:paraId="2FB045D2" w14:textId="77777777" w:rsidR="002A0053" w:rsidRPr="00096594" w:rsidRDefault="002A0053" w:rsidP="004233B9">
      <w:pPr>
        <w:pStyle w:val="Bulletpoint"/>
      </w:pPr>
      <w:r w:rsidRPr="00096594">
        <w:t xml:space="preserve">Develop working relationships with different services and agencies to ensure people accessing AOD services receive appropriate support. Work with agencies that have long-term, trusted relationships with tāngata whai ora, especially for those who have had previous bad experiences in the health system. </w:t>
      </w:r>
    </w:p>
    <w:p w14:paraId="1873441A" w14:textId="77777777" w:rsidR="002A0053" w:rsidRPr="00096594" w:rsidRDefault="002A0053" w:rsidP="004233B9">
      <w:pPr>
        <w:pStyle w:val="Bulletpoint"/>
      </w:pPr>
      <w:r w:rsidRPr="00096594">
        <w:t>If available, have someone dedicated to coordinating support for people with multiple co-existing issues (such as a care coordinator).</w:t>
      </w:r>
      <w:r w:rsidRPr="00096594">
        <w:rPr>
          <w:color w:val="2B579A"/>
        </w:rPr>
        <w:t xml:space="preserve"> </w:t>
      </w:r>
    </w:p>
    <w:p w14:paraId="00D18480" w14:textId="775501F9" w:rsidR="002A0053" w:rsidRPr="00A440F4" w:rsidRDefault="002A0053" w:rsidP="00A440F4">
      <w:pPr>
        <w:pStyle w:val="Bulletpoint"/>
      </w:pPr>
      <w:r w:rsidRPr="00096594">
        <w:t xml:space="preserve">Equip </w:t>
      </w:r>
      <w:r w:rsidRPr="00096594">
        <w:rPr>
          <w:rFonts w:cs="Arial"/>
        </w:rPr>
        <w:t>tāngata whai ora</w:t>
      </w:r>
      <w:r w:rsidRPr="00096594">
        <w:t xml:space="preserve"> and their whānau with the skills and supports to live well in the community before leaving services. </w:t>
      </w:r>
    </w:p>
    <w:p w14:paraId="00D4C51F" w14:textId="2530A4AC" w:rsidR="002A0053" w:rsidRPr="001E1DAA" w:rsidRDefault="002A0053" w:rsidP="004233B9">
      <w:r w:rsidRPr="001E1DAA">
        <w:lastRenderedPageBreak/>
        <w:fldChar w:fldCharType="begin"/>
      </w:r>
      <w:r w:rsidRPr="001E1DAA">
        <w:instrText xml:space="preserve"> REF _Ref146120575 \h </w:instrText>
      </w:r>
      <w:r>
        <w:instrText xml:space="preserve"> \* MERGEFORMAT </w:instrText>
      </w:r>
      <w:r w:rsidRPr="001E1DAA">
        <w:fldChar w:fldCharType="separate"/>
      </w:r>
      <w:r w:rsidR="007F1966" w:rsidRPr="000F5204">
        <w:t xml:space="preserve">Figure </w:t>
      </w:r>
      <w:r w:rsidR="007F1966">
        <w:rPr>
          <w:noProof/>
        </w:rPr>
        <w:t>9</w:t>
      </w:r>
      <w:r w:rsidRPr="001E1DAA">
        <w:fldChar w:fldCharType="end"/>
      </w:r>
      <w:r w:rsidRPr="001E1DAA">
        <w:t xml:space="preserve"> covers the five basic principles of integrated support.</w:t>
      </w:r>
      <w:r w:rsidRPr="001E1DAA">
        <w:fldChar w:fldCharType="begin"/>
      </w:r>
      <w:r w:rsidRPr="001E1DAA">
        <w:instrText xml:space="preserve"> ADDIN ZOTERO_ITEM CSL_CITATION {"citationID":"a2mvrprbqtt","properties":{"formattedCitation":"\\super 171\\nosupersub{}","plainCitation":"171","noteIndex":0},"citationItems":[{"id":13625,"uris":["http://zotero.org/groups/4745233/items/VHYN8GRS"],"itemData":{"id":13625,"type":"document","language":"en","title":"Principles for Oranga","URL":"https://www.tepou.co.nz/resources/principles-for-oranga","author":[{"literal":"Te Pou"}],"accessed":{"date-parts":[["2022",12,20]]},"issued":{"date-parts":[["2022"]]}}}],"schema":"https://github.com/citation-style-language/schema/raw/master/csl-citation.json"} </w:instrText>
      </w:r>
      <w:r w:rsidRPr="001E1DAA">
        <w:fldChar w:fldCharType="separate"/>
      </w:r>
      <w:r w:rsidRPr="001E1DAA">
        <w:rPr>
          <w:rFonts w:cs="Arial"/>
          <w:vertAlign w:val="superscript"/>
        </w:rPr>
        <w:t>171</w:t>
      </w:r>
      <w:r w:rsidRPr="001E1DAA">
        <w:fldChar w:fldCharType="end"/>
      </w:r>
      <w:r w:rsidRPr="001E1DAA">
        <w:t xml:space="preserve"> </w:t>
      </w:r>
    </w:p>
    <w:p w14:paraId="7D9AE697" w14:textId="3E34391F" w:rsidR="002A0053" w:rsidRPr="000F5204" w:rsidRDefault="002A0053" w:rsidP="004233B9">
      <w:pPr>
        <w:pStyle w:val="Figure"/>
      </w:pPr>
      <w:bookmarkStart w:id="1353" w:name="_Ref146120575"/>
      <w:bookmarkStart w:id="1354" w:name="_Toc179461358"/>
      <w:r w:rsidRPr="000F5204">
        <w:t xml:space="preserve">Figure </w:t>
      </w:r>
      <w:r w:rsidRPr="000F5204">
        <w:fldChar w:fldCharType="begin"/>
      </w:r>
      <w:r w:rsidRPr="000F5204">
        <w:instrText xml:space="preserve"> SEQ Figure \* ARABIC </w:instrText>
      </w:r>
      <w:r w:rsidRPr="000F5204">
        <w:fldChar w:fldCharType="separate"/>
      </w:r>
      <w:r w:rsidR="007F1966">
        <w:rPr>
          <w:noProof/>
        </w:rPr>
        <w:t>9</w:t>
      </w:r>
      <w:r w:rsidRPr="000F5204">
        <w:fldChar w:fldCharType="end"/>
      </w:r>
      <w:bookmarkEnd w:id="1353"/>
      <w:r w:rsidRPr="000F5204">
        <w:t>. Principles of integrated support</w:t>
      </w:r>
      <w:bookmarkEnd w:id="1354"/>
    </w:p>
    <w:p w14:paraId="3A8D1A43" w14:textId="77777777" w:rsidR="002A0053" w:rsidRDefault="002A0053" w:rsidP="002A0053">
      <w:pPr>
        <w:spacing w:after="160" w:line="259" w:lineRule="auto"/>
        <w:rPr>
          <w:noProof/>
        </w:rPr>
      </w:pPr>
      <w:r>
        <w:rPr>
          <w:noProof/>
        </w:rPr>
        <w:t xml:space="preserve">                      </w:t>
      </w:r>
      <w:r>
        <w:rPr>
          <w:noProof/>
        </w:rPr>
        <w:drawing>
          <wp:inline distT="0" distB="0" distL="0" distR="0" wp14:anchorId="72882D5E" wp14:editId="6D41733F">
            <wp:extent cx="3807694" cy="3756612"/>
            <wp:effectExtent l="0" t="0" r="2540" b="0"/>
            <wp:docPr id="1595923146" name="Picture 1595923146" descr="A circle with five parts showing the 5 principles of integrated support with people and whānau at the centre. The principles are partnership; holistic, person, and whānau centred; access and options; whole system approach; and collaboration and commun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923146" name="Picture 1595923146" descr="A circle with five parts showing the 5 principles of integrated support with people and whānau at the centre. The principles are partnership; holistic, person, and whānau centred; access and options; whole system approach; and collaboration and communication"/>
                    <pic:cNvPicPr/>
                  </pic:nvPicPr>
                  <pic:blipFill>
                    <a:blip r:embed="rId60"/>
                    <a:stretch>
                      <a:fillRect/>
                    </a:stretch>
                  </pic:blipFill>
                  <pic:spPr>
                    <a:xfrm>
                      <a:off x="0" y="0"/>
                      <a:ext cx="3853747" cy="3802047"/>
                    </a:xfrm>
                    <a:prstGeom prst="rect">
                      <a:avLst/>
                    </a:prstGeom>
                  </pic:spPr>
                </pic:pic>
              </a:graphicData>
            </a:graphic>
          </wp:inline>
        </w:drawing>
      </w:r>
    </w:p>
    <w:p w14:paraId="5235611E" w14:textId="77777777" w:rsidR="002A0053" w:rsidRPr="00806D6B" w:rsidRDefault="002A0053" w:rsidP="004233B9">
      <w:r w:rsidRPr="00806D6B">
        <w:t xml:space="preserve">Examples of referrals for holistic needs are listed below. </w:t>
      </w:r>
    </w:p>
    <w:p w14:paraId="58CF9107" w14:textId="36DBFC85" w:rsidR="002A0053" w:rsidRPr="00806D6B" w:rsidRDefault="002A0053" w:rsidP="00F15267">
      <w:pPr>
        <w:pStyle w:val="Bulletpoint"/>
      </w:pPr>
      <w:r w:rsidRPr="00806D6B">
        <w:rPr>
          <w:b/>
          <w:bCs/>
        </w:rPr>
        <w:t>Housing needs</w:t>
      </w:r>
      <w:r w:rsidRPr="00806D6B">
        <w:t>: Housing First, Kāinga Ora, rest homes, or local marae.</w:t>
      </w:r>
    </w:p>
    <w:p w14:paraId="28070021" w14:textId="76E0691E" w:rsidR="002A0053" w:rsidRPr="00806D6B" w:rsidRDefault="002A0053" w:rsidP="00F15267">
      <w:pPr>
        <w:pStyle w:val="Bulletpoint"/>
      </w:pPr>
      <w:r w:rsidRPr="00806D6B">
        <w:rPr>
          <w:b/>
          <w:bCs/>
        </w:rPr>
        <w:t>Employment support</w:t>
      </w:r>
      <w:r w:rsidRPr="00806D6B">
        <w:t>: Workwise or Work and Income.</w:t>
      </w:r>
    </w:p>
    <w:p w14:paraId="28C9694A" w14:textId="40E9ED6C" w:rsidR="002A0053" w:rsidRPr="00806D6B" w:rsidRDefault="002A0053" w:rsidP="00F15267">
      <w:pPr>
        <w:pStyle w:val="Bulletpoint"/>
      </w:pPr>
      <w:r w:rsidRPr="00806D6B">
        <w:rPr>
          <w:b/>
          <w:bCs/>
        </w:rPr>
        <w:t>Finance and budgeting</w:t>
      </w:r>
      <w:r w:rsidRPr="00806D6B">
        <w:t>: Moneytalks (free online services).</w:t>
      </w:r>
    </w:p>
    <w:p w14:paraId="0F45D5D7" w14:textId="60EFD308" w:rsidR="002A0053" w:rsidRPr="00806D6B" w:rsidRDefault="002A0053" w:rsidP="00F15267">
      <w:pPr>
        <w:pStyle w:val="Bulletpoint"/>
      </w:pPr>
      <w:r w:rsidRPr="00806D6B">
        <w:rPr>
          <w:b/>
          <w:bCs/>
        </w:rPr>
        <w:t>Head injuries</w:t>
      </w:r>
      <w:r w:rsidRPr="00806D6B">
        <w:t>: ACC for support (including for sensitive claims</w:t>
      </w:r>
      <w:r w:rsidRPr="00806D6B">
        <w:rPr>
          <w:rStyle w:val="FootnoteReference"/>
          <w:sz w:val="22"/>
        </w:rPr>
        <w:footnoteReference w:id="7"/>
      </w:r>
      <w:r w:rsidRPr="00806D6B">
        <w:t xml:space="preserve"> if appropriate), or Brain Injury New Zealand for education and support.</w:t>
      </w:r>
    </w:p>
    <w:p w14:paraId="1DEA109A" w14:textId="53BF758B" w:rsidR="002A0053" w:rsidRPr="00806D6B" w:rsidRDefault="002A0053" w:rsidP="00F15267">
      <w:pPr>
        <w:pStyle w:val="Bulletpoint"/>
      </w:pPr>
      <w:r w:rsidRPr="00806D6B">
        <w:rPr>
          <w:b/>
          <w:bCs/>
        </w:rPr>
        <w:t>Meaningful everyday activities</w:t>
      </w:r>
      <w:r w:rsidRPr="00806D6B">
        <w:t xml:space="preserve"> or occupations: occupational therapists, nurses who do nurse-led aftercare, or support workers (such as through Pathways).</w:t>
      </w:r>
    </w:p>
    <w:p w14:paraId="0544CD7B" w14:textId="700E5660" w:rsidR="002A0053" w:rsidRPr="00806D6B" w:rsidRDefault="002A0053" w:rsidP="00F15267">
      <w:pPr>
        <w:pStyle w:val="Bulletpoint"/>
      </w:pPr>
      <w:r w:rsidRPr="00806D6B">
        <w:rPr>
          <w:b/>
          <w:bCs/>
        </w:rPr>
        <w:t>Social issues</w:t>
      </w:r>
      <w:r w:rsidRPr="00806D6B">
        <w:t>: social workers or support workers (including help navigating support options)</w:t>
      </w:r>
      <w:r>
        <w:t>.</w:t>
      </w:r>
    </w:p>
    <w:p w14:paraId="783C0980" w14:textId="6424845A" w:rsidR="002A0053" w:rsidRPr="00F15267" w:rsidRDefault="002A0053" w:rsidP="00F15267">
      <w:pPr>
        <w:pStyle w:val="Bulletpoint"/>
      </w:pPr>
      <w:r w:rsidRPr="00806D6B">
        <w:rPr>
          <w:b/>
          <w:bCs/>
        </w:rPr>
        <w:lastRenderedPageBreak/>
        <w:t>Strength and mobility</w:t>
      </w:r>
      <w:r w:rsidRPr="00806D6B">
        <w:t>: physiotherapists or neurologists.</w:t>
      </w:r>
    </w:p>
    <w:p w14:paraId="2B9A478D" w14:textId="4F8ADDEB" w:rsidR="002A0053" w:rsidRPr="00122447" w:rsidRDefault="002A0053" w:rsidP="00122447">
      <w:pPr>
        <w:pStyle w:val="Bulletpoint"/>
      </w:pPr>
      <w:r w:rsidRPr="00806D6B">
        <w:rPr>
          <w:b/>
          <w:bCs/>
        </w:rPr>
        <w:t>Nutrition and eating patterns</w:t>
      </w:r>
      <w:r w:rsidRPr="00806D6B">
        <w:t xml:space="preserve">: dietitians or registered nutritionists. </w:t>
      </w:r>
    </w:p>
    <w:p w14:paraId="1DA64071" w14:textId="787B87BD" w:rsidR="002A0053" w:rsidRPr="00806D6B" w:rsidRDefault="002A0053" w:rsidP="00F15267">
      <w:pPr>
        <w:pStyle w:val="Bulletpoint"/>
      </w:pPr>
      <w:r w:rsidRPr="00B83962">
        <w:rPr>
          <w:b/>
          <w:bCs/>
        </w:rPr>
        <w:t>Speaking and language support:</w:t>
      </w:r>
      <w:r w:rsidRPr="00806D6B">
        <w:t xml:space="preserve"> speech therapists.</w:t>
      </w:r>
    </w:p>
    <w:p w14:paraId="2450D1D3" w14:textId="0E3101CF" w:rsidR="002A0053" w:rsidRPr="00806D6B" w:rsidRDefault="002A0053" w:rsidP="00F15267">
      <w:pPr>
        <w:pStyle w:val="Bulletpoint"/>
      </w:pPr>
      <w:r w:rsidRPr="00B83962">
        <w:rPr>
          <w:b/>
          <w:bCs/>
        </w:rPr>
        <w:t>Cultural needs:</w:t>
      </w:r>
      <w:r w:rsidRPr="00806D6B">
        <w:t xml:space="preserve"> culturally specific providers like Kaupapa Māori services, Ka’aute Pasifika Trust, or Asian Family Services.</w:t>
      </w:r>
    </w:p>
    <w:p w14:paraId="2B66432B" w14:textId="37EF9365" w:rsidR="002A0053" w:rsidRPr="00806D6B" w:rsidRDefault="002A0053" w:rsidP="00F15267">
      <w:pPr>
        <w:pStyle w:val="Bulletpoint"/>
      </w:pPr>
      <w:r w:rsidRPr="00B83962">
        <w:rPr>
          <w:b/>
          <w:bCs/>
        </w:rPr>
        <w:t>General health needs including preventative healthcare, risk reduction, and long-term goals:</w:t>
      </w:r>
      <w:r w:rsidRPr="00806D6B">
        <w:t xml:space="preserve"> GPs and other integrated primary mental health and addiction support practitioners such as health coaches and health improvement practitioners.</w:t>
      </w:r>
    </w:p>
    <w:p w14:paraId="5E85B4B8" w14:textId="5893B6E4" w:rsidR="002A0053" w:rsidRPr="00806D6B" w:rsidRDefault="002A0053" w:rsidP="00F15267">
      <w:pPr>
        <w:pStyle w:val="Bulletpoint"/>
      </w:pPr>
      <w:r w:rsidRPr="00B83962">
        <w:rPr>
          <w:b/>
          <w:bCs/>
        </w:rPr>
        <w:t>Mental health challenges:</w:t>
      </w:r>
      <w:r w:rsidRPr="00806D6B">
        <w:t xml:space="preserve"> GPs, community providers, specialist mental health services, or crisis services.</w:t>
      </w:r>
    </w:p>
    <w:p w14:paraId="329FB108" w14:textId="00185B69" w:rsidR="002A0053" w:rsidRPr="00806D6B" w:rsidRDefault="002A0053" w:rsidP="00F15267">
      <w:pPr>
        <w:pStyle w:val="Bulletpoint"/>
      </w:pPr>
      <w:r w:rsidRPr="00B83962">
        <w:rPr>
          <w:b/>
          <w:bCs/>
        </w:rPr>
        <w:t>Relationship or whānau issues:</w:t>
      </w:r>
      <w:r w:rsidRPr="00806D6B">
        <w:t xml:space="preserve"> psychologists or counsellors.</w:t>
      </w:r>
    </w:p>
    <w:p w14:paraId="335746A4" w14:textId="77777777" w:rsidR="002A0053" w:rsidRPr="00806D6B" w:rsidRDefault="002A0053" w:rsidP="00F15267">
      <w:pPr>
        <w:pStyle w:val="Bulletpoint"/>
      </w:pPr>
      <w:r w:rsidRPr="00B83962">
        <w:rPr>
          <w:b/>
          <w:bCs/>
        </w:rPr>
        <w:t>Live-in support:</w:t>
      </w:r>
      <w:r w:rsidRPr="00806D6B">
        <w:t xml:space="preserve"> residential or respite care facilities, or a managed alcohol programme.</w:t>
      </w:r>
      <w:r w:rsidRPr="00806D6B">
        <w:rPr>
          <w:rStyle w:val="FootnoteReference"/>
          <w:sz w:val="22"/>
        </w:rPr>
        <w:footnoteReference w:id="8"/>
      </w:r>
    </w:p>
    <w:p w14:paraId="23B676EE" w14:textId="77777777" w:rsidR="00A440F4" w:rsidRDefault="002A0053" w:rsidP="00F15267">
      <w:r w:rsidRPr="00806D6B">
        <w:t>It is also helpful to link tāngata whai ora and whānau with community peer support groups.</w:t>
      </w:r>
    </w:p>
    <w:p w14:paraId="363DC70A" w14:textId="12F031E2" w:rsidR="002A0053" w:rsidRPr="00806D6B" w:rsidRDefault="002A0053" w:rsidP="00F15267">
      <w:r w:rsidRPr="00806D6B">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More on ACC coverage"/>
        <w:tblDescription w:val="Box describing ACC processes - that they cover injuries but not conditions that occur over time or emotional challenges. &#10;Claims can be made on a persons behalf with consent. The ACC website has more information about what is covered and the right process to follow.  ACC also has a concussion service for supporting people with mild to moderate TBIs"/>
      </w:tblPr>
      <w:tblGrid>
        <w:gridCol w:w="9010"/>
      </w:tblGrid>
      <w:tr w:rsidR="002A0053" w:rsidRPr="00A83B21" w14:paraId="55F39B54" w14:textId="77777777" w:rsidTr="00234887">
        <w:tc>
          <w:tcPr>
            <w:tcW w:w="9010" w:type="dxa"/>
            <w:shd w:val="clear" w:color="auto" w:fill="F2F2F2" w:themeFill="background1" w:themeFillShade="F2"/>
          </w:tcPr>
          <w:p w14:paraId="7B098CB7" w14:textId="77777777" w:rsidR="002A0053" w:rsidRPr="00F15267" w:rsidRDefault="002A0053" w:rsidP="00234887">
            <w:pPr>
              <w:rPr>
                <w:szCs w:val="24"/>
              </w:rPr>
            </w:pPr>
            <w:r w:rsidRPr="00F15267">
              <w:rPr>
                <w:b/>
                <w:bCs/>
                <w:szCs w:val="24"/>
              </w:rPr>
              <w:t>More on ACC</w:t>
            </w:r>
            <w:r w:rsidRPr="00F15267">
              <w:rPr>
                <w:szCs w:val="24"/>
              </w:rPr>
              <w:t xml:space="preserve"> </w:t>
            </w:r>
            <w:r w:rsidRPr="00F15267">
              <w:rPr>
                <w:b/>
                <w:bCs/>
                <w:szCs w:val="24"/>
              </w:rPr>
              <w:t>coverage for cognitive impairment</w:t>
            </w:r>
          </w:p>
          <w:p w14:paraId="386850A0" w14:textId="77777777" w:rsidR="002A0053" w:rsidRPr="00A83B21" w:rsidRDefault="002A0053" w:rsidP="00F15267">
            <w:pPr>
              <w:pStyle w:val="Bulletpoint"/>
            </w:pPr>
            <w:r w:rsidRPr="00A83B21">
              <w:t xml:space="preserve">ACC provides support to people who have been injured due to an accident. </w:t>
            </w:r>
          </w:p>
          <w:p w14:paraId="14E9E59E" w14:textId="77777777" w:rsidR="002A0053" w:rsidRPr="00A83B21" w:rsidRDefault="002A0053" w:rsidP="00F15267">
            <w:pPr>
              <w:pStyle w:val="Bulletpoint"/>
            </w:pPr>
            <w:r w:rsidRPr="00A83B21">
              <w:t xml:space="preserve">Injuries such as TBI and concussion can be covered. Injuries that are not covered are those that happen over time, are related to ageing or emotional challenges (unless related to a physical injury), and some other injuries. </w:t>
            </w:r>
          </w:p>
          <w:p w14:paraId="6C1A898E" w14:textId="77777777" w:rsidR="002A0053" w:rsidRPr="00A83B21" w:rsidRDefault="002A0053" w:rsidP="00F15267">
            <w:pPr>
              <w:pStyle w:val="Bulletpoint"/>
            </w:pPr>
            <w:r w:rsidRPr="00A83B21">
              <w:t xml:space="preserve">If a person was injured or in an accident, a health professional can make claims on the person’s behalf. </w:t>
            </w:r>
          </w:p>
          <w:p w14:paraId="373363C7" w14:textId="77777777" w:rsidR="00A440F4" w:rsidRDefault="002A0053" w:rsidP="00A440F4">
            <w:pPr>
              <w:pStyle w:val="Bulletpoint"/>
            </w:pPr>
            <w:r w:rsidRPr="00A83B21">
              <w:t xml:space="preserve">Claims can be made up to 12 months after an injury. ACC may consider claims after 12 months if there is a good reason it wasn’t made sooner, but they may require more information. </w:t>
            </w:r>
          </w:p>
          <w:p w14:paraId="39FB8BF6" w14:textId="515B50B0" w:rsidR="002A0053" w:rsidRPr="00A440F4" w:rsidRDefault="002A0053" w:rsidP="00A440F4">
            <w:pPr>
              <w:pStyle w:val="Bulletpoint"/>
              <w:rPr>
                <w:szCs w:val="24"/>
              </w:rPr>
            </w:pPr>
            <w:r w:rsidRPr="00A83B21">
              <w:lastRenderedPageBreak/>
              <w:t xml:space="preserve">To access information ACC holds about someone you are working with, complete an ‘authority to act’ to ensure you have the right to this information. </w:t>
            </w:r>
            <w:r w:rsidRPr="00A440F4">
              <w:rPr>
                <w:szCs w:val="24"/>
              </w:rPr>
              <w:t xml:space="preserve">See </w:t>
            </w:r>
            <w:hyperlink r:id="rId61" w:history="1">
              <w:r w:rsidRPr="00A440F4">
                <w:rPr>
                  <w:rStyle w:val="Hyperlink"/>
                  <w:color w:val="000000" w:themeColor="text1"/>
                  <w:szCs w:val="24"/>
                </w:rPr>
                <w:t>the ACC website for the right forms to complete</w:t>
              </w:r>
            </w:hyperlink>
            <w:r w:rsidRPr="00A440F4">
              <w:rPr>
                <w:szCs w:val="24"/>
              </w:rPr>
              <w:t xml:space="preserve">. </w:t>
            </w:r>
          </w:p>
          <w:p w14:paraId="02352E58" w14:textId="77777777" w:rsidR="002A0053" w:rsidRPr="00A440F4" w:rsidRDefault="002A0053" w:rsidP="00F15267">
            <w:pPr>
              <w:pStyle w:val="Bulletpoint"/>
              <w:rPr>
                <w:szCs w:val="24"/>
              </w:rPr>
            </w:pPr>
            <w:r w:rsidRPr="00A83B21">
              <w:t xml:space="preserve">Each injury is considered on a case-by-case basis. </w:t>
            </w:r>
            <w:r w:rsidRPr="00A440F4">
              <w:rPr>
                <w:szCs w:val="24"/>
              </w:rPr>
              <w:t xml:space="preserve">See </w:t>
            </w:r>
            <w:hyperlink r:id="rId62" w:anchor="what-acc-covers" w:history="1">
              <w:r w:rsidRPr="00A440F4">
                <w:rPr>
                  <w:rStyle w:val="Hyperlink"/>
                  <w:color w:val="000000" w:themeColor="text1"/>
                  <w:szCs w:val="24"/>
                </w:rPr>
                <w:t>the ACC website for more information including a video and list of what type of claims are covered</w:t>
              </w:r>
            </w:hyperlink>
            <w:r w:rsidRPr="00A440F4">
              <w:rPr>
                <w:szCs w:val="24"/>
              </w:rPr>
              <w:t xml:space="preserve">. </w:t>
            </w:r>
          </w:p>
          <w:p w14:paraId="4D3F8E81" w14:textId="11B9DB0D" w:rsidR="002A0053" w:rsidRPr="00A440F4" w:rsidRDefault="002A0053" w:rsidP="00A440F4">
            <w:pPr>
              <w:pStyle w:val="List"/>
              <w:spacing w:after="120"/>
              <w:contextualSpacing w:val="0"/>
              <w:rPr>
                <w:szCs w:val="24"/>
              </w:rPr>
            </w:pPr>
            <w:r w:rsidRPr="00A440F4">
              <w:rPr>
                <w:szCs w:val="24"/>
              </w:rPr>
              <w:t>Brain Injury New Zealand has offices around Aotearoa New Zealand and can help</w:t>
            </w:r>
            <w:r w:rsidR="00B83962">
              <w:rPr>
                <w:szCs w:val="24"/>
              </w:rPr>
              <w:t xml:space="preserve"> </w:t>
            </w:r>
            <w:r w:rsidRPr="00A440F4">
              <w:rPr>
                <w:szCs w:val="24"/>
              </w:rPr>
              <w:t xml:space="preserve">both tāngata whai ora and workers navigate through ACC processes. </w:t>
            </w:r>
          </w:p>
          <w:p w14:paraId="7D405868" w14:textId="77777777" w:rsidR="00A440F4" w:rsidRDefault="00A440F4" w:rsidP="00234887">
            <w:pPr>
              <w:rPr>
                <w:b/>
                <w:bCs/>
                <w:szCs w:val="24"/>
              </w:rPr>
            </w:pPr>
          </w:p>
          <w:p w14:paraId="1A4ACEF9" w14:textId="1792FEA9" w:rsidR="002A0053" w:rsidRPr="00F15267" w:rsidRDefault="002A0053" w:rsidP="00234887">
            <w:pPr>
              <w:rPr>
                <w:b/>
                <w:bCs/>
                <w:szCs w:val="24"/>
              </w:rPr>
            </w:pPr>
            <w:r w:rsidRPr="00F15267">
              <w:rPr>
                <w:b/>
                <w:bCs/>
                <w:szCs w:val="24"/>
              </w:rPr>
              <w:t>Concussion services</w:t>
            </w:r>
          </w:p>
          <w:p w14:paraId="42F2E459" w14:textId="77777777" w:rsidR="002A0053" w:rsidRPr="00A83B21" w:rsidRDefault="002A0053" w:rsidP="00F15267">
            <w:r w:rsidRPr="00A83B21">
              <w:t>The ACC concussion service provides interdisciplinary support specifically for mild to moderate TBIs. This service supports daily living and aims to prevent long-term consequences from TBI. For more on eligibility criteria and referral processes</w:t>
            </w:r>
            <w:r w:rsidRPr="00A440F4">
              <w:rPr>
                <w:szCs w:val="24"/>
              </w:rPr>
              <w:t xml:space="preserve">, </w:t>
            </w:r>
            <w:hyperlink r:id="rId63" w:history="1">
              <w:r w:rsidRPr="00A440F4">
                <w:rPr>
                  <w:rStyle w:val="Hyperlink"/>
                  <w:color w:val="000000" w:themeColor="text1"/>
                  <w:szCs w:val="24"/>
                </w:rPr>
                <w:t>see the concussion services operational guidelines on the ACC website</w:t>
              </w:r>
            </w:hyperlink>
            <w:r w:rsidRPr="00A440F4">
              <w:rPr>
                <w:szCs w:val="24"/>
              </w:rPr>
              <w:t xml:space="preserve">. </w:t>
            </w:r>
          </w:p>
          <w:p w14:paraId="7B2F0584" w14:textId="77777777" w:rsidR="002A0053" w:rsidRPr="00A440F4" w:rsidRDefault="00000000" w:rsidP="00F15267">
            <w:pPr>
              <w:rPr>
                <w:color w:val="000000" w:themeColor="text1"/>
                <w:szCs w:val="24"/>
              </w:rPr>
            </w:pPr>
            <w:hyperlink r:id="rId64" w:history="1">
              <w:r w:rsidR="002A0053" w:rsidRPr="00A440F4">
                <w:rPr>
                  <w:rStyle w:val="Hyperlink"/>
                  <w:color w:val="000000" w:themeColor="text1"/>
                  <w:szCs w:val="24"/>
                </w:rPr>
                <w:t>An example of a TBI pathway from acute presentation to long-term management can be found on this ACC infographic.</w:t>
              </w:r>
            </w:hyperlink>
            <w:r w:rsidR="002A0053" w:rsidRPr="00A440F4">
              <w:rPr>
                <w:color w:val="000000" w:themeColor="text1"/>
                <w:szCs w:val="24"/>
              </w:rPr>
              <w:t xml:space="preserve"> </w:t>
            </w:r>
          </w:p>
        </w:tc>
      </w:tr>
    </w:tbl>
    <w:p w14:paraId="7D9AC173" w14:textId="77777777" w:rsidR="002A0053" w:rsidRPr="00A83B21" w:rsidRDefault="002A0053" w:rsidP="00F15267">
      <w:r w:rsidRPr="00A83B21">
        <w:lastRenderedPageBreak/>
        <w:t xml:space="preserve">Specifically, in addition to support to reduce or stop using substances, and the cognitive strategies already discussed, the following is a guide for who to involve in support. </w:t>
      </w:r>
    </w:p>
    <w:p w14:paraId="34FC541C" w14:textId="77777777" w:rsidR="002A0053" w:rsidRPr="00A83B21" w:rsidRDefault="002A0053" w:rsidP="00F15267">
      <w:r w:rsidRPr="00A83B21">
        <w:t xml:space="preserve">For </w:t>
      </w:r>
      <w:r w:rsidRPr="00A83B21">
        <w:rPr>
          <w:b/>
          <w:bCs/>
        </w:rPr>
        <w:t>people who can live independently but have some functional impacts</w:t>
      </w:r>
      <w:r w:rsidRPr="00A83B21">
        <w:t xml:space="preserve"> from cognitive impairment, consider the following referrals.</w:t>
      </w:r>
      <w:r w:rsidRPr="00A83B21">
        <w:fldChar w:fldCharType="begin"/>
      </w:r>
      <w:r w:rsidRPr="00A83B21">
        <w:instrText xml:space="preserve"> ADDIN ZOTERO_ITEM CSL_CITATION {"citationID":"a2ag1h9qgi2","properties":{"formattedCitation":"\\super 172\\nosupersub{}","plainCitation":"172","noteIndex":0},"citationItems":[{"id":12485,"uris":["http://zotero.org/groups/4745233/items/JDDTWJI7"],"itemData":{"id":12485,"type":"document","publisher":"[unpublished]","title":"Clinical guide to the management of substance use-related cognitive impairment","author":[{"literal":"Tūhonohono Addiction Service"}],"issued":{"date-parts":[["2021"]]}}}],"schema":"https://github.com/citation-style-language/schema/raw/master/csl-citation.json"} </w:instrText>
      </w:r>
      <w:r w:rsidRPr="00A83B21">
        <w:fldChar w:fldCharType="separate"/>
      </w:r>
      <w:r w:rsidRPr="00A83B21">
        <w:rPr>
          <w:rFonts w:cs="Arial"/>
          <w:vertAlign w:val="superscript"/>
        </w:rPr>
        <w:t>172</w:t>
      </w:r>
      <w:r w:rsidRPr="00A83B21">
        <w:fldChar w:fldCharType="end"/>
      </w:r>
      <w:r w:rsidRPr="00A83B21">
        <w:t xml:space="preserve"> </w:t>
      </w:r>
    </w:p>
    <w:p w14:paraId="4F338F69" w14:textId="77777777" w:rsidR="002A0053" w:rsidRPr="00A83B21" w:rsidRDefault="002A0053" w:rsidP="00F15267">
      <w:pPr>
        <w:pStyle w:val="Bulletpoint"/>
      </w:pPr>
      <w:r w:rsidRPr="00A83B21">
        <w:t>Housing, employment, and training support.</w:t>
      </w:r>
    </w:p>
    <w:p w14:paraId="081195CD" w14:textId="77777777" w:rsidR="002A0053" w:rsidRPr="00A83B21" w:rsidRDefault="002A0053" w:rsidP="00F15267">
      <w:pPr>
        <w:pStyle w:val="Bulletpoint"/>
      </w:pPr>
      <w:r w:rsidRPr="00A83B21">
        <w:t>Finance and budgeting support.</w:t>
      </w:r>
    </w:p>
    <w:p w14:paraId="25AC871B" w14:textId="77777777" w:rsidR="002A0053" w:rsidRPr="00A83B21" w:rsidRDefault="002A0053" w:rsidP="00F15267">
      <w:pPr>
        <w:pStyle w:val="Bulletpoint"/>
      </w:pPr>
      <w:r w:rsidRPr="00A83B21">
        <w:t>Primary care provider for health, fitness, nutrition, and smoking cessation.</w:t>
      </w:r>
    </w:p>
    <w:p w14:paraId="66C7E209" w14:textId="77777777" w:rsidR="002A0053" w:rsidRPr="00A83B21" w:rsidRDefault="002A0053" w:rsidP="00F15267">
      <w:pPr>
        <w:pStyle w:val="Bulletpoint"/>
      </w:pPr>
      <w:r w:rsidRPr="00A83B21">
        <w:t xml:space="preserve">Support for relationship or whānau issues. </w:t>
      </w:r>
    </w:p>
    <w:p w14:paraId="1D375B33" w14:textId="77777777" w:rsidR="002A0053" w:rsidRPr="00A83B21" w:rsidRDefault="002A0053" w:rsidP="00F15267">
      <w:pPr>
        <w:pStyle w:val="Bulletpoint"/>
      </w:pPr>
      <w:r w:rsidRPr="00A83B21">
        <w:t xml:space="preserve">Other health and social care agencies depending on individual need. </w:t>
      </w:r>
    </w:p>
    <w:p w14:paraId="6FB26487" w14:textId="77777777" w:rsidR="002A0053" w:rsidRPr="00A83B21" w:rsidRDefault="002A0053" w:rsidP="00F15267">
      <w:r w:rsidRPr="00A83B21">
        <w:t xml:space="preserve">For </w:t>
      </w:r>
      <w:r w:rsidRPr="00A83B21">
        <w:rPr>
          <w:b/>
          <w:bCs/>
        </w:rPr>
        <w:t>people with more significant cognitive impairment who require assistance with daily living</w:t>
      </w:r>
      <w:r w:rsidRPr="00A83B21">
        <w:t>, abstinence (where achievable) is a priority. Additionally it may be useful to make the following referrals.</w:t>
      </w:r>
      <w:r w:rsidRPr="00A83B21">
        <w:fldChar w:fldCharType="begin"/>
      </w:r>
      <w:r w:rsidRPr="00A83B21">
        <w:instrText xml:space="preserve"> ADDIN ZOTERO_ITEM CSL_CITATION {"citationID":"a1hijfqmok7","properties":{"formattedCitation":"\\super 172\\nosupersub{}","plainCitation":"172","noteIndex":0},"citationItems":[{"id":12485,"uris":["http://zotero.org/groups/4745233/items/JDDTWJI7"],"itemData":{"id":12485,"type":"document","publisher":"[unpublished]","title":"Clinical guide to the management of substance use-related cognitive impairment","author":[{"literal":"Tūhonohono Addiction Service"}],"issued":{"date-parts":[["2021"]]}}}],"schema":"https://github.com/citation-style-language/schema/raw/master/csl-citation.json"} </w:instrText>
      </w:r>
      <w:r w:rsidRPr="00A83B21">
        <w:fldChar w:fldCharType="separate"/>
      </w:r>
      <w:r w:rsidRPr="00A83B21">
        <w:rPr>
          <w:rFonts w:cs="Arial"/>
          <w:vertAlign w:val="superscript"/>
        </w:rPr>
        <w:t>172</w:t>
      </w:r>
      <w:r w:rsidRPr="00A83B21">
        <w:fldChar w:fldCharType="end"/>
      </w:r>
    </w:p>
    <w:p w14:paraId="29C7874E" w14:textId="77777777" w:rsidR="002A0053" w:rsidRPr="00A83B21" w:rsidRDefault="002A0053" w:rsidP="00F15267">
      <w:pPr>
        <w:pStyle w:val="Bulletpoint"/>
      </w:pPr>
      <w:r w:rsidRPr="00A83B21">
        <w:t>Brain injury support – ACC and/or Brain Injury New Zealand.</w:t>
      </w:r>
    </w:p>
    <w:p w14:paraId="669E8357" w14:textId="77777777" w:rsidR="002A0053" w:rsidRPr="00A83B21" w:rsidRDefault="002A0053" w:rsidP="00F15267">
      <w:pPr>
        <w:pStyle w:val="Bulletpoint"/>
      </w:pPr>
      <w:r w:rsidRPr="00A83B21">
        <w:lastRenderedPageBreak/>
        <w:t>An occupational therapist and/or nurse-led aftercare to assist with daily living skills, home aids and adaptations, management of hazards around the home, and meaningful daytime activities.</w:t>
      </w:r>
    </w:p>
    <w:p w14:paraId="6A218FCC" w14:textId="77777777" w:rsidR="002A0053" w:rsidRPr="00A83B21" w:rsidRDefault="002A0053" w:rsidP="00F15267">
      <w:pPr>
        <w:pStyle w:val="Bulletpoint"/>
      </w:pPr>
      <w:r w:rsidRPr="00A83B21">
        <w:t>Housing support.</w:t>
      </w:r>
    </w:p>
    <w:p w14:paraId="2496743B" w14:textId="77777777" w:rsidR="002A0053" w:rsidRPr="00A83B21" w:rsidRDefault="002A0053" w:rsidP="00F15267">
      <w:pPr>
        <w:pStyle w:val="Bulletpoint"/>
      </w:pPr>
      <w:r w:rsidRPr="00A83B21">
        <w:t>Nutrition and diet support.</w:t>
      </w:r>
    </w:p>
    <w:p w14:paraId="3AF5BD39" w14:textId="77777777" w:rsidR="002A0053" w:rsidRPr="00A83B21" w:rsidRDefault="002A0053" w:rsidP="00F15267">
      <w:pPr>
        <w:pStyle w:val="Bulletpoint"/>
      </w:pPr>
      <w:r w:rsidRPr="00A83B21">
        <w:t>Support for whānau.</w:t>
      </w:r>
    </w:p>
    <w:p w14:paraId="0068F99F" w14:textId="77777777" w:rsidR="002A0053" w:rsidRPr="00A83B21" w:rsidRDefault="002A0053" w:rsidP="00F15267">
      <w:pPr>
        <w:pStyle w:val="Bulletpoint"/>
      </w:pPr>
      <w:r w:rsidRPr="00A83B21">
        <w:t>Refer eligible people to the needs assessment and service co-ordination (NASC) service.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NASC"/>
        <w:tblDescription w:val="Describes NASC - a government support for people with long term disabilities, mental health challenges, or needing age related support. Teams do a needs assessment to determine what support can be provided. Check the needs assessment service coordination association website for more information on how to refer"/>
      </w:tblPr>
      <w:tblGrid>
        <w:gridCol w:w="9010"/>
      </w:tblGrid>
      <w:tr w:rsidR="002A0053" w:rsidRPr="00A83B21" w14:paraId="500BDF73" w14:textId="77777777" w:rsidTr="00234887">
        <w:tc>
          <w:tcPr>
            <w:tcW w:w="9010" w:type="dxa"/>
            <w:shd w:val="clear" w:color="auto" w:fill="F2F2F2" w:themeFill="background1" w:themeFillShade="F2"/>
          </w:tcPr>
          <w:p w14:paraId="563CE7EE" w14:textId="77777777" w:rsidR="002A0053" w:rsidRPr="00F15267" w:rsidRDefault="002A0053" w:rsidP="00234887">
            <w:pPr>
              <w:rPr>
                <w:szCs w:val="24"/>
              </w:rPr>
            </w:pPr>
            <w:r w:rsidRPr="00F15267">
              <w:rPr>
                <w:b/>
                <w:bCs/>
                <w:szCs w:val="24"/>
              </w:rPr>
              <w:t>Needs assessment and service co-ordination (NASC)</w:t>
            </w:r>
            <w:r w:rsidRPr="00F15267">
              <w:rPr>
                <w:szCs w:val="24"/>
              </w:rPr>
              <w:t xml:space="preserve"> </w:t>
            </w:r>
          </w:p>
          <w:p w14:paraId="799A84E1" w14:textId="77777777" w:rsidR="002A0053" w:rsidRPr="00A83B21" w:rsidRDefault="002A0053" w:rsidP="00F15267">
            <w:r w:rsidRPr="00A83B21">
              <w:t xml:space="preserve">NASC is a government provided service for people with long-term disabilities, mental health challenges, or older people needing age-related support. It is for people who need long-term support to live independently, or to live in a rest home or hospital. </w:t>
            </w:r>
          </w:p>
          <w:p w14:paraId="37E897C9" w14:textId="77777777" w:rsidR="002A0053" w:rsidRPr="00A83B21" w:rsidRDefault="002A0053" w:rsidP="00F15267">
            <w:r w:rsidRPr="00A83B21">
              <w:t xml:space="preserve">The first step is a needs assessment by the NASC team, who will work with people and whānau to find out what support is needed. People need to be eligible for public healthcare in Aotearoa New Zealand. </w:t>
            </w:r>
          </w:p>
          <w:p w14:paraId="7113D129" w14:textId="77777777" w:rsidR="002A0053" w:rsidRPr="00A83B21" w:rsidRDefault="002A0053" w:rsidP="001A2AFC">
            <w:pPr>
              <w:rPr>
                <w:lang w:eastAsia="en-NZ"/>
              </w:rPr>
            </w:pPr>
            <w:r w:rsidRPr="00A83B21">
              <w:rPr>
                <w:lang w:eastAsia="en-NZ"/>
              </w:rPr>
              <w:t>The assessor will want to know about:</w:t>
            </w:r>
          </w:p>
          <w:p w14:paraId="204BF540" w14:textId="77777777" w:rsidR="002A0053" w:rsidRPr="00A83B21" w:rsidRDefault="002A0053" w:rsidP="001A2AFC">
            <w:pPr>
              <w:pStyle w:val="Bulletpoint"/>
              <w:rPr>
                <w:lang w:eastAsia="en-NZ"/>
              </w:rPr>
            </w:pPr>
            <w:r w:rsidRPr="00A83B21">
              <w:rPr>
                <w:lang w:eastAsia="en-NZ"/>
              </w:rPr>
              <w:t>a person’s health including any diagnosed cognitive impairment</w:t>
            </w:r>
          </w:p>
          <w:p w14:paraId="1D0C6CB2" w14:textId="77777777" w:rsidR="002A0053" w:rsidRPr="00A83B21" w:rsidRDefault="002A0053" w:rsidP="001A2AFC">
            <w:pPr>
              <w:pStyle w:val="Bulletpoint"/>
              <w:rPr>
                <w:lang w:eastAsia="en-NZ"/>
              </w:rPr>
            </w:pPr>
            <w:r w:rsidRPr="00A83B21">
              <w:rPr>
                <w:lang w:eastAsia="en-NZ"/>
              </w:rPr>
              <w:t xml:space="preserve">how they cope with day-to-day tasks and any support they have </w:t>
            </w:r>
          </w:p>
          <w:p w14:paraId="00B2B758" w14:textId="77777777" w:rsidR="002A0053" w:rsidRPr="00A83B21" w:rsidRDefault="002A0053" w:rsidP="001A2AFC">
            <w:pPr>
              <w:pStyle w:val="Bulletpoint"/>
              <w:rPr>
                <w:lang w:eastAsia="en-NZ"/>
              </w:rPr>
            </w:pPr>
            <w:r w:rsidRPr="00A83B21">
              <w:rPr>
                <w:lang w:eastAsia="en-NZ"/>
              </w:rPr>
              <w:t>how they’re feeling about the future.</w:t>
            </w:r>
          </w:p>
          <w:p w14:paraId="633053CE" w14:textId="77777777" w:rsidR="002A0053" w:rsidRPr="00A83B21" w:rsidRDefault="002A0053" w:rsidP="001A2AFC">
            <w:pPr>
              <w:rPr>
                <w:color w:val="28A1AC" w:themeColor="accent2"/>
                <w:u w:val="single"/>
                <w:lang w:eastAsia="en-NZ"/>
              </w:rPr>
            </w:pPr>
            <w:r w:rsidRPr="00A83B21">
              <w:rPr>
                <w:lang w:eastAsia="en-NZ"/>
              </w:rPr>
              <w:t xml:space="preserve">There are different NASC teams around the country. Workers can refer on to a local team – each locality may have different referral procedures. To find your local team and process, visit the </w:t>
            </w:r>
            <w:hyperlink r:id="rId65" w:history="1">
              <w:r w:rsidRPr="00A83B21">
                <w:rPr>
                  <w:rStyle w:val="Hyperlink"/>
                  <w:color w:val="000000" w:themeColor="text1"/>
                  <w:sz w:val="22"/>
                  <w:lang w:eastAsia="en-NZ"/>
                </w:rPr>
                <w:t>Needs Assessment Service Coordination Association website</w:t>
              </w:r>
            </w:hyperlink>
            <w:r w:rsidRPr="00A83B21">
              <w:rPr>
                <w:lang w:eastAsia="en-NZ"/>
              </w:rPr>
              <w:t>.</w:t>
            </w:r>
          </w:p>
        </w:tc>
      </w:tr>
    </w:tbl>
    <w:p w14:paraId="092F9779" w14:textId="77777777" w:rsidR="002A0053" w:rsidRDefault="002A0053" w:rsidP="00420977">
      <w:pPr>
        <w:rPr>
          <w:sz w:val="22"/>
        </w:rPr>
      </w:pPr>
    </w:p>
    <w:p w14:paraId="21490C94" w14:textId="77777777" w:rsidR="00AE59D2" w:rsidRPr="00A440F4" w:rsidRDefault="00AE59D2" w:rsidP="00AE59D2">
      <w:pPr>
        <w:rPr>
          <w:b/>
          <w:bCs/>
          <w:color w:val="1E7880" w:themeColor="accent2" w:themeShade="BF"/>
          <w:sz w:val="28"/>
          <w:szCs w:val="28"/>
        </w:rPr>
      </w:pPr>
      <w:bookmarkStart w:id="1355" w:name="_Toc146624843"/>
      <w:bookmarkStart w:id="1356" w:name="_Toc146714204"/>
      <w:bookmarkStart w:id="1357" w:name="_Toc178780134"/>
      <w:bookmarkStart w:id="1358" w:name="_Toc178838900"/>
      <w:bookmarkStart w:id="1359" w:name="_Toc178839087"/>
      <w:bookmarkStart w:id="1360" w:name="_Toc178839208"/>
      <w:bookmarkStart w:id="1361" w:name="_Toc178839436"/>
      <w:bookmarkStart w:id="1362" w:name="_Toc178841646"/>
      <w:bookmarkStart w:id="1363" w:name="_Toc179198206"/>
      <w:bookmarkStart w:id="1364" w:name="_Toc179198454"/>
      <w:bookmarkStart w:id="1365" w:name="_Toc179198562"/>
      <w:bookmarkStart w:id="1366" w:name="_Toc179198669"/>
      <w:bookmarkStart w:id="1367" w:name="_Toc179446113"/>
      <w:r w:rsidRPr="00A440F4">
        <w:rPr>
          <w:b/>
          <w:bCs/>
          <w:color w:val="1E7880" w:themeColor="accent2" w:themeShade="BF"/>
          <w:sz w:val="28"/>
          <w:szCs w:val="28"/>
        </w:rPr>
        <w:t xml:space="preserve">Support whānau needs alongside tāngata </w:t>
      </w:r>
      <w:bookmarkEnd w:id="1355"/>
      <w:bookmarkEnd w:id="1356"/>
      <w:r w:rsidRPr="00A440F4">
        <w:rPr>
          <w:b/>
          <w:bCs/>
          <w:color w:val="1E7880" w:themeColor="accent2" w:themeShade="BF"/>
          <w:sz w:val="28"/>
          <w:szCs w:val="28"/>
        </w:rPr>
        <w:t>whai ora</w:t>
      </w:r>
      <w:bookmarkEnd w:id="1357"/>
      <w:bookmarkEnd w:id="1358"/>
      <w:bookmarkEnd w:id="1359"/>
      <w:bookmarkEnd w:id="1360"/>
      <w:bookmarkEnd w:id="1361"/>
      <w:bookmarkEnd w:id="1362"/>
      <w:bookmarkEnd w:id="1363"/>
      <w:bookmarkEnd w:id="1364"/>
      <w:bookmarkEnd w:id="1365"/>
      <w:bookmarkEnd w:id="1366"/>
      <w:bookmarkEnd w:id="1367"/>
    </w:p>
    <w:p w14:paraId="0A7457EB" w14:textId="77777777" w:rsidR="00AE59D2" w:rsidRPr="009715CC" w:rsidRDefault="00AE59D2" w:rsidP="00AE59D2">
      <w:pPr>
        <w:rPr>
          <w:b/>
          <w:bCs/>
          <w:color w:val="1E7880" w:themeColor="accent2" w:themeShade="BF"/>
          <w:szCs w:val="24"/>
        </w:rPr>
      </w:pPr>
      <w:r w:rsidRPr="009715CC">
        <w:rPr>
          <w:b/>
          <w:bCs/>
          <w:color w:val="1E7880" w:themeColor="accent2" w:themeShade="BF"/>
          <w:szCs w:val="24"/>
        </w:rPr>
        <w:t xml:space="preserve">Check whānau support needs </w:t>
      </w:r>
    </w:p>
    <w:p w14:paraId="2C5D9728" w14:textId="77777777" w:rsidR="00AE59D2" w:rsidRPr="006956DB" w:rsidRDefault="00AE59D2" w:rsidP="001A2AFC">
      <w:r w:rsidRPr="006956DB">
        <w:t xml:space="preserve">It is important to acknowledge and validate whānau experiences in supporting someone with a cognitive impairment. Listen to their story and identify their support needs. </w:t>
      </w:r>
    </w:p>
    <w:p w14:paraId="02B9A5BC" w14:textId="77777777" w:rsidR="007F1966" w:rsidRDefault="00AE59D2" w:rsidP="007F1966">
      <w:r w:rsidRPr="006956DB">
        <w:lastRenderedPageBreak/>
        <w:t>The 5-Step Method in addiction services is an evidence-based and trauma-informed model for involving whānau (including children) in support.</w:t>
      </w:r>
      <w:r w:rsidRPr="006956DB">
        <w:rPr>
          <w:color w:val="2B579A"/>
          <w:shd w:val="clear" w:color="auto" w:fill="E6E6E6"/>
        </w:rPr>
        <w:fldChar w:fldCharType="begin"/>
      </w:r>
      <w:r w:rsidRPr="006956DB">
        <w:instrText xml:space="preserve"> ADDIN ZOTERO_ITEM CSL_CITATION {"citationID":"aim7emfh15","properties":{"formattedCitation":"\\super 173,174\\nosupersub{}","plainCitation":"173,174","noteIndex":0},"citationItems":[{"id":13365,"uris":["http://zotero.org/groups/4745233/items/4ET7M7DZ"],"itemData":{"id":13365,"type":"webpage","abstract":"An evidence-based and trauma-informed approach that supports whānau members of people experiencing addiction issues to respond and cope more effectively.","container-title":"Te Pou","language":"en","title":"5-Step Method | Addiction services","URL":"https://www.tepou.co.nz/initiatives/5-step-method","author":[{"literal":"Te Pou"}],"accessed":{"date-parts":[["2022",10,27]]}}},{"id":14120,"uris":["http://zotero.org/groups/4745233/items/TUDALM7V"],"itemData":{"id":14120,"type":"webpage","title":"The 5-Step Method | Resources to help family members with addiction","URL":"https://afinetwork.info/5-step-method-resources-introduction","author":[{"literal":"AFINet"}],"accessed":{"date-parts":[["2023",8,31]]},"issued":{"date-parts":[["2021"]]}}}],"schema":"https://github.com/citation-style-language/schema/raw/master/csl-citation.json"} </w:instrText>
      </w:r>
      <w:r w:rsidRPr="006956DB">
        <w:rPr>
          <w:color w:val="2B579A"/>
          <w:shd w:val="clear" w:color="auto" w:fill="E6E6E6"/>
        </w:rPr>
        <w:fldChar w:fldCharType="separate"/>
      </w:r>
      <w:r w:rsidRPr="006956DB">
        <w:rPr>
          <w:rFonts w:cs="Arial"/>
          <w:vertAlign w:val="superscript"/>
        </w:rPr>
        <w:t>173,174</w:t>
      </w:r>
      <w:r w:rsidRPr="006956DB">
        <w:rPr>
          <w:color w:val="2B579A"/>
          <w:shd w:val="clear" w:color="auto" w:fill="E6E6E6"/>
        </w:rPr>
        <w:fldChar w:fldCharType="end"/>
      </w:r>
      <w:r w:rsidRPr="006956DB">
        <w:t xml:space="preserve"> It equips workers to help whānau focus on their wellbeing. </w:t>
      </w:r>
      <w:r w:rsidRPr="006956DB">
        <w:fldChar w:fldCharType="begin"/>
      </w:r>
      <w:r w:rsidRPr="006956DB">
        <w:instrText xml:space="preserve"> REF _Ref146120625 \h  \* MERGEFORMAT </w:instrText>
      </w:r>
      <w:r w:rsidRPr="006956DB">
        <w:fldChar w:fldCharType="separate"/>
      </w:r>
    </w:p>
    <w:p w14:paraId="1D7CA9A2" w14:textId="5A462FDC" w:rsidR="00AE59D2" w:rsidRPr="006956DB" w:rsidRDefault="007F1966" w:rsidP="001A2AFC">
      <w:r w:rsidRPr="006956DB">
        <w:t>Figure</w:t>
      </w:r>
      <w:r w:rsidRPr="006956DB">
        <w:rPr>
          <w:noProof/>
        </w:rPr>
        <w:t xml:space="preserve"> </w:t>
      </w:r>
      <w:r>
        <w:rPr>
          <w:noProof/>
        </w:rPr>
        <w:t>10</w:t>
      </w:r>
      <w:r w:rsidR="00AE59D2" w:rsidRPr="006956DB">
        <w:fldChar w:fldCharType="end"/>
      </w:r>
      <w:r w:rsidR="00AE59D2" w:rsidRPr="006956DB">
        <w:t xml:space="preserve"> outlines the steps involved. </w:t>
      </w:r>
    </w:p>
    <w:p w14:paraId="1A343EF4" w14:textId="77777777" w:rsidR="00122447" w:rsidRDefault="00122447" w:rsidP="001A2AFC">
      <w:pPr>
        <w:pStyle w:val="Figure"/>
      </w:pPr>
      <w:bookmarkStart w:id="1368" w:name="_Ref146120625"/>
      <w:bookmarkStart w:id="1369" w:name="_Toc179461359"/>
    </w:p>
    <w:p w14:paraId="528465FF" w14:textId="2853A542" w:rsidR="00AE59D2" w:rsidRPr="006956DB" w:rsidRDefault="00AE59D2" w:rsidP="001A2AFC">
      <w:pPr>
        <w:pStyle w:val="Figure"/>
      </w:pPr>
      <w:r w:rsidRPr="006956DB">
        <w:t xml:space="preserve">Figure </w:t>
      </w:r>
      <w:r w:rsidRPr="006956DB">
        <w:fldChar w:fldCharType="begin"/>
      </w:r>
      <w:r w:rsidRPr="006956DB">
        <w:instrText xml:space="preserve"> SEQ Figure \* ARABIC </w:instrText>
      </w:r>
      <w:r w:rsidRPr="006956DB">
        <w:fldChar w:fldCharType="separate"/>
      </w:r>
      <w:r w:rsidR="007F1966">
        <w:rPr>
          <w:noProof/>
        </w:rPr>
        <w:t>10</w:t>
      </w:r>
      <w:r w:rsidRPr="006956DB">
        <w:fldChar w:fldCharType="end"/>
      </w:r>
      <w:bookmarkEnd w:id="1368"/>
      <w:r w:rsidRPr="006956DB">
        <w:t>. The 5-Step Method in addiction services</w:t>
      </w:r>
      <w:bookmarkEnd w:id="1369"/>
    </w:p>
    <w:p w14:paraId="3C49BFAE" w14:textId="77777777" w:rsidR="00AE59D2" w:rsidRPr="006956DB" w:rsidRDefault="00AE59D2" w:rsidP="00AE59D2">
      <w:pPr>
        <w:rPr>
          <w:sz w:val="22"/>
        </w:rPr>
      </w:pPr>
      <w:r w:rsidRPr="006956DB">
        <w:rPr>
          <w:noProof/>
          <w:sz w:val="22"/>
        </w:rPr>
        <w:drawing>
          <wp:inline distT="0" distB="0" distL="0" distR="0" wp14:anchorId="33D8145D" wp14:editId="03920469">
            <wp:extent cx="5727700" cy="2032635"/>
            <wp:effectExtent l="0" t="0" r="6350" b="5715"/>
            <wp:docPr id="1647074964" name="Picture 1647074964" descr="Shows the 5 steps of the 5-step method. Getting to know whānau, providing information, exploring ways of coping, exploring social support, and further help if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074964" name="Picture 1" descr="Shows the 5 steps of the 5-step method. Getting to know whānau, providing information, exploring ways of coping, exploring social support, and further help if neede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27700" cy="2032635"/>
                    </a:xfrm>
                    <a:prstGeom prst="rect">
                      <a:avLst/>
                    </a:prstGeom>
                    <a:noFill/>
                    <a:ln>
                      <a:noFill/>
                    </a:ln>
                  </pic:spPr>
                </pic:pic>
              </a:graphicData>
            </a:graphic>
          </wp:inline>
        </w:drawing>
      </w:r>
    </w:p>
    <w:p w14:paraId="744B3A18" w14:textId="77777777" w:rsidR="00AE59D2" w:rsidRDefault="00AE59D2" w:rsidP="001A2AFC">
      <w:r w:rsidRPr="006956DB">
        <w:t>As part of the 5-Step Method, trained workers can use Single Session Family Consultation (SSFC). This is a brief model of whānau engagement and inclusion that aims to clarify how whānau will be involved in support and helps them identify and address their own needs. Specific training is required to effectively use the 5-Step Method and SSFC.</w:t>
      </w:r>
    </w:p>
    <w:p w14:paraId="358E7367" w14:textId="77777777" w:rsidR="00122447" w:rsidRPr="006956DB" w:rsidRDefault="00122447" w:rsidP="001A2AFC"/>
    <w:p w14:paraId="05009A4A" w14:textId="77777777" w:rsidR="00AE59D2" w:rsidRPr="006956DB" w:rsidRDefault="00AE59D2" w:rsidP="00AE59D2">
      <w:pPr>
        <w:rPr>
          <w:b/>
          <w:bCs/>
          <w:color w:val="1E7880" w:themeColor="accent2" w:themeShade="BF"/>
          <w:szCs w:val="24"/>
        </w:rPr>
      </w:pPr>
      <w:r w:rsidRPr="006956DB">
        <w:rPr>
          <w:b/>
          <w:bCs/>
          <w:color w:val="1E7880" w:themeColor="accent2" w:themeShade="BF"/>
          <w:szCs w:val="24"/>
        </w:rPr>
        <w:t>Educate whānau about how to support people at home</w:t>
      </w:r>
    </w:p>
    <w:p w14:paraId="032BCE32" w14:textId="77777777" w:rsidR="00AE59D2" w:rsidRPr="006956DB" w:rsidRDefault="00AE59D2" w:rsidP="001A2AFC">
      <w:r w:rsidRPr="006956DB">
        <w:t>When talking to whānau, ensure they have a realistic understanding of their whānau member’s situation. This also helps instil a sense of hope about what can be accomplished. This is particularly important for conditions that may get worse over time, like dementia. Explain that much can be done to improve the person’s quality of life.</w:t>
      </w:r>
      <w:r w:rsidRPr="006956DB">
        <w:rPr>
          <w:color w:val="2B579A"/>
        </w:rPr>
        <w:fldChar w:fldCharType="begin"/>
      </w:r>
      <w:r w:rsidRPr="006956DB">
        <w:instrText xml:space="preserve"> ADDIN ZOTERO_ITEM CSL_CITATION {"citationID":"sR8XO1RH","properties":{"formattedCitation":"\\super 175\\nosupersub{}","plainCitation":"175","noteIndex":0},"citationItems":[{"id":13312,"uris":["http://zotero.org/groups/4745233/items/RGN6T7C6"],"itemData":{"id":13312,"type":"webpage","abstract":"Learn how to address an older patient's concerns about cognitive problems, such as changes in their memory or thinking.","container-title":"National Institute on Aging","language":"en","title":"Talking with Older Patients About Cognitive Problems","URL":"https://www.nia.nih.gov/health/talking-older-patients-about-cognitive-problems","author":[{"literal":"National Institute on Aging"}],"accessed":{"date-parts":[["2022",10,28]]},"issued":{"date-parts":[["2017"]]}}}],"schema":"https://github.com/citation-style-language/schema/raw/master/csl-citation.json"} </w:instrText>
      </w:r>
      <w:r w:rsidRPr="006956DB">
        <w:rPr>
          <w:color w:val="2B579A"/>
        </w:rPr>
        <w:fldChar w:fldCharType="separate"/>
      </w:r>
      <w:r w:rsidRPr="006956DB">
        <w:rPr>
          <w:rFonts w:cs="Arial"/>
          <w:vertAlign w:val="superscript"/>
        </w:rPr>
        <w:t>175</w:t>
      </w:r>
      <w:r w:rsidRPr="006956DB">
        <w:rPr>
          <w:color w:val="2B579A"/>
        </w:rPr>
        <w:fldChar w:fldCharType="end"/>
      </w:r>
      <w:r w:rsidRPr="006956DB">
        <w:t xml:space="preserve"> </w:t>
      </w:r>
    </w:p>
    <w:p w14:paraId="42920850" w14:textId="77777777" w:rsidR="00AE59D2" w:rsidRPr="006956DB" w:rsidRDefault="00AE59D2" w:rsidP="001A2AFC">
      <w:r w:rsidRPr="006956DB">
        <w:t xml:space="preserve">When a person is diagnosed with a specific cognitive impairment, explain the cause, prevalence, treatment, and outcomes expected. This helps to avoid blame and shame among whānau, especially when there is stigma attached. </w:t>
      </w:r>
    </w:p>
    <w:p w14:paraId="7755CF16" w14:textId="77777777" w:rsidR="00AE59D2" w:rsidRPr="006956DB" w:rsidRDefault="00AE59D2" w:rsidP="001A2AFC">
      <w:r w:rsidRPr="006956DB">
        <w:t>Check what whānau need to confidently support people at home.</w:t>
      </w:r>
      <w:r w:rsidRPr="006956DB">
        <w:rPr>
          <w:color w:val="2B579A"/>
        </w:rPr>
        <w:t xml:space="preserve"> </w:t>
      </w:r>
      <w:r w:rsidRPr="006956DB">
        <w:t>Connect whānau with practical, social, and emotional support to minimise burnout. Examples of ways whānau can support people experiencing cognitive impairment in a strengths-based way are listed below.</w:t>
      </w:r>
      <w:r w:rsidRPr="006956DB">
        <w:fldChar w:fldCharType="begin"/>
      </w:r>
      <w:r w:rsidRPr="006956DB">
        <w:instrText xml:space="preserve"> ADDIN ZOTERO_ITEM CSL_CITATION {"citationID":"a2foqa6mju0","properties":{"formattedCitation":"\\super 176,177\\nosupersub{}","plainCitation":"176,177","noteIndex":0},"citationItems":[{"id":13762,"uris":["http://zotero.org/groups/4745233/items/FL2FZRIM"],"itemData":{"id":13762,"type":"webpage","title":"Caregiver &amp; Whanau support","URL":"https://www.fasd-can.org.nz/caregiver_whanau_support","author":[{"literal":"FASD-CAN"}],"accessed":{"date-parts":[["2023",7,17]]}}},{"id":12541,"uris":["http://zotero.org/groups/4745233/items/BIXD4WN6"],"itemData":{"id":12541,"type":"webpage","abstract":"We've identified some of the key issues that families living with FASD describe as important, and that are helpful for practitioners to understand.","container-title":"Emerging Minds","language":"en-AU","title":"How to support families living with FASD","URL":"https://emergingminds.com.au/resources/how-to-support-caregivers-and-families-living-with-fetal-alcohol-spectrum-disorder-fasd/","author":[{"literal":"Emerging Minds"}],"accessed":{"date-parts":[["2023",9,4]]},"issued":{"date-parts":[["2019"]]}}}],"schema":"https://github.com/citation-style-language/schema/raw/master/csl-citation.json"} </w:instrText>
      </w:r>
      <w:r w:rsidRPr="006956DB">
        <w:fldChar w:fldCharType="separate"/>
      </w:r>
      <w:r w:rsidRPr="006956DB">
        <w:rPr>
          <w:rFonts w:cs="Arial"/>
          <w:vertAlign w:val="superscript"/>
        </w:rPr>
        <w:t>176,177</w:t>
      </w:r>
      <w:r w:rsidRPr="006956DB">
        <w:fldChar w:fldCharType="end"/>
      </w:r>
      <w:r w:rsidRPr="006956DB">
        <w:t xml:space="preserve"> </w:t>
      </w:r>
    </w:p>
    <w:p w14:paraId="31F670A9" w14:textId="77777777" w:rsidR="00AE59D2" w:rsidRPr="006956DB" w:rsidRDefault="00AE59D2" w:rsidP="001A2AFC">
      <w:pPr>
        <w:pStyle w:val="Bulletpoint"/>
      </w:pPr>
      <w:r w:rsidRPr="006956DB">
        <w:lastRenderedPageBreak/>
        <w:t xml:space="preserve">Aim to give the person as much control as possible over their life and the decisions made. </w:t>
      </w:r>
    </w:p>
    <w:p w14:paraId="564CCC00" w14:textId="77777777" w:rsidR="00AE59D2" w:rsidRPr="006956DB" w:rsidRDefault="00AE59D2" w:rsidP="001A2AFC">
      <w:pPr>
        <w:pStyle w:val="Bulletpoint"/>
      </w:pPr>
      <w:r w:rsidRPr="006956DB">
        <w:t xml:space="preserve">Aim to keep stable and consistent routines and structure within the home. </w:t>
      </w:r>
    </w:p>
    <w:p w14:paraId="5B3AF636" w14:textId="77777777" w:rsidR="00AE59D2" w:rsidRPr="006956DB" w:rsidRDefault="00AE59D2" w:rsidP="001A2AFC">
      <w:pPr>
        <w:pStyle w:val="Bulletpoint"/>
      </w:pPr>
      <w:r w:rsidRPr="006956DB">
        <w:t>Focus on what people can do, rather than what they can’t.</w:t>
      </w:r>
    </w:p>
    <w:p w14:paraId="00046A23" w14:textId="77777777" w:rsidR="00AE59D2" w:rsidRPr="006956DB" w:rsidRDefault="00AE59D2" w:rsidP="001A2AFC">
      <w:pPr>
        <w:pStyle w:val="Bulletpoint"/>
      </w:pPr>
      <w:r w:rsidRPr="006956DB">
        <w:t xml:space="preserve">Adjust expectations. Remember the phrase “can’t, not won’t” – this is a good reminder that people are doing their best and if they don’t do something you are expecting it may be because they can’t, rather than choosing not to. </w:t>
      </w:r>
    </w:p>
    <w:p w14:paraId="44685F23" w14:textId="77777777" w:rsidR="00AE59D2" w:rsidRPr="006956DB" w:rsidRDefault="00AE59D2" w:rsidP="001A2AFC">
      <w:pPr>
        <w:pStyle w:val="Bulletpoint"/>
      </w:pPr>
      <w:r w:rsidRPr="006956DB">
        <w:t xml:space="preserve">Adapt the environment, rather than the person. Look at changes around the home that would make life easier for the person and adapt accordingly, rather than expecting people to do things that are unrealistic. For example, </w:t>
      </w:r>
      <w:hyperlink w:anchor="_External_strategies" w:history="1">
        <w:r w:rsidRPr="006956DB">
          <w:rPr>
            <w:rStyle w:val="Hyperlink"/>
            <w:sz w:val="22"/>
          </w:rPr>
          <w:t>set up a memory station as outlined earlier</w:t>
        </w:r>
      </w:hyperlink>
      <w:r w:rsidRPr="006956DB">
        <w:t xml:space="preserve">. </w:t>
      </w:r>
    </w:p>
    <w:p w14:paraId="731691D0" w14:textId="77777777" w:rsidR="00AE59D2" w:rsidRPr="006956DB" w:rsidRDefault="00AE59D2" w:rsidP="001A2AFC">
      <w:pPr>
        <w:pStyle w:val="Bulletpoint"/>
      </w:pPr>
      <w:r w:rsidRPr="006956DB">
        <w:t xml:space="preserve">Make time for self-care – it is important whānau look after themselves so they can support others. </w:t>
      </w:r>
    </w:p>
    <w:p w14:paraId="43E4C6EF" w14:textId="77777777" w:rsidR="00AE59D2" w:rsidRPr="006956DB" w:rsidRDefault="00AE59D2" w:rsidP="001A2AFC">
      <w:r w:rsidRPr="006956DB">
        <w:t xml:space="preserve">Some examples of whānau resources are listed below. </w:t>
      </w:r>
    </w:p>
    <w:p w14:paraId="3AB087BB" w14:textId="77777777" w:rsidR="00AE59D2" w:rsidRPr="006956DB" w:rsidRDefault="00AE59D2" w:rsidP="001A2AFC">
      <w:pPr>
        <w:pStyle w:val="Bulletpoint"/>
      </w:pPr>
      <w:r w:rsidRPr="006956DB">
        <w:t xml:space="preserve">Health &amp; Disability Commissioner </w:t>
      </w:r>
      <w:r w:rsidRPr="006956DB">
        <w:rPr>
          <w:i/>
          <w:iCs/>
        </w:rPr>
        <w:t>When Someone You Care About Has a Mental Health or Addiction Issue</w:t>
      </w:r>
      <w:r w:rsidRPr="006956DB">
        <w:rPr>
          <w:vertAlign w:val="superscript"/>
        </w:rPr>
        <w:fldChar w:fldCharType="begin"/>
      </w:r>
      <w:r w:rsidRPr="006956DB">
        <w:rPr>
          <w:vertAlign w:val="superscript"/>
        </w:rPr>
        <w:instrText xml:space="preserve"> ADDIN ZOTERO_ITEM CSL_CITATION {"citationID":"XOgkryUT","properties":{"formattedCitation":"\\super 178\\nosupersub{}","plainCitation":"178","noteIndex":0},"citationItems":[{"id":13356,"uris":["http://zotero.org/groups/4745233/items/QAMAGWG5"],"itemData":{"id":13356,"type":"report","title":"When someone you care about has a mental health or addiction issue","URL":"https://www.hdc.org.nz/media/1077/when-someone-you-care-about-has-a-mental-health-or-addiction-issue.pdf","author":[{"literal":"Health &amp; Disability Commissioner"}],"accessed":{"date-parts":[["2022",10,27]]},"issued":{"date-parts":[["2014"]]}}}],"schema":"https://github.com/citation-style-language/schema/raw/master/csl-citation.json"} </w:instrText>
      </w:r>
      <w:r w:rsidRPr="006956DB">
        <w:rPr>
          <w:vertAlign w:val="superscript"/>
        </w:rPr>
        <w:fldChar w:fldCharType="separate"/>
      </w:r>
      <w:r w:rsidRPr="006956DB">
        <w:rPr>
          <w:rFonts w:cs="Arial"/>
          <w:vertAlign w:val="superscript"/>
        </w:rPr>
        <w:t>178</w:t>
      </w:r>
      <w:r w:rsidRPr="006956DB">
        <w:rPr>
          <w:vertAlign w:val="superscript"/>
        </w:rPr>
        <w:fldChar w:fldCharType="end"/>
      </w:r>
      <w:r w:rsidRPr="006956DB">
        <w:t xml:space="preserve"> </w:t>
      </w:r>
    </w:p>
    <w:p w14:paraId="2153E0A9" w14:textId="77777777" w:rsidR="00AE59D2" w:rsidRPr="006956DB" w:rsidRDefault="00AE59D2" w:rsidP="001A2AFC">
      <w:pPr>
        <w:pStyle w:val="Bulletpoint"/>
      </w:pPr>
      <w:r w:rsidRPr="006956DB">
        <w:t xml:space="preserve">Brain Injury New Zealand </w:t>
      </w:r>
      <w:r w:rsidRPr="006956DB">
        <w:rPr>
          <w:i/>
          <w:iCs/>
        </w:rPr>
        <w:t>Coping With Brain Injury for Family and Friends</w:t>
      </w:r>
      <w:r w:rsidRPr="006956DB">
        <w:rPr>
          <w:vertAlign w:val="superscript"/>
        </w:rPr>
        <w:fldChar w:fldCharType="begin"/>
      </w:r>
      <w:r w:rsidRPr="006956DB">
        <w:rPr>
          <w:vertAlign w:val="superscript"/>
        </w:rPr>
        <w:instrText xml:space="preserve"> ADDIN ZOTERO_ITEM CSL_CITATION {"citationID":"ae908spcv9","properties":{"formattedCitation":"\\super 179\\nosupersub{}","plainCitation":"179","noteIndex":0},"citationItems":[{"id":13763,"uris":["http://zotero.org/groups/4745233/items/A8V2A2B2"],"itemData":{"id":13763,"type":"document","title":"Coping with brain injury for family and friends","author":[{"literal":"Brain Injury New Zealand"},{"literal":"ACC"}],"issued":{"date-parts":[["2018"]]}}}],"schema":"https://github.com/citation-style-language/schema/raw/master/csl-citation.json"} </w:instrText>
      </w:r>
      <w:r w:rsidRPr="006956DB">
        <w:rPr>
          <w:vertAlign w:val="superscript"/>
        </w:rPr>
        <w:fldChar w:fldCharType="separate"/>
      </w:r>
      <w:r w:rsidRPr="006956DB">
        <w:rPr>
          <w:rFonts w:cs="Arial"/>
          <w:vertAlign w:val="superscript"/>
        </w:rPr>
        <w:t>179</w:t>
      </w:r>
      <w:r w:rsidRPr="006956DB">
        <w:rPr>
          <w:vertAlign w:val="superscript"/>
        </w:rPr>
        <w:fldChar w:fldCharType="end"/>
      </w:r>
    </w:p>
    <w:p w14:paraId="29DE7110" w14:textId="77777777" w:rsidR="00AE59D2" w:rsidRPr="006956DB" w:rsidRDefault="00AE59D2" w:rsidP="001A2AFC">
      <w:pPr>
        <w:pStyle w:val="Bulletpoint"/>
      </w:pPr>
      <w:r w:rsidRPr="006956DB">
        <w:t xml:space="preserve">FASD-CAN </w:t>
      </w:r>
      <w:r w:rsidRPr="006956DB">
        <w:rPr>
          <w:i/>
          <w:iCs/>
        </w:rPr>
        <w:t>Caregiver and Whānau Support</w:t>
      </w:r>
      <w:r w:rsidRPr="006956DB">
        <w:rPr>
          <w:vertAlign w:val="superscript"/>
        </w:rPr>
        <w:fldChar w:fldCharType="begin"/>
      </w:r>
      <w:r w:rsidRPr="006956DB">
        <w:rPr>
          <w:vertAlign w:val="superscript"/>
        </w:rPr>
        <w:instrText xml:space="preserve"> ADDIN ZOTERO_ITEM CSL_CITATION {"citationID":"asl6t5c4an","properties":{"formattedCitation":"\\super 176\\nosupersub{}","plainCitation":"176","noteIndex":0},"citationItems":[{"id":13762,"uris":["http://zotero.org/groups/4745233/items/FL2FZRIM"],"itemData":{"id":13762,"type":"webpage","title":"Caregiver &amp; Whanau support","URL":"https://www.fasd-can.org.nz/caregiver_whanau_support","author":[{"literal":"FASD-CAN"}],"accessed":{"date-parts":[["2023",7,17]]}}}],"schema":"https://github.com/citation-style-language/schema/raw/master/csl-citation.json"} </w:instrText>
      </w:r>
      <w:r w:rsidRPr="006956DB">
        <w:rPr>
          <w:vertAlign w:val="superscript"/>
        </w:rPr>
        <w:fldChar w:fldCharType="separate"/>
      </w:r>
      <w:r w:rsidRPr="006956DB">
        <w:rPr>
          <w:rFonts w:cs="Arial"/>
          <w:vertAlign w:val="superscript"/>
        </w:rPr>
        <w:t>176</w:t>
      </w:r>
      <w:r w:rsidRPr="006956DB">
        <w:rPr>
          <w:vertAlign w:val="superscript"/>
        </w:rPr>
        <w:fldChar w:fldCharType="end"/>
      </w:r>
    </w:p>
    <w:p w14:paraId="69B0F5FB" w14:textId="429A662E" w:rsidR="00E24B12" w:rsidRPr="00EB4651" w:rsidRDefault="00AE59D2" w:rsidP="001A2AFC">
      <w:pPr>
        <w:pStyle w:val="Bulletpoint"/>
      </w:pPr>
      <w:r w:rsidRPr="006956DB">
        <w:t xml:space="preserve">Alzheimers New Zealand, </w:t>
      </w:r>
      <w:r w:rsidRPr="006956DB">
        <w:rPr>
          <w:i/>
          <w:iCs/>
        </w:rPr>
        <w:t>Supporting a Person with Dementia</w:t>
      </w:r>
      <w:r w:rsidRPr="006956DB">
        <w:fldChar w:fldCharType="begin"/>
      </w:r>
      <w:r w:rsidRPr="006956DB">
        <w:instrText xml:space="preserve"> ADDIN ZOTERO_ITEM CSL_CITATION {"citationID":"aqauvo5kqc","properties":{"formattedCitation":"\\super 180\\nosupersub{}","plainCitation":"180","noteIndex":0},"citationItems":[{"id":16803,"uris":["http://zotero.org/groups/4745233/items/PU9T3PA6"],"itemData":{"id":16803,"type":"document","title":"Supporting a person with dementia: A guide for family/whānau and friends","URL":"https://cdn.alzheimers.org.nz/wp-content/uploads/2021/04/Booklet-3-Supporting-a-person-with-dementia.pdf","author":[{"literal":"Alzheimers New Zealand"}],"accessed":{"date-parts":[["2023",9,26]]},"issued":{"date-parts":[["2023"]]}}}],"schema":"https://github.com/citation-style-language/schema/raw/master/csl-citation.json"} </w:instrText>
      </w:r>
      <w:r w:rsidRPr="006956DB">
        <w:fldChar w:fldCharType="separate"/>
      </w:r>
      <w:r w:rsidRPr="006956DB">
        <w:rPr>
          <w:rFonts w:cs="Arial"/>
          <w:vertAlign w:val="superscript"/>
        </w:rPr>
        <w:t>180</w:t>
      </w:r>
      <w:r w:rsidRPr="006956DB">
        <w:fldChar w:fldCharType="end"/>
      </w:r>
      <w:r w:rsidRPr="006956DB">
        <w:t xml:space="preserve">  </w:t>
      </w:r>
      <w:bookmarkStart w:id="1370" w:name="_Toc172095784"/>
      <w:bookmarkStart w:id="1371" w:name="_Toc178780135"/>
      <w:bookmarkStart w:id="1372" w:name="_Toc178838901"/>
      <w:bookmarkStart w:id="1373" w:name="_Toc178839088"/>
      <w:bookmarkStart w:id="1374" w:name="_Toc178839209"/>
      <w:bookmarkStart w:id="1375" w:name="_Toc178839437"/>
      <w:bookmarkStart w:id="1376" w:name="_Toc178841647"/>
      <w:bookmarkStart w:id="1377" w:name="_Toc179198207"/>
      <w:bookmarkStart w:id="1378" w:name="_Toc179198455"/>
      <w:bookmarkStart w:id="1379" w:name="_Toc179198563"/>
      <w:bookmarkStart w:id="1380" w:name="_Toc179198670"/>
      <w:bookmarkStart w:id="1381" w:name="_Toc179446114"/>
      <w:bookmarkStart w:id="1382" w:name="_Toc179447127"/>
      <w:bookmarkStart w:id="1383" w:name="_Toc179448666"/>
      <w:bookmarkStart w:id="1384" w:name="_Toc179448826"/>
      <w:bookmarkStart w:id="1385" w:name="_Toc179449213"/>
      <w:bookmarkStart w:id="1386" w:name="_Toc179452916"/>
      <w:bookmarkStart w:id="1387" w:name="_Toc179461429"/>
      <w:bookmarkStart w:id="1388" w:name="_Toc179461873"/>
      <w:bookmarkStart w:id="1389" w:name="_Toc179487925"/>
      <w:bookmarkStart w:id="1390" w:name="_Toc179489228"/>
      <w:bookmarkStart w:id="1391" w:name="_Toc179531353"/>
      <w:bookmarkStart w:id="1392" w:name="_Toc179536026"/>
      <w:bookmarkStart w:id="1393" w:name="_Toc179537865"/>
      <w:bookmarkStart w:id="1394" w:name="_Toc179537929"/>
      <w:bookmarkStart w:id="1395" w:name="_Toc179538096"/>
      <w:bookmarkStart w:id="1396" w:name="_Toc179538909"/>
      <w:bookmarkStart w:id="1397" w:name="_Toc179539227"/>
      <w:bookmarkStart w:id="1398" w:name="_Toc179539343"/>
      <w:bookmarkStart w:id="1399" w:name="_Toc179539481"/>
      <w:bookmarkStart w:id="1400" w:name="_Toc179539578"/>
      <w:bookmarkStart w:id="1401" w:name="_Toc179539663"/>
      <w:bookmarkStart w:id="1402" w:name="_Toc179539753"/>
      <w:bookmarkStart w:id="1403" w:name="_Toc179540437"/>
      <w:bookmarkStart w:id="1404" w:name="_Toc179541782"/>
      <w:bookmarkStart w:id="1405" w:name="_Toc179542974"/>
    </w:p>
    <w:p w14:paraId="5A603C72" w14:textId="77777777" w:rsidR="000426E6" w:rsidRPr="000426E6" w:rsidRDefault="000426E6" w:rsidP="000426E6"/>
    <w:p w14:paraId="182F3619" w14:textId="68CDBB9D" w:rsidR="00AE59D2" w:rsidRPr="00193529" w:rsidRDefault="00AE59D2" w:rsidP="00AE59D2">
      <w:pPr>
        <w:pStyle w:val="Heading2"/>
        <w:rPr>
          <w:color w:val="1E7880" w:themeColor="accent2" w:themeShade="BF"/>
          <w:sz w:val="28"/>
          <w:szCs w:val="28"/>
        </w:rPr>
      </w:pPr>
      <w:bookmarkStart w:id="1406" w:name="_Toc180571302"/>
      <w:r w:rsidRPr="00193529">
        <w:rPr>
          <w:color w:val="1E7880" w:themeColor="accent2" w:themeShade="BF"/>
          <w:sz w:val="28"/>
          <w:szCs w:val="28"/>
        </w:rPr>
        <w:t>Review quizzes</w:t>
      </w:r>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p>
    <w:p w14:paraId="663B1188" w14:textId="77777777" w:rsidR="00AE59D2" w:rsidRPr="001A2AFC" w:rsidRDefault="00AE59D2" w:rsidP="00AE59D2">
      <w:pPr>
        <w:rPr>
          <w:szCs w:val="24"/>
        </w:rPr>
      </w:pPr>
      <w:r w:rsidRPr="001A2AFC">
        <w:rPr>
          <w:szCs w:val="24"/>
        </w:rPr>
        <w:t xml:space="preserve">This section contains three review quizzes – one on cognitive impairment and its impacts, one on screening, and one on support. </w:t>
      </w:r>
    </w:p>
    <w:p w14:paraId="7F015907" w14:textId="38FBB4CF" w:rsidR="00AE59D2" w:rsidRPr="00EB4651" w:rsidRDefault="00AE59D2" w:rsidP="00EB4651">
      <w:pPr>
        <w:spacing w:before="0" w:after="160" w:line="259" w:lineRule="auto"/>
        <w:rPr>
          <w:sz w:val="22"/>
        </w:rPr>
      </w:pPr>
      <w:bookmarkStart w:id="1407" w:name="_Toc178780136"/>
      <w:bookmarkStart w:id="1408" w:name="_Toc178838902"/>
      <w:bookmarkStart w:id="1409" w:name="_Toc178839089"/>
      <w:bookmarkStart w:id="1410" w:name="_Toc178839210"/>
      <w:bookmarkStart w:id="1411" w:name="_Toc178839438"/>
      <w:bookmarkStart w:id="1412" w:name="_Toc178841648"/>
      <w:bookmarkStart w:id="1413" w:name="_Toc179198208"/>
      <w:bookmarkStart w:id="1414" w:name="_Toc179198456"/>
      <w:bookmarkStart w:id="1415" w:name="_Toc179198564"/>
      <w:bookmarkStart w:id="1416" w:name="_Toc179198671"/>
      <w:bookmarkStart w:id="1417" w:name="_Toc179446115"/>
      <w:bookmarkStart w:id="1418" w:name="_Toc179447128"/>
      <w:bookmarkStart w:id="1419" w:name="_Toc179448667"/>
      <w:r w:rsidRPr="009715CC">
        <w:rPr>
          <w:b/>
          <w:bCs/>
          <w:color w:val="1E7880" w:themeColor="accent2" w:themeShade="BF"/>
        </w:rPr>
        <w:t>Review quiz: Cognitive impairment and its impacts</w:t>
      </w:r>
      <w:bookmarkEnd w:id="1407"/>
      <w:bookmarkEnd w:id="1408"/>
      <w:bookmarkEnd w:id="1409"/>
      <w:bookmarkEnd w:id="1410"/>
      <w:bookmarkEnd w:id="1411"/>
      <w:bookmarkEnd w:id="1412"/>
      <w:bookmarkEnd w:id="1413"/>
      <w:bookmarkEnd w:id="1414"/>
      <w:bookmarkEnd w:id="1415"/>
      <w:bookmarkEnd w:id="1416"/>
      <w:bookmarkEnd w:id="1417"/>
      <w:bookmarkEnd w:id="1418"/>
      <w:bookmarkEnd w:id="1419"/>
    </w:p>
    <w:tbl>
      <w:tblPr>
        <w:tblStyle w:val="TableGrid"/>
        <w:tblW w:w="0" w:type="auto"/>
        <w:tblBorders>
          <w:top w:val="single" w:sz="6" w:space="0" w:color="29BEC5"/>
          <w:left w:val="single" w:sz="6" w:space="0" w:color="29BEC5"/>
          <w:bottom w:val="single" w:sz="6" w:space="0" w:color="29BEC5"/>
          <w:right w:val="single" w:sz="6" w:space="0" w:color="29BEC5"/>
          <w:insideH w:val="single" w:sz="6" w:space="0" w:color="29BEC5"/>
          <w:insideV w:val="single" w:sz="6" w:space="0" w:color="29BEC5"/>
        </w:tblBorders>
        <w:tblLook w:val="04A0" w:firstRow="1" w:lastRow="0" w:firstColumn="1" w:lastColumn="0" w:noHBand="0" w:noVBand="1"/>
        <w:tblCaption w:val="Review quiz: cognitive impairment and its impacts"/>
        <w:tblDescription w:val="1. What are some of the brain’s functions?&#10;2. What processes are involved in executive function?&#10;3. All cultures consider cognitive impairment as a deficit. True or false?&#10;4. Cognitive impairment is considered relative to a person’s ‘usual’ context, including what factors?&#10;5. All types of cognitive impairment are permanent. True or false?&#10;6. What are two key causes of cognitive impairment from prolonged high alcohol use?&#10;7. What does cognitive recovery from substance use depend on?&#10;8. Which substance is most consistently associated with cognitive impairment when used at high levels over a long period of time?&#10;"/>
      </w:tblPr>
      <w:tblGrid>
        <w:gridCol w:w="9004"/>
      </w:tblGrid>
      <w:tr w:rsidR="00AE59D2" w:rsidRPr="00D76277" w14:paraId="6CEFC694" w14:textId="77777777" w:rsidTr="00122447">
        <w:trPr>
          <w:trHeight w:val="700"/>
        </w:trPr>
        <w:tc>
          <w:tcPr>
            <w:tcW w:w="9004" w:type="dxa"/>
          </w:tcPr>
          <w:p w14:paraId="71C1633E" w14:textId="77777777" w:rsidR="00AE59D2" w:rsidRPr="001A2AFC" w:rsidRDefault="00AE59D2" w:rsidP="00A440F4">
            <w:pPr>
              <w:pStyle w:val="ListNumber"/>
              <w:numPr>
                <w:ilvl w:val="0"/>
                <w:numId w:val="106"/>
              </w:numPr>
              <w:tabs>
                <w:tab w:val="clear" w:pos="425"/>
              </w:tabs>
              <w:spacing w:line="240" w:lineRule="auto"/>
              <w:ind w:left="714" w:hanging="357"/>
              <w:rPr>
                <w:szCs w:val="24"/>
              </w:rPr>
            </w:pPr>
            <w:r w:rsidRPr="001A2AFC">
              <w:rPr>
                <w:szCs w:val="24"/>
              </w:rPr>
              <w:t>What are some of the brain’s functions?</w:t>
            </w:r>
          </w:p>
          <w:p w14:paraId="23092B8D" w14:textId="77777777" w:rsidR="00AE59D2" w:rsidRPr="001A2AFC" w:rsidRDefault="00AE59D2" w:rsidP="00A440F4">
            <w:pPr>
              <w:pStyle w:val="ListNumber"/>
              <w:numPr>
                <w:ilvl w:val="0"/>
                <w:numId w:val="106"/>
              </w:numPr>
              <w:tabs>
                <w:tab w:val="clear" w:pos="425"/>
              </w:tabs>
              <w:spacing w:line="240" w:lineRule="auto"/>
              <w:ind w:left="714" w:hanging="357"/>
              <w:rPr>
                <w:szCs w:val="24"/>
              </w:rPr>
            </w:pPr>
            <w:r w:rsidRPr="001A2AFC">
              <w:rPr>
                <w:szCs w:val="24"/>
              </w:rPr>
              <w:t>What processes are involved in executive function?</w:t>
            </w:r>
          </w:p>
          <w:p w14:paraId="31D87499" w14:textId="77777777" w:rsidR="00AE59D2" w:rsidRPr="001A2AFC" w:rsidRDefault="00AE59D2" w:rsidP="00A440F4">
            <w:pPr>
              <w:pStyle w:val="ListNumber"/>
              <w:numPr>
                <w:ilvl w:val="0"/>
                <w:numId w:val="106"/>
              </w:numPr>
              <w:tabs>
                <w:tab w:val="clear" w:pos="425"/>
              </w:tabs>
              <w:spacing w:line="240" w:lineRule="auto"/>
              <w:ind w:left="714" w:hanging="357"/>
              <w:rPr>
                <w:szCs w:val="24"/>
              </w:rPr>
            </w:pPr>
            <w:r w:rsidRPr="001A2AFC">
              <w:rPr>
                <w:szCs w:val="24"/>
              </w:rPr>
              <w:t>All cultures consider cognitive impairment as a deficit. True or false?</w:t>
            </w:r>
          </w:p>
          <w:p w14:paraId="57FDEA25" w14:textId="77777777" w:rsidR="00AE59D2" w:rsidRPr="001A2AFC" w:rsidRDefault="00AE59D2" w:rsidP="00A440F4">
            <w:pPr>
              <w:pStyle w:val="ListNumber"/>
              <w:numPr>
                <w:ilvl w:val="0"/>
                <w:numId w:val="106"/>
              </w:numPr>
              <w:tabs>
                <w:tab w:val="clear" w:pos="425"/>
              </w:tabs>
              <w:spacing w:line="240" w:lineRule="auto"/>
              <w:ind w:left="714" w:hanging="357"/>
              <w:rPr>
                <w:szCs w:val="24"/>
              </w:rPr>
            </w:pPr>
            <w:r w:rsidRPr="001A2AFC">
              <w:rPr>
                <w:szCs w:val="24"/>
              </w:rPr>
              <w:t>Cognitive impairment is considered relative to a person’s ‘usual’ context, including what factors?</w:t>
            </w:r>
          </w:p>
          <w:p w14:paraId="430C821B" w14:textId="77777777" w:rsidR="00AE59D2" w:rsidRPr="001A2AFC" w:rsidRDefault="00AE59D2" w:rsidP="00A440F4">
            <w:pPr>
              <w:pStyle w:val="ListNumber"/>
              <w:numPr>
                <w:ilvl w:val="0"/>
                <w:numId w:val="106"/>
              </w:numPr>
              <w:tabs>
                <w:tab w:val="clear" w:pos="425"/>
              </w:tabs>
              <w:spacing w:line="240" w:lineRule="auto"/>
              <w:ind w:left="714" w:hanging="357"/>
              <w:rPr>
                <w:szCs w:val="24"/>
              </w:rPr>
            </w:pPr>
            <w:r w:rsidRPr="001A2AFC">
              <w:rPr>
                <w:szCs w:val="24"/>
              </w:rPr>
              <w:lastRenderedPageBreak/>
              <w:t>All types of cognitive impairment are permanent. True or false?</w:t>
            </w:r>
          </w:p>
          <w:p w14:paraId="51E81887" w14:textId="77777777" w:rsidR="00AE59D2" w:rsidRPr="001A2AFC" w:rsidRDefault="00AE59D2" w:rsidP="00A440F4">
            <w:pPr>
              <w:pStyle w:val="ListNumber"/>
              <w:numPr>
                <w:ilvl w:val="0"/>
                <w:numId w:val="106"/>
              </w:numPr>
              <w:tabs>
                <w:tab w:val="clear" w:pos="425"/>
              </w:tabs>
              <w:spacing w:line="240" w:lineRule="auto"/>
              <w:ind w:left="714" w:hanging="357"/>
              <w:rPr>
                <w:szCs w:val="24"/>
              </w:rPr>
            </w:pPr>
            <w:r w:rsidRPr="001A2AFC">
              <w:rPr>
                <w:szCs w:val="24"/>
              </w:rPr>
              <w:t>What are two key causes of cognitive impairment from prolonged high alcohol use?</w:t>
            </w:r>
          </w:p>
          <w:p w14:paraId="5001E143" w14:textId="77777777" w:rsidR="00AE59D2" w:rsidRPr="001A2AFC" w:rsidRDefault="00AE59D2" w:rsidP="00A440F4">
            <w:pPr>
              <w:pStyle w:val="ListNumber"/>
              <w:numPr>
                <w:ilvl w:val="0"/>
                <w:numId w:val="106"/>
              </w:numPr>
              <w:tabs>
                <w:tab w:val="clear" w:pos="425"/>
              </w:tabs>
              <w:spacing w:line="240" w:lineRule="auto"/>
              <w:rPr>
                <w:szCs w:val="24"/>
              </w:rPr>
            </w:pPr>
            <w:r w:rsidRPr="001A2AFC">
              <w:rPr>
                <w:szCs w:val="24"/>
              </w:rPr>
              <w:t>What does cognitive recovery from substance use depend on?</w:t>
            </w:r>
          </w:p>
          <w:p w14:paraId="732BA898" w14:textId="77777777" w:rsidR="00AE59D2" w:rsidRPr="00D76277" w:rsidRDefault="00AE59D2" w:rsidP="00A440F4">
            <w:pPr>
              <w:pStyle w:val="ListNumber"/>
              <w:numPr>
                <w:ilvl w:val="0"/>
                <w:numId w:val="106"/>
              </w:numPr>
              <w:tabs>
                <w:tab w:val="clear" w:pos="425"/>
              </w:tabs>
              <w:spacing w:line="240" w:lineRule="auto"/>
              <w:rPr>
                <w:sz w:val="22"/>
              </w:rPr>
            </w:pPr>
            <w:r w:rsidRPr="001A2AFC">
              <w:rPr>
                <w:szCs w:val="24"/>
              </w:rPr>
              <w:t>Which substance is most consistently associated with cognitive impairment when used at high levels over a long period of time?</w:t>
            </w:r>
          </w:p>
        </w:tc>
      </w:tr>
    </w:tbl>
    <w:p w14:paraId="635EF9B7" w14:textId="77777777" w:rsidR="00122447" w:rsidRDefault="00122447" w:rsidP="00AE59D2">
      <w:pPr>
        <w:rPr>
          <w:b/>
          <w:bCs/>
          <w:color w:val="1E7880" w:themeColor="accent2" w:themeShade="BF"/>
        </w:rPr>
      </w:pPr>
      <w:bookmarkStart w:id="1420" w:name="_Toc178780137"/>
      <w:bookmarkStart w:id="1421" w:name="_Toc178838903"/>
      <w:bookmarkStart w:id="1422" w:name="_Toc178839090"/>
      <w:bookmarkStart w:id="1423" w:name="_Toc178839211"/>
      <w:bookmarkStart w:id="1424" w:name="_Toc178839439"/>
      <w:bookmarkStart w:id="1425" w:name="_Toc178841649"/>
      <w:bookmarkStart w:id="1426" w:name="_Toc179198209"/>
      <w:bookmarkStart w:id="1427" w:name="_Toc179198457"/>
      <w:bookmarkStart w:id="1428" w:name="_Toc179198565"/>
      <w:bookmarkStart w:id="1429" w:name="_Toc179198672"/>
      <w:bookmarkStart w:id="1430" w:name="_Toc179446116"/>
      <w:bookmarkStart w:id="1431" w:name="_Toc179447129"/>
      <w:bookmarkStart w:id="1432" w:name="_Toc179448668"/>
    </w:p>
    <w:p w14:paraId="45A2033E" w14:textId="264FEDB5" w:rsidR="00AE59D2" w:rsidRPr="009715CC" w:rsidRDefault="00AE59D2" w:rsidP="00AE59D2">
      <w:pPr>
        <w:rPr>
          <w:b/>
          <w:bCs/>
          <w:color w:val="1E7880" w:themeColor="accent2" w:themeShade="BF"/>
        </w:rPr>
      </w:pPr>
      <w:r w:rsidRPr="009715CC">
        <w:rPr>
          <w:b/>
          <w:bCs/>
          <w:color w:val="1E7880" w:themeColor="accent2" w:themeShade="BF"/>
        </w:rPr>
        <w:t>Review quiz: Screening</w:t>
      </w:r>
      <w:bookmarkEnd w:id="1420"/>
      <w:bookmarkEnd w:id="1421"/>
      <w:bookmarkEnd w:id="1422"/>
      <w:bookmarkEnd w:id="1423"/>
      <w:bookmarkEnd w:id="1424"/>
      <w:bookmarkEnd w:id="1425"/>
      <w:bookmarkEnd w:id="1426"/>
      <w:bookmarkEnd w:id="1427"/>
      <w:bookmarkEnd w:id="1428"/>
      <w:bookmarkEnd w:id="1429"/>
      <w:bookmarkEnd w:id="1430"/>
      <w:bookmarkEnd w:id="1431"/>
      <w:bookmarkEnd w:id="1432"/>
    </w:p>
    <w:tbl>
      <w:tblPr>
        <w:tblStyle w:val="TableGrid"/>
        <w:tblW w:w="0" w:type="auto"/>
        <w:tblBorders>
          <w:top w:val="single" w:sz="4" w:space="0" w:color="29BEC5"/>
          <w:left w:val="single" w:sz="4" w:space="0" w:color="29BEC5"/>
          <w:bottom w:val="single" w:sz="4" w:space="0" w:color="29BEC5"/>
          <w:right w:val="single" w:sz="4" w:space="0" w:color="29BEC5"/>
          <w:insideH w:val="single" w:sz="4" w:space="0" w:color="29BEC5"/>
          <w:insideV w:val="single" w:sz="4" w:space="0" w:color="29BEC5"/>
        </w:tblBorders>
        <w:tblLook w:val="04A0" w:firstRow="1" w:lastRow="0" w:firstColumn="1" w:lastColumn="0" w:noHBand="0" w:noVBand="1"/>
        <w:tblCaption w:val="REview quiz: screening"/>
        <w:tblDescription w:val="1. Why is a trauma-informed approach necessary for screening?&#10;2. Screening can diagnose cognitive impairment. True or false?&#10;3. What is the most important factor when determining who can safely screen for cognitive impairment? &#10;4. What are three factors that can influence the screening process?&#10;5. What sort of information can be collected to help interpret screening tool results in context?&#10;6. Whānau should not be involved in the screening process. True or false?&#10;7. What are two other referrals (aside from neuropsychological assessment) that could be considered for cognitive impairment?&#10;"/>
      </w:tblPr>
      <w:tblGrid>
        <w:gridCol w:w="9010"/>
      </w:tblGrid>
      <w:tr w:rsidR="00AE59D2" w:rsidRPr="00554152" w14:paraId="251F0F1C" w14:textId="77777777" w:rsidTr="00234887">
        <w:tc>
          <w:tcPr>
            <w:tcW w:w="9010" w:type="dxa"/>
          </w:tcPr>
          <w:p w14:paraId="73633584" w14:textId="77777777" w:rsidR="00AE59D2" w:rsidRPr="001A2AFC" w:rsidRDefault="00AE59D2" w:rsidP="00A440F4">
            <w:pPr>
              <w:pStyle w:val="ListNumber"/>
              <w:numPr>
                <w:ilvl w:val="0"/>
                <w:numId w:val="107"/>
              </w:numPr>
              <w:tabs>
                <w:tab w:val="clear" w:pos="425"/>
              </w:tabs>
              <w:spacing w:line="240" w:lineRule="auto"/>
              <w:ind w:left="714" w:hanging="357"/>
              <w:rPr>
                <w:szCs w:val="24"/>
              </w:rPr>
            </w:pPr>
            <w:r w:rsidRPr="001A2AFC">
              <w:rPr>
                <w:szCs w:val="24"/>
              </w:rPr>
              <w:t>Why is a trauma-informed approach necessary for screening?</w:t>
            </w:r>
          </w:p>
          <w:p w14:paraId="4008FA8B" w14:textId="77777777" w:rsidR="00AE59D2" w:rsidRPr="001A2AFC" w:rsidRDefault="00AE59D2" w:rsidP="00A440F4">
            <w:pPr>
              <w:pStyle w:val="ListNumber"/>
              <w:numPr>
                <w:ilvl w:val="0"/>
                <w:numId w:val="107"/>
              </w:numPr>
              <w:tabs>
                <w:tab w:val="clear" w:pos="425"/>
              </w:tabs>
              <w:spacing w:line="240" w:lineRule="auto"/>
              <w:ind w:left="714" w:hanging="357"/>
              <w:rPr>
                <w:szCs w:val="24"/>
              </w:rPr>
            </w:pPr>
            <w:r w:rsidRPr="001A2AFC">
              <w:rPr>
                <w:szCs w:val="24"/>
              </w:rPr>
              <w:t>Screening can diagnose cognitive impairment. True or false?</w:t>
            </w:r>
          </w:p>
          <w:p w14:paraId="33808E6C" w14:textId="77777777" w:rsidR="00AE59D2" w:rsidRPr="001A2AFC" w:rsidRDefault="00AE59D2" w:rsidP="00A440F4">
            <w:pPr>
              <w:pStyle w:val="ListNumber"/>
              <w:numPr>
                <w:ilvl w:val="0"/>
                <w:numId w:val="107"/>
              </w:numPr>
              <w:tabs>
                <w:tab w:val="clear" w:pos="425"/>
              </w:tabs>
              <w:spacing w:line="240" w:lineRule="auto"/>
              <w:ind w:left="714" w:hanging="357"/>
              <w:rPr>
                <w:szCs w:val="24"/>
              </w:rPr>
            </w:pPr>
            <w:r w:rsidRPr="001A2AFC">
              <w:rPr>
                <w:szCs w:val="24"/>
              </w:rPr>
              <w:t xml:space="preserve">What is the most important factor when determining who can safely screen for cognitive impairment? </w:t>
            </w:r>
          </w:p>
          <w:p w14:paraId="65E49C99" w14:textId="77777777" w:rsidR="00AE59D2" w:rsidRPr="001A2AFC" w:rsidRDefault="00AE59D2" w:rsidP="00A440F4">
            <w:pPr>
              <w:pStyle w:val="ListNumber"/>
              <w:numPr>
                <w:ilvl w:val="0"/>
                <w:numId w:val="107"/>
              </w:numPr>
              <w:tabs>
                <w:tab w:val="clear" w:pos="425"/>
              </w:tabs>
              <w:spacing w:line="240" w:lineRule="auto"/>
              <w:ind w:left="714" w:hanging="357"/>
              <w:rPr>
                <w:szCs w:val="24"/>
              </w:rPr>
            </w:pPr>
            <w:r w:rsidRPr="001A2AFC">
              <w:rPr>
                <w:szCs w:val="24"/>
              </w:rPr>
              <w:t>What are three factors that can influence the screening process?</w:t>
            </w:r>
          </w:p>
          <w:p w14:paraId="0E5891D8" w14:textId="77777777" w:rsidR="00AE59D2" w:rsidRPr="001A2AFC" w:rsidRDefault="00AE59D2" w:rsidP="00A440F4">
            <w:pPr>
              <w:pStyle w:val="ListNumber"/>
              <w:numPr>
                <w:ilvl w:val="0"/>
                <w:numId w:val="107"/>
              </w:numPr>
              <w:tabs>
                <w:tab w:val="clear" w:pos="425"/>
              </w:tabs>
              <w:spacing w:line="240" w:lineRule="auto"/>
              <w:ind w:left="714" w:hanging="357"/>
              <w:rPr>
                <w:szCs w:val="24"/>
              </w:rPr>
            </w:pPr>
            <w:r w:rsidRPr="001A2AFC">
              <w:rPr>
                <w:szCs w:val="24"/>
              </w:rPr>
              <w:t>What sort of information can be collected to help interpret screening tool results in context?</w:t>
            </w:r>
          </w:p>
          <w:p w14:paraId="76DFD366" w14:textId="77777777" w:rsidR="00AE59D2" w:rsidRPr="001A2AFC" w:rsidRDefault="00AE59D2" w:rsidP="00A440F4">
            <w:pPr>
              <w:pStyle w:val="ListNumber"/>
              <w:numPr>
                <w:ilvl w:val="0"/>
                <w:numId w:val="107"/>
              </w:numPr>
              <w:tabs>
                <w:tab w:val="clear" w:pos="425"/>
              </w:tabs>
              <w:spacing w:line="240" w:lineRule="auto"/>
              <w:ind w:left="714" w:hanging="357"/>
              <w:rPr>
                <w:szCs w:val="24"/>
              </w:rPr>
            </w:pPr>
            <w:r w:rsidRPr="001A2AFC">
              <w:rPr>
                <w:szCs w:val="24"/>
              </w:rPr>
              <w:t>Whānau should not be involved in the screening process. True or false?</w:t>
            </w:r>
          </w:p>
          <w:p w14:paraId="03BDD849" w14:textId="77777777" w:rsidR="00AE59D2" w:rsidRPr="00554152" w:rsidRDefault="00AE59D2" w:rsidP="00A440F4">
            <w:pPr>
              <w:pStyle w:val="ListNumber"/>
              <w:numPr>
                <w:ilvl w:val="0"/>
                <w:numId w:val="107"/>
              </w:numPr>
              <w:tabs>
                <w:tab w:val="clear" w:pos="425"/>
              </w:tabs>
              <w:spacing w:line="240" w:lineRule="auto"/>
              <w:ind w:left="714" w:hanging="357"/>
            </w:pPr>
            <w:r w:rsidRPr="001A2AFC">
              <w:rPr>
                <w:szCs w:val="24"/>
              </w:rPr>
              <w:t>What are two other referrals (aside from neuropsychological assessment) that could be considered for cognitive impairment?</w:t>
            </w:r>
          </w:p>
        </w:tc>
      </w:tr>
    </w:tbl>
    <w:p w14:paraId="54C6FC08" w14:textId="77777777" w:rsidR="000426E6" w:rsidRDefault="000426E6" w:rsidP="00AE59D2">
      <w:pPr>
        <w:rPr>
          <w:b/>
          <w:bCs/>
          <w:color w:val="1E7880" w:themeColor="accent2" w:themeShade="BF"/>
        </w:rPr>
      </w:pPr>
      <w:bookmarkStart w:id="1433" w:name="_Toc178780138"/>
      <w:bookmarkStart w:id="1434" w:name="_Toc178838904"/>
      <w:bookmarkStart w:id="1435" w:name="_Toc178839091"/>
      <w:bookmarkStart w:id="1436" w:name="_Toc178839212"/>
      <w:bookmarkStart w:id="1437" w:name="_Toc178839440"/>
      <w:bookmarkStart w:id="1438" w:name="_Toc178841650"/>
      <w:bookmarkStart w:id="1439" w:name="_Toc179198210"/>
      <w:bookmarkStart w:id="1440" w:name="_Toc179198458"/>
      <w:bookmarkStart w:id="1441" w:name="_Toc179198566"/>
      <w:bookmarkStart w:id="1442" w:name="_Toc179198673"/>
      <w:bookmarkStart w:id="1443" w:name="_Toc179446117"/>
      <w:bookmarkStart w:id="1444" w:name="_Toc179447130"/>
      <w:bookmarkStart w:id="1445" w:name="_Toc179448669"/>
    </w:p>
    <w:p w14:paraId="33936D8E" w14:textId="70BF9239" w:rsidR="00AE59D2" w:rsidRPr="009715CC" w:rsidRDefault="00AE59D2" w:rsidP="00AE59D2">
      <w:pPr>
        <w:rPr>
          <w:b/>
          <w:bCs/>
          <w:color w:val="1E7880" w:themeColor="accent2" w:themeShade="BF"/>
        </w:rPr>
      </w:pPr>
      <w:r w:rsidRPr="009715CC">
        <w:rPr>
          <w:b/>
          <w:bCs/>
          <w:color w:val="1E7880" w:themeColor="accent2" w:themeShade="BF"/>
        </w:rPr>
        <w:t>Review quiz: Support</w:t>
      </w:r>
      <w:bookmarkEnd w:id="1433"/>
      <w:bookmarkEnd w:id="1434"/>
      <w:bookmarkEnd w:id="1435"/>
      <w:bookmarkEnd w:id="1436"/>
      <w:bookmarkEnd w:id="1437"/>
      <w:bookmarkEnd w:id="1438"/>
      <w:bookmarkEnd w:id="1439"/>
      <w:bookmarkEnd w:id="1440"/>
      <w:bookmarkEnd w:id="1441"/>
      <w:bookmarkEnd w:id="1442"/>
      <w:bookmarkEnd w:id="1443"/>
      <w:bookmarkEnd w:id="1444"/>
      <w:bookmarkEnd w:id="1445"/>
    </w:p>
    <w:tbl>
      <w:tblPr>
        <w:tblStyle w:val="TableGrid"/>
        <w:tblW w:w="0" w:type="auto"/>
        <w:tblBorders>
          <w:top w:val="single" w:sz="4" w:space="0" w:color="29BEC5"/>
          <w:left w:val="single" w:sz="4" w:space="0" w:color="29BEC5"/>
          <w:bottom w:val="single" w:sz="4" w:space="0" w:color="29BEC5"/>
          <w:right w:val="single" w:sz="4" w:space="0" w:color="29BEC5"/>
          <w:insideH w:val="single" w:sz="4" w:space="0" w:color="29BEC5"/>
          <w:insideV w:val="single" w:sz="4" w:space="0" w:color="29BEC5"/>
        </w:tblBorders>
        <w:tblLook w:val="04A0" w:firstRow="1" w:lastRow="0" w:firstColumn="1" w:lastColumn="0" w:noHBand="0" w:noVBand="1"/>
        <w:tblCaption w:val="Review quiz: support"/>
        <w:tblDescription w:val="1. What are some ways that problematic substance use treatment can be adapted to support people experiencing cognitive impairment? &#10;2. What are compensatory strategies? &#10;3. What key types of cognitive training and remediation can help improve cognitive impairment?&#10;4. What lifestyle recommendations support people experiencing cognitive impairment? &#10;5. Why is integrated support beneficial for people experiencing cognitive impairment?&#10;6. What are some examples of integrated support and referrals?&#10;7. What is the 5-step method?&#10;"/>
      </w:tblPr>
      <w:tblGrid>
        <w:gridCol w:w="9010"/>
      </w:tblGrid>
      <w:tr w:rsidR="00AE59D2" w:rsidRPr="00876699" w14:paraId="2976066B" w14:textId="77777777" w:rsidTr="00234887">
        <w:tc>
          <w:tcPr>
            <w:tcW w:w="9010" w:type="dxa"/>
          </w:tcPr>
          <w:p w14:paraId="39DEA5E5" w14:textId="77777777" w:rsidR="00AE59D2" w:rsidRPr="001A2AFC" w:rsidRDefault="00AE59D2" w:rsidP="00A440F4">
            <w:pPr>
              <w:pStyle w:val="ListNumber"/>
              <w:numPr>
                <w:ilvl w:val="0"/>
                <w:numId w:val="108"/>
              </w:numPr>
              <w:tabs>
                <w:tab w:val="clear" w:pos="425"/>
              </w:tabs>
              <w:spacing w:line="240" w:lineRule="auto"/>
              <w:ind w:left="714" w:hanging="357"/>
              <w:rPr>
                <w:szCs w:val="24"/>
              </w:rPr>
            </w:pPr>
            <w:r w:rsidRPr="001A2AFC">
              <w:rPr>
                <w:szCs w:val="24"/>
              </w:rPr>
              <w:t xml:space="preserve">What are some ways that problematic substance use treatment can be adapted to support people experiencing cognitive impairment? </w:t>
            </w:r>
          </w:p>
          <w:p w14:paraId="2D8F1CB5" w14:textId="77777777" w:rsidR="00AE59D2" w:rsidRPr="001A2AFC" w:rsidRDefault="00AE59D2" w:rsidP="00A440F4">
            <w:pPr>
              <w:pStyle w:val="ListNumber"/>
              <w:numPr>
                <w:ilvl w:val="0"/>
                <w:numId w:val="108"/>
              </w:numPr>
              <w:tabs>
                <w:tab w:val="clear" w:pos="425"/>
              </w:tabs>
              <w:spacing w:line="240" w:lineRule="auto"/>
              <w:ind w:left="714" w:hanging="357"/>
              <w:rPr>
                <w:szCs w:val="24"/>
              </w:rPr>
            </w:pPr>
            <w:r w:rsidRPr="001A2AFC">
              <w:rPr>
                <w:szCs w:val="24"/>
              </w:rPr>
              <w:t xml:space="preserve">What are compensatory strategies? </w:t>
            </w:r>
          </w:p>
          <w:p w14:paraId="664D0F6A" w14:textId="77777777" w:rsidR="00AE59D2" w:rsidRPr="001A2AFC" w:rsidRDefault="00AE59D2" w:rsidP="00A440F4">
            <w:pPr>
              <w:pStyle w:val="ListNumber"/>
              <w:numPr>
                <w:ilvl w:val="0"/>
                <w:numId w:val="108"/>
              </w:numPr>
              <w:tabs>
                <w:tab w:val="clear" w:pos="425"/>
              </w:tabs>
              <w:spacing w:line="240" w:lineRule="auto"/>
              <w:ind w:left="714" w:hanging="357"/>
              <w:rPr>
                <w:szCs w:val="24"/>
              </w:rPr>
            </w:pPr>
            <w:r w:rsidRPr="001A2AFC">
              <w:rPr>
                <w:szCs w:val="24"/>
              </w:rPr>
              <w:t>What key types of cognitive training and remediation can help improve cognitive impairment?</w:t>
            </w:r>
          </w:p>
          <w:p w14:paraId="3555302C" w14:textId="77777777" w:rsidR="00AE59D2" w:rsidRPr="001A2AFC" w:rsidRDefault="00AE59D2" w:rsidP="00A440F4">
            <w:pPr>
              <w:pStyle w:val="ListNumber"/>
              <w:numPr>
                <w:ilvl w:val="0"/>
                <w:numId w:val="108"/>
              </w:numPr>
              <w:tabs>
                <w:tab w:val="clear" w:pos="425"/>
              </w:tabs>
              <w:spacing w:line="240" w:lineRule="auto"/>
              <w:ind w:left="714" w:hanging="357"/>
              <w:rPr>
                <w:szCs w:val="24"/>
              </w:rPr>
            </w:pPr>
            <w:r w:rsidRPr="001A2AFC">
              <w:rPr>
                <w:szCs w:val="24"/>
              </w:rPr>
              <w:t xml:space="preserve">What lifestyle recommendations support people experiencing cognitive impairment? </w:t>
            </w:r>
          </w:p>
          <w:p w14:paraId="2025D995" w14:textId="77777777" w:rsidR="00AE59D2" w:rsidRPr="001A2AFC" w:rsidRDefault="00AE59D2" w:rsidP="00A440F4">
            <w:pPr>
              <w:pStyle w:val="ListNumber"/>
              <w:numPr>
                <w:ilvl w:val="0"/>
                <w:numId w:val="108"/>
              </w:numPr>
              <w:tabs>
                <w:tab w:val="clear" w:pos="425"/>
              </w:tabs>
              <w:spacing w:line="240" w:lineRule="auto"/>
              <w:ind w:left="714" w:hanging="357"/>
              <w:rPr>
                <w:szCs w:val="24"/>
              </w:rPr>
            </w:pPr>
            <w:r w:rsidRPr="001A2AFC">
              <w:rPr>
                <w:szCs w:val="24"/>
              </w:rPr>
              <w:t>Why is integrated support beneficial for people experiencing cognitive impairment?</w:t>
            </w:r>
          </w:p>
          <w:p w14:paraId="6718FB8C" w14:textId="77777777" w:rsidR="00AE59D2" w:rsidRPr="001A2AFC" w:rsidRDefault="00AE59D2" w:rsidP="00A440F4">
            <w:pPr>
              <w:pStyle w:val="ListNumber"/>
              <w:numPr>
                <w:ilvl w:val="0"/>
                <w:numId w:val="108"/>
              </w:numPr>
              <w:tabs>
                <w:tab w:val="clear" w:pos="425"/>
              </w:tabs>
              <w:spacing w:line="240" w:lineRule="auto"/>
              <w:ind w:left="714" w:hanging="357"/>
              <w:rPr>
                <w:szCs w:val="24"/>
              </w:rPr>
            </w:pPr>
            <w:r w:rsidRPr="001A2AFC">
              <w:rPr>
                <w:szCs w:val="24"/>
              </w:rPr>
              <w:t>What are some examples of integrated support and referrals?</w:t>
            </w:r>
          </w:p>
          <w:p w14:paraId="44772292" w14:textId="77777777" w:rsidR="00AE59D2" w:rsidRPr="00876699" w:rsidRDefault="00AE59D2" w:rsidP="00A440F4">
            <w:pPr>
              <w:pStyle w:val="ListNumber"/>
              <w:numPr>
                <w:ilvl w:val="0"/>
                <w:numId w:val="108"/>
              </w:numPr>
              <w:tabs>
                <w:tab w:val="clear" w:pos="425"/>
              </w:tabs>
              <w:spacing w:line="240" w:lineRule="auto"/>
              <w:ind w:left="714" w:hanging="357"/>
              <w:rPr>
                <w:sz w:val="22"/>
              </w:rPr>
            </w:pPr>
            <w:r w:rsidRPr="001A2AFC">
              <w:rPr>
                <w:szCs w:val="24"/>
              </w:rPr>
              <w:t>What is the 5-step method?</w:t>
            </w:r>
          </w:p>
        </w:tc>
      </w:tr>
    </w:tbl>
    <w:p w14:paraId="4093F831" w14:textId="028087F2" w:rsidR="006C3CC4" w:rsidRPr="00122447" w:rsidRDefault="00AE59D2" w:rsidP="00122447">
      <w:pPr>
        <w:rPr>
          <w:b/>
          <w:bCs/>
          <w:szCs w:val="24"/>
        </w:rPr>
      </w:pPr>
      <w:r w:rsidRPr="001A2AFC">
        <w:rPr>
          <w:b/>
          <w:bCs/>
          <w:szCs w:val="24"/>
        </w:rPr>
        <w:t xml:space="preserve">Answers on page </w:t>
      </w:r>
      <w:r w:rsidR="00537690" w:rsidRPr="001A2AFC">
        <w:rPr>
          <w:b/>
          <w:bCs/>
          <w:szCs w:val="24"/>
        </w:rPr>
        <w:t>79</w:t>
      </w:r>
      <w:bookmarkEnd w:id="834"/>
      <w:bookmarkEnd w:id="835"/>
      <w:bookmarkEnd w:id="836"/>
      <w:bookmarkEnd w:id="837"/>
      <w:bookmarkEnd w:id="838"/>
      <w:bookmarkEnd w:id="839"/>
      <w:bookmarkEnd w:id="840"/>
      <w:bookmarkEnd w:id="841"/>
      <w:bookmarkEnd w:id="842"/>
      <w:bookmarkEnd w:id="843"/>
      <w:bookmarkEnd w:id="844"/>
    </w:p>
    <w:p w14:paraId="68A585AA" w14:textId="77777777" w:rsidR="006C3CC4" w:rsidRDefault="006C3CC4" w:rsidP="00A1728D">
      <w:pPr>
        <w:pStyle w:val="ListBullet"/>
        <w:numPr>
          <w:ilvl w:val="0"/>
          <w:numId w:val="0"/>
        </w:numPr>
        <w:ind w:left="425" w:hanging="425"/>
      </w:pPr>
    </w:p>
    <w:p w14:paraId="44E960D1" w14:textId="77777777" w:rsidR="006C3CC4" w:rsidRDefault="006C3CC4" w:rsidP="00A1728D">
      <w:pPr>
        <w:pStyle w:val="ListBullet"/>
        <w:numPr>
          <w:ilvl w:val="0"/>
          <w:numId w:val="0"/>
        </w:numPr>
        <w:ind w:left="425" w:hanging="425"/>
      </w:pPr>
    </w:p>
    <w:p w14:paraId="556C2854" w14:textId="3BEC8963" w:rsidR="00253807" w:rsidRDefault="00253807" w:rsidP="007C2DDB">
      <w:pPr>
        <w:pStyle w:val="ListBullet"/>
        <w:numPr>
          <w:ilvl w:val="0"/>
          <w:numId w:val="0"/>
        </w:numPr>
        <w:sectPr w:rsidR="00253807" w:rsidSect="001F3843">
          <w:headerReference w:type="default" r:id="rId67"/>
          <w:footerReference w:type="default" r:id="rId68"/>
          <w:headerReference w:type="first" r:id="rId69"/>
          <w:footerReference w:type="first" r:id="rId70"/>
          <w:pgSz w:w="11906" w:h="16838" w:code="9"/>
          <w:pgMar w:top="1134" w:right="1134" w:bottom="1134" w:left="1134" w:header="1304" w:footer="454" w:gutter="0"/>
          <w:cols w:space="708"/>
          <w:titlePg/>
          <w:docGrid w:linePitch="360"/>
        </w:sectPr>
      </w:pPr>
    </w:p>
    <w:p w14:paraId="3BC70D18" w14:textId="251E29B2" w:rsidR="00447917" w:rsidRPr="00A440F4" w:rsidRDefault="00AA4892" w:rsidP="00A440F4">
      <w:pPr>
        <w:pStyle w:val="Section3heading1"/>
      </w:pPr>
      <w:bookmarkStart w:id="1446" w:name="_Toc179487926"/>
      <w:bookmarkStart w:id="1447" w:name="_Toc179489229"/>
      <w:bookmarkStart w:id="1448" w:name="_Toc179531354"/>
      <w:bookmarkStart w:id="1449" w:name="_Toc179536027"/>
      <w:bookmarkStart w:id="1450" w:name="_Toc179537866"/>
      <w:bookmarkStart w:id="1451" w:name="_Toc179537930"/>
      <w:bookmarkStart w:id="1452" w:name="_Toc179538097"/>
      <w:bookmarkStart w:id="1453" w:name="_Toc179538910"/>
      <w:bookmarkStart w:id="1454" w:name="_Toc179539228"/>
      <w:bookmarkStart w:id="1455" w:name="_Toc179539344"/>
      <w:bookmarkStart w:id="1456" w:name="_Toc179539482"/>
      <w:bookmarkStart w:id="1457" w:name="_Toc179539579"/>
      <w:bookmarkStart w:id="1458" w:name="_Toc179539664"/>
      <w:bookmarkStart w:id="1459" w:name="_Toc179539754"/>
      <w:bookmarkStart w:id="1460" w:name="_Toc179540438"/>
      <w:bookmarkStart w:id="1461" w:name="_Toc179541783"/>
      <w:bookmarkStart w:id="1462" w:name="_Toc179542975"/>
      <w:bookmarkStart w:id="1463" w:name="_Toc180571303"/>
      <w:r w:rsidRPr="00A440F4">
        <w:lastRenderedPageBreak/>
        <w:t xml:space="preserve">Part 3: Practice Examples </w:t>
      </w:r>
      <w:r w:rsidR="00363B9E" w:rsidRPr="00A440F4">
        <w:rPr>
          <w:noProof/>
        </w:rPr>
        <w:drawing>
          <wp:anchor distT="0" distB="0" distL="114300" distR="114300" simplePos="0" relativeHeight="251753472" behindDoc="1" locked="0" layoutInCell="1" allowOverlap="1" wp14:anchorId="2DF3CD19" wp14:editId="7D100AA6">
            <wp:simplePos x="0" y="0"/>
            <wp:positionH relativeFrom="column">
              <wp:posOffset>-720090</wp:posOffset>
            </wp:positionH>
            <wp:positionV relativeFrom="paragraph">
              <wp:posOffset>-1079500</wp:posOffset>
            </wp:positionV>
            <wp:extent cx="7559999" cy="9598548"/>
            <wp:effectExtent l="0" t="0" r="3175" b="3175"/>
            <wp:wrapNone/>
            <wp:docPr id="1568318412"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318412" name="Picture 5">
                      <a:extLst>
                        <a:ext uri="{C183D7F6-B498-43B3-948B-1728B52AA6E4}">
                          <adec:decorative xmlns:adec="http://schemas.microsoft.com/office/drawing/2017/decorative" val="1"/>
                        </a:ext>
                      </a:extLst>
                    </pic:cNvPr>
                    <pic:cNvPicPr/>
                  </pic:nvPicPr>
                  <pic:blipFill>
                    <a:blip r:embed="rId71">
                      <a:extLst>
                        <a:ext uri="{28A0092B-C50C-407E-A947-70E740481C1C}">
                          <a14:useLocalDpi xmlns:a14="http://schemas.microsoft.com/office/drawing/2010/main" val="0"/>
                        </a:ext>
                      </a:extLst>
                    </a:blip>
                    <a:stretch>
                      <a:fillRect/>
                    </a:stretch>
                  </pic:blipFill>
                  <pic:spPr>
                    <a:xfrm>
                      <a:off x="0" y="0"/>
                      <a:ext cx="7559999" cy="9598548"/>
                    </a:xfrm>
                    <a:prstGeom prst="rect">
                      <a:avLst/>
                    </a:prstGeom>
                  </pic:spPr>
                </pic:pic>
              </a:graphicData>
            </a:graphic>
            <wp14:sizeRelH relativeFrom="page">
              <wp14:pctWidth>0</wp14:pctWidth>
            </wp14:sizeRelH>
            <wp14:sizeRelV relativeFrom="page">
              <wp14:pctHeight>0</wp14:pctHeight>
            </wp14:sizeRelV>
          </wp:anchor>
        </w:drawing>
      </w:r>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p>
    <w:p w14:paraId="00CFA5AE" w14:textId="5349C190" w:rsidR="00DF19E5" w:rsidRPr="00447917" w:rsidRDefault="00DF19E5" w:rsidP="004A4A6A">
      <w:pPr>
        <w:pStyle w:val="Dividerheading"/>
        <w:ind w:left="0"/>
        <w:rPr>
          <w:color w:val="003399" w:themeColor="accent3"/>
        </w:rPr>
      </w:pPr>
      <w:r>
        <w:br w:type="page"/>
      </w:r>
    </w:p>
    <w:p w14:paraId="76CA67EB" w14:textId="77777777" w:rsidR="00512B9A" w:rsidRPr="001A2AFC" w:rsidRDefault="00512B9A" w:rsidP="00122447">
      <w:pPr>
        <w:pStyle w:val="IntenseQuote"/>
        <w:ind w:left="0"/>
        <w:rPr>
          <w:color w:val="000000" w:themeColor="text1"/>
          <w:sz w:val="24"/>
          <w:szCs w:val="24"/>
        </w:rPr>
      </w:pPr>
      <w:bookmarkStart w:id="1464" w:name="_Toc175317963"/>
      <w:bookmarkStart w:id="1465" w:name="_Toc179465249"/>
      <w:bookmarkStart w:id="1466" w:name="_Toc179467051"/>
      <w:bookmarkStart w:id="1467" w:name="_Toc179467108"/>
      <w:bookmarkStart w:id="1468" w:name="_Toc179467185"/>
      <w:bookmarkStart w:id="1469" w:name="_Toc179467259"/>
      <w:bookmarkStart w:id="1470" w:name="_Toc179467444"/>
      <w:bookmarkStart w:id="1471" w:name="_Toc179467684"/>
      <w:bookmarkStart w:id="1472" w:name="_Toc179468059"/>
      <w:bookmarkStart w:id="1473" w:name="_Toc179468321"/>
      <w:bookmarkStart w:id="1474" w:name="_Toc179468564"/>
      <w:bookmarkStart w:id="1475" w:name="_Toc179483262"/>
      <w:bookmarkStart w:id="1476" w:name="_Toc179486332"/>
      <w:bookmarkStart w:id="1477" w:name="_Toc179487932"/>
      <w:r w:rsidRPr="001A2AFC">
        <w:rPr>
          <w:color w:val="000000" w:themeColor="text1"/>
          <w:sz w:val="24"/>
          <w:szCs w:val="24"/>
        </w:rPr>
        <w:lastRenderedPageBreak/>
        <w:t>This section contains practice examples to support workers to apply information including choosing a screening tool and tailoring support to tāngata whai ora and whānau contexts.</w:t>
      </w:r>
    </w:p>
    <w:p w14:paraId="4E01A7BE" w14:textId="77777777" w:rsidR="00512B9A" w:rsidRPr="001A2AFC" w:rsidRDefault="00512B9A" w:rsidP="00122447">
      <w:pPr>
        <w:pStyle w:val="IntenseQuote"/>
        <w:ind w:left="0"/>
        <w:rPr>
          <w:rFonts w:eastAsia="Calibri" w:cs="Arial"/>
          <w:color w:val="000000" w:themeColor="text1"/>
          <w:sz w:val="24"/>
          <w:szCs w:val="24"/>
        </w:rPr>
      </w:pPr>
      <w:r w:rsidRPr="001A2AFC">
        <w:rPr>
          <w:rFonts w:eastAsia="Calibri" w:cs="Arial"/>
          <w:color w:val="000000" w:themeColor="text1"/>
          <w:sz w:val="24"/>
          <w:szCs w:val="24"/>
        </w:rPr>
        <w:t>These practice examples are based on case worker experiences - situations and contexts have been changed for the purpose of these guidelines. There is no identifying information and pseudonyms have been used. Each example contains a narrative followed by a plan.</w:t>
      </w:r>
    </w:p>
    <w:p w14:paraId="308D0A27" w14:textId="61376D9E" w:rsidR="00512B9A" w:rsidRPr="001A2AFC" w:rsidRDefault="00512B9A" w:rsidP="00122447">
      <w:pPr>
        <w:pStyle w:val="IntenseQuote"/>
        <w:ind w:left="0"/>
        <w:rPr>
          <w:rFonts w:eastAsia="Calibri" w:cs="Arial"/>
          <w:color w:val="000000" w:themeColor="text1"/>
          <w:sz w:val="24"/>
          <w:szCs w:val="24"/>
        </w:rPr>
      </w:pPr>
      <w:r w:rsidRPr="001A2AFC">
        <w:rPr>
          <w:rFonts w:eastAsia="Calibri" w:cs="Arial"/>
          <w:color w:val="000000" w:themeColor="text1"/>
          <w:sz w:val="24"/>
          <w:szCs w:val="24"/>
        </w:rPr>
        <w:t>Standard procedures of consent, engagement, risk assessment, and</w:t>
      </w:r>
      <w:r w:rsidR="00122447">
        <w:rPr>
          <w:rFonts w:eastAsia="Calibri" w:cs="Arial"/>
          <w:color w:val="000000" w:themeColor="text1"/>
          <w:sz w:val="24"/>
          <w:szCs w:val="24"/>
        </w:rPr>
        <w:t xml:space="preserve"> </w:t>
      </w:r>
      <w:r w:rsidRPr="001A2AFC">
        <w:rPr>
          <w:rFonts w:eastAsia="Calibri" w:cs="Arial"/>
          <w:color w:val="000000" w:themeColor="text1"/>
          <w:sz w:val="24"/>
          <w:szCs w:val="24"/>
        </w:rPr>
        <w:t>whakawhanaungatanga should be carried out throughout each stage of the process. A collaborative, strengths-based, and culturally responsive approach should be used.</w:t>
      </w:r>
    </w:p>
    <w:p w14:paraId="2DCB43C0" w14:textId="77777777" w:rsidR="00512B9A" w:rsidRPr="001A2AFC" w:rsidRDefault="00512B9A" w:rsidP="00122447">
      <w:pPr>
        <w:pStyle w:val="IntenseQuote"/>
        <w:ind w:left="0"/>
        <w:rPr>
          <w:rFonts w:eastAsia="Calibri" w:cs="Arial"/>
          <w:color w:val="000000" w:themeColor="text1"/>
          <w:sz w:val="24"/>
          <w:szCs w:val="24"/>
        </w:rPr>
      </w:pPr>
      <w:r w:rsidRPr="001A2AFC">
        <w:rPr>
          <w:rFonts w:eastAsia="Calibri" w:cs="Arial"/>
          <w:color w:val="000000" w:themeColor="text1"/>
          <w:sz w:val="24"/>
          <w:szCs w:val="24"/>
        </w:rPr>
        <w:t xml:space="preserve">Before any cognitive screening is carried out ensure the person is well informed of the reasons for screening, what results could mean and what they do not mean, and how they can be used to develop support and wellbeing strategies. </w:t>
      </w:r>
    </w:p>
    <w:p w14:paraId="69F2DE76" w14:textId="77777777" w:rsidR="00512B9A" w:rsidRPr="001A2AFC" w:rsidRDefault="00512B9A" w:rsidP="00122447">
      <w:pPr>
        <w:pStyle w:val="IntenseQuote"/>
        <w:tabs>
          <w:tab w:val="left" w:pos="3600"/>
        </w:tabs>
        <w:ind w:left="0"/>
        <w:rPr>
          <w:rFonts w:eastAsia="Calibri" w:cs="Arial"/>
          <w:color w:val="000000" w:themeColor="text1"/>
          <w:sz w:val="24"/>
          <w:szCs w:val="24"/>
        </w:rPr>
      </w:pPr>
      <w:r w:rsidRPr="001A2AFC">
        <w:rPr>
          <w:rFonts w:eastAsia="Calibri" w:cs="Arial"/>
          <w:color w:val="000000" w:themeColor="text1"/>
          <w:sz w:val="24"/>
          <w:szCs w:val="24"/>
        </w:rPr>
        <w:t xml:space="preserve">Encourage the person to bring a support person, be well rested, wear comfortable clothing, ensure they’ve had enough to eat or drink, and not be under the influence of substances on the day of screening. If possible, have snacks and hot drinks available. </w:t>
      </w:r>
    </w:p>
    <w:p w14:paraId="081B2770" w14:textId="4B7A54E5" w:rsidR="002C1335" w:rsidRPr="001D4560" w:rsidRDefault="0083113A" w:rsidP="0083113A">
      <w:pPr>
        <w:pStyle w:val="Heading2"/>
        <w:rPr>
          <w:color w:val="1D386B" w:themeColor="text2" w:themeTint="E6"/>
          <w:sz w:val="28"/>
          <w:szCs w:val="28"/>
        </w:rPr>
      </w:pPr>
      <w:bookmarkStart w:id="1478" w:name="_Toc179538911"/>
      <w:bookmarkStart w:id="1479" w:name="_Toc179539229"/>
      <w:bookmarkStart w:id="1480" w:name="_Toc179539345"/>
      <w:bookmarkStart w:id="1481" w:name="_Toc179539483"/>
      <w:bookmarkStart w:id="1482" w:name="_Toc179539580"/>
      <w:bookmarkStart w:id="1483" w:name="_Toc179539665"/>
      <w:bookmarkStart w:id="1484" w:name="_Toc179539755"/>
      <w:bookmarkStart w:id="1485" w:name="_Toc179540439"/>
      <w:bookmarkStart w:id="1486" w:name="_Toc179541784"/>
      <w:bookmarkStart w:id="1487" w:name="_Toc179542976"/>
      <w:bookmarkStart w:id="1488" w:name="_Toc180571304"/>
      <w:bookmarkStart w:id="1489" w:name="_Toc144657451"/>
      <w:bookmarkStart w:id="1490" w:name="_Toc145854340"/>
      <w:bookmarkStart w:id="1491" w:name="_Toc146024269"/>
      <w:bookmarkStart w:id="1492" w:name="_Toc146624850"/>
      <w:bookmarkStart w:id="1493" w:name="_Toc146714211"/>
      <w:bookmarkStart w:id="1494" w:name="_Toc172095786"/>
      <w:bookmarkStart w:id="1495" w:name="_Toc178780140"/>
      <w:bookmarkStart w:id="1496" w:name="_Toc178838906"/>
      <w:bookmarkStart w:id="1497" w:name="_Toc178839093"/>
      <w:bookmarkStart w:id="1498" w:name="_Toc178839214"/>
      <w:bookmarkStart w:id="1499" w:name="_Toc178839442"/>
      <w:bookmarkStart w:id="1500" w:name="_Toc178841652"/>
      <w:bookmarkStart w:id="1501" w:name="_Toc179198212"/>
      <w:bookmarkStart w:id="1502" w:name="_Toc179198460"/>
      <w:bookmarkStart w:id="1503" w:name="_Toc179198568"/>
      <w:bookmarkStart w:id="1504" w:name="_Toc179198675"/>
      <w:bookmarkStart w:id="1505" w:name="_Toc179446119"/>
      <w:bookmarkStart w:id="1506" w:name="_Toc179447132"/>
      <w:bookmarkStart w:id="1507" w:name="_Toc179448671"/>
      <w:bookmarkStart w:id="1508" w:name="_Toc179448828"/>
      <w:r w:rsidRPr="001D4560">
        <w:rPr>
          <w:color w:val="1D386B" w:themeColor="text2" w:themeTint="E6"/>
          <w:sz w:val="28"/>
          <w:szCs w:val="28"/>
        </w:rPr>
        <w:t>Practice example 1</w:t>
      </w:r>
      <w:bookmarkEnd w:id="1478"/>
      <w:bookmarkEnd w:id="1479"/>
      <w:bookmarkEnd w:id="1480"/>
      <w:bookmarkEnd w:id="1481"/>
      <w:bookmarkEnd w:id="1482"/>
      <w:bookmarkEnd w:id="1483"/>
      <w:bookmarkEnd w:id="1484"/>
      <w:bookmarkEnd w:id="1485"/>
      <w:bookmarkEnd w:id="1486"/>
      <w:bookmarkEnd w:id="1487"/>
      <w:bookmarkEnd w:id="1488"/>
      <w:r w:rsidRPr="001D4560">
        <w:rPr>
          <w:color w:val="1D386B" w:themeColor="text2" w:themeTint="E6"/>
          <w:sz w:val="28"/>
          <w:szCs w:val="28"/>
        </w:rPr>
        <w:t xml:space="preserve"> </w:t>
      </w:r>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p>
    <w:p w14:paraId="78ACFB72" w14:textId="77777777" w:rsidR="00122447" w:rsidRPr="00122447" w:rsidRDefault="00122447" w:rsidP="00122447"/>
    <w:p w14:paraId="14C4A871" w14:textId="77777777" w:rsidR="002C1335" w:rsidRPr="0041093A" w:rsidRDefault="002C1335" w:rsidP="002C1335">
      <w:pPr>
        <w:rPr>
          <w:b/>
          <w:bCs/>
          <w:color w:val="1D386B" w:themeColor="text2" w:themeTint="E6"/>
        </w:rPr>
      </w:pPr>
      <w:bookmarkStart w:id="1509" w:name="_Toc146624851"/>
      <w:bookmarkStart w:id="1510" w:name="_Toc146714212"/>
      <w:bookmarkStart w:id="1511" w:name="_Toc178780141"/>
      <w:bookmarkStart w:id="1512" w:name="_Toc178838907"/>
      <w:bookmarkStart w:id="1513" w:name="_Toc178839094"/>
      <w:bookmarkStart w:id="1514" w:name="_Toc178839215"/>
      <w:bookmarkStart w:id="1515" w:name="_Toc178839443"/>
      <w:bookmarkStart w:id="1516" w:name="_Toc178841653"/>
      <w:bookmarkStart w:id="1517" w:name="_Toc179198213"/>
      <w:bookmarkStart w:id="1518" w:name="_Toc179198461"/>
      <w:bookmarkStart w:id="1519" w:name="_Toc179198569"/>
      <w:bookmarkStart w:id="1520" w:name="_Toc179198676"/>
      <w:bookmarkStart w:id="1521" w:name="_Toc179446120"/>
      <w:bookmarkStart w:id="1522" w:name="_Toc179447133"/>
      <w:bookmarkStart w:id="1523" w:name="_Toc179448672"/>
      <w:bookmarkStart w:id="1524" w:name="_Toc179448829"/>
      <w:r w:rsidRPr="0041093A">
        <w:rPr>
          <w:b/>
          <w:bCs/>
          <w:color w:val="1D386B" w:themeColor="text2" w:themeTint="E6"/>
        </w:rPr>
        <w:t>Referral</w:t>
      </w:r>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p>
    <w:p w14:paraId="577EB13B" w14:textId="77777777" w:rsidR="002C1335" w:rsidRPr="001A2AFC" w:rsidRDefault="002C1335" w:rsidP="002C1335">
      <w:pPr>
        <w:rPr>
          <w:rFonts w:eastAsia="Calibri"/>
          <w:szCs w:val="24"/>
        </w:rPr>
      </w:pPr>
      <w:r w:rsidRPr="001A2AFC">
        <w:rPr>
          <w:rFonts w:eastAsia="Calibri"/>
          <w:szCs w:val="24"/>
        </w:rPr>
        <w:t>Joshua (he/him) was referred to an AOD service by a probation officer within Ara Poutama Aotearoa, having been involved in a series of ‘incidents’ in the local township. Most incidents were described as nuisance value, like setting fires in rubbish bins, but Joshua had also been involved in several fights while intoxicated. </w:t>
      </w:r>
    </w:p>
    <w:p w14:paraId="32621324" w14:textId="77777777" w:rsidR="002C1335" w:rsidRPr="001A2AFC" w:rsidRDefault="002C1335" w:rsidP="002C1335">
      <w:pPr>
        <w:rPr>
          <w:rFonts w:eastAsia="Calibri"/>
          <w:szCs w:val="24"/>
        </w:rPr>
      </w:pPr>
      <w:r w:rsidRPr="001A2AFC">
        <w:rPr>
          <w:rFonts w:eastAsia="Calibri"/>
          <w:szCs w:val="24"/>
        </w:rPr>
        <w:t xml:space="preserve">A brief AOD assessment was carried out initially and indicated the need for more in-depth information to understand Joshua’s situation and needs. With Joshua’s permission, he was referred for a comprehensive assessment. Following the comprehensive assessment, the following summary was developed with Joshua. </w:t>
      </w:r>
    </w:p>
    <w:p w14:paraId="7785210B" w14:textId="77777777" w:rsidR="002C1335" w:rsidRPr="0041093A" w:rsidRDefault="002C1335" w:rsidP="002C1335">
      <w:pPr>
        <w:rPr>
          <w:rFonts w:cs="Arial"/>
          <w:b/>
          <w:bCs/>
          <w:color w:val="1D386B" w:themeColor="text2" w:themeTint="E6"/>
        </w:rPr>
      </w:pPr>
      <w:bookmarkStart w:id="1525" w:name="_Toc146624852"/>
      <w:bookmarkStart w:id="1526" w:name="_Toc146714213"/>
      <w:bookmarkStart w:id="1527" w:name="_Toc178780142"/>
      <w:bookmarkStart w:id="1528" w:name="_Toc178838908"/>
      <w:bookmarkStart w:id="1529" w:name="_Toc178839095"/>
      <w:bookmarkStart w:id="1530" w:name="_Toc178839216"/>
      <w:bookmarkStart w:id="1531" w:name="_Toc178839444"/>
      <w:bookmarkStart w:id="1532" w:name="_Toc178841654"/>
      <w:bookmarkStart w:id="1533" w:name="_Toc179198214"/>
      <w:bookmarkStart w:id="1534" w:name="_Toc179198462"/>
      <w:bookmarkStart w:id="1535" w:name="_Toc179198570"/>
      <w:bookmarkStart w:id="1536" w:name="_Toc179198677"/>
      <w:bookmarkStart w:id="1537" w:name="_Toc179446121"/>
      <w:bookmarkStart w:id="1538" w:name="_Toc179447134"/>
      <w:bookmarkStart w:id="1539" w:name="_Toc179448673"/>
      <w:bookmarkStart w:id="1540" w:name="_Toc179448830"/>
      <w:r w:rsidRPr="0041093A">
        <w:rPr>
          <w:b/>
          <w:bCs/>
          <w:color w:val="1D386B" w:themeColor="text2" w:themeTint="E6"/>
        </w:rPr>
        <w:lastRenderedPageBreak/>
        <w:t>History</w:t>
      </w:r>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p>
    <w:p w14:paraId="4951A273" w14:textId="77777777" w:rsidR="002C1335" w:rsidRPr="001A2AFC" w:rsidRDefault="002C1335" w:rsidP="002C1335">
      <w:pPr>
        <w:rPr>
          <w:szCs w:val="24"/>
        </w:rPr>
      </w:pPr>
      <w:r w:rsidRPr="001A2AFC">
        <w:rPr>
          <w:rStyle w:val="normaltextrun"/>
          <w:rFonts w:cs="Arial"/>
          <w:szCs w:val="24"/>
        </w:rPr>
        <w:t>Joshua is a 24-year-old Pākehā male who currently lives with his mother supported by a Jobseeker support benefit. He has previously lived in shared flats, but these have not lasted long, and he describes himself as being unable to live easily with other people. He also describes his relationship with his mother as difficult as she tries to ‘control’ his behaviour. His childhood was</w:t>
      </w:r>
      <w:r w:rsidRPr="005D63BC">
        <w:rPr>
          <w:rStyle w:val="normaltextrun"/>
          <w:rFonts w:cs="Arial"/>
          <w:sz w:val="22"/>
        </w:rPr>
        <w:t xml:space="preserve"> </w:t>
      </w:r>
      <w:r w:rsidRPr="001A2AFC">
        <w:rPr>
          <w:rStyle w:val="normaltextrun"/>
          <w:rFonts w:cs="Arial"/>
          <w:szCs w:val="24"/>
        </w:rPr>
        <w:t>‘happy’ until his parents separated when he was 13 years old, at which time he began to start hanging out with mates who were drinking alcohol and smoking cannabis. He is not aware of a whānau history of substance use problems. He has had no long-term relationships and has few friends apart from old school friends he has known since his teens.</w:t>
      </w:r>
      <w:r w:rsidRPr="001A2AFC">
        <w:rPr>
          <w:rStyle w:val="eop"/>
          <w:rFonts w:cs="Arial"/>
          <w:szCs w:val="24"/>
        </w:rPr>
        <w:t> </w:t>
      </w:r>
    </w:p>
    <w:p w14:paraId="5BD1EE91" w14:textId="77777777" w:rsidR="002C1335" w:rsidRPr="001A2AFC" w:rsidRDefault="002C1335" w:rsidP="002C1335">
      <w:pPr>
        <w:rPr>
          <w:szCs w:val="24"/>
        </w:rPr>
      </w:pPr>
      <w:r w:rsidRPr="001A2AFC">
        <w:rPr>
          <w:rStyle w:val="normaltextrun"/>
          <w:rFonts w:cs="Arial"/>
          <w:szCs w:val="24"/>
        </w:rPr>
        <w:t>At age 14 Joshua was involved, as a passenger, in a motor vehicle accident (MVA) and went through the front windscreen of the vehicle. He was knocked unconscious in the accident for ‘a while’ and briefly hospitalised for observation, before being discharged home with no follow up. He stated that his interest in school, having been an average student previously, declined after this as he found it difficult to concentrate in class and would get into arguments with other students and teachers. Leaving school at 16 with no qualifications he has had the odd brief period of employment as a labourer but has been unable to sustain work as he finds it difficult to follow instructions and ends up arguing with his employers.</w:t>
      </w:r>
      <w:r w:rsidRPr="001A2AFC">
        <w:rPr>
          <w:rStyle w:val="eop"/>
          <w:rFonts w:cs="Arial"/>
          <w:szCs w:val="24"/>
        </w:rPr>
        <w:t> </w:t>
      </w:r>
    </w:p>
    <w:p w14:paraId="1FBA13E2" w14:textId="77777777" w:rsidR="002C1335" w:rsidRPr="001A2AFC" w:rsidRDefault="002C1335" w:rsidP="002C1335">
      <w:pPr>
        <w:rPr>
          <w:szCs w:val="24"/>
        </w:rPr>
      </w:pPr>
      <w:r w:rsidRPr="001A2AFC">
        <w:rPr>
          <w:rStyle w:val="normaltextrun"/>
          <w:rFonts w:cs="Arial"/>
          <w:szCs w:val="24"/>
        </w:rPr>
        <w:t>Joshua first drank alcohol occasionally socially with friends at 13, rarely getting intoxicated until he was 14, following the MVA. Since then, he has regularly consumed about 25 standard drinks every Friday and Saturday night. He has drunk to blackout point many times and considers those times a ‘good night out’. Joshua also first used cannabis at 13 and has enjoyed smoking about 3 or 4 cones a night since that time. He has also used a range of other substances opportunistically but not regularly. This includes ‘pills’, synthetic cannabinoids, methamphetamine, LSD, and ‘party drugs’.</w:t>
      </w:r>
      <w:r w:rsidRPr="001A2AFC">
        <w:rPr>
          <w:rStyle w:val="eop"/>
          <w:rFonts w:cs="Arial"/>
          <w:szCs w:val="24"/>
        </w:rPr>
        <w:t> </w:t>
      </w:r>
    </w:p>
    <w:p w14:paraId="40998B76" w14:textId="0C8E6C27" w:rsidR="002C1335" w:rsidRPr="001A2AFC" w:rsidRDefault="002C1335" w:rsidP="002C1335">
      <w:pPr>
        <w:rPr>
          <w:rStyle w:val="eop"/>
          <w:rFonts w:cs="Arial"/>
          <w:szCs w:val="24"/>
        </w:rPr>
      </w:pPr>
      <w:r w:rsidRPr="001A2AFC">
        <w:rPr>
          <w:rStyle w:val="normaltextrun"/>
          <w:rFonts w:cs="Arial"/>
          <w:szCs w:val="24"/>
        </w:rPr>
        <w:t>Joshua keeps good physical health and apart from the head injury in the MVA has never been hospitalised or received any other major injuries. His memory and language skills appeared intact and age appropriate. He describes his mood as low because of his living situation but still enjoys going out with his mates and partying. Apart from the incidents which led to his referral he has had several arrests and convictions for property damage and being unlawfully on premises and is currently on a supervision order and a last warning from the Court.</w:t>
      </w:r>
    </w:p>
    <w:p w14:paraId="5D87F6D9" w14:textId="77777777" w:rsidR="002C1335" w:rsidRPr="0041093A" w:rsidRDefault="002C1335" w:rsidP="002C1335">
      <w:pPr>
        <w:rPr>
          <w:rStyle w:val="eop"/>
          <w:b/>
          <w:bCs/>
          <w:color w:val="1D386B" w:themeColor="text2" w:themeTint="E6"/>
        </w:rPr>
      </w:pPr>
      <w:bookmarkStart w:id="1541" w:name="_Toc178780143"/>
      <w:bookmarkStart w:id="1542" w:name="_Toc178838909"/>
      <w:bookmarkStart w:id="1543" w:name="_Toc178839096"/>
      <w:bookmarkStart w:id="1544" w:name="_Toc178839217"/>
      <w:bookmarkStart w:id="1545" w:name="_Toc178839445"/>
      <w:bookmarkStart w:id="1546" w:name="_Toc178841655"/>
      <w:bookmarkStart w:id="1547" w:name="_Toc179198215"/>
      <w:bookmarkStart w:id="1548" w:name="_Toc179198463"/>
      <w:bookmarkStart w:id="1549" w:name="_Toc179198571"/>
      <w:bookmarkStart w:id="1550" w:name="_Toc179198678"/>
      <w:bookmarkStart w:id="1551" w:name="_Toc179446122"/>
      <w:bookmarkStart w:id="1552" w:name="_Toc179447135"/>
      <w:bookmarkStart w:id="1553" w:name="_Toc179448674"/>
      <w:bookmarkStart w:id="1554" w:name="_Toc179448831"/>
      <w:r w:rsidRPr="0041093A">
        <w:rPr>
          <w:b/>
          <w:bCs/>
          <w:color w:val="1D386B" w:themeColor="text2" w:themeTint="E6"/>
        </w:rPr>
        <w:t>Assessment</w:t>
      </w:r>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p>
    <w:p w14:paraId="4415B986" w14:textId="77777777" w:rsidR="002C1335" w:rsidRPr="001A2AFC" w:rsidRDefault="002C1335" w:rsidP="002C1335">
      <w:pPr>
        <w:pStyle w:val="Bodycopy"/>
        <w:rPr>
          <w:rStyle w:val="eop"/>
          <w:rFonts w:cs="Arial"/>
          <w:sz w:val="24"/>
          <w:szCs w:val="24"/>
        </w:rPr>
      </w:pPr>
      <w:r w:rsidRPr="001A2AFC">
        <w:rPr>
          <w:rStyle w:val="normaltextrun"/>
          <w:rFonts w:cs="Arial"/>
          <w:sz w:val="24"/>
          <w:szCs w:val="24"/>
        </w:rPr>
        <w:t>Joshua currently meets the criteria for a DSM-5</w:t>
      </w:r>
      <w:r w:rsidRPr="001A2AFC">
        <w:rPr>
          <w:rStyle w:val="normaltextrun"/>
          <w:rFonts w:cs="Arial"/>
          <w:sz w:val="24"/>
          <w:szCs w:val="24"/>
          <w:vertAlign w:val="superscript"/>
        </w:rPr>
        <w:t>33</w:t>
      </w:r>
      <w:r w:rsidRPr="001A2AFC">
        <w:rPr>
          <w:rStyle w:val="normaltextrun"/>
          <w:rFonts w:cs="Arial"/>
          <w:sz w:val="24"/>
          <w:szCs w:val="24"/>
        </w:rPr>
        <w:t xml:space="preserve"> moderate cannabis and alcohol use disorder. It is possible that he may have mild to moderate cognitive impairment following the MVA that has neither been diagnosed or treated, notably executive function (problems </w:t>
      </w:r>
      <w:r w:rsidRPr="001A2AFC">
        <w:rPr>
          <w:rStyle w:val="normaltextrun"/>
          <w:rFonts w:cs="Arial"/>
          <w:sz w:val="24"/>
          <w:szCs w:val="24"/>
        </w:rPr>
        <w:lastRenderedPageBreak/>
        <w:t>with impulse control, multitasking, decision making, and planning) and social cognition (finding it difficult to interpret the emotions or intentions of others in new situations). Joshua believes this is likely to be contributing to his impulsivity and difficulty with relationships and employment and he is very keen to find out how to improve his circumstances. </w:t>
      </w:r>
      <w:r w:rsidRPr="001A2AFC">
        <w:rPr>
          <w:rStyle w:val="eop"/>
          <w:rFonts w:cs="Arial"/>
          <w:sz w:val="24"/>
          <w:szCs w:val="24"/>
        </w:rPr>
        <w:t> </w:t>
      </w:r>
    </w:p>
    <w:p w14:paraId="107B2997" w14:textId="77777777" w:rsidR="002C1335" w:rsidRPr="001A2AFC" w:rsidRDefault="002C1335" w:rsidP="002C1335">
      <w:pPr>
        <w:pStyle w:val="Bodycopy"/>
        <w:rPr>
          <w:rStyle w:val="eop"/>
          <w:rFonts w:cs="Arial"/>
          <w:sz w:val="24"/>
          <w:szCs w:val="24"/>
        </w:rPr>
      </w:pPr>
      <w:r w:rsidRPr="001A2AFC">
        <w:rPr>
          <w:rStyle w:val="normaltextrun"/>
          <w:rFonts w:cs="Arial"/>
          <w:sz w:val="24"/>
          <w:szCs w:val="24"/>
        </w:rPr>
        <w:t>His stated goals are to avoid prison and find work so that he can move out of home. He acknowledges alcohol may contribute to his offending and is interested in learning how to manage this better to avoid trouble. He states cannabis calms him down and he has no interest in addressing this.</w:t>
      </w:r>
      <w:r w:rsidRPr="001A2AFC">
        <w:rPr>
          <w:rStyle w:val="eop"/>
          <w:rFonts w:cs="Arial"/>
          <w:sz w:val="24"/>
          <w:szCs w:val="24"/>
        </w:rPr>
        <w:t> </w:t>
      </w:r>
    </w:p>
    <w:p w14:paraId="5FF74C83" w14:textId="77777777" w:rsidR="002C1335" w:rsidRPr="001A2AFC" w:rsidRDefault="002C1335" w:rsidP="002C1335">
      <w:pPr>
        <w:rPr>
          <w:b/>
          <w:bCs/>
          <w:color w:val="1D386B" w:themeColor="text2" w:themeTint="E6"/>
          <w:szCs w:val="24"/>
        </w:rPr>
      </w:pPr>
      <w:bookmarkStart w:id="1555" w:name="_Toc146624853"/>
      <w:bookmarkStart w:id="1556" w:name="_Toc146714214"/>
      <w:bookmarkStart w:id="1557" w:name="_Toc178780144"/>
      <w:bookmarkStart w:id="1558" w:name="_Toc178838910"/>
      <w:bookmarkStart w:id="1559" w:name="_Toc178839097"/>
      <w:bookmarkStart w:id="1560" w:name="_Toc178839218"/>
      <w:bookmarkStart w:id="1561" w:name="_Toc178839446"/>
      <w:bookmarkStart w:id="1562" w:name="_Toc178841656"/>
      <w:bookmarkStart w:id="1563" w:name="_Toc179198216"/>
      <w:bookmarkStart w:id="1564" w:name="_Toc179198464"/>
      <w:bookmarkStart w:id="1565" w:name="_Toc179198572"/>
      <w:bookmarkStart w:id="1566" w:name="_Toc179198679"/>
      <w:bookmarkStart w:id="1567" w:name="_Toc179446123"/>
      <w:bookmarkStart w:id="1568" w:name="_Toc179447136"/>
      <w:bookmarkStart w:id="1569" w:name="_Toc179448675"/>
      <w:bookmarkStart w:id="1570" w:name="_Toc179448832"/>
      <w:r w:rsidRPr="001A2AFC">
        <w:rPr>
          <w:b/>
          <w:bCs/>
          <w:color w:val="1D386B" w:themeColor="text2" w:themeTint="E6"/>
          <w:szCs w:val="24"/>
        </w:rPr>
        <w:t>Strengths</w:t>
      </w:r>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p>
    <w:p w14:paraId="2D3F2272" w14:textId="77777777" w:rsidR="002C1335" w:rsidRPr="001A2AFC" w:rsidRDefault="002C1335" w:rsidP="002C1335">
      <w:pPr>
        <w:pStyle w:val="Bodycopy"/>
        <w:rPr>
          <w:rStyle w:val="normaltextrun"/>
          <w:rFonts w:cs="Arial"/>
          <w:sz w:val="24"/>
          <w:szCs w:val="24"/>
        </w:rPr>
      </w:pPr>
      <w:r w:rsidRPr="001A2AFC">
        <w:rPr>
          <w:rStyle w:val="normaltextrun"/>
          <w:rFonts w:cs="Arial"/>
          <w:sz w:val="24"/>
          <w:szCs w:val="24"/>
        </w:rPr>
        <w:t>Joshua’s strengths are his insight into his possible cognitive impairment and the role of alcohol in his offending, his stated goals around work and avoiding prison, his physical wellbeing, long-term friendships, and his desire for greater independence.</w:t>
      </w:r>
    </w:p>
    <w:p w14:paraId="6A19359F" w14:textId="77777777" w:rsidR="002C1335" w:rsidRPr="00BA6553" w:rsidRDefault="002C1335" w:rsidP="002C1335">
      <w:pPr>
        <w:rPr>
          <w:b/>
          <w:bCs/>
          <w:color w:val="00C7C7" w:themeColor="accent5" w:themeTint="BF"/>
        </w:rPr>
      </w:pPr>
      <w:bookmarkStart w:id="1571" w:name="_Toc144657452"/>
      <w:bookmarkStart w:id="1572" w:name="_Toc145670727"/>
      <w:bookmarkStart w:id="1573" w:name="_Toc145854341"/>
      <w:bookmarkStart w:id="1574" w:name="_Toc146024270"/>
      <w:bookmarkStart w:id="1575" w:name="_Toc146624854"/>
      <w:bookmarkStart w:id="1576" w:name="_Toc146714215"/>
      <w:bookmarkStart w:id="1577" w:name="_Toc178780145"/>
      <w:bookmarkStart w:id="1578" w:name="_Toc178838911"/>
      <w:bookmarkStart w:id="1579" w:name="_Toc178839098"/>
      <w:bookmarkStart w:id="1580" w:name="_Toc178839219"/>
      <w:bookmarkStart w:id="1581" w:name="_Toc178839447"/>
      <w:bookmarkStart w:id="1582" w:name="_Toc178841657"/>
      <w:bookmarkStart w:id="1583" w:name="_Toc179198217"/>
      <w:bookmarkStart w:id="1584" w:name="_Toc179198465"/>
      <w:bookmarkStart w:id="1585" w:name="_Toc179198573"/>
      <w:bookmarkStart w:id="1586" w:name="_Toc179198680"/>
      <w:bookmarkStart w:id="1587" w:name="_Toc179446124"/>
      <w:bookmarkStart w:id="1588" w:name="_Toc179447137"/>
      <w:bookmarkStart w:id="1589" w:name="_Toc179448676"/>
      <w:bookmarkStart w:id="1590" w:name="_Toc179448833"/>
      <w:r w:rsidRPr="0041093A">
        <w:rPr>
          <w:b/>
          <w:bCs/>
          <w:color w:val="1D386B" w:themeColor="text2" w:themeTint="E6"/>
        </w:rPr>
        <w:t>Plan</w:t>
      </w:r>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r w:rsidRPr="00BA6553">
        <w:rPr>
          <w:b/>
          <w:bCs/>
          <w:color w:val="00C7C7" w:themeColor="accent5" w:themeTint="BF"/>
        </w:rPr>
        <w:t> </w:t>
      </w:r>
    </w:p>
    <w:p w14:paraId="642AF62B" w14:textId="77777777" w:rsidR="002C1335" w:rsidRPr="001A2AFC" w:rsidRDefault="002C1335" w:rsidP="005F22ED">
      <w:pPr>
        <w:pStyle w:val="ListNumber"/>
        <w:numPr>
          <w:ilvl w:val="0"/>
          <w:numId w:val="109"/>
        </w:numPr>
        <w:tabs>
          <w:tab w:val="clear" w:pos="425"/>
        </w:tabs>
        <w:spacing w:after="240" w:line="240" w:lineRule="auto"/>
        <w:ind w:left="714" w:hanging="357"/>
        <w:rPr>
          <w:szCs w:val="24"/>
        </w:rPr>
      </w:pPr>
      <w:r w:rsidRPr="001A2AFC">
        <w:rPr>
          <w:szCs w:val="24"/>
        </w:rPr>
        <w:t>Whakawhanaungatanga process, assess risk and contextual factors, and develop a good therapeutic relationship with Joshua.</w:t>
      </w:r>
    </w:p>
    <w:p w14:paraId="5F32AE8E" w14:textId="77777777" w:rsidR="002C1335" w:rsidRPr="001A2AFC" w:rsidRDefault="002C1335" w:rsidP="005F22ED">
      <w:pPr>
        <w:pStyle w:val="ListNumber"/>
        <w:numPr>
          <w:ilvl w:val="0"/>
          <w:numId w:val="109"/>
        </w:numPr>
        <w:tabs>
          <w:tab w:val="clear" w:pos="425"/>
        </w:tabs>
        <w:spacing w:after="240" w:line="240" w:lineRule="auto"/>
        <w:ind w:left="714" w:hanging="357"/>
        <w:rPr>
          <w:szCs w:val="24"/>
        </w:rPr>
      </w:pPr>
      <w:r w:rsidRPr="001A2AFC">
        <w:rPr>
          <w:rStyle w:val="normaltextrun"/>
          <w:szCs w:val="24"/>
        </w:rPr>
        <w:t>Support Joshua to develop safer drinking strategies using concrete MI strategies such as decisional balance and continue to explore the role of cannabis in his life.</w:t>
      </w:r>
      <w:r w:rsidRPr="001A2AFC">
        <w:rPr>
          <w:rStyle w:val="eop"/>
          <w:szCs w:val="24"/>
        </w:rPr>
        <w:t> </w:t>
      </w:r>
    </w:p>
    <w:p w14:paraId="365F5CBF" w14:textId="77777777" w:rsidR="002C1335" w:rsidRPr="001A2AFC" w:rsidRDefault="002C1335" w:rsidP="005F22ED">
      <w:pPr>
        <w:pStyle w:val="ListNumber"/>
        <w:numPr>
          <w:ilvl w:val="0"/>
          <w:numId w:val="109"/>
        </w:numPr>
        <w:tabs>
          <w:tab w:val="clear" w:pos="425"/>
        </w:tabs>
        <w:spacing w:after="240" w:line="240" w:lineRule="auto"/>
        <w:ind w:left="714" w:hanging="357"/>
        <w:rPr>
          <w:szCs w:val="24"/>
        </w:rPr>
      </w:pPr>
      <w:r w:rsidRPr="001A2AFC">
        <w:rPr>
          <w:rStyle w:val="normaltextrun"/>
          <w:szCs w:val="24"/>
        </w:rPr>
        <w:t>With his consent and explanation of the purpose, carry out cognitive screening using the BEAT. This considers Joshua’s age and apparent executive functioning. Screening should preferably be carried out on a day he has not used excess alcohol or cannabis (such as a Thursday morning) to reduce the impact of these substances on his cognitive results.</w:t>
      </w:r>
      <w:r w:rsidRPr="001A2AFC">
        <w:rPr>
          <w:rStyle w:val="eop"/>
          <w:szCs w:val="24"/>
        </w:rPr>
        <w:t> Share the screening results back with Joshua using a strengths-based approach, considering any potential detrimental impacts on his self-esteem and any history of risk.</w:t>
      </w:r>
    </w:p>
    <w:p w14:paraId="0375D917" w14:textId="77777777" w:rsidR="002C1335" w:rsidRPr="001A2AFC" w:rsidRDefault="002C1335" w:rsidP="005F22ED">
      <w:pPr>
        <w:pStyle w:val="ListNumber"/>
        <w:numPr>
          <w:ilvl w:val="0"/>
          <w:numId w:val="109"/>
        </w:numPr>
        <w:tabs>
          <w:tab w:val="clear" w:pos="425"/>
        </w:tabs>
        <w:spacing w:after="240" w:line="240" w:lineRule="auto"/>
        <w:ind w:left="714" w:hanging="357"/>
        <w:rPr>
          <w:szCs w:val="24"/>
        </w:rPr>
      </w:pPr>
      <w:r w:rsidRPr="001A2AFC">
        <w:rPr>
          <w:rStyle w:val="normaltextrun"/>
          <w:szCs w:val="24"/>
        </w:rPr>
        <w:t>With Joshua’s permission, contact his mother to explore a whānau perspective of the impact of the TBI and if appropriate, introduce her to an online 5-Step group and/or Brain Injury New Zealand for further support.</w:t>
      </w:r>
      <w:r w:rsidRPr="001A2AFC">
        <w:rPr>
          <w:rStyle w:val="eop"/>
          <w:szCs w:val="24"/>
        </w:rPr>
        <w:t> </w:t>
      </w:r>
    </w:p>
    <w:p w14:paraId="5B1608B1" w14:textId="77777777" w:rsidR="002C1335" w:rsidRPr="001A2AFC" w:rsidRDefault="002C1335" w:rsidP="005F22ED">
      <w:pPr>
        <w:pStyle w:val="ListNumber"/>
        <w:numPr>
          <w:ilvl w:val="0"/>
          <w:numId w:val="109"/>
        </w:numPr>
        <w:tabs>
          <w:tab w:val="clear" w:pos="425"/>
        </w:tabs>
        <w:spacing w:after="240" w:line="240" w:lineRule="auto"/>
        <w:ind w:left="714" w:hanging="357"/>
        <w:rPr>
          <w:szCs w:val="24"/>
        </w:rPr>
      </w:pPr>
      <w:r w:rsidRPr="001A2AFC">
        <w:rPr>
          <w:rStyle w:val="normaltextrun"/>
          <w:szCs w:val="24"/>
        </w:rPr>
        <w:t>Depending on the outcome of the BEAT screening, explore if further in-depth neuropsychological assessment and support could be accessed via ACC.</w:t>
      </w:r>
      <w:r w:rsidRPr="001A2AFC">
        <w:rPr>
          <w:rStyle w:val="eop"/>
          <w:szCs w:val="24"/>
        </w:rPr>
        <w:t> </w:t>
      </w:r>
    </w:p>
    <w:p w14:paraId="7758571F" w14:textId="77777777" w:rsidR="002C1335" w:rsidRPr="001A2AFC" w:rsidRDefault="002C1335" w:rsidP="005F22ED">
      <w:pPr>
        <w:pStyle w:val="ListNumber"/>
        <w:numPr>
          <w:ilvl w:val="0"/>
          <w:numId w:val="109"/>
        </w:numPr>
        <w:tabs>
          <w:tab w:val="clear" w:pos="425"/>
        </w:tabs>
        <w:spacing w:after="240" w:line="240" w:lineRule="auto"/>
        <w:ind w:left="714" w:hanging="357"/>
        <w:rPr>
          <w:szCs w:val="24"/>
        </w:rPr>
      </w:pPr>
      <w:r w:rsidRPr="001A2AFC">
        <w:rPr>
          <w:rStyle w:val="normaltextrun"/>
          <w:szCs w:val="24"/>
        </w:rPr>
        <w:t>Support Joshua with developing skills around cognitive and emotional regulation training.</w:t>
      </w:r>
      <w:r w:rsidRPr="001A2AFC">
        <w:rPr>
          <w:rStyle w:val="eop"/>
          <w:szCs w:val="24"/>
        </w:rPr>
        <w:t> </w:t>
      </w:r>
    </w:p>
    <w:p w14:paraId="131344E3" w14:textId="77777777" w:rsidR="002C1335" w:rsidRPr="001A2AFC" w:rsidRDefault="002C1335" w:rsidP="005F22ED">
      <w:pPr>
        <w:pStyle w:val="ListNumber"/>
        <w:numPr>
          <w:ilvl w:val="0"/>
          <w:numId w:val="109"/>
        </w:numPr>
        <w:tabs>
          <w:tab w:val="clear" w:pos="425"/>
        </w:tabs>
        <w:spacing w:after="240" w:line="240" w:lineRule="auto"/>
        <w:ind w:left="714" w:hanging="357"/>
        <w:rPr>
          <w:szCs w:val="24"/>
        </w:rPr>
      </w:pPr>
      <w:r w:rsidRPr="001A2AFC">
        <w:rPr>
          <w:rStyle w:val="normaltextrun"/>
          <w:szCs w:val="24"/>
        </w:rPr>
        <w:t>Liaise with Joshua’s probation officer to ensure coordination of support.</w:t>
      </w:r>
      <w:r w:rsidRPr="001A2AFC">
        <w:rPr>
          <w:rStyle w:val="eop"/>
          <w:szCs w:val="24"/>
        </w:rPr>
        <w:t> </w:t>
      </w:r>
    </w:p>
    <w:p w14:paraId="2C40F3CA" w14:textId="30D36BE0" w:rsidR="001D4560" w:rsidRPr="005F22ED" w:rsidRDefault="002C1335" w:rsidP="0083113A">
      <w:pPr>
        <w:pStyle w:val="ListNumber"/>
        <w:numPr>
          <w:ilvl w:val="0"/>
          <w:numId w:val="109"/>
        </w:numPr>
        <w:tabs>
          <w:tab w:val="clear" w:pos="425"/>
        </w:tabs>
        <w:spacing w:after="240" w:line="240" w:lineRule="auto"/>
        <w:ind w:left="714" w:hanging="357"/>
        <w:rPr>
          <w:szCs w:val="24"/>
        </w:rPr>
      </w:pPr>
      <w:r w:rsidRPr="001A2AFC">
        <w:rPr>
          <w:rStyle w:val="normaltextrun"/>
          <w:szCs w:val="24"/>
        </w:rPr>
        <w:t>Refer and introduce Joshua to Workwise for employment planning and support.</w:t>
      </w:r>
      <w:r w:rsidRPr="001A2AFC">
        <w:rPr>
          <w:rStyle w:val="eop"/>
          <w:szCs w:val="24"/>
        </w:rPr>
        <w:t> </w:t>
      </w:r>
      <w:bookmarkStart w:id="1591" w:name="_Toc179538912"/>
      <w:bookmarkStart w:id="1592" w:name="_Toc179539230"/>
      <w:bookmarkStart w:id="1593" w:name="_Toc179539346"/>
      <w:bookmarkStart w:id="1594" w:name="_Toc179539484"/>
      <w:bookmarkStart w:id="1595" w:name="_Toc179539581"/>
      <w:bookmarkStart w:id="1596" w:name="_Toc179539666"/>
      <w:bookmarkStart w:id="1597" w:name="_Toc179539756"/>
      <w:bookmarkStart w:id="1598" w:name="_Toc179540440"/>
      <w:bookmarkStart w:id="1599" w:name="_Toc179541785"/>
      <w:bookmarkStart w:id="1600" w:name="_Toc179542977"/>
      <w:bookmarkStart w:id="1601" w:name="_Toc144657453"/>
      <w:bookmarkStart w:id="1602" w:name="_Toc145854342"/>
      <w:bookmarkStart w:id="1603" w:name="_Toc146024271"/>
      <w:bookmarkStart w:id="1604" w:name="_Toc146624855"/>
      <w:bookmarkStart w:id="1605" w:name="_Toc146714216"/>
      <w:bookmarkStart w:id="1606" w:name="_Toc172095787"/>
      <w:bookmarkStart w:id="1607" w:name="_Toc178780146"/>
      <w:bookmarkStart w:id="1608" w:name="_Toc178838912"/>
      <w:bookmarkStart w:id="1609" w:name="_Toc178839099"/>
      <w:bookmarkStart w:id="1610" w:name="_Toc178839220"/>
      <w:bookmarkStart w:id="1611" w:name="_Toc178839448"/>
      <w:bookmarkStart w:id="1612" w:name="_Toc178841658"/>
      <w:bookmarkStart w:id="1613" w:name="_Toc179198218"/>
      <w:bookmarkStart w:id="1614" w:name="_Toc179198466"/>
      <w:bookmarkStart w:id="1615" w:name="_Toc179198574"/>
      <w:bookmarkStart w:id="1616" w:name="_Toc179198681"/>
      <w:bookmarkStart w:id="1617" w:name="_Toc179446125"/>
      <w:bookmarkStart w:id="1618" w:name="_Toc179447138"/>
      <w:bookmarkStart w:id="1619" w:name="_Toc179448677"/>
      <w:bookmarkStart w:id="1620" w:name="_Toc179448834"/>
    </w:p>
    <w:p w14:paraId="5C932C99" w14:textId="2C2F4398" w:rsidR="002C1335" w:rsidRPr="001D4560" w:rsidRDefault="0083113A" w:rsidP="0083113A">
      <w:pPr>
        <w:pStyle w:val="Heading2"/>
        <w:rPr>
          <w:color w:val="1D386B" w:themeColor="text2" w:themeTint="E6"/>
          <w:sz w:val="28"/>
          <w:szCs w:val="28"/>
        </w:rPr>
      </w:pPr>
      <w:bookmarkStart w:id="1621" w:name="_Toc180571305"/>
      <w:r w:rsidRPr="001D4560">
        <w:rPr>
          <w:color w:val="1D386B" w:themeColor="text2" w:themeTint="E6"/>
          <w:sz w:val="28"/>
          <w:szCs w:val="28"/>
        </w:rPr>
        <w:lastRenderedPageBreak/>
        <w:t>Practice example 2</w:t>
      </w:r>
      <w:bookmarkEnd w:id="1591"/>
      <w:bookmarkEnd w:id="1592"/>
      <w:bookmarkEnd w:id="1593"/>
      <w:bookmarkEnd w:id="1594"/>
      <w:bookmarkEnd w:id="1595"/>
      <w:bookmarkEnd w:id="1596"/>
      <w:bookmarkEnd w:id="1597"/>
      <w:bookmarkEnd w:id="1598"/>
      <w:bookmarkEnd w:id="1599"/>
      <w:bookmarkEnd w:id="1600"/>
      <w:bookmarkEnd w:id="1621"/>
      <w:r w:rsidRPr="001D4560">
        <w:rPr>
          <w:color w:val="1D386B" w:themeColor="text2" w:themeTint="E6"/>
          <w:sz w:val="28"/>
          <w:szCs w:val="28"/>
        </w:rPr>
        <w:t xml:space="preserve"> </w:t>
      </w:r>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p>
    <w:p w14:paraId="26BD6E3C" w14:textId="77777777" w:rsidR="00122447" w:rsidRPr="00122447" w:rsidRDefault="00122447" w:rsidP="00122447"/>
    <w:p w14:paraId="1522C5AC" w14:textId="77777777" w:rsidR="002C1335" w:rsidRPr="0041093A" w:rsidRDefault="002C1335" w:rsidP="002C1335">
      <w:pPr>
        <w:rPr>
          <w:b/>
          <w:bCs/>
          <w:color w:val="1D386B" w:themeColor="text2" w:themeTint="E6"/>
        </w:rPr>
      </w:pPr>
      <w:bookmarkStart w:id="1622" w:name="_Toc146624856"/>
      <w:bookmarkStart w:id="1623" w:name="_Toc146714217"/>
      <w:bookmarkStart w:id="1624" w:name="_Toc178780147"/>
      <w:bookmarkStart w:id="1625" w:name="_Toc178838913"/>
      <w:bookmarkStart w:id="1626" w:name="_Toc178839100"/>
      <w:bookmarkStart w:id="1627" w:name="_Toc178839221"/>
      <w:bookmarkStart w:id="1628" w:name="_Toc178839449"/>
      <w:bookmarkStart w:id="1629" w:name="_Toc178841659"/>
      <w:bookmarkStart w:id="1630" w:name="_Toc179198219"/>
      <w:bookmarkStart w:id="1631" w:name="_Toc179198467"/>
      <w:bookmarkStart w:id="1632" w:name="_Toc179198575"/>
      <w:bookmarkStart w:id="1633" w:name="_Toc179198682"/>
      <w:bookmarkStart w:id="1634" w:name="_Toc179446126"/>
      <w:bookmarkStart w:id="1635" w:name="_Toc179447139"/>
      <w:bookmarkStart w:id="1636" w:name="_Toc179448678"/>
      <w:bookmarkStart w:id="1637" w:name="_Toc179448835"/>
      <w:r w:rsidRPr="0041093A">
        <w:rPr>
          <w:b/>
          <w:bCs/>
          <w:color w:val="1D386B" w:themeColor="text2" w:themeTint="E6"/>
        </w:rPr>
        <w:t>Referral</w:t>
      </w:r>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p>
    <w:p w14:paraId="72061406" w14:textId="77777777" w:rsidR="002C1335" w:rsidRPr="001A2AFC" w:rsidRDefault="002C1335" w:rsidP="001A2AFC">
      <w:pPr>
        <w:rPr>
          <w:rStyle w:val="eop"/>
          <w:rFonts w:cs="Arial"/>
          <w:szCs w:val="24"/>
        </w:rPr>
      </w:pPr>
      <w:r w:rsidRPr="001A2AFC">
        <w:rPr>
          <w:rStyle w:val="normaltextrun"/>
          <w:rFonts w:cs="Arial"/>
          <w:szCs w:val="24"/>
        </w:rPr>
        <w:t>Hine is a 46-year-old wahine Māori who has been in an 8 week AOD residential treatment programme for the past 4 weeks. Her case worker has referred her for cognitive screening as she has struggled with the content of the programme and has found it difficult to make changes in her behaviour and attitudes. She is described as being agreeable and pleasant in group and individual work but appears to retain little of the content at next sessions and her self-care, such as showering, clean clothes and grooming, is basic even with reminders.</w:t>
      </w:r>
      <w:r w:rsidRPr="001A2AFC">
        <w:rPr>
          <w:rStyle w:val="eop"/>
          <w:rFonts w:cs="Arial"/>
          <w:szCs w:val="24"/>
        </w:rPr>
        <w:t> </w:t>
      </w:r>
    </w:p>
    <w:p w14:paraId="6E3B2163" w14:textId="77777777" w:rsidR="002C1335" w:rsidRPr="005D08AB" w:rsidRDefault="002C1335" w:rsidP="002C1335">
      <w:pPr>
        <w:rPr>
          <w:b/>
          <w:bCs/>
          <w:color w:val="00C7C7" w:themeColor="accent5" w:themeTint="BF"/>
        </w:rPr>
      </w:pPr>
      <w:bookmarkStart w:id="1638" w:name="_Toc146624857"/>
      <w:bookmarkStart w:id="1639" w:name="_Toc146714218"/>
      <w:bookmarkStart w:id="1640" w:name="_Toc178780148"/>
      <w:bookmarkStart w:id="1641" w:name="_Toc178838914"/>
      <w:bookmarkStart w:id="1642" w:name="_Toc178839101"/>
      <w:bookmarkStart w:id="1643" w:name="_Toc178839222"/>
      <w:bookmarkStart w:id="1644" w:name="_Toc178839450"/>
      <w:bookmarkStart w:id="1645" w:name="_Toc178841660"/>
      <w:bookmarkStart w:id="1646" w:name="_Toc179198220"/>
      <w:bookmarkStart w:id="1647" w:name="_Toc179198468"/>
      <w:bookmarkStart w:id="1648" w:name="_Toc179198576"/>
      <w:bookmarkStart w:id="1649" w:name="_Toc179198683"/>
      <w:bookmarkStart w:id="1650" w:name="_Toc179446127"/>
      <w:bookmarkStart w:id="1651" w:name="_Toc179447140"/>
      <w:bookmarkStart w:id="1652" w:name="_Toc179448679"/>
      <w:bookmarkStart w:id="1653" w:name="_Toc179448836"/>
      <w:r w:rsidRPr="0041093A">
        <w:rPr>
          <w:b/>
          <w:bCs/>
          <w:color w:val="1D386B" w:themeColor="text2" w:themeTint="E6"/>
        </w:rPr>
        <w:t>History</w:t>
      </w:r>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r w:rsidRPr="005D08AB">
        <w:rPr>
          <w:b/>
          <w:bCs/>
          <w:color w:val="00C7C7" w:themeColor="accent5" w:themeTint="BF"/>
        </w:rPr>
        <w:t xml:space="preserve"> </w:t>
      </w:r>
    </w:p>
    <w:p w14:paraId="6D7CD2DD" w14:textId="77777777" w:rsidR="002C1335" w:rsidRPr="001A2AFC" w:rsidRDefault="002C1335" w:rsidP="001A2AFC">
      <w:pPr>
        <w:rPr>
          <w:color w:val="000000"/>
          <w:szCs w:val="24"/>
          <w:shd w:val="clear" w:color="auto" w:fill="FFFFFF"/>
        </w:rPr>
      </w:pPr>
      <w:r w:rsidRPr="001A2AFC">
        <w:rPr>
          <w:rStyle w:val="normaltextrun"/>
          <w:rFonts w:cs="Arial"/>
          <w:szCs w:val="24"/>
        </w:rPr>
        <w:t>Hine has a 30-year history of heavy alcohol use, consuming at least a bottle of wine most nights since she was 17. She has also smoked tobacco daily since she was 12 and continues to smoke 15 to 20 cigarettes a day despite being on nicotine replacement therapy (NRT) while in residential treatment.</w:t>
      </w:r>
      <w:r w:rsidRPr="001A2AFC">
        <w:rPr>
          <w:rStyle w:val="FootnoteReference"/>
          <w:szCs w:val="24"/>
        </w:rPr>
        <w:footnoteReference w:id="9"/>
      </w:r>
      <w:r w:rsidRPr="001A2AFC">
        <w:rPr>
          <w:rStyle w:val="normaltextrun"/>
          <w:rFonts w:cs="Arial"/>
          <w:szCs w:val="24"/>
        </w:rPr>
        <w:t xml:space="preserve"> Her other substance use has been rare and limited to when intoxicated or overuse of benzodiazepines prescribed for anxiety on three or four occasions.</w:t>
      </w:r>
      <w:r w:rsidRPr="001A2AFC">
        <w:rPr>
          <w:color w:val="000000"/>
          <w:szCs w:val="24"/>
          <w:shd w:val="clear" w:color="auto" w:fill="FFFFFF"/>
        </w:rPr>
        <w:t xml:space="preserve"> </w:t>
      </w:r>
      <w:r w:rsidRPr="001A2AFC">
        <w:rPr>
          <w:szCs w:val="24"/>
        </w:rPr>
        <w:t>Based on available records, she has had two hospital admissions related to alcohol and benzodiazepine use. One was for an unintentional benzodiazepine overdose and the other was for possible Wernicke’s Encephalopathy, although she was signed out by a friend and medical investigations were unable to be completed whilst in hospital.</w:t>
      </w:r>
      <w:r w:rsidRPr="001A2AFC">
        <w:rPr>
          <w:color w:val="000000"/>
          <w:szCs w:val="24"/>
          <w:shd w:val="clear" w:color="auto" w:fill="FFFFFF"/>
        </w:rPr>
        <w:t xml:space="preserve"> </w:t>
      </w:r>
    </w:p>
    <w:p w14:paraId="68B26AE2" w14:textId="77777777" w:rsidR="002C1335" w:rsidRPr="001A2AFC" w:rsidRDefault="002C1335" w:rsidP="001A2AFC">
      <w:pPr>
        <w:rPr>
          <w:rStyle w:val="eop"/>
          <w:rFonts w:cs="Arial"/>
          <w:szCs w:val="24"/>
        </w:rPr>
      </w:pPr>
      <w:r w:rsidRPr="001A2AFC">
        <w:rPr>
          <w:rStyle w:val="normaltextrun"/>
          <w:rFonts w:cs="Arial"/>
          <w:szCs w:val="24"/>
        </w:rPr>
        <w:t>This is her third time in residential treatment since she was 32 and, on this occasion, she required support with managed withdrawal before admission. She has previously been prescribed naltrexone and disulfiram with limited success and is currently continuing to take thiamine daily under supervision. She is no longer prescribed benzodiazepines because of overuse and does not appear to have any symptoms of anxiety, post-traumatic stress disorder (PTSD), or protracted withdrawal.</w:t>
      </w:r>
      <w:r w:rsidRPr="001A2AFC">
        <w:rPr>
          <w:rStyle w:val="eop"/>
          <w:rFonts w:cs="Arial"/>
          <w:szCs w:val="24"/>
        </w:rPr>
        <w:t> </w:t>
      </w:r>
    </w:p>
    <w:p w14:paraId="1FBB5105" w14:textId="77777777" w:rsidR="002C1335" w:rsidRPr="001A2AFC" w:rsidRDefault="002C1335" w:rsidP="001A2AFC">
      <w:pPr>
        <w:rPr>
          <w:rStyle w:val="eop"/>
          <w:rFonts w:cs="Arial"/>
          <w:szCs w:val="24"/>
        </w:rPr>
      </w:pPr>
      <w:r w:rsidRPr="001A2AFC">
        <w:rPr>
          <w:rStyle w:val="normaltextrun"/>
          <w:rFonts w:cs="Arial"/>
          <w:szCs w:val="24"/>
        </w:rPr>
        <w:t>Hine’s whānau history is somewhat contradictory as from records she has always stated that her whānau were lovely and that she had a very happy childhood, while it appears she has had many issues often associated with adverse childhood experiences and trauma throughout her life. Hine has been married twice but is currently single and has no children or known close relationships with whānau. She lives in her own home and is supported by a family trust having worked as an accountant up until recently.</w:t>
      </w:r>
      <w:r w:rsidRPr="001A2AFC">
        <w:rPr>
          <w:rStyle w:val="eop"/>
          <w:rFonts w:cs="Arial"/>
          <w:szCs w:val="24"/>
        </w:rPr>
        <w:t> </w:t>
      </w:r>
    </w:p>
    <w:p w14:paraId="701FFC63" w14:textId="77777777" w:rsidR="002C1335" w:rsidRPr="001A2AFC" w:rsidRDefault="002C1335" w:rsidP="001A2AFC">
      <w:pPr>
        <w:rPr>
          <w:rStyle w:val="eop"/>
          <w:rFonts w:cs="Arial"/>
          <w:szCs w:val="24"/>
        </w:rPr>
      </w:pPr>
      <w:r w:rsidRPr="001A2AFC">
        <w:rPr>
          <w:rStyle w:val="normaltextrun"/>
          <w:rFonts w:cs="Arial"/>
          <w:szCs w:val="24"/>
        </w:rPr>
        <w:lastRenderedPageBreak/>
        <w:t>Hine was somewhat confused about the reasons for cognitive screening as she thought she was doing well in ‘rehab’ but accepted that her memory has not been great lately. After discussion and explanation of what was involved in screening and possible benefits to her, she agreed it would be helpful to find out more about her own functioning. </w:t>
      </w:r>
      <w:r w:rsidRPr="001A2AFC">
        <w:rPr>
          <w:rStyle w:val="eop"/>
          <w:rFonts w:cs="Arial"/>
          <w:szCs w:val="24"/>
        </w:rPr>
        <w:t> </w:t>
      </w:r>
    </w:p>
    <w:p w14:paraId="16225E6C" w14:textId="77777777" w:rsidR="002C1335" w:rsidRPr="0041093A" w:rsidRDefault="002C1335" w:rsidP="002C1335">
      <w:pPr>
        <w:rPr>
          <w:b/>
          <w:bCs/>
          <w:color w:val="1D386B" w:themeColor="text2" w:themeTint="E6"/>
        </w:rPr>
      </w:pPr>
      <w:bookmarkStart w:id="1654" w:name="_Toc146624858"/>
      <w:bookmarkStart w:id="1655" w:name="_Toc146714219"/>
      <w:bookmarkStart w:id="1656" w:name="_Toc178780149"/>
      <w:bookmarkStart w:id="1657" w:name="_Toc178838915"/>
      <w:bookmarkStart w:id="1658" w:name="_Toc178839102"/>
      <w:bookmarkStart w:id="1659" w:name="_Toc178839223"/>
      <w:bookmarkStart w:id="1660" w:name="_Toc178839451"/>
      <w:bookmarkStart w:id="1661" w:name="_Toc178841661"/>
      <w:bookmarkStart w:id="1662" w:name="_Toc179198221"/>
      <w:bookmarkStart w:id="1663" w:name="_Toc179198469"/>
      <w:bookmarkStart w:id="1664" w:name="_Toc179198577"/>
      <w:bookmarkStart w:id="1665" w:name="_Toc179198684"/>
      <w:bookmarkStart w:id="1666" w:name="_Toc179446128"/>
      <w:bookmarkStart w:id="1667" w:name="_Toc179447141"/>
      <w:bookmarkStart w:id="1668" w:name="_Toc179448680"/>
      <w:bookmarkStart w:id="1669" w:name="_Toc179448837"/>
      <w:r w:rsidRPr="0041093A">
        <w:rPr>
          <w:b/>
          <w:bCs/>
          <w:color w:val="1D386B" w:themeColor="text2" w:themeTint="E6"/>
        </w:rPr>
        <w:t>Strengths</w:t>
      </w:r>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p>
    <w:p w14:paraId="3F8D23D6" w14:textId="77777777" w:rsidR="002C1335" w:rsidRPr="00193529" w:rsidRDefault="002C1335" w:rsidP="001A2AFC">
      <w:pPr>
        <w:rPr>
          <w:rStyle w:val="eop"/>
          <w:rFonts w:cstheme="minorHAnsi"/>
        </w:rPr>
      </w:pPr>
      <w:r w:rsidRPr="00193529">
        <w:rPr>
          <w:rStyle w:val="eop"/>
          <w:rFonts w:cstheme="minorHAnsi"/>
        </w:rPr>
        <w:t xml:space="preserve">Hine’s strengths are her friendliness towards others, financial independence, having her own home, and apparent resilience and high functioning.  </w:t>
      </w:r>
    </w:p>
    <w:p w14:paraId="24A490FA" w14:textId="77777777" w:rsidR="002C1335" w:rsidRPr="005D08AB" w:rsidRDefault="002C1335" w:rsidP="002C1335">
      <w:pPr>
        <w:rPr>
          <w:b/>
          <w:bCs/>
        </w:rPr>
      </w:pPr>
      <w:bookmarkStart w:id="1670" w:name="_Toc146624859"/>
      <w:bookmarkStart w:id="1671" w:name="_Toc146714220"/>
      <w:bookmarkStart w:id="1672" w:name="_Toc178780150"/>
      <w:bookmarkStart w:id="1673" w:name="_Toc178838916"/>
      <w:bookmarkStart w:id="1674" w:name="_Toc178839103"/>
      <w:bookmarkStart w:id="1675" w:name="_Toc178839224"/>
      <w:bookmarkStart w:id="1676" w:name="_Toc178839452"/>
      <w:bookmarkStart w:id="1677" w:name="_Toc178841662"/>
      <w:bookmarkStart w:id="1678" w:name="_Toc179198222"/>
      <w:bookmarkStart w:id="1679" w:name="_Toc179198470"/>
      <w:bookmarkStart w:id="1680" w:name="_Toc179198578"/>
      <w:bookmarkStart w:id="1681" w:name="_Toc179198685"/>
      <w:bookmarkStart w:id="1682" w:name="_Toc179446129"/>
      <w:bookmarkStart w:id="1683" w:name="_Toc179447142"/>
      <w:bookmarkStart w:id="1684" w:name="_Toc179448681"/>
      <w:bookmarkStart w:id="1685" w:name="_Toc179448838"/>
      <w:r w:rsidRPr="0041093A">
        <w:rPr>
          <w:b/>
          <w:bCs/>
          <w:color w:val="1D386B" w:themeColor="text2" w:themeTint="E6"/>
        </w:rPr>
        <w:t>Plan</w:t>
      </w:r>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r w:rsidRPr="005D08AB">
        <w:rPr>
          <w:b/>
          <w:bCs/>
          <w:color w:val="00C7C7" w:themeColor="accent5" w:themeTint="BF"/>
        </w:rPr>
        <w:t> </w:t>
      </w:r>
      <w:r w:rsidRPr="005D08AB">
        <w:rPr>
          <w:b/>
          <w:bCs/>
        </w:rPr>
        <w:t> </w:t>
      </w:r>
    </w:p>
    <w:p w14:paraId="585A7E31" w14:textId="77777777" w:rsidR="002C1335" w:rsidRPr="001A2AFC" w:rsidRDefault="002C1335" w:rsidP="00DA2AEF">
      <w:pPr>
        <w:pStyle w:val="Bodycopy"/>
        <w:numPr>
          <w:ilvl w:val="0"/>
          <w:numId w:val="110"/>
        </w:numPr>
        <w:rPr>
          <w:sz w:val="24"/>
          <w:szCs w:val="24"/>
        </w:rPr>
      </w:pPr>
      <w:r w:rsidRPr="001A2AFC">
        <w:rPr>
          <w:sz w:val="24"/>
          <w:szCs w:val="24"/>
        </w:rPr>
        <w:t>Whakawhanaungatanga process to support developing a good therapeutic relationship with Hine, assess risk and contextual factors. Consider using a Māori model such as the Meihana model to guide the process.</w:t>
      </w:r>
    </w:p>
    <w:p w14:paraId="22A8008F" w14:textId="77777777" w:rsidR="002C1335" w:rsidRPr="001A2AFC" w:rsidRDefault="002C1335" w:rsidP="00DA2AEF">
      <w:pPr>
        <w:pStyle w:val="Bodycopy"/>
        <w:numPr>
          <w:ilvl w:val="0"/>
          <w:numId w:val="110"/>
        </w:numPr>
        <w:rPr>
          <w:sz w:val="24"/>
          <w:szCs w:val="24"/>
        </w:rPr>
      </w:pPr>
      <w:r w:rsidRPr="001A2AFC">
        <w:rPr>
          <w:rStyle w:val="eop"/>
          <w:rFonts w:cs="Arial"/>
          <w:sz w:val="24"/>
          <w:szCs w:val="24"/>
        </w:rPr>
        <w:t xml:space="preserve">Before screening ask Hine is she would like any whānau involved. As Hine was initially unsure of the process, check if she needs any support to feel comfortable during the screening process including engaging in te reo Māori. Give her information about screening ahead of time and give her some time to process and go through this. Proceed when she is feeling comfortable and has asked all the questions she had about the process. </w:t>
      </w:r>
    </w:p>
    <w:p w14:paraId="222A30DD" w14:textId="77777777" w:rsidR="002C1335" w:rsidRPr="001A2AFC" w:rsidRDefault="002C1335" w:rsidP="00DA2AEF">
      <w:pPr>
        <w:pStyle w:val="Bodycopy"/>
        <w:numPr>
          <w:ilvl w:val="0"/>
          <w:numId w:val="110"/>
        </w:numPr>
        <w:rPr>
          <w:rStyle w:val="eop"/>
          <w:rFonts w:cs="Arial"/>
          <w:sz w:val="24"/>
          <w:szCs w:val="24"/>
        </w:rPr>
      </w:pPr>
      <w:r w:rsidRPr="001A2AFC">
        <w:rPr>
          <w:rStyle w:val="eop"/>
          <w:rFonts w:cs="Arial"/>
          <w:sz w:val="24"/>
          <w:szCs w:val="24"/>
        </w:rPr>
        <w:t xml:space="preserve">Check comprehensive assessment notes and kōrero with Hine about any cultural needs or concerns she may have during the cognitive screening process. </w:t>
      </w:r>
    </w:p>
    <w:p w14:paraId="47A149A1" w14:textId="77777777" w:rsidR="002C1335" w:rsidRPr="001A2AFC" w:rsidRDefault="002C1335" w:rsidP="00DA2AEF">
      <w:pPr>
        <w:pStyle w:val="Bodycopy"/>
        <w:numPr>
          <w:ilvl w:val="0"/>
          <w:numId w:val="110"/>
        </w:numPr>
        <w:rPr>
          <w:sz w:val="24"/>
          <w:szCs w:val="24"/>
        </w:rPr>
      </w:pPr>
      <w:r w:rsidRPr="001A2AFC">
        <w:rPr>
          <w:rStyle w:val="normaltextrun"/>
          <w:rFonts w:cs="Arial"/>
          <w:sz w:val="24"/>
          <w:szCs w:val="24"/>
        </w:rPr>
        <w:t>Considering her age, sex/gender, and alcohol use history either the MoCA or BEAT would be useful screening tools to use. As it is possible from her history and presentation that Hine has significant cognitive impairment, the MoCA is preferred as it is more likely to be recognised by external agencies that may need to be involved in supporting her in the future.</w:t>
      </w:r>
      <w:r w:rsidRPr="001A2AFC">
        <w:rPr>
          <w:rStyle w:val="eop"/>
          <w:rFonts w:cs="Arial"/>
          <w:sz w:val="24"/>
          <w:szCs w:val="24"/>
        </w:rPr>
        <w:t xml:space="preserve"> Check if a trained kaimahi Māori is available to undertake or support the screening process. </w:t>
      </w:r>
    </w:p>
    <w:p w14:paraId="119279F0" w14:textId="77777777" w:rsidR="002C1335" w:rsidRPr="001A2AFC" w:rsidRDefault="002C1335" w:rsidP="00DA2AEF">
      <w:pPr>
        <w:pStyle w:val="Bodycopy"/>
        <w:numPr>
          <w:ilvl w:val="0"/>
          <w:numId w:val="110"/>
        </w:numPr>
        <w:rPr>
          <w:rStyle w:val="normaltextrun"/>
          <w:rFonts w:cs="Arial"/>
          <w:sz w:val="24"/>
          <w:szCs w:val="24"/>
        </w:rPr>
      </w:pPr>
      <w:r w:rsidRPr="001A2AFC">
        <w:rPr>
          <w:rStyle w:val="normaltextrun"/>
          <w:rFonts w:cs="Arial"/>
          <w:sz w:val="24"/>
          <w:szCs w:val="24"/>
        </w:rPr>
        <w:t>Results on the MoCA (</w:t>
      </w:r>
      <w:r w:rsidRPr="001A2AFC">
        <w:rPr>
          <w:sz w:val="24"/>
          <w:szCs w:val="24"/>
        </w:rPr>
        <w:t xml:space="preserve">17:-2 for trails and cube; -2 for serial 7s; -1 for fluency; -5 for delayed recall; -3 for orientation) </w:t>
      </w:r>
      <w:r w:rsidRPr="001A2AFC">
        <w:rPr>
          <w:rStyle w:val="normaltextrun"/>
          <w:rFonts w:cs="Arial"/>
          <w:sz w:val="24"/>
          <w:szCs w:val="24"/>
        </w:rPr>
        <w:t xml:space="preserve">indicate that Hine has significantly impaired executive functions and episodic memory. Consider whether other factors might explain these lower results on the MoCA such as feeling anxious or distressed. </w:t>
      </w:r>
    </w:p>
    <w:p w14:paraId="3B5C9480" w14:textId="77777777" w:rsidR="002C1335" w:rsidRPr="001A2AFC" w:rsidRDefault="002C1335" w:rsidP="00DA2AEF">
      <w:pPr>
        <w:pStyle w:val="Bodycopy"/>
        <w:numPr>
          <w:ilvl w:val="0"/>
          <w:numId w:val="110"/>
        </w:numPr>
        <w:rPr>
          <w:rStyle w:val="eop"/>
          <w:rFonts w:cs="Arial"/>
          <w:sz w:val="24"/>
          <w:szCs w:val="24"/>
        </w:rPr>
      </w:pPr>
      <w:r w:rsidRPr="001A2AFC">
        <w:rPr>
          <w:rStyle w:val="normaltextrun"/>
          <w:rFonts w:cs="Arial"/>
          <w:sz w:val="24"/>
          <w:szCs w:val="24"/>
        </w:rPr>
        <w:t xml:space="preserve">The screening results when interpreted in context of the information from her comprehensive assessment are at a level that could indicate difficulties managing her activities of daily living (ADLs) without support in the future. If accessible and available, a neuropsychological assessment and/or psychogeriatric assessment could confirm and clarify whether these initial screening results are consistent with a diagnosable cognitive impairment. </w:t>
      </w:r>
      <w:r w:rsidRPr="001A2AFC">
        <w:rPr>
          <w:rStyle w:val="eop"/>
          <w:rFonts w:cs="Arial"/>
          <w:sz w:val="24"/>
          <w:szCs w:val="24"/>
        </w:rPr>
        <w:t> </w:t>
      </w:r>
    </w:p>
    <w:p w14:paraId="69B9C1B2" w14:textId="77777777" w:rsidR="002C1335" w:rsidRPr="001A2AFC" w:rsidRDefault="002C1335" w:rsidP="00DA2AEF">
      <w:pPr>
        <w:pStyle w:val="Bodycopy"/>
        <w:numPr>
          <w:ilvl w:val="0"/>
          <w:numId w:val="110"/>
        </w:numPr>
        <w:rPr>
          <w:sz w:val="24"/>
          <w:szCs w:val="24"/>
        </w:rPr>
      </w:pPr>
      <w:r w:rsidRPr="001A2AFC">
        <w:rPr>
          <w:rStyle w:val="eop"/>
          <w:rFonts w:cs="Arial"/>
          <w:sz w:val="24"/>
          <w:szCs w:val="24"/>
        </w:rPr>
        <w:lastRenderedPageBreak/>
        <w:t xml:space="preserve">Share the results of screening back with Hine using </w:t>
      </w:r>
      <w:r w:rsidRPr="001A2AFC">
        <w:rPr>
          <w:sz w:val="24"/>
          <w:szCs w:val="24"/>
        </w:rPr>
        <w:t xml:space="preserve">a sensitive strength-based approach, considering any potential detrimental impacts on her self-esteem and any history of risk. This might be best done first through kōrero and then </w:t>
      </w:r>
      <w:r w:rsidRPr="001A2AFC">
        <w:rPr>
          <w:rStyle w:val="eop"/>
          <w:rFonts w:cs="Arial"/>
          <w:sz w:val="24"/>
          <w:szCs w:val="24"/>
        </w:rPr>
        <w:t>in writing, with a support person present if she wishes.</w:t>
      </w:r>
    </w:p>
    <w:p w14:paraId="1648C9A5" w14:textId="77777777" w:rsidR="002C1335" w:rsidRPr="001A2AFC" w:rsidRDefault="002C1335" w:rsidP="00DA2AEF">
      <w:pPr>
        <w:pStyle w:val="Bodycopy"/>
        <w:numPr>
          <w:ilvl w:val="0"/>
          <w:numId w:val="110"/>
        </w:numPr>
        <w:rPr>
          <w:sz w:val="24"/>
          <w:szCs w:val="24"/>
        </w:rPr>
      </w:pPr>
      <w:r w:rsidRPr="001A2AFC">
        <w:rPr>
          <w:rStyle w:val="normaltextrun"/>
          <w:rFonts w:cs="Arial"/>
          <w:sz w:val="24"/>
          <w:szCs w:val="24"/>
        </w:rPr>
        <w:t>Ask Hine about consent to contact whānau. If so, contact whānau to find out more about her background, discuss her current living situation and care for her in the future. Whānau may also be aware if an EPA is in existence as this would help future planning.</w:t>
      </w:r>
      <w:r w:rsidRPr="001A2AFC">
        <w:rPr>
          <w:rStyle w:val="eop"/>
          <w:rFonts w:cs="Arial"/>
          <w:sz w:val="24"/>
          <w:szCs w:val="24"/>
        </w:rPr>
        <w:t> </w:t>
      </w:r>
    </w:p>
    <w:p w14:paraId="016C7BB6" w14:textId="77777777" w:rsidR="002C1335" w:rsidRPr="001A2AFC" w:rsidRDefault="002C1335" w:rsidP="00DA2AEF">
      <w:pPr>
        <w:pStyle w:val="Bodycopy"/>
        <w:numPr>
          <w:ilvl w:val="0"/>
          <w:numId w:val="110"/>
        </w:numPr>
        <w:rPr>
          <w:sz w:val="24"/>
          <w:szCs w:val="24"/>
        </w:rPr>
      </w:pPr>
      <w:r w:rsidRPr="001A2AFC">
        <w:rPr>
          <w:rStyle w:val="normaltextrun"/>
          <w:rFonts w:cs="Arial"/>
          <w:sz w:val="24"/>
          <w:szCs w:val="24"/>
        </w:rPr>
        <w:t>While remaining in residential treatment Hine is likely to benefit from a more structured approach to support regarding her self-care and cognitive remediation. In particular, external strategies such as routines and monitoring for showering, dressing, and meals will be helpful. Prior to discharge it would be helpful for a staff member to help her set up mobile phone reminders and alarms for these routines and other ADL needs. </w:t>
      </w:r>
      <w:r w:rsidRPr="001A2AFC">
        <w:rPr>
          <w:rStyle w:val="eop"/>
          <w:rFonts w:cs="Arial"/>
          <w:sz w:val="24"/>
          <w:szCs w:val="24"/>
        </w:rPr>
        <w:t> </w:t>
      </w:r>
    </w:p>
    <w:p w14:paraId="39D2B482" w14:textId="77777777" w:rsidR="002C1335" w:rsidRPr="001A2AFC" w:rsidRDefault="002C1335" w:rsidP="00DA2AEF">
      <w:pPr>
        <w:pStyle w:val="Bodycopy"/>
        <w:numPr>
          <w:ilvl w:val="0"/>
          <w:numId w:val="110"/>
        </w:numPr>
        <w:rPr>
          <w:sz w:val="24"/>
          <w:szCs w:val="24"/>
        </w:rPr>
      </w:pPr>
      <w:r w:rsidRPr="001A2AFC">
        <w:rPr>
          <w:rStyle w:val="normaltextrun"/>
          <w:rFonts w:cs="Arial"/>
          <w:sz w:val="24"/>
          <w:szCs w:val="24"/>
        </w:rPr>
        <w:t>Prior to discharge from residential treatment a needs assessment via Hine’s local NASC team is recommended to ensure she has supports available in her home to remain as independent as possible.</w:t>
      </w:r>
      <w:r w:rsidRPr="001A2AFC">
        <w:rPr>
          <w:rStyle w:val="eop"/>
          <w:rFonts w:cs="Arial"/>
          <w:sz w:val="24"/>
          <w:szCs w:val="24"/>
        </w:rPr>
        <w:t> </w:t>
      </w:r>
    </w:p>
    <w:p w14:paraId="6363AC54" w14:textId="77777777" w:rsidR="002C1335" w:rsidRPr="001A2AFC" w:rsidRDefault="002C1335" w:rsidP="00DA2AEF">
      <w:pPr>
        <w:pStyle w:val="Bodycopy"/>
        <w:numPr>
          <w:ilvl w:val="0"/>
          <w:numId w:val="110"/>
        </w:numPr>
        <w:rPr>
          <w:rFonts w:cs="Arial"/>
          <w:sz w:val="24"/>
          <w:szCs w:val="24"/>
        </w:rPr>
      </w:pPr>
      <w:r w:rsidRPr="001A2AFC">
        <w:rPr>
          <w:rStyle w:val="normaltextrun"/>
          <w:rFonts w:cs="Arial"/>
          <w:sz w:val="24"/>
          <w:szCs w:val="24"/>
        </w:rPr>
        <w:t>The PPPR Act may need to be initiated if Hine continues to lack capacity for self-care but Hine and her whānau should be involved in this process early on and be provided information about it. If Hine returns to excess alcohol use this would likely worsen the existing issues. </w:t>
      </w:r>
      <w:r w:rsidRPr="001A2AFC">
        <w:rPr>
          <w:rStyle w:val="eop"/>
          <w:rFonts w:cs="Arial"/>
          <w:sz w:val="24"/>
          <w:szCs w:val="24"/>
        </w:rPr>
        <w:t>  </w:t>
      </w:r>
    </w:p>
    <w:p w14:paraId="1E2D5E3E" w14:textId="77777777" w:rsidR="001D4560" w:rsidRDefault="001D4560" w:rsidP="002C1335">
      <w:pPr>
        <w:pStyle w:val="Heading2"/>
        <w:rPr>
          <w:color w:val="1D386B" w:themeColor="text2" w:themeTint="E6"/>
          <w:sz w:val="24"/>
          <w:szCs w:val="24"/>
        </w:rPr>
      </w:pPr>
      <w:bookmarkStart w:id="1686" w:name="_Toc146624860"/>
      <w:bookmarkStart w:id="1687" w:name="_Toc146714221"/>
      <w:bookmarkStart w:id="1688" w:name="_Toc172095788"/>
      <w:bookmarkStart w:id="1689" w:name="_Toc178780151"/>
      <w:bookmarkStart w:id="1690" w:name="_Toc178838917"/>
      <w:bookmarkStart w:id="1691" w:name="_Toc178839104"/>
      <w:bookmarkStart w:id="1692" w:name="_Toc178839225"/>
      <w:bookmarkStart w:id="1693" w:name="_Toc178839453"/>
      <w:bookmarkStart w:id="1694" w:name="_Toc178841663"/>
      <w:bookmarkStart w:id="1695" w:name="_Toc179198223"/>
      <w:bookmarkStart w:id="1696" w:name="_Toc179198471"/>
      <w:bookmarkStart w:id="1697" w:name="_Toc179198579"/>
      <w:bookmarkStart w:id="1698" w:name="_Toc179198686"/>
      <w:bookmarkStart w:id="1699" w:name="_Toc179446130"/>
      <w:bookmarkStart w:id="1700" w:name="_Toc179447143"/>
      <w:bookmarkStart w:id="1701" w:name="_Toc179448682"/>
      <w:bookmarkStart w:id="1702" w:name="_Toc179448839"/>
      <w:bookmarkStart w:id="1703" w:name="_Toc179449215"/>
      <w:bookmarkStart w:id="1704" w:name="_Toc179452918"/>
      <w:bookmarkStart w:id="1705" w:name="_Toc179461431"/>
      <w:bookmarkStart w:id="1706" w:name="_Toc179461875"/>
      <w:bookmarkStart w:id="1707" w:name="_Toc179489230"/>
      <w:bookmarkStart w:id="1708" w:name="_Toc179531355"/>
      <w:bookmarkStart w:id="1709" w:name="_Toc179536028"/>
      <w:bookmarkStart w:id="1710" w:name="_Toc179537867"/>
      <w:bookmarkStart w:id="1711" w:name="_Toc179537931"/>
      <w:bookmarkStart w:id="1712" w:name="_Toc179538098"/>
      <w:bookmarkStart w:id="1713" w:name="_Toc179538913"/>
      <w:bookmarkStart w:id="1714" w:name="_Toc179539231"/>
      <w:bookmarkStart w:id="1715" w:name="_Toc179539347"/>
      <w:bookmarkStart w:id="1716" w:name="_Toc179539485"/>
      <w:bookmarkStart w:id="1717" w:name="_Toc179539582"/>
      <w:bookmarkStart w:id="1718" w:name="_Toc179539667"/>
      <w:bookmarkStart w:id="1719" w:name="_Toc179539757"/>
      <w:bookmarkStart w:id="1720" w:name="_Toc179540441"/>
      <w:bookmarkStart w:id="1721" w:name="_Toc179541786"/>
      <w:bookmarkStart w:id="1722" w:name="_Toc179542978"/>
    </w:p>
    <w:p w14:paraId="01D6F44D" w14:textId="4339DF03" w:rsidR="002C1335" w:rsidRPr="001D4560" w:rsidRDefault="002C1335" w:rsidP="002C1335">
      <w:pPr>
        <w:pStyle w:val="Heading2"/>
        <w:rPr>
          <w:color w:val="1D386B" w:themeColor="text2" w:themeTint="E6"/>
          <w:sz w:val="28"/>
          <w:szCs w:val="28"/>
        </w:rPr>
      </w:pPr>
      <w:bookmarkStart w:id="1723" w:name="_Toc180571306"/>
      <w:r w:rsidRPr="001D4560">
        <w:rPr>
          <w:color w:val="1D386B" w:themeColor="text2" w:themeTint="E6"/>
          <w:sz w:val="28"/>
          <w:szCs w:val="28"/>
        </w:rPr>
        <w:t>Practice example 3</w:t>
      </w:r>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r w:rsidRPr="001D4560">
        <w:rPr>
          <w:color w:val="1D386B" w:themeColor="text2" w:themeTint="E6"/>
          <w:sz w:val="28"/>
          <w:szCs w:val="28"/>
        </w:rPr>
        <w:t xml:space="preserve"> </w:t>
      </w:r>
    </w:p>
    <w:p w14:paraId="01B15449" w14:textId="77777777" w:rsidR="00122447" w:rsidRPr="00122447" w:rsidRDefault="00122447" w:rsidP="00122447"/>
    <w:p w14:paraId="2E66E306" w14:textId="77777777" w:rsidR="002C1335" w:rsidRPr="0041093A" w:rsidRDefault="002C1335" w:rsidP="002C1335">
      <w:pPr>
        <w:rPr>
          <w:b/>
          <w:bCs/>
          <w:color w:val="1D386B" w:themeColor="text2" w:themeTint="E6"/>
        </w:rPr>
      </w:pPr>
      <w:bookmarkStart w:id="1724" w:name="_Toc146624861"/>
      <w:bookmarkStart w:id="1725" w:name="_Toc146714222"/>
      <w:bookmarkStart w:id="1726" w:name="_Toc178780152"/>
      <w:bookmarkStart w:id="1727" w:name="_Toc178838918"/>
      <w:bookmarkStart w:id="1728" w:name="_Toc178839105"/>
      <w:bookmarkStart w:id="1729" w:name="_Toc178839226"/>
      <w:bookmarkStart w:id="1730" w:name="_Toc178839454"/>
      <w:bookmarkStart w:id="1731" w:name="_Toc178841664"/>
      <w:bookmarkStart w:id="1732" w:name="_Toc179198224"/>
      <w:bookmarkStart w:id="1733" w:name="_Toc179198472"/>
      <w:bookmarkStart w:id="1734" w:name="_Toc179198580"/>
      <w:bookmarkStart w:id="1735" w:name="_Toc179198687"/>
      <w:bookmarkStart w:id="1736" w:name="_Toc179446131"/>
      <w:bookmarkStart w:id="1737" w:name="_Toc179447144"/>
      <w:bookmarkStart w:id="1738" w:name="_Toc179448683"/>
      <w:bookmarkStart w:id="1739" w:name="_Toc179448840"/>
      <w:r w:rsidRPr="0041093A">
        <w:rPr>
          <w:b/>
          <w:bCs/>
          <w:color w:val="1D386B" w:themeColor="text2" w:themeTint="E6"/>
        </w:rPr>
        <w:t>Referral</w:t>
      </w:r>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p>
    <w:p w14:paraId="3C2027BC" w14:textId="77777777" w:rsidR="002C1335" w:rsidRPr="00554152" w:rsidRDefault="002C1335" w:rsidP="001A2AFC">
      <w:pPr>
        <w:rPr>
          <w:rStyle w:val="eop"/>
          <w:rFonts w:cs="Arial"/>
        </w:rPr>
      </w:pPr>
      <w:r w:rsidRPr="00554152">
        <w:rPr>
          <w:rStyle w:val="normaltextrun"/>
          <w:rFonts w:cs="Arial"/>
        </w:rPr>
        <w:t>Jason is a 52 year old of Māori descent who identifies as takapāpui using they/them/ia pronouns. They have been brought to their local CADS service by whānau concerned about their current alcohol and methamphetamine use and worsening behaviour. Following karakia and mihimihi the addiction practitioner identified that they were not from the local area but their mother had previously worked at the local high school and taught whānau members in the past. Throughout the initial assessment Jason sat quietly with their head down and only occasionally nodded when asked to confirm what whānau stated.</w:t>
      </w:r>
      <w:r w:rsidRPr="00554152">
        <w:rPr>
          <w:rStyle w:val="eop"/>
          <w:rFonts w:cs="Arial"/>
        </w:rPr>
        <w:t> </w:t>
      </w:r>
    </w:p>
    <w:p w14:paraId="15C50FBF" w14:textId="77777777" w:rsidR="00A5484D" w:rsidRDefault="00A5484D" w:rsidP="002C1335">
      <w:pPr>
        <w:rPr>
          <w:b/>
          <w:bCs/>
          <w:color w:val="1D386B" w:themeColor="text2" w:themeTint="E6"/>
        </w:rPr>
      </w:pPr>
      <w:bookmarkStart w:id="1740" w:name="_Toc146624862"/>
      <w:bookmarkStart w:id="1741" w:name="_Toc146714223"/>
    </w:p>
    <w:p w14:paraId="38A13DE0" w14:textId="0C222A7F" w:rsidR="002C1335" w:rsidRPr="0041093A" w:rsidRDefault="002C1335" w:rsidP="002C1335">
      <w:pPr>
        <w:rPr>
          <w:b/>
          <w:bCs/>
          <w:color w:val="1D386B" w:themeColor="text2" w:themeTint="E6"/>
        </w:rPr>
      </w:pPr>
      <w:r w:rsidRPr="0041093A">
        <w:rPr>
          <w:b/>
          <w:bCs/>
          <w:color w:val="1D386B" w:themeColor="text2" w:themeTint="E6"/>
        </w:rPr>
        <w:lastRenderedPageBreak/>
        <w:t>History</w:t>
      </w:r>
      <w:bookmarkEnd w:id="1740"/>
      <w:bookmarkEnd w:id="1741"/>
    </w:p>
    <w:p w14:paraId="1CCF8767" w14:textId="77777777" w:rsidR="002C1335" w:rsidRPr="00554152" w:rsidRDefault="002C1335" w:rsidP="001A2AFC">
      <w:pPr>
        <w:rPr>
          <w:rStyle w:val="eop"/>
          <w:rFonts w:cs="Arial"/>
        </w:rPr>
      </w:pPr>
      <w:r w:rsidRPr="00554152">
        <w:rPr>
          <w:rStyle w:val="normaltextrun"/>
          <w:rFonts w:cs="Arial"/>
        </w:rPr>
        <w:t>Whānau describe Jason as a hard worker who has looked after their partner and three children, now adult, well over the years. They have always been a heavy occasional drinker with their rugby mates, having been a competitive regional representative until their late 30’s. About 10 years ago they stopped playing rugby following a serious concussion, following which the whānau noticed that Jason’s personality changed. The major change for the whānau was that Jason became withdrawn and very reactive, occasionally ‘exploding’ into verbal aggression and violence with no obvious trigger. The whānau stated that they and Jason’s club mates rallied around at this time and cared for Jason until they were more like their old self, though Jason tired easily. Following the recovery from the concussion Jason had begun to use methamphetamine to get going in the morning and to combat fatigue and low energy at work. They also began to drink alcohol more regularly to manage stress. The whānau believe Jason is currently drinking about a dozen stubbies of beer most nights with a litre of spirits on both Friday and Saturday nights. They were unsure how much methamphetamine Jason is using but believe it is in the region of one to two points a day. When asked directly Jason nodded to confirm these estimates.</w:t>
      </w:r>
      <w:r w:rsidRPr="00554152">
        <w:rPr>
          <w:rStyle w:val="eop"/>
          <w:rFonts w:cs="Arial"/>
        </w:rPr>
        <w:t> </w:t>
      </w:r>
    </w:p>
    <w:p w14:paraId="608A49C4" w14:textId="77777777" w:rsidR="002C1335" w:rsidRPr="00554152" w:rsidRDefault="002C1335" w:rsidP="001A2AFC">
      <w:pPr>
        <w:rPr>
          <w:rStyle w:val="eop"/>
          <w:rFonts w:cs="Arial"/>
        </w:rPr>
      </w:pPr>
      <w:r w:rsidRPr="593932A1">
        <w:rPr>
          <w:rStyle w:val="normaltextrun"/>
          <w:rFonts w:cs="Arial"/>
        </w:rPr>
        <w:t xml:space="preserve">Over the past year Jason has become more withdrawn and aggressive. As a consequence, they are no longer living with their partner and children and </w:t>
      </w:r>
      <w:r>
        <w:rPr>
          <w:rStyle w:val="normaltextrun"/>
          <w:rFonts w:cs="Arial"/>
        </w:rPr>
        <w:t>are</w:t>
      </w:r>
      <w:r w:rsidRPr="593932A1">
        <w:rPr>
          <w:rStyle w:val="normaltextrun"/>
          <w:rFonts w:cs="Arial"/>
        </w:rPr>
        <w:t xml:space="preserve"> staying with an older widowed sister, who is struggling to support them. Jason has continued to work in the forestry industry as a skidder operator and still associates with their old rugby club mates to drink. As far as the whānau are aware there have been no issues with their work.</w:t>
      </w:r>
      <w:r w:rsidRPr="593932A1">
        <w:rPr>
          <w:rStyle w:val="eop"/>
          <w:rFonts w:cs="Arial"/>
        </w:rPr>
        <w:t> </w:t>
      </w:r>
    </w:p>
    <w:p w14:paraId="343CCBC1" w14:textId="77777777" w:rsidR="002C1335" w:rsidRDefault="002C1335" w:rsidP="001A2AFC">
      <w:pPr>
        <w:rPr>
          <w:rStyle w:val="eop"/>
          <w:rFonts w:cs="Arial"/>
        </w:rPr>
      </w:pPr>
      <w:r w:rsidRPr="00554152">
        <w:rPr>
          <w:rStyle w:val="normaltextrun"/>
          <w:rFonts w:cs="Arial"/>
        </w:rPr>
        <w:t>On further discussion with the whānau it became apparent that Jason, who had played as a forward, had received numerous head injuries, but no other concussions, while playing rugby and had also had two motorcycle accidents with blows to the head when younger. Jason has never had any involvement with ACC or mental health services despite these injuries and apparent low mood.</w:t>
      </w:r>
      <w:r w:rsidRPr="00554152">
        <w:rPr>
          <w:rStyle w:val="eop"/>
          <w:rFonts w:cs="Arial"/>
        </w:rPr>
        <w:t> </w:t>
      </w:r>
      <w:r w:rsidRPr="00554152">
        <w:rPr>
          <w:rStyle w:val="normaltextrun"/>
          <w:rFonts w:cs="Arial"/>
        </w:rPr>
        <w:t>Following this the practitioner discussed the possible impact of multiple minor head injuries and concussion and wondered if Jason and the whānau would like to know if that was possibly what was happening for them. Jason and the whānau were relieved to be taken seriously and a plan was made to return in a few days to carry out an initial screen using the ACE-III-NZ. It was explained that the ACE is useful to help understand what type of impact the head injuries may have had over time and could help with exploring further community support. The whānau undertook to bring Jason back on the day agreed and Jason agreed to not use methamphetamine or alcohol on that day.</w:t>
      </w:r>
      <w:r w:rsidRPr="00554152">
        <w:rPr>
          <w:rStyle w:val="eop"/>
          <w:rFonts w:cs="Arial"/>
        </w:rPr>
        <w:t> </w:t>
      </w:r>
    </w:p>
    <w:p w14:paraId="1B618601" w14:textId="77777777" w:rsidR="002C1335" w:rsidRPr="0041093A" w:rsidRDefault="002C1335" w:rsidP="002C1335">
      <w:pPr>
        <w:rPr>
          <w:b/>
          <w:bCs/>
          <w:color w:val="1D386B" w:themeColor="text2" w:themeTint="E6"/>
        </w:rPr>
      </w:pPr>
      <w:bookmarkStart w:id="1742" w:name="_Toc146624863"/>
      <w:bookmarkStart w:id="1743" w:name="_Toc146714224"/>
      <w:bookmarkStart w:id="1744" w:name="_Toc178780153"/>
      <w:bookmarkStart w:id="1745" w:name="_Toc178838919"/>
      <w:bookmarkStart w:id="1746" w:name="_Toc178839106"/>
      <w:bookmarkStart w:id="1747" w:name="_Toc178839227"/>
      <w:bookmarkStart w:id="1748" w:name="_Toc178839455"/>
      <w:bookmarkStart w:id="1749" w:name="_Toc178841665"/>
      <w:bookmarkStart w:id="1750" w:name="_Toc179198225"/>
      <w:bookmarkStart w:id="1751" w:name="_Toc179198473"/>
      <w:bookmarkStart w:id="1752" w:name="_Toc179198581"/>
      <w:bookmarkStart w:id="1753" w:name="_Toc179198688"/>
      <w:bookmarkStart w:id="1754" w:name="_Toc179446132"/>
      <w:bookmarkStart w:id="1755" w:name="_Toc179447145"/>
      <w:bookmarkStart w:id="1756" w:name="_Toc179448684"/>
      <w:bookmarkStart w:id="1757" w:name="_Toc179448841"/>
      <w:r w:rsidRPr="0041093A">
        <w:rPr>
          <w:b/>
          <w:bCs/>
          <w:color w:val="1D386B" w:themeColor="text2" w:themeTint="E6"/>
        </w:rPr>
        <w:t>Strengths</w:t>
      </w:r>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p>
    <w:p w14:paraId="075E9481" w14:textId="77777777" w:rsidR="002C1335" w:rsidRPr="00554152" w:rsidRDefault="002C1335" w:rsidP="001A2AFC">
      <w:pPr>
        <w:rPr>
          <w:rStyle w:val="eop"/>
          <w:rFonts w:cs="Arial"/>
        </w:rPr>
      </w:pPr>
      <w:r w:rsidRPr="00554152">
        <w:rPr>
          <w:rStyle w:val="eop"/>
          <w:rFonts w:cs="Arial"/>
        </w:rPr>
        <w:lastRenderedPageBreak/>
        <w:t>Jason’s strengths are their whānau and their ongoing support and care including housing, their willingness to be engaged in the process of cognitive screening, continuing employment, and long-term relationships with mates.</w:t>
      </w:r>
    </w:p>
    <w:p w14:paraId="5273DEEC" w14:textId="77777777" w:rsidR="002C1335" w:rsidRPr="005D08AB" w:rsidRDefault="002C1335" w:rsidP="002C1335">
      <w:pPr>
        <w:rPr>
          <w:b/>
          <w:bCs/>
        </w:rPr>
      </w:pPr>
      <w:bookmarkStart w:id="1758" w:name="_Toc144657456"/>
      <w:bookmarkStart w:id="1759" w:name="_Toc145670731"/>
      <w:bookmarkStart w:id="1760" w:name="_Toc145854345"/>
      <w:bookmarkStart w:id="1761" w:name="_Toc146024274"/>
      <w:bookmarkStart w:id="1762" w:name="_Toc146624864"/>
      <w:bookmarkStart w:id="1763" w:name="_Toc146714225"/>
      <w:bookmarkStart w:id="1764" w:name="_Toc178780154"/>
      <w:bookmarkStart w:id="1765" w:name="_Toc178838920"/>
      <w:bookmarkStart w:id="1766" w:name="_Toc178839107"/>
      <w:bookmarkStart w:id="1767" w:name="_Toc178839228"/>
      <w:bookmarkStart w:id="1768" w:name="_Toc178839456"/>
      <w:bookmarkStart w:id="1769" w:name="_Toc178841666"/>
      <w:bookmarkStart w:id="1770" w:name="_Toc179198226"/>
      <w:bookmarkStart w:id="1771" w:name="_Toc179198474"/>
      <w:bookmarkStart w:id="1772" w:name="_Toc179198582"/>
      <w:bookmarkStart w:id="1773" w:name="_Toc179198689"/>
      <w:bookmarkStart w:id="1774" w:name="_Toc179446133"/>
      <w:bookmarkStart w:id="1775" w:name="_Toc179447146"/>
      <w:bookmarkStart w:id="1776" w:name="_Toc179448685"/>
      <w:bookmarkStart w:id="1777" w:name="_Toc179448842"/>
      <w:r w:rsidRPr="0041093A">
        <w:rPr>
          <w:b/>
          <w:bCs/>
          <w:color w:val="1D386B" w:themeColor="text2" w:themeTint="E6"/>
        </w:rPr>
        <w:t>Plan</w:t>
      </w:r>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r w:rsidRPr="005D08AB">
        <w:rPr>
          <w:b/>
          <w:bCs/>
        </w:rPr>
        <w:t> </w:t>
      </w:r>
    </w:p>
    <w:p w14:paraId="423BD734" w14:textId="77777777" w:rsidR="002C1335" w:rsidRPr="001A2AFC" w:rsidRDefault="002C1335" w:rsidP="00DA2AEF">
      <w:pPr>
        <w:pStyle w:val="ListNumber"/>
        <w:numPr>
          <w:ilvl w:val="0"/>
          <w:numId w:val="111"/>
        </w:numPr>
        <w:tabs>
          <w:tab w:val="clear" w:pos="425"/>
        </w:tabs>
        <w:spacing w:after="240"/>
        <w:rPr>
          <w:rFonts w:cs="Arial"/>
          <w:szCs w:val="24"/>
        </w:rPr>
      </w:pPr>
      <w:r w:rsidRPr="001A2AFC">
        <w:rPr>
          <w:rFonts w:cs="Arial"/>
          <w:szCs w:val="24"/>
        </w:rPr>
        <w:t xml:space="preserve">Whakawhanaungatanga process, assess risk and contextual factors, and develop a good therapeutic relationship with Jason. Use Jason’s pronouns correctly. </w:t>
      </w:r>
    </w:p>
    <w:p w14:paraId="0CBBCD12" w14:textId="77777777" w:rsidR="002C1335" w:rsidRPr="001A2AFC" w:rsidRDefault="002C1335" w:rsidP="00DA2AEF">
      <w:pPr>
        <w:pStyle w:val="ListNumber"/>
        <w:numPr>
          <w:ilvl w:val="0"/>
          <w:numId w:val="111"/>
        </w:numPr>
        <w:tabs>
          <w:tab w:val="clear" w:pos="425"/>
        </w:tabs>
        <w:spacing w:after="240"/>
        <w:rPr>
          <w:rFonts w:cs="Arial"/>
          <w:szCs w:val="24"/>
        </w:rPr>
      </w:pPr>
      <w:r w:rsidRPr="001A2AFC">
        <w:rPr>
          <w:rFonts w:cs="Arial"/>
          <w:szCs w:val="24"/>
        </w:rPr>
        <w:t xml:space="preserve">Complete comprehensive assessment. Consider using a Māori model such as Meihana or Te Whare Tapa Whā to guide the process.  </w:t>
      </w:r>
    </w:p>
    <w:p w14:paraId="1BB6E397" w14:textId="77777777" w:rsidR="002C1335" w:rsidRPr="001A2AFC" w:rsidRDefault="002C1335" w:rsidP="00DA2AEF">
      <w:pPr>
        <w:pStyle w:val="ListNumber"/>
        <w:numPr>
          <w:ilvl w:val="0"/>
          <w:numId w:val="111"/>
        </w:numPr>
        <w:tabs>
          <w:tab w:val="clear" w:pos="425"/>
        </w:tabs>
        <w:spacing w:after="240"/>
        <w:rPr>
          <w:rFonts w:cs="Arial"/>
          <w:szCs w:val="24"/>
        </w:rPr>
      </w:pPr>
      <w:r w:rsidRPr="001A2AFC">
        <w:rPr>
          <w:rFonts w:cs="Arial"/>
          <w:szCs w:val="24"/>
        </w:rPr>
        <w:t>Carry out cognitive screening, ensuring the screening room is quiet and refreshments are available. </w:t>
      </w:r>
      <w:r w:rsidRPr="001A2AFC">
        <w:rPr>
          <w:rStyle w:val="eop"/>
          <w:rFonts w:cs="Arial"/>
          <w:szCs w:val="24"/>
        </w:rPr>
        <w:t xml:space="preserve">Check if a trained kaimahi Māori and/or rainbow kaimahi is available to undertake or support the screening process. </w:t>
      </w:r>
    </w:p>
    <w:p w14:paraId="5245C63C" w14:textId="77777777" w:rsidR="002C1335" w:rsidRPr="001A2AFC" w:rsidRDefault="002C1335" w:rsidP="00DA2AEF">
      <w:pPr>
        <w:pStyle w:val="ListNumber"/>
        <w:numPr>
          <w:ilvl w:val="0"/>
          <w:numId w:val="111"/>
        </w:numPr>
        <w:tabs>
          <w:tab w:val="clear" w:pos="425"/>
        </w:tabs>
        <w:spacing w:after="240"/>
        <w:rPr>
          <w:rStyle w:val="eop"/>
          <w:rFonts w:cs="Arial"/>
          <w:szCs w:val="24"/>
        </w:rPr>
      </w:pPr>
      <w:r w:rsidRPr="001A2AFC">
        <w:rPr>
          <w:rStyle w:val="eop"/>
          <w:rFonts w:cs="Arial"/>
          <w:szCs w:val="24"/>
        </w:rPr>
        <w:t xml:space="preserve">Share the results of cognitive screening back with Jason using </w:t>
      </w:r>
      <w:r w:rsidRPr="001A2AFC">
        <w:rPr>
          <w:rFonts w:cs="Arial"/>
          <w:szCs w:val="24"/>
        </w:rPr>
        <w:t xml:space="preserve">a sensitive strengths-based approach, taking into account any potential detrimental impacts on their self-esteem and any history of risk. This might be best done first through kōrero and then </w:t>
      </w:r>
      <w:r w:rsidRPr="001A2AFC">
        <w:rPr>
          <w:rStyle w:val="eop"/>
          <w:rFonts w:cs="Arial"/>
          <w:szCs w:val="24"/>
        </w:rPr>
        <w:t>in writing, with a support person present.</w:t>
      </w:r>
    </w:p>
    <w:p w14:paraId="59D2D658" w14:textId="77777777" w:rsidR="002C1335" w:rsidRPr="001A2AFC" w:rsidRDefault="002C1335" w:rsidP="00DA2AEF">
      <w:pPr>
        <w:pStyle w:val="ListNumber"/>
        <w:numPr>
          <w:ilvl w:val="0"/>
          <w:numId w:val="111"/>
        </w:numPr>
        <w:tabs>
          <w:tab w:val="clear" w:pos="425"/>
        </w:tabs>
        <w:spacing w:after="240"/>
        <w:rPr>
          <w:rFonts w:cs="Arial"/>
          <w:szCs w:val="24"/>
        </w:rPr>
      </w:pPr>
      <w:r w:rsidRPr="001A2AFC">
        <w:rPr>
          <w:rFonts w:cs="Arial"/>
          <w:szCs w:val="24"/>
        </w:rPr>
        <w:t>Use MI strategies to address substance use and consider the use of contingency management strategies to reduce methamphetamine use.</w:t>
      </w:r>
    </w:p>
    <w:p w14:paraId="0875D30D" w14:textId="77777777" w:rsidR="002C1335" w:rsidRPr="001A2AFC" w:rsidRDefault="002C1335" w:rsidP="00DA2AEF">
      <w:pPr>
        <w:pStyle w:val="ListNumber"/>
        <w:numPr>
          <w:ilvl w:val="0"/>
          <w:numId w:val="111"/>
        </w:numPr>
        <w:tabs>
          <w:tab w:val="clear" w:pos="425"/>
        </w:tabs>
        <w:spacing w:after="240"/>
        <w:rPr>
          <w:rFonts w:cs="Arial"/>
          <w:szCs w:val="24"/>
        </w:rPr>
      </w:pPr>
      <w:r w:rsidRPr="001A2AFC">
        <w:rPr>
          <w:rFonts w:cs="Arial"/>
          <w:szCs w:val="24"/>
        </w:rPr>
        <w:t>Discuss the use of naltrexone and a possible alcohol reduction plan if Jason agrees and suggest the regular use of thiamine to reduce additional cognitive impairment.</w:t>
      </w:r>
    </w:p>
    <w:p w14:paraId="2B2E4E79" w14:textId="77777777" w:rsidR="002C1335" w:rsidRPr="001A2AFC" w:rsidRDefault="002C1335" w:rsidP="00DA2AEF">
      <w:pPr>
        <w:pStyle w:val="ListNumber"/>
        <w:numPr>
          <w:ilvl w:val="0"/>
          <w:numId w:val="111"/>
        </w:numPr>
        <w:tabs>
          <w:tab w:val="clear" w:pos="425"/>
        </w:tabs>
        <w:spacing w:after="240"/>
        <w:rPr>
          <w:rFonts w:cs="Arial"/>
          <w:szCs w:val="24"/>
        </w:rPr>
      </w:pPr>
      <w:r w:rsidRPr="001A2AFC">
        <w:rPr>
          <w:rFonts w:cs="Arial"/>
          <w:szCs w:val="24"/>
        </w:rPr>
        <w:t xml:space="preserve">Discuss any safety issues regarding Jason’s substance use and its impact on their work where heavy equipment is used. Collaboratively work on mitigation strategies. </w:t>
      </w:r>
    </w:p>
    <w:p w14:paraId="2A854D01" w14:textId="77777777" w:rsidR="002C1335" w:rsidRPr="001A2AFC" w:rsidRDefault="002C1335" w:rsidP="00DA2AEF">
      <w:pPr>
        <w:pStyle w:val="ListNumber"/>
        <w:numPr>
          <w:ilvl w:val="0"/>
          <w:numId w:val="111"/>
        </w:numPr>
        <w:tabs>
          <w:tab w:val="clear" w:pos="425"/>
        </w:tabs>
        <w:spacing w:after="240"/>
        <w:rPr>
          <w:rFonts w:cs="Arial"/>
          <w:szCs w:val="24"/>
        </w:rPr>
      </w:pPr>
      <w:r w:rsidRPr="001A2AFC">
        <w:rPr>
          <w:rFonts w:cs="Arial"/>
          <w:szCs w:val="24"/>
        </w:rPr>
        <w:t xml:space="preserve">Provide Jason and the whānau psychoeducation </w:t>
      </w:r>
      <w:bookmarkStart w:id="1778" w:name="_Hlk141266171"/>
      <w:r w:rsidRPr="001A2AFC">
        <w:rPr>
          <w:rFonts w:cs="Arial"/>
          <w:szCs w:val="24"/>
        </w:rPr>
        <w:t>about head injuries, substance use, and the interaction between these. </w:t>
      </w:r>
      <w:bookmarkEnd w:id="1778"/>
      <w:r w:rsidRPr="001A2AFC">
        <w:rPr>
          <w:rFonts w:cs="Arial"/>
          <w:szCs w:val="24"/>
        </w:rPr>
        <w:t xml:space="preserve">Also offer this to Jason’s rugby club mates. </w:t>
      </w:r>
    </w:p>
    <w:p w14:paraId="56E7D90F" w14:textId="77777777" w:rsidR="002C1335" w:rsidRPr="001A2AFC" w:rsidRDefault="002C1335" w:rsidP="00DA2AEF">
      <w:pPr>
        <w:pStyle w:val="ListNumber"/>
        <w:numPr>
          <w:ilvl w:val="0"/>
          <w:numId w:val="111"/>
        </w:numPr>
        <w:tabs>
          <w:tab w:val="clear" w:pos="425"/>
        </w:tabs>
        <w:spacing w:after="240"/>
        <w:rPr>
          <w:rFonts w:cs="Arial"/>
          <w:szCs w:val="24"/>
        </w:rPr>
      </w:pPr>
      <w:r w:rsidRPr="001A2AFC">
        <w:rPr>
          <w:rFonts w:cs="Arial"/>
          <w:szCs w:val="24"/>
        </w:rPr>
        <w:t xml:space="preserve">Introduce strategies such as energy conservation and scheduling important cognitive activities when most alert to address post TBI fatigue. </w:t>
      </w:r>
    </w:p>
    <w:p w14:paraId="177EE90C" w14:textId="77777777" w:rsidR="002C1335" w:rsidRPr="001A2AFC" w:rsidRDefault="002C1335" w:rsidP="00DA2AEF">
      <w:pPr>
        <w:pStyle w:val="ListNumber"/>
        <w:numPr>
          <w:ilvl w:val="0"/>
          <w:numId w:val="111"/>
        </w:numPr>
        <w:tabs>
          <w:tab w:val="clear" w:pos="425"/>
        </w:tabs>
        <w:spacing w:after="240"/>
        <w:rPr>
          <w:rFonts w:cs="Arial"/>
          <w:szCs w:val="24"/>
        </w:rPr>
      </w:pPr>
      <w:r w:rsidRPr="001A2AFC">
        <w:rPr>
          <w:rFonts w:cs="Arial"/>
          <w:szCs w:val="24"/>
        </w:rPr>
        <w:t>Discuss a plan for a healthy lifestyle including food, sleep, and exercise. Explore options like waka ama or taiaha training to support wellbeing and wairuatanga. </w:t>
      </w:r>
    </w:p>
    <w:p w14:paraId="7ABF279B" w14:textId="77777777" w:rsidR="002C1335" w:rsidRPr="001A2AFC" w:rsidRDefault="002C1335" w:rsidP="00DA2AEF">
      <w:pPr>
        <w:pStyle w:val="ListNumber"/>
        <w:numPr>
          <w:ilvl w:val="0"/>
          <w:numId w:val="111"/>
        </w:numPr>
        <w:tabs>
          <w:tab w:val="clear" w:pos="425"/>
        </w:tabs>
        <w:spacing w:after="240"/>
        <w:rPr>
          <w:rFonts w:cs="Arial"/>
          <w:szCs w:val="24"/>
        </w:rPr>
      </w:pPr>
      <w:r w:rsidRPr="001A2AFC">
        <w:rPr>
          <w:rFonts w:cs="Arial"/>
          <w:szCs w:val="24"/>
        </w:rPr>
        <w:t>Introduce the whānau and Jason to a range of internal and external strategies to use to manage aggression and social withdrawal.</w:t>
      </w:r>
    </w:p>
    <w:p w14:paraId="125F52A2" w14:textId="77777777" w:rsidR="002C1335" w:rsidRDefault="002C1335" w:rsidP="00DA2AEF">
      <w:pPr>
        <w:pStyle w:val="ListNumber"/>
        <w:numPr>
          <w:ilvl w:val="0"/>
          <w:numId w:val="111"/>
        </w:numPr>
        <w:tabs>
          <w:tab w:val="clear" w:pos="425"/>
        </w:tabs>
        <w:spacing w:after="240"/>
        <w:rPr>
          <w:rFonts w:cs="Arial"/>
          <w:szCs w:val="24"/>
        </w:rPr>
      </w:pPr>
      <w:r w:rsidRPr="001A2AFC">
        <w:rPr>
          <w:rFonts w:cs="Arial"/>
          <w:szCs w:val="24"/>
        </w:rPr>
        <w:t>Repeat cognitive screening if/when substance use is substantially reduced and if necessary, explore with Jason referral for in-depth neuropsychological assessment. </w:t>
      </w:r>
    </w:p>
    <w:p w14:paraId="6DF1C4ED" w14:textId="0BCA73AF" w:rsidR="002C1335" w:rsidRPr="001D4560" w:rsidRDefault="0083113A" w:rsidP="0083113A">
      <w:pPr>
        <w:pStyle w:val="Heading2"/>
        <w:rPr>
          <w:color w:val="1D386B" w:themeColor="text2" w:themeTint="E6"/>
          <w:sz w:val="28"/>
          <w:szCs w:val="28"/>
        </w:rPr>
      </w:pPr>
      <w:bookmarkStart w:id="1779" w:name="_Toc144657457"/>
      <w:bookmarkStart w:id="1780" w:name="_Toc145854346"/>
      <w:bookmarkStart w:id="1781" w:name="_Toc146024275"/>
      <w:bookmarkStart w:id="1782" w:name="_Toc146624865"/>
      <w:bookmarkStart w:id="1783" w:name="_Toc146714226"/>
      <w:bookmarkStart w:id="1784" w:name="_Toc172095789"/>
      <w:bookmarkStart w:id="1785" w:name="_Toc178780155"/>
      <w:bookmarkStart w:id="1786" w:name="_Toc178838921"/>
      <w:bookmarkStart w:id="1787" w:name="_Toc178839108"/>
      <w:bookmarkStart w:id="1788" w:name="_Toc178839229"/>
      <w:bookmarkStart w:id="1789" w:name="_Toc178839457"/>
      <w:bookmarkStart w:id="1790" w:name="_Toc178841667"/>
      <w:bookmarkStart w:id="1791" w:name="_Toc179198227"/>
      <w:bookmarkStart w:id="1792" w:name="_Toc179198475"/>
      <w:bookmarkStart w:id="1793" w:name="_Toc179198583"/>
      <w:bookmarkStart w:id="1794" w:name="_Toc179198690"/>
      <w:bookmarkStart w:id="1795" w:name="_Toc179446134"/>
      <w:bookmarkStart w:id="1796" w:name="_Toc179447147"/>
      <w:bookmarkStart w:id="1797" w:name="_Toc179448686"/>
      <w:bookmarkStart w:id="1798" w:name="_Toc179448843"/>
      <w:bookmarkStart w:id="1799" w:name="_Toc179538914"/>
      <w:bookmarkStart w:id="1800" w:name="_Toc179539232"/>
      <w:bookmarkStart w:id="1801" w:name="_Toc179539348"/>
      <w:bookmarkStart w:id="1802" w:name="_Toc179539486"/>
      <w:bookmarkStart w:id="1803" w:name="_Toc179539583"/>
      <w:bookmarkStart w:id="1804" w:name="_Toc179539668"/>
      <w:bookmarkStart w:id="1805" w:name="_Toc179539758"/>
      <w:bookmarkStart w:id="1806" w:name="_Toc179540442"/>
      <w:bookmarkStart w:id="1807" w:name="_Toc179541787"/>
      <w:bookmarkStart w:id="1808" w:name="_Toc179542979"/>
      <w:bookmarkStart w:id="1809" w:name="_Toc180571307"/>
      <w:r w:rsidRPr="001D4560">
        <w:rPr>
          <w:color w:val="1D386B" w:themeColor="text2" w:themeTint="E6"/>
          <w:sz w:val="28"/>
          <w:szCs w:val="28"/>
        </w:rPr>
        <w:lastRenderedPageBreak/>
        <w:t>Practice example 4</w:t>
      </w:r>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p>
    <w:p w14:paraId="668CF9A2" w14:textId="77777777" w:rsidR="00122447" w:rsidRPr="00122447" w:rsidRDefault="00122447" w:rsidP="00122447"/>
    <w:p w14:paraId="6F1C9B26" w14:textId="77777777" w:rsidR="002C1335" w:rsidRPr="0041093A" w:rsidRDefault="002C1335" w:rsidP="002C1335">
      <w:pPr>
        <w:rPr>
          <w:b/>
          <w:bCs/>
          <w:color w:val="1D386B" w:themeColor="text2" w:themeTint="E6"/>
        </w:rPr>
      </w:pPr>
      <w:bookmarkStart w:id="1810" w:name="_Toc146624866"/>
      <w:bookmarkStart w:id="1811" w:name="_Toc146714227"/>
      <w:bookmarkStart w:id="1812" w:name="_Toc178780156"/>
      <w:bookmarkStart w:id="1813" w:name="_Toc178838922"/>
      <w:bookmarkStart w:id="1814" w:name="_Toc178839109"/>
      <w:bookmarkStart w:id="1815" w:name="_Toc178839230"/>
      <w:bookmarkStart w:id="1816" w:name="_Toc178839458"/>
      <w:bookmarkStart w:id="1817" w:name="_Toc178841668"/>
      <w:bookmarkStart w:id="1818" w:name="_Toc179198228"/>
      <w:bookmarkStart w:id="1819" w:name="_Toc179198476"/>
      <w:bookmarkStart w:id="1820" w:name="_Toc179198584"/>
      <w:bookmarkStart w:id="1821" w:name="_Toc179198691"/>
      <w:bookmarkStart w:id="1822" w:name="_Toc179446135"/>
      <w:bookmarkStart w:id="1823" w:name="_Toc179447148"/>
      <w:bookmarkStart w:id="1824" w:name="_Toc179448687"/>
      <w:bookmarkStart w:id="1825" w:name="_Toc179448844"/>
      <w:r w:rsidRPr="0041093A">
        <w:rPr>
          <w:b/>
          <w:bCs/>
          <w:color w:val="1D386B" w:themeColor="text2" w:themeTint="E6"/>
        </w:rPr>
        <w:t>Referral</w:t>
      </w:r>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p>
    <w:p w14:paraId="3779061A" w14:textId="77777777" w:rsidR="002C1335" w:rsidRDefault="002C1335" w:rsidP="001A2AFC">
      <w:pPr>
        <w:rPr>
          <w:rStyle w:val="normaltextrun"/>
          <w:rFonts w:cs="Arial"/>
        </w:rPr>
      </w:pPr>
      <w:r w:rsidRPr="00554152">
        <w:rPr>
          <w:rStyle w:val="normaltextrun"/>
          <w:rFonts w:cs="Arial"/>
        </w:rPr>
        <w:t xml:space="preserve">Jessica (she/her) is a 36-year-old Pākehā female who lives in a group home and was brought to the local addiction NGO by her case worker following a series of late night ‘blowouts’ while intoxicated. </w:t>
      </w:r>
    </w:p>
    <w:p w14:paraId="38EBF2AE" w14:textId="77777777" w:rsidR="002C1335" w:rsidRPr="0041093A" w:rsidRDefault="002C1335" w:rsidP="002C1335">
      <w:pPr>
        <w:rPr>
          <w:b/>
          <w:bCs/>
          <w:color w:val="1D386B" w:themeColor="text2" w:themeTint="E6"/>
        </w:rPr>
      </w:pPr>
      <w:bookmarkStart w:id="1826" w:name="_Toc146624867"/>
      <w:bookmarkStart w:id="1827" w:name="_Toc146714228"/>
      <w:bookmarkStart w:id="1828" w:name="_Toc178780157"/>
      <w:bookmarkStart w:id="1829" w:name="_Toc178838923"/>
      <w:bookmarkStart w:id="1830" w:name="_Toc178839110"/>
      <w:bookmarkStart w:id="1831" w:name="_Toc178839231"/>
      <w:bookmarkStart w:id="1832" w:name="_Toc178839459"/>
      <w:bookmarkStart w:id="1833" w:name="_Toc178841669"/>
      <w:bookmarkStart w:id="1834" w:name="_Toc179198229"/>
      <w:bookmarkStart w:id="1835" w:name="_Toc179198477"/>
      <w:bookmarkStart w:id="1836" w:name="_Toc179198585"/>
      <w:bookmarkStart w:id="1837" w:name="_Toc179198692"/>
      <w:bookmarkStart w:id="1838" w:name="_Toc179446136"/>
      <w:bookmarkStart w:id="1839" w:name="_Toc179447149"/>
      <w:bookmarkStart w:id="1840" w:name="_Toc179448688"/>
      <w:bookmarkStart w:id="1841" w:name="_Toc179448845"/>
      <w:r w:rsidRPr="0041093A">
        <w:rPr>
          <w:b/>
          <w:bCs/>
          <w:color w:val="1D386B" w:themeColor="text2" w:themeTint="E6"/>
        </w:rPr>
        <w:t>History</w:t>
      </w:r>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p>
    <w:p w14:paraId="4EC9D1E1" w14:textId="77777777" w:rsidR="002C1335" w:rsidRPr="00554152" w:rsidRDefault="002C1335" w:rsidP="001A2AFC">
      <w:pPr>
        <w:rPr>
          <w:rStyle w:val="eop"/>
          <w:rFonts w:cs="Arial"/>
        </w:rPr>
      </w:pPr>
      <w:r w:rsidRPr="00554152">
        <w:rPr>
          <w:rStyle w:val="normaltextrun"/>
          <w:rFonts w:cs="Arial"/>
        </w:rPr>
        <w:t>The case worker had informed the service that Jessica had an intellectual disability, with an IQ of 67, which meant that she was capable of much of her self-care but not without support with more complex cares such as finances and forward planning. A longstanding PPPR Act is administered on her behalf by her older sister who lives in the South Island, delegating care to the agency operating the group home. Her behaviour, playing loud music and singing when intoxicated, was very disruptive to other residents and she often could not recall what she had done the next day. She was described as irritable and difficult to motivate.</w:t>
      </w:r>
      <w:r w:rsidRPr="00554152">
        <w:rPr>
          <w:rStyle w:val="eop"/>
          <w:rFonts w:cs="Arial"/>
        </w:rPr>
        <w:t> </w:t>
      </w:r>
    </w:p>
    <w:p w14:paraId="2F858852" w14:textId="77777777" w:rsidR="002C1335" w:rsidRPr="00554152" w:rsidRDefault="002C1335" w:rsidP="001A2AFC">
      <w:r w:rsidRPr="00554152">
        <w:rPr>
          <w:rStyle w:val="normaltextrun"/>
          <w:rFonts w:cs="Arial"/>
        </w:rPr>
        <w:t>Jessica presented as well-dressed and tidy with apparent good social and language skills. She engaged easily with the practitioner, only asking her case worker for clarification of minor points about dates and finances during the comprehensive assessment process. She stated that she enjoyed living in the group home and wanted to stay with her friends there. She acknowledged that her behaviour was loud at times but found it difficult to not drink and smoke cannabis on benefit days as she enjoyed partying with friends outside the house. She was unable to recall how much alcohol and cannabis she usually consumed but did say she had been drinking and smoking with this group of friends for the past 15 years. </w:t>
      </w:r>
      <w:r w:rsidRPr="00554152">
        <w:rPr>
          <w:rStyle w:val="eop"/>
          <w:rFonts w:cs="Arial"/>
        </w:rPr>
        <w:t> </w:t>
      </w:r>
    </w:p>
    <w:p w14:paraId="30CB74A0" w14:textId="77777777" w:rsidR="002C1335" w:rsidRDefault="002C1335" w:rsidP="001A2AFC">
      <w:pPr>
        <w:rPr>
          <w:rStyle w:val="eop"/>
          <w:rFonts w:cs="Arial"/>
        </w:rPr>
      </w:pPr>
      <w:r w:rsidRPr="00554152">
        <w:rPr>
          <w:rStyle w:val="normaltextrun"/>
          <w:rFonts w:cs="Arial"/>
        </w:rPr>
        <w:t>When asked about her friends she described them as people she had met at school and their friends. It appeared that the group regularly get together at a local park to drink and smoke on benefit days, usually two or three times a week. Jessica stated that sometimes one or other of the males tries to have sex with her after drinking, which she does not like as she has a partner in the home.</w:t>
      </w:r>
      <w:r w:rsidRPr="00554152">
        <w:rPr>
          <w:rStyle w:val="eop"/>
          <w:rFonts w:cs="Arial"/>
        </w:rPr>
        <w:t> </w:t>
      </w:r>
    </w:p>
    <w:p w14:paraId="0845F8DE" w14:textId="77777777" w:rsidR="002C1335" w:rsidRPr="0041093A" w:rsidRDefault="002C1335" w:rsidP="002C1335">
      <w:pPr>
        <w:rPr>
          <w:b/>
          <w:bCs/>
          <w:color w:val="1D386B" w:themeColor="text2" w:themeTint="E6"/>
        </w:rPr>
      </w:pPr>
      <w:bookmarkStart w:id="1842" w:name="_Toc146624868"/>
      <w:bookmarkStart w:id="1843" w:name="_Toc146714229"/>
      <w:bookmarkStart w:id="1844" w:name="_Toc178780158"/>
      <w:bookmarkStart w:id="1845" w:name="_Toc178838924"/>
      <w:bookmarkStart w:id="1846" w:name="_Toc178839111"/>
      <w:bookmarkStart w:id="1847" w:name="_Toc178839232"/>
      <w:bookmarkStart w:id="1848" w:name="_Toc178839460"/>
      <w:bookmarkStart w:id="1849" w:name="_Toc178841670"/>
      <w:bookmarkStart w:id="1850" w:name="_Toc179198230"/>
      <w:bookmarkStart w:id="1851" w:name="_Toc179198478"/>
      <w:bookmarkStart w:id="1852" w:name="_Toc179198586"/>
      <w:bookmarkStart w:id="1853" w:name="_Toc179198693"/>
      <w:bookmarkStart w:id="1854" w:name="_Toc179446137"/>
      <w:bookmarkStart w:id="1855" w:name="_Toc179447150"/>
      <w:bookmarkStart w:id="1856" w:name="_Toc179448689"/>
      <w:bookmarkStart w:id="1857" w:name="_Toc179448846"/>
      <w:r w:rsidRPr="0041093A">
        <w:rPr>
          <w:b/>
          <w:bCs/>
          <w:color w:val="1D386B" w:themeColor="text2" w:themeTint="E6"/>
        </w:rPr>
        <w:t>Strengths</w:t>
      </w:r>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p>
    <w:p w14:paraId="7F690ED9" w14:textId="77777777" w:rsidR="002C1335" w:rsidRPr="00554152" w:rsidRDefault="002C1335" w:rsidP="001A2AFC">
      <w:r w:rsidRPr="00554152">
        <w:rPr>
          <w:rStyle w:val="eop"/>
          <w:rFonts w:cs="Arial"/>
        </w:rPr>
        <w:t>Jessica’s strengths include her good daily functioning without substance use, financial security, agency support, being in a group home, and having sustained long-term friendships.</w:t>
      </w:r>
    </w:p>
    <w:p w14:paraId="7C6B8F7E" w14:textId="77777777" w:rsidR="002C1335" w:rsidRPr="0041093A" w:rsidRDefault="002C1335" w:rsidP="002C1335">
      <w:pPr>
        <w:rPr>
          <w:b/>
          <w:bCs/>
          <w:color w:val="1D386B" w:themeColor="text2" w:themeTint="E6"/>
        </w:rPr>
      </w:pPr>
      <w:bookmarkStart w:id="1858" w:name="_Toc144657458"/>
      <w:bookmarkStart w:id="1859" w:name="_Toc145670733"/>
      <w:bookmarkStart w:id="1860" w:name="_Toc145854347"/>
      <w:bookmarkStart w:id="1861" w:name="_Toc146024276"/>
      <w:bookmarkStart w:id="1862" w:name="_Toc146624869"/>
      <w:bookmarkStart w:id="1863" w:name="_Toc146714230"/>
      <w:r w:rsidRPr="0041093A">
        <w:rPr>
          <w:b/>
          <w:bCs/>
          <w:color w:val="1D386B" w:themeColor="text2" w:themeTint="E6"/>
        </w:rPr>
        <w:t>Plan</w:t>
      </w:r>
      <w:bookmarkEnd w:id="1858"/>
      <w:bookmarkEnd w:id="1859"/>
      <w:bookmarkEnd w:id="1860"/>
      <w:bookmarkEnd w:id="1861"/>
      <w:bookmarkEnd w:id="1862"/>
      <w:bookmarkEnd w:id="1863"/>
      <w:r w:rsidRPr="0041093A">
        <w:rPr>
          <w:b/>
          <w:bCs/>
          <w:color w:val="1D386B" w:themeColor="text2" w:themeTint="E6"/>
        </w:rPr>
        <w:t> </w:t>
      </w:r>
    </w:p>
    <w:p w14:paraId="456CCDEF" w14:textId="77777777" w:rsidR="002C1335" w:rsidRPr="001A2AFC" w:rsidRDefault="002C1335" w:rsidP="001A2AFC">
      <w:pPr>
        <w:pStyle w:val="ListNumber"/>
        <w:numPr>
          <w:ilvl w:val="0"/>
          <w:numId w:val="146"/>
        </w:numPr>
        <w:tabs>
          <w:tab w:val="clear" w:pos="425"/>
        </w:tabs>
        <w:spacing w:after="240"/>
        <w:rPr>
          <w:rStyle w:val="normaltextrun"/>
          <w:rFonts w:cs="Arial"/>
          <w:szCs w:val="24"/>
        </w:rPr>
      </w:pPr>
      <w:r w:rsidRPr="001A2AFC">
        <w:rPr>
          <w:szCs w:val="24"/>
        </w:rPr>
        <w:lastRenderedPageBreak/>
        <w:t>Whakawhanaungatanga process, assess risk and contextual factors, and develop a good therapeutic relationship with Jessica.</w:t>
      </w:r>
    </w:p>
    <w:p w14:paraId="7A2518B8" w14:textId="77777777" w:rsidR="002C1335" w:rsidRPr="001A2AFC" w:rsidRDefault="002C1335" w:rsidP="001A2AFC">
      <w:pPr>
        <w:pStyle w:val="ListNumber"/>
        <w:numPr>
          <w:ilvl w:val="0"/>
          <w:numId w:val="146"/>
        </w:numPr>
        <w:tabs>
          <w:tab w:val="clear" w:pos="425"/>
        </w:tabs>
        <w:spacing w:after="240"/>
        <w:rPr>
          <w:rStyle w:val="normaltextrun"/>
          <w:szCs w:val="24"/>
        </w:rPr>
      </w:pPr>
      <w:r w:rsidRPr="001A2AFC">
        <w:rPr>
          <w:rStyle w:val="normaltextrun"/>
          <w:rFonts w:cs="Arial"/>
          <w:szCs w:val="24"/>
        </w:rPr>
        <w:t xml:space="preserve">Cognitive screening may be unnecessary as with a recorded IQ of 67 Jessica has known limitations with learning complex information and some of the more complex aspects of self-care. However, there may be other factors that could explain these previous results, that are no longer present in her life. Before undertaking screening and </w:t>
      </w:r>
      <w:r w:rsidRPr="001A2AFC">
        <w:rPr>
          <w:rStyle w:val="normaltextrun"/>
          <w:szCs w:val="24"/>
        </w:rPr>
        <w:t xml:space="preserve">if Jessica gives her consent, request a copy of previous cognitive screens or neuropsychological assessments. </w:t>
      </w:r>
    </w:p>
    <w:p w14:paraId="7C32554F" w14:textId="77777777" w:rsidR="002C1335" w:rsidRPr="001A2AFC" w:rsidRDefault="002C1335" w:rsidP="001A2AFC">
      <w:pPr>
        <w:pStyle w:val="ListNumber"/>
        <w:numPr>
          <w:ilvl w:val="0"/>
          <w:numId w:val="146"/>
        </w:numPr>
        <w:tabs>
          <w:tab w:val="clear" w:pos="425"/>
        </w:tabs>
        <w:spacing w:after="240"/>
        <w:rPr>
          <w:szCs w:val="24"/>
        </w:rPr>
      </w:pPr>
      <w:r w:rsidRPr="001A2AFC">
        <w:rPr>
          <w:rStyle w:val="normaltextrun"/>
          <w:rFonts w:cs="Arial"/>
          <w:szCs w:val="24"/>
        </w:rPr>
        <w:t xml:space="preserve">If needing greater clarity or historical information seems out of step with current observations, the Mini-ACE could quickly help to identify areas of strength without potentially frustrating or upsetting Jessica. </w:t>
      </w:r>
    </w:p>
    <w:p w14:paraId="31FFAB51" w14:textId="77777777" w:rsidR="002C1335" w:rsidRPr="001A2AFC" w:rsidRDefault="002C1335" w:rsidP="001A2AFC">
      <w:pPr>
        <w:pStyle w:val="ListNumber"/>
        <w:numPr>
          <w:ilvl w:val="0"/>
          <w:numId w:val="146"/>
        </w:numPr>
        <w:tabs>
          <w:tab w:val="clear" w:pos="425"/>
        </w:tabs>
        <w:spacing w:after="240"/>
        <w:rPr>
          <w:szCs w:val="24"/>
        </w:rPr>
      </w:pPr>
      <w:r w:rsidRPr="001A2AFC">
        <w:rPr>
          <w:rStyle w:val="normaltextrun"/>
          <w:rFonts w:cs="Arial"/>
          <w:szCs w:val="24"/>
        </w:rPr>
        <w:t>Adapting MI to her cognitive abilities in repeated brief sessions over several weeks with the case worker attending will support Jessica to develop motivation to reduce her substance use and improve her safety and subsequent behaviour in the home.</w:t>
      </w:r>
      <w:r w:rsidRPr="001A2AFC">
        <w:rPr>
          <w:rStyle w:val="eop"/>
          <w:rFonts w:cs="Arial"/>
          <w:szCs w:val="24"/>
        </w:rPr>
        <w:t> </w:t>
      </w:r>
    </w:p>
    <w:p w14:paraId="385C0064" w14:textId="77777777" w:rsidR="002C1335" w:rsidRPr="001A2AFC" w:rsidRDefault="002C1335" w:rsidP="001A2AFC">
      <w:pPr>
        <w:pStyle w:val="ListNumber"/>
        <w:numPr>
          <w:ilvl w:val="0"/>
          <w:numId w:val="146"/>
        </w:numPr>
        <w:tabs>
          <w:tab w:val="clear" w:pos="425"/>
        </w:tabs>
        <w:spacing w:after="240"/>
        <w:rPr>
          <w:szCs w:val="24"/>
        </w:rPr>
      </w:pPr>
      <w:r w:rsidRPr="001A2AFC">
        <w:rPr>
          <w:rStyle w:val="normaltextrun"/>
          <w:rFonts w:cs="Arial"/>
          <w:szCs w:val="24"/>
        </w:rPr>
        <w:t>The internal and external strategies for working with cognitive impairment including chunking, repetition, audiovisual, and concrete information sharing along with benefit day phone alerts will all support a harm reduction approach to her substance use.</w:t>
      </w:r>
      <w:r w:rsidRPr="001A2AFC">
        <w:rPr>
          <w:rStyle w:val="eop"/>
          <w:rFonts w:cs="Arial"/>
          <w:szCs w:val="24"/>
        </w:rPr>
        <w:t> </w:t>
      </w:r>
    </w:p>
    <w:p w14:paraId="3C87DE7C" w14:textId="77777777" w:rsidR="002C1335" w:rsidRPr="001A2AFC" w:rsidRDefault="002C1335" w:rsidP="001A2AFC">
      <w:pPr>
        <w:pStyle w:val="ListNumber"/>
        <w:numPr>
          <w:ilvl w:val="0"/>
          <w:numId w:val="146"/>
        </w:numPr>
        <w:tabs>
          <w:tab w:val="clear" w:pos="425"/>
        </w:tabs>
        <w:spacing w:after="240"/>
        <w:rPr>
          <w:szCs w:val="24"/>
        </w:rPr>
      </w:pPr>
      <w:r w:rsidRPr="001A2AFC">
        <w:rPr>
          <w:rStyle w:val="normaltextrun"/>
          <w:rFonts w:cs="Arial"/>
          <w:szCs w:val="24"/>
        </w:rPr>
        <w:t>It would also be useful to explore if the agency operating the group home or her sister has a small budget for ‘rewards’ (like a café voucher) that can be used to encourage Jessica to avoid disrupting the house at night after benefit days.</w:t>
      </w:r>
      <w:r w:rsidRPr="001A2AFC">
        <w:rPr>
          <w:rStyle w:val="eop"/>
          <w:rFonts w:cs="Arial"/>
          <w:szCs w:val="24"/>
        </w:rPr>
        <w:t xml:space="preserve"> This contingency management approach should be explored and agreed with Jessica and her whānau before being implemented. </w:t>
      </w:r>
    </w:p>
    <w:p w14:paraId="436F12F0" w14:textId="77777777" w:rsidR="002C1335" w:rsidRPr="004F7BFE" w:rsidRDefault="002C1335" w:rsidP="001A2AFC">
      <w:pPr>
        <w:pStyle w:val="ListNumber"/>
        <w:numPr>
          <w:ilvl w:val="0"/>
          <w:numId w:val="146"/>
        </w:numPr>
        <w:tabs>
          <w:tab w:val="clear" w:pos="425"/>
        </w:tabs>
        <w:spacing w:after="240"/>
        <w:rPr>
          <w:rStyle w:val="normaltextrun"/>
          <w:rFonts w:cs="Arial"/>
          <w:sz w:val="22"/>
        </w:rPr>
      </w:pPr>
      <w:r w:rsidRPr="001A2AFC">
        <w:rPr>
          <w:rStyle w:val="normaltextrun"/>
          <w:rFonts w:cs="Arial"/>
          <w:szCs w:val="24"/>
        </w:rPr>
        <w:t>Explore with Jessica and her case worker other social group activities that do not centre on substance use.</w:t>
      </w:r>
    </w:p>
    <w:p w14:paraId="17365D81" w14:textId="77777777" w:rsidR="002C1335" w:rsidRPr="00347DDF" w:rsidRDefault="002C1335" w:rsidP="002C1335">
      <w:pPr>
        <w:pStyle w:val="Heading1"/>
        <w:rPr>
          <w:color w:val="1D386B" w:themeColor="text2" w:themeTint="E6"/>
          <w:sz w:val="28"/>
          <w:szCs w:val="28"/>
        </w:rPr>
      </w:pPr>
      <w:bookmarkStart w:id="1864" w:name="_Toc172095790"/>
      <w:bookmarkStart w:id="1865" w:name="_Toc178780159"/>
      <w:bookmarkStart w:id="1866" w:name="_Toc178838925"/>
      <w:bookmarkStart w:id="1867" w:name="_Toc178839112"/>
      <w:bookmarkStart w:id="1868" w:name="_Toc178839233"/>
      <w:bookmarkStart w:id="1869" w:name="_Toc178839461"/>
      <w:bookmarkStart w:id="1870" w:name="_Toc178841671"/>
      <w:bookmarkStart w:id="1871" w:name="_Toc179198231"/>
      <w:bookmarkStart w:id="1872" w:name="_Toc179198479"/>
      <w:bookmarkStart w:id="1873" w:name="_Toc179198587"/>
      <w:bookmarkStart w:id="1874" w:name="_Toc179198694"/>
      <w:bookmarkStart w:id="1875" w:name="_Toc179446138"/>
      <w:bookmarkStart w:id="1876" w:name="_Toc179447151"/>
      <w:bookmarkStart w:id="1877" w:name="_Toc179448690"/>
      <w:bookmarkStart w:id="1878" w:name="_Toc179448847"/>
      <w:bookmarkStart w:id="1879" w:name="_Toc179449216"/>
      <w:bookmarkStart w:id="1880" w:name="_Toc179452919"/>
      <w:bookmarkStart w:id="1881" w:name="_Toc179461432"/>
      <w:bookmarkStart w:id="1882" w:name="_Toc179461876"/>
      <w:bookmarkStart w:id="1883" w:name="_Toc179489231"/>
      <w:bookmarkStart w:id="1884" w:name="_Toc179531356"/>
      <w:bookmarkStart w:id="1885" w:name="_Toc179536029"/>
      <w:bookmarkStart w:id="1886" w:name="_Toc179537868"/>
      <w:bookmarkStart w:id="1887" w:name="_Toc179537932"/>
      <w:bookmarkStart w:id="1888" w:name="_Toc179538099"/>
      <w:bookmarkStart w:id="1889" w:name="_Toc179538915"/>
      <w:bookmarkStart w:id="1890" w:name="_Toc179539233"/>
      <w:bookmarkStart w:id="1891" w:name="_Toc179539349"/>
      <w:bookmarkStart w:id="1892" w:name="_Toc179539487"/>
      <w:bookmarkStart w:id="1893" w:name="_Toc179539584"/>
      <w:bookmarkStart w:id="1894" w:name="_Toc179539669"/>
      <w:bookmarkStart w:id="1895" w:name="_Toc179539759"/>
      <w:bookmarkStart w:id="1896" w:name="_Toc179540443"/>
      <w:bookmarkStart w:id="1897" w:name="_Toc179541788"/>
      <w:bookmarkStart w:id="1898" w:name="_Toc179542980"/>
      <w:bookmarkStart w:id="1899" w:name="_Toc180571308"/>
      <w:r w:rsidRPr="00347DDF">
        <w:rPr>
          <w:color w:val="1D386B" w:themeColor="text2" w:themeTint="E6"/>
          <w:sz w:val="28"/>
          <w:szCs w:val="28"/>
        </w:rPr>
        <w:t>Quiz answers</w:t>
      </w:r>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p>
    <w:p w14:paraId="1BADC8F3" w14:textId="77777777" w:rsidR="002C1335" w:rsidRPr="0041093A" w:rsidRDefault="002C1335" w:rsidP="002C1335">
      <w:pPr>
        <w:pStyle w:val="Heading2"/>
        <w:rPr>
          <w:color w:val="1D386B" w:themeColor="text2" w:themeTint="E6"/>
          <w:sz w:val="24"/>
          <w:szCs w:val="24"/>
        </w:rPr>
      </w:pPr>
      <w:bookmarkStart w:id="1900" w:name="_Toc172095791"/>
      <w:bookmarkStart w:id="1901" w:name="_Toc178780160"/>
      <w:bookmarkStart w:id="1902" w:name="_Toc178838926"/>
      <w:bookmarkStart w:id="1903" w:name="_Toc178839113"/>
      <w:bookmarkStart w:id="1904" w:name="_Toc178839234"/>
      <w:bookmarkStart w:id="1905" w:name="_Toc178839462"/>
      <w:bookmarkStart w:id="1906" w:name="_Toc178841672"/>
      <w:bookmarkStart w:id="1907" w:name="_Toc179198232"/>
      <w:bookmarkStart w:id="1908" w:name="_Toc179198480"/>
      <w:bookmarkStart w:id="1909" w:name="_Toc179198588"/>
      <w:bookmarkStart w:id="1910" w:name="_Toc179198695"/>
      <w:bookmarkStart w:id="1911" w:name="_Toc179446139"/>
      <w:bookmarkStart w:id="1912" w:name="_Toc179447152"/>
      <w:bookmarkStart w:id="1913" w:name="_Toc179448691"/>
      <w:bookmarkStart w:id="1914" w:name="_Toc179448848"/>
      <w:bookmarkStart w:id="1915" w:name="_Toc179449217"/>
      <w:bookmarkStart w:id="1916" w:name="_Toc179452920"/>
      <w:bookmarkStart w:id="1917" w:name="_Toc179461433"/>
      <w:bookmarkStart w:id="1918" w:name="_Toc179461877"/>
      <w:bookmarkStart w:id="1919" w:name="_Toc179489232"/>
      <w:bookmarkStart w:id="1920" w:name="_Toc179531357"/>
      <w:bookmarkStart w:id="1921" w:name="_Toc179536030"/>
      <w:bookmarkStart w:id="1922" w:name="_Toc179537869"/>
      <w:bookmarkStart w:id="1923" w:name="_Toc179537933"/>
      <w:bookmarkStart w:id="1924" w:name="_Toc179538100"/>
      <w:bookmarkStart w:id="1925" w:name="_Toc179538916"/>
      <w:bookmarkStart w:id="1926" w:name="_Toc179539234"/>
      <w:bookmarkStart w:id="1927" w:name="_Toc179539350"/>
      <w:bookmarkStart w:id="1928" w:name="_Toc179539488"/>
      <w:bookmarkStart w:id="1929" w:name="_Toc179539585"/>
      <w:bookmarkStart w:id="1930" w:name="_Toc179539670"/>
      <w:bookmarkStart w:id="1931" w:name="_Toc179539760"/>
      <w:bookmarkStart w:id="1932" w:name="_Toc179540444"/>
      <w:bookmarkStart w:id="1933" w:name="_Toc179541789"/>
      <w:bookmarkStart w:id="1934" w:name="_Toc179542981"/>
      <w:bookmarkStart w:id="1935" w:name="_Toc180571309"/>
      <w:r w:rsidRPr="0041093A">
        <w:rPr>
          <w:color w:val="1D386B" w:themeColor="text2" w:themeTint="E6"/>
          <w:sz w:val="24"/>
          <w:szCs w:val="24"/>
        </w:rPr>
        <w:t>Review quiz: Cognitive impairment and its impacts</w:t>
      </w:r>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p>
    <w:p w14:paraId="7502D6C2" w14:textId="77777777" w:rsidR="002C1335" w:rsidRPr="001A2AFC" w:rsidRDefault="002C1335" w:rsidP="001A2AFC">
      <w:pPr>
        <w:pStyle w:val="ListNumber"/>
        <w:numPr>
          <w:ilvl w:val="0"/>
          <w:numId w:val="145"/>
        </w:numPr>
        <w:tabs>
          <w:tab w:val="clear" w:pos="425"/>
        </w:tabs>
        <w:spacing w:after="240"/>
        <w:rPr>
          <w:szCs w:val="24"/>
        </w:rPr>
      </w:pPr>
      <w:r w:rsidRPr="001A2AFC">
        <w:rPr>
          <w:szCs w:val="24"/>
        </w:rPr>
        <w:t xml:space="preserve">Any of – attention, learning, memory, problem-solving, language, motor functioning. </w:t>
      </w:r>
    </w:p>
    <w:p w14:paraId="08F5D16F" w14:textId="77777777" w:rsidR="002C1335" w:rsidRPr="001A2AFC" w:rsidRDefault="002C1335" w:rsidP="001A2AFC">
      <w:pPr>
        <w:pStyle w:val="ListNumber"/>
        <w:numPr>
          <w:ilvl w:val="0"/>
          <w:numId w:val="145"/>
        </w:numPr>
        <w:tabs>
          <w:tab w:val="clear" w:pos="425"/>
        </w:tabs>
        <w:spacing w:after="240"/>
        <w:rPr>
          <w:szCs w:val="24"/>
        </w:rPr>
      </w:pPr>
      <w:r w:rsidRPr="001A2AFC">
        <w:rPr>
          <w:szCs w:val="24"/>
        </w:rPr>
        <w:t xml:space="preserve">Any of – planning, decision making, inhibition of impulses or restraint, concept formation, abstract thinking, mental flexibility. </w:t>
      </w:r>
    </w:p>
    <w:p w14:paraId="597033AA" w14:textId="77777777" w:rsidR="002C1335" w:rsidRPr="001A2AFC" w:rsidRDefault="002C1335" w:rsidP="001A2AFC">
      <w:pPr>
        <w:pStyle w:val="ListNumber"/>
        <w:numPr>
          <w:ilvl w:val="0"/>
          <w:numId w:val="145"/>
        </w:numPr>
        <w:tabs>
          <w:tab w:val="clear" w:pos="425"/>
        </w:tabs>
        <w:spacing w:after="240"/>
        <w:rPr>
          <w:szCs w:val="24"/>
        </w:rPr>
      </w:pPr>
      <w:r w:rsidRPr="001A2AFC">
        <w:rPr>
          <w:szCs w:val="24"/>
        </w:rPr>
        <w:lastRenderedPageBreak/>
        <w:t xml:space="preserve">False – it is conceptualised differently across diverse cultures, so it is best to explore each person’s beliefs within their own cultural context. </w:t>
      </w:r>
    </w:p>
    <w:p w14:paraId="407ADE45" w14:textId="77777777" w:rsidR="002C1335" w:rsidRPr="001A2AFC" w:rsidRDefault="002C1335" w:rsidP="001A2AFC">
      <w:pPr>
        <w:pStyle w:val="ListNumber"/>
        <w:numPr>
          <w:ilvl w:val="0"/>
          <w:numId w:val="145"/>
        </w:numPr>
        <w:tabs>
          <w:tab w:val="clear" w:pos="425"/>
        </w:tabs>
        <w:spacing w:after="240"/>
        <w:rPr>
          <w:szCs w:val="24"/>
        </w:rPr>
      </w:pPr>
      <w:r w:rsidRPr="001A2AFC">
        <w:rPr>
          <w:szCs w:val="24"/>
        </w:rPr>
        <w:t xml:space="preserve">Whānau, culture, social groups, and age.   </w:t>
      </w:r>
    </w:p>
    <w:p w14:paraId="44ADCAEB" w14:textId="77777777" w:rsidR="002C1335" w:rsidRPr="001A2AFC" w:rsidRDefault="002C1335" w:rsidP="001A2AFC">
      <w:pPr>
        <w:pStyle w:val="ListNumber"/>
        <w:numPr>
          <w:ilvl w:val="0"/>
          <w:numId w:val="145"/>
        </w:numPr>
        <w:tabs>
          <w:tab w:val="clear" w:pos="425"/>
        </w:tabs>
        <w:spacing w:after="240"/>
        <w:rPr>
          <w:szCs w:val="24"/>
        </w:rPr>
      </w:pPr>
      <w:r w:rsidRPr="001A2AFC">
        <w:rPr>
          <w:szCs w:val="24"/>
        </w:rPr>
        <w:t xml:space="preserve">False – some causes are short-term or transient. </w:t>
      </w:r>
    </w:p>
    <w:p w14:paraId="5A4E68A5" w14:textId="77777777" w:rsidR="002C1335" w:rsidRPr="001A2AFC" w:rsidRDefault="002C1335" w:rsidP="001A2AFC">
      <w:pPr>
        <w:pStyle w:val="ListNumber"/>
        <w:numPr>
          <w:ilvl w:val="0"/>
          <w:numId w:val="145"/>
        </w:numPr>
        <w:tabs>
          <w:tab w:val="clear" w:pos="425"/>
        </w:tabs>
        <w:spacing w:after="240"/>
        <w:rPr>
          <w:szCs w:val="24"/>
        </w:rPr>
      </w:pPr>
      <w:r w:rsidRPr="001A2AFC">
        <w:rPr>
          <w:szCs w:val="24"/>
        </w:rPr>
        <w:t xml:space="preserve">Fetal alcohol spectrum disorder (FASD; alcohol use during pregnancy), and alcohol induced neurocognitive disorder (which includes Wernicke-Korsakoff Syndrome).  </w:t>
      </w:r>
    </w:p>
    <w:p w14:paraId="0D116287" w14:textId="77777777" w:rsidR="002C1335" w:rsidRPr="001A2AFC" w:rsidRDefault="002C1335" w:rsidP="001A2AFC">
      <w:pPr>
        <w:pStyle w:val="ListNumber"/>
        <w:numPr>
          <w:ilvl w:val="0"/>
          <w:numId w:val="145"/>
        </w:numPr>
        <w:tabs>
          <w:tab w:val="clear" w:pos="425"/>
        </w:tabs>
        <w:spacing w:after="240"/>
        <w:rPr>
          <w:szCs w:val="24"/>
        </w:rPr>
      </w:pPr>
      <w:r w:rsidRPr="001A2AFC">
        <w:rPr>
          <w:szCs w:val="24"/>
        </w:rPr>
        <w:t xml:space="preserve">Type of substance, how often it is used, how much is used, what time period, age and health, periods of abstinence and reduced use. </w:t>
      </w:r>
    </w:p>
    <w:p w14:paraId="6EFD8DB0" w14:textId="77777777" w:rsidR="002C1335" w:rsidRPr="001A2AFC" w:rsidRDefault="002C1335" w:rsidP="001A2AFC">
      <w:pPr>
        <w:pStyle w:val="ListNumber"/>
        <w:numPr>
          <w:ilvl w:val="0"/>
          <w:numId w:val="145"/>
        </w:numPr>
        <w:tabs>
          <w:tab w:val="clear" w:pos="425"/>
        </w:tabs>
        <w:spacing w:after="240"/>
        <w:rPr>
          <w:szCs w:val="24"/>
        </w:rPr>
      </w:pPr>
      <w:r w:rsidRPr="001A2AFC">
        <w:rPr>
          <w:szCs w:val="24"/>
        </w:rPr>
        <w:t>Alcohol.</w:t>
      </w:r>
    </w:p>
    <w:p w14:paraId="10317F11" w14:textId="77777777" w:rsidR="002C1335" w:rsidRPr="0098719B" w:rsidRDefault="002C1335" w:rsidP="002C1335">
      <w:pPr>
        <w:pStyle w:val="Heading2"/>
        <w:rPr>
          <w:color w:val="1D386B" w:themeColor="text2" w:themeTint="E6"/>
          <w:sz w:val="28"/>
          <w:szCs w:val="28"/>
        </w:rPr>
      </w:pPr>
      <w:bookmarkStart w:id="1936" w:name="_Toc172095792"/>
      <w:bookmarkStart w:id="1937" w:name="_Toc178780161"/>
      <w:bookmarkStart w:id="1938" w:name="_Toc178838927"/>
      <w:bookmarkStart w:id="1939" w:name="_Toc178839114"/>
      <w:bookmarkStart w:id="1940" w:name="_Toc178839235"/>
      <w:bookmarkStart w:id="1941" w:name="_Toc178839463"/>
      <w:bookmarkStart w:id="1942" w:name="_Toc178841673"/>
      <w:bookmarkStart w:id="1943" w:name="_Toc179198233"/>
      <w:bookmarkStart w:id="1944" w:name="_Toc179198481"/>
      <w:bookmarkStart w:id="1945" w:name="_Toc179198589"/>
      <w:bookmarkStart w:id="1946" w:name="_Toc179198696"/>
      <w:bookmarkStart w:id="1947" w:name="_Toc179446140"/>
      <w:bookmarkStart w:id="1948" w:name="_Toc179447153"/>
      <w:bookmarkStart w:id="1949" w:name="_Toc179448692"/>
      <w:bookmarkStart w:id="1950" w:name="_Toc179448849"/>
      <w:bookmarkStart w:id="1951" w:name="_Toc179449218"/>
      <w:bookmarkStart w:id="1952" w:name="_Toc179452921"/>
      <w:bookmarkStart w:id="1953" w:name="_Toc179461434"/>
      <w:bookmarkStart w:id="1954" w:name="_Toc179461878"/>
      <w:bookmarkStart w:id="1955" w:name="_Toc179489233"/>
      <w:bookmarkStart w:id="1956" w:name="_Toc179531358"/>
      <w:bookmarkStart w:id="1957" w:name="_Toc179536031"/>
      <w:bookmarkStart w:id="1958" w:name="_Toc179537870"/>
      <w:bookmarkStart w:id="1959" w:name="_Toc179537934"/>
      <w:bookmarkStart w:id="1960" w:name="_Toc179538101"/>
      <w:bookmarkStart w:id="1961" w:name="_Toc179538917"/>
      <w:bookmarkStart w:id="1962" w:name="_Toc179539235"/>
      <w:bookmarkStart w:id="1963" w:name="_Toc179539351"/>
      <w:bookmarkStart w:id="1964" w:name="_Toc179539489"/>
      <w:bookmarkStart w:id="1965" w:name="_Toc179539586"/>
      <w:bookmarkStart w:id="1966" w:name="_Toc179539671"/>
      <w:bookmarkStart w:id="1967" w:name="_Toc179539761"/>
      <w:bookmarkStart w:id="1968" w:name="_Toc179540445"/>
      <w:bookmarkStart w:id="1969" w:name="_Toc179541790"/>
      <w:bookmarkStart w:id="1970" w:name="_Toc179542982"/>
      <w:bookmarkStart w:id="1971" w:name="_Toc180571310"/>
      <w:r w:rsidRPr="0098719B">
        <w:rPr>
          <w:color w:val="1D386B" w:themeColor="text2" w:themeTint="E6"/>
          <w:sz w:val="28"/>
          <w:szCs w:val="28"/>
        </w:rPr>
        <w:t>Review quiz: Screening</w:t>
      </w:r>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p>
    <w:p w14:paraId="55E478D4" w14:textId="77777777" w:rsidR="002C1335" w:rsidRPr="001A2AFC" w:rsidRDefault="002C1335" w:rsidP="001D4560">
      <w:pPr>
        <w:pStyle w:val="ListNumber"/>
        <w:numPr>
          <w:ilvl w:val="0"/>
          <w:numId w:val="148"/>
        </w:numPr>
        <w:tabs>
          <w:tab w:val="clear" w:pos="425"/>
        </w:tabs>
        <w:spacing w:after="240"/>
        <w:rPr>
          <w:szCs w:val="24"/>
        </w:rPr>
      </w:pPr>
      <w:r w:rsidRPr="001A2AFC">
        <w:rPr>
          <w:szCs w:val="24"/>
        </w:rPr>
        <w:t xml:space="preserve">Trauma is common among people accessing AOD services. For Māori, a trauma-informed approach recognises the significant impact of colonisation. The screening process can be traumatising or retraumatising for some people if not done right and trauma may explain unexpected reactions to screening questions. </w:t>
      </w:r>
    </w:p>
    <w:p w14:paraId="38FC4C0F" w14:textId="77777777" w:rsidR="002C1335" w:rsidRPr="001A2AFC" w:rsidRDefault="002C1335" w:rsidP="001D4560">
      <w:pPr>
        <w:pStyle w:val="ListNumber"/>
        <w:numPr>
          <w:ilvl w:val="0"/>
          <w:numId w:val="148"/>
        </w:numPr>
        <w:tabs>
          <w:tab w:val="clear" w:pos="425"/>
        </w:tabs>
        <w:spacing w:after="240"/>
        <w:rPr>
          <w:szCs w:val="24"/>
        </w:rPr>
      </w:pPr>
      <w:r w:rsidRPr="001A2AFC">
        <w:rPr>
          <w:szCs w:val="24"/>
        </w:rPr>
        <w:t xml:space="preserve">False – screening is only able to indicate possible cognitive impairment but only a neuropsychological assessment can accurately diagnose. </w:t>
      </w:r>
    </w:p>
    <w:p w14:paraId="41FEBCA2" w14:textId="77777777" w:rsidR="002C1335" w:rsidRPr="001A2AFC" w:rsidRDefault="002C1335" w:rsidP="001D4560">
      <w:pPr>
        <w:pStyle w:val="ListNumber"/>
        <w:numPr>
          <w:ilvl w:val="0"/>
          <w:numId w:val="148"/>
        </w:numPr>
        <w:tabs>
          <w:tab w:val="clear" w:pos="425"/>
        </w:tabs>
        <w:spacing w:after="240"/>
        <w:rPr>
          <w:szCs w:val="24"/>
        </w:rPr>
      </w:pPr>
      <w:r w:rsidRPr="001A2AFC">
        <w:rPr>
          <w:szCs w:val="24"/>
        </w:rPr>
        <w:t xml:space="preserve">The training and skill required to safely use and interpret a particular screening tool. </w:t>
      </w:r>
    </w:p>
    <w:p w14:paraId="64975CE1" w14:textId="77777777" w:rsidR="002C1335" w:rsidRPr="001A2AFC" w:rsidRDefault="002C1335" w:rsidP="001D4560">
      <w:pPr>
        <w:pStyle w:val="ListNumber"/>
        <w:numPr>
          <w:ilvl w:val="0"/>
          <w:numId w:val="148"/>
        </w:numPr>
        <w:tabs>
          <w:tab w:val="clear" w:pos="425"/>
        </w:tabs>
        <w:spacing w:after="240"/>
        <w:rPr>
          <w:szCs w:val="24"/>
        </w:rPr>
      </w:pPr>
      <w:r w:rsidRPr="001A2AFC">
        <w:rPr>
          <w:szCs w:val="24"/>
        </w:rPr>
        <w:t xml:space="preserve">Any of – age, culture, medications, substance use, medical conditions, fatigue, mental health challenges, literacy, English comprehension, disability, school/academic history, stress and screening anxiety, low motivation, shyness, physical comfort, understanding (like language), not having aids like glasses or hearing aids with them. </w:t>
      </w:r>
    </w:p>
    <w:p w14:paraId="1DD30F43" w14:textId="77777777" w:rsidR="002C1335" w:rsidRPr="001A2AFC" w:rsidRDefault="002C1335" w:rsidP="001D4560">
      <w:pPr>
        <w:pStyle w:val="ListNumber"/>
        <w:numPr>
          <w:ilvl w:val="0"/>
          <w:numId w:val="148"/>
        </w:numPr>
        <w:tabs>
          <w:tab w:val="clear" w:pos="425"/>
        </w:tabs>
        <w:spacing w:after="240"/>
        <w:rPr>
          <w:szCs w:val="24"/>
        </w:rPr>
      </w:pPr>
      <w:r w:rsidRPr="001A2AFC">
        <w:rPr>
          <w:szCs w:val="24"/>
        </w:rPr>
        <w:t xml:space="preserve">Mood and emotions, substance use history, traumatic brain injury, medical conditions, neurodevelopmental conditions, psychosocial functioning and daily living, justice contact, and history of homelessness. </w:t>
      </w:r>
    </w:p>
    <w:p w14:paraId="44FD49EB" w14:textId="77777777" w:rsidR="002C1335" w:rsidRPr="001A2AFC" w:rsidRDefault="002C1335" w:rsidP="001D4560">
      <w:pPr>
        <w:pStyle w:val="ListNumber"/>
        <w:numPr>
          <w:ilvl w:val="0"/>
          <w:numId w:val="148"/>
        </w:numPr>
        <w:tabs>
          <w:tab w:val="clear" w:pos="425"/>
        </w:tabs>
        <w:spacing w:after="240"/>
        <w:rPr>
          <w:szCs w:val="24"/>
        </w:rPr>
      </w:pPr>
      <w:r w:rsidRPr="001A2AFC">
        <w:rPr>
          <w:szCs w:val="24"/>
        </w:rPr>
        <w:t xml:space="preserve">False – whānau can be a valuable part of the screening process, but it is up to the person if they want whānau involved and who should be involved.  </w:t>
      </w:r>
    </w:p>
    <w:p w14:paraId="44098846" w14:textId="77777777" w:rsidR="002C1335" w:rsidRPr="001A2AFC" w:rsidRDefault="002C1335" w:rsidP="001D4560">
      <w:pPr>
        <w:pStyle w:val="ListNumber"/>
        <w:numPr>
          <w:ilvl w:val="0"/>
          <w:numId w:val="148"/>
        </w:numPr>
        <w:tabs>
          <w:tab w:val="clear" w:pos="425"/>
        </w:tabs>
        <w:spacing w:after="240"/>
        <w:rPr>
          <w:rStyle w:val="normaltextrun"/>
          <w:szCs w:val="24"/>
        </w:rPr>
      </w:pPr>
      <w:r w:rsidRPr="001A2AFC">
        <w:rPr>
          <w:szCs w:val="24"/>
        </w:rPr>
        <w:t>Any of: GP/primary care, neurologist, geriatrician or psychogeriatrician, emergency or crisis services, occupational therapist.</w:t>
      </w:r>
    </w:p>
    <w:p w14:paraId="3CBDBF58" w14:textId="77777777" w:rsidR="002C1335" w:rsidRPr="0098719B" w:rsidRDefault="002C1335" w:rsidP="002C1335">
      <w:pPr>
        <w:pStyle w:val="Heading2"/>
        <w:rPr>
          <w:color w:val="1D386B" w:themeColor="text2" w:themeTint="E6"/>
          <w:sz w:val="28"/>
          <w:szCs w:val="28"/>
        </w:rPr>
      </w:pPr>
      <w:bookmarkStart w:id="1972" w:name="_Toc172095793"/>
      <w:bookmarkStart w:id="1973" w:name="_Toc178780162"/>
      <w:bookmarkStart w:id="1974" w:name="_Toc178838928"/>
      <w:bookmarkStart w:id="1975" w:name="_Toc178839115"/>
      <w:bookmarkStart w:id="1976" w:name="_Toc178839236"/>
      <w:bookmarkStart w:id="1977" w:name="_Toc178839464"/>
      <w:bookmarkStart w:id="1978" w:name="_Toc178841674"/>
      <w:bookmarkStart w:id="1979" w:name="_Toc179198234"/>
      <w:bookmarkStart w:id="1980" w:name="_Toc179198482"/>
      <w:bookmarkStart w:id="1981" w:name="_Toc179198590"/>
      <w:bookmarkStart w:id="1982" w:name="_Toc179198697"/>
      <w:bookmarkStart w:id="1983" w:name="_Toc179446141"/>
      <w:bookmarkStart w:id="1984" w:name="_Toc179447154"/>
      <w:bookmarkStart w:id="1985" w:name="_Toc179448693"/>
      <w:bookmarkStart w:id="1986" w:name="_Toc179448850"/>
      <w:bookmarkStart w:id="1987" w:name="_Toc179449219"/>
      <w:bookmarkStart w:id="1988" w:name="_Toc179452922"/>
      <w:bookmarkStart w:id="1989" w:name="_Toc179461435"/>
      <w:bookmarkStart w:id="1990" w:name="_Toc179461879"/>
      <w:bookmarkStart w:id="1991" w:name="_Toc179489234"/>
      <w:bookmarkStart w:id="1992" w:name="_Toc179531359"/>
      <w:bookmarkStart w:id="1993" w:name="_Toc179536032"/>
      <w:bookmarkStart w:id="1994" w:name="_Toc179537871"/>
      <w:bookmarkStart w:id="1995" w:name="_Toc179537935"/>
      <w:bookmarkStart w:id="1996" w:name="_Toc179538102"/>
      <w:bookmarkStart w:id="1997" w:name="_Toc179538918"/>
      <w:bookmarkStart w:id="1998" w:name="_Toc179539236"/>
      <w:bookmarkStart w:id="1999" w:name="_Toc179539352"/>
      <w:bookmarkStart w:id="2000" w:name="_Toc179539490"/>
      <w:bookmarkStart w:id="2001" w:name="_Toc179539587"/>
      <w:bookmarkStart w:id="2002" w:name="_Toc179539672"/>
      <w:bookmarkStart w:id="2003" w:name="_Toc179539762"/>
      <w:bookmarkStart w:id="2004" w:name="_Toc179540446"/>
      <w:bookmarkStart w:id="2005" w:name="_Toc179541791"/>
      <w:bookmarkStart w:id="2006" w:name="_Toc179542983"/>
      <w:bookmarkStart w:id="2007" w:name="_Toc180571311"/>
      <w:r w:rsidRPr="0098719B">
        <w:rPr>
          <w:color w:val="1D386B" w:themeColor="text2" w:themeTint="E6"/>
          <w:sz w:val="28"/>
          <w:szCs w:val="28"/>
        </w:rPr>
        <w:lastRenderedPageBreak/>
        <w:t>Review quiz: Support</w:t>
      </w:r>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p>
    <w:p w14:paraId="56626B9C" w14:textId="77777777" w:rsidR="002C1335" w:rsidRPr="001A2AFC" w:rsidRDefault="002C1335" w:rsidP="001A2AFC">
      <w:pPr>
        <w:pStyle w:val="ListNumber"/>
        <w:numPr>
          <w:ilvl w:val="0"/>
          <w:numId w:val="143"/>
        </w:numPr>
        <w:tabs>
          <w:tab w:val="clear" w:pos="425"/>
        </w:tabs>
        <w:spacing w:after="240"/>
        <w:rPr>
          <w:szCs w:val="24"/>
        </w:rPr>
      </w:pPr>
      <w:r w:rsidRPr="001A2AFC">
        <w:rPr>
          <w:szCs w:val="24"/>
        </w:rPr>
        <w:t xml:space="preserve">Any of – modify session length, allow regular breaks, incorporate culturally appropriate imagery, use multiple methods for information like diagrams and videos, provide a clear structure for each session and use simple concepts (no clinical jargon), encourage people to write down information or provide handouts. </w:t>
      </w:r>
    </w:p>
    <w:p w14:paraId="18C714F1" w14:textId="77777777" w:rsidR="002C1335" w:rsidRPr="001A2AFC" w:rsidRDefault="002C1335" w:rsidP="001A2AFC">
      <w:pPr>
        <w:pStyle w:val="ListNumber"/>
        <w:numPr>
          <w:ilvl w:val="0"/>
          <w:numId w:val="143"/>
        </w:numPr>
        <w:tabs>
          <w:tab w:val="clear" w:pos="425"/>
        </w:tabs>
        <w:spacing w:after="240"/>
        <w:rPr>
          <w:szCs w:val="24"/>
        </w:rPr>
      </w:pPr>
      <w:r w:rsidRPr="001A2AFC">
        <w:rPr>
          <w:szCs w:val="24"/>
        </w:rPr>
        <w:t xml:space="preserve">Strategies that work around any cognitive impairment that help people in their day-to-day lives. </w:t>
      </w:r>
    </w:p>
    <w:p w14:paraId="287B3027" w14:textId="77777777" w:rsidR="002C1335" w:rsidRPr="001A2AFC" w:rsidRDefault="002C1335" w:rsidP="001A2AFC">
      <w:pPr>
        <w:pStyle w:val="ListNumber"/>
        <w:numPr>
          <w:ilvl w:val="0"/>
          <w:numId w:val="143"/>
        </w:numPr>
        <w:tabs>
          <w:tab w:val="clear" w:pos="425"/>
        </w:tabs>
        <w:spacing w:after="240"/>
        <w:rPr>
          <w:szCs w:val="24"/>
        </w:rPr>
      </w:pPr>
      <w:r w:rsidRPr="001A2AFC">
        <w:rPr>
          <w:szCs w:val="24"/>
        </w:rPr>
        <w:t xml:space="preserve">Cognitive bias training, cognitive remediation and rehabilitation, contingency management, and emotional regulation training. </w:t>
      </w:r>
    </w:p>
    <w:p w14:paraId="18F31067" w14:textId="77777777" w:rsidR="002C1335" w:rsidRPr="001A2AFC" w:rsidRDefault="002C1335" w:rsidP="001A2AFC">
      <w:pPr>
        <w:pStyle w:val="ListNumber"/>
        <w:numPr>
          <w:ilvl w:val="0"/>
          <w:numId w:val="143"/>
        </w:numPr>
        <w:tabs>
          <w:tab w:val="clear" w:pos="425"/>
        </w:tabs>
        <w:spacing w:after="240"/>
        <w:rPr>
          <w:szCs w:val="24"/>
        </w:rPr>
      </w:pPr>
      <w:r w:rsidRPr="001A2AFC">
        <w:rPr>
          <w:szCs w:val="24"/>
        </w:rPr>
        <w:t xml:space="preserve">Nutritious food, physical exercise or activities that people enjoy, spiritual connections, cultural practices, social activity, and good sleep.  </w:t>
      </w:r>
    </w:p>
    <w:p w14:paraId="3FC8F6CA" w14:textId="77777777" w:rsidR="002C1335" w:rsidRPr="001A2AFC" w:rsidRDefault="002C1335" w:rsidP="001A2AFC">
      <w:pPr>
        <w:pStyle w:val="ListNumber"/>
        <w:numPr>
          <w:ilvl w:val="0"/>
          <w:numId w:val="143"/>
        </w:numPr>
        <w:tabs>
          <w:tab w:val="clear" w:pos="425"/>
        </w:tabs>
        <w:spacing w:after="240"/>
        <w:rPr>
          <w:szCs w:val="24"/>
        </w:rPr>
      </w:pPr>
      <w:r w:rsidRPr="001A2AFC">
        <w:rPr>
          <w:szCs w:val="24"/>
        </w:rPr>
        <w:t xml:space="preserve">People experiencing cognitive impairment are more likely to need to access multiple services and have unmet needs.  </w:t>
      </w:r>
    </w:p>
    <w:p w14:paraId="1BB08624" w14:textId="77777777" w:rsidR="002C1335" w:rsidRPr="001A2AFC" w:rsidRDefault="002C1335" w:rsidP="001A2AFC">
      <w:pPr>
        <w:pStyle w:val="ListNumber"/>
        <w:numPr>
          <w:ilvl w:val="0"/>
          <w:numId w:val="143"/>
        </w:numPr>
        <w:tabs>
          <w:tab w:val="clear" w:pos="425"/>
        </w:tabs>
        <w:spacing w:after="240"/>
        <w:rPr>
          <w:szCs w:val="24"/>
        </w:rPr>
      </w:pPr>
      <w:r w:rsidRPr="001A2AFC">
        <w:rPr>
          <w:szCs w:val="24"/>
        </w:rPr>
        <w:t>Housing and employment support, financial support, primary care, allied health like occupational therapy, physiotherapy, dietitians, and speech pathologists, ACC for injuries, community services.</w:t>
      </w:r>
    </w:p>
    <w:p w14:paraId="39CA9CE9" w14:textId="330CCE7B" w:rsidR="008E5E0F" w:rsidRPr="00122447" w:rsidRDefault="002C1335" w:rsidP="00122447">
      <w:pPr>
        <w:pStyle w:val="ListNumber"/>
        <w:numPr>
          <w:ilvl w:val="0"/>
          <w:numId w:val="143"/>
        </w:numPr>
        <w:tabs>
          <w:tab w:val="clear" w:pos="425"/>
        </w:tabs>
        <w:spacing w:after="240"/>
        <w:rPr>
          <w:szCs w:val="24"/>
        </w:rPr>
        <w:sectPr w:rsidR="008E5E0F" w:rsidRPr="00122447" w:rsidSect="001F3843">
          <w:headerReference w:type="default" r:id="rId72"/>
          <w:footerReference w:type="default" r:id="rId73"/>
          <w:headerReference w:type="first" r:id="rId74"/>
          <w:footerReference w:type="first" r:id="rId75"/>
          <w:pgSz w:w="11906" w:h="16838" w:code="9"/>
          <w:pgMar w:top="1134" w:right="1134" w:bottom="1134" w:left="1134" w:header="1304" w:footer="454" w:gutter="0"/>
          <w:cols w:space="708"/>
          <w:titlePg/>
          <w:docGrid w:linePitch="360"/>
        </w:sectPr>
      </w:pPr>
      <w:r w:rsidRPr="001A2AFC">
        <w:rPr>
          <w:szCs w:val="24"/>
        </w:rPr>
        <w:t>An evidence-based approach to identifying and providing support to whānau of tāngata whai ora accessing AOD services</w:t>
      </w:r>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p>
    <w:p w14:paraId="697F117D" w14:textId="755C2142" w:rsidR="008E5E0F" w:rsidRPr="001D4560" w:rsidRDefault="00201348" w:rsidP="001D4560">
      <w:pPr>
        <w:pStyle w:val="Section4Heading1"/>
      </w:pPr>
      <w:bookmarkStart w:id="2008" w:name="_Toc179537936"/>
      <w:bookmarkStart w:id="2009" w:name="_Toc179538103"/>
      <w:bookmarkStart w:id="2010" w:name="_Toc179538919"/>
      <w:bookmarkStart w:id="2011" w:name="_Toc179539237"/>
      <w:bookmarkStart w:id="2012" w:name="_Toc179539353"/>
      <w:bookmarkStart w:id="2013" w:name="_Toc179539491"/>
      <w:bookmarkStart w:id="2014" w:name="_Toc179539588"/>
      <w:bookmarkStart w:id="2015" w:name="_Toc179539673"/>
      <w:bookmarkStart w:id="2016" w:name="_Toc179539763"/>
      <w:bookmarkStart w:id="2017" w:name="_Toc179540447"/>
      <w:bookmarkStart w:id="2018" w:name="_Toc179541792"/>
      <w:bookmarkStart w:id="2019" w:name="_Toc179542984"/>
      <w:bookmarkStart w:id="2020" w:name="_Toc180571312"/>
      <w:bookmarkStart w:id="2021" w:name="_Toc179489235"/>
      <w:bookmarkStart w:id="2022" w:name="_Toc179531360"/>
      <w:bookmarkStart w:id="2023" w:name="_Toc179536033"/>
      <w:bookmarkStart w:id="2024" w:name="_Toc179537872"/>
      <w:r w:rsidRPr="001D4560">
        <w:rPr>
          <w:noProof/>
        </w:rPr>
        <w:lastRenderedPageBreak/>
        <w:drawing>
          <wp:anchor distT="0" distB="0" distL="114300" distR="114300" simplePos="0" relativeHeight="251754496" behindDoc="1" locked="0" layoutInCell="1" allowOverlap="1" wp14:anchorId="6B1A717C" wp14:editId="07D18CB7">
            <wp:simplePos x="0" y="0"/>
            <wp:positionH relativeFrom="page">
              <wp:align>right</wp:align>
            </wp:positionH>
            <wp:positionV relativeFrom="paragraph">
              <wp:posOffset>-1518285</wp:posOffset>
            </wp:positionV>
            <wp:extent cx="7558619" cy="10034628"/>
            <wp:effectExtent l="0" t="0" r="4445" b="5080"/>
            <wp:wrapNone/>
            <wp:docPr id="98944163"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44163" name="Picture 6">
                      <a:extLst>
                        <a:ext uri="{C183D7F6-B498-43B3-948B-1728B52AA6E4}">
                          <adec:decorative xmlns:adec="http://schemas.microsoft.com/office/drawing/2017/decorative" val="1"/>
                        </a:ext>
                      </a:extLst>
                    </pic:cNvPr>
                    <pic:cNvPicPr/>
                  </pic:nvPicPr>
                  <pic:blipFill>
                    <a:blip r:embed="rId76">
                      <a:extLst>
                        <a:ext uri="{28A0092B-C50C-407E-A947-70E740481C1C}">
                          <a14:useLocalDpi xmlns:a14="http://schemas.microsoft.com/office/drawing/2010/main" val="0"/>
                        </a:ext>
                      </a:extLst>
                    </a:blip>
                    <a:stretch>
                      <a:fillRect/>
                    </a:stretch>
                  </pic:blipFill>
                  <pic:spPr>
                    <a:xfrm>
                      <a:off x="0" y="0"/>
                      <a:ext cx="7558619" cy="10034628"/>
                    </a:xfrm>
                    <a:prstGeom prst="rect">
                      <a:avLst/>
                    </a:prstGeom>
                  </pic:spPr>
                </pic:pic>
              </a:graphicData>
            </a:graphic>
            <wp14:sizeRelH relativeFrom="page">
              <wp14:pctWidth>0</wp14:pctWidth>
            </wp14:sizeRelH>
            <wp14:sizeRelV relativeFrom="page">
              <wp14:pctHeight>0</wp14:pctHeight>
            </wp14:sizeRelV>
          </wp:anchor>
        </w:drawing>
      </w:r>
      <w:r w:rsidR="009B068B" w:rsidRPr="001D4560">
        <w:t>Part 4: Helpful Resources</w:t>
      </w:r>
      <w:bookmarkEnd w:id="2008"/>
      <w:bookmarkEnd w:id="2009"/>
      <w:bookmarkEnd w:id="2010"/>
      <w:bookmarkEnd w:id="2011"/>
      <w:bookmarkEnd w:id="2012"/>
      <w:bookmarkEnd w:id="2013"/>
      <w:bookmarkEnd w:id="2014"/>
      <w:bookmarkEnd w:id="2015"/>
      <w:bookmarkEnd w:id="2016"/>
      <w:bookmarkEnd w:id="2017"/>
      <w:bookmarkEnd w:id="2018"/>
      <w:bookmarkEnd w:id="2019"/>
      <w:bookmarkEnd w:id="2020"/>
      <w:r w:rsidR="009B068B" w:rsidRPr="001D4560">
        <w:t xml:space="preserve"> </w:t>
      </w:r>
      <w:bookmarkEnd w:id="2021"/>
      <w:bookmarkEnd w:id="2022"/>
      <w:bookmarkEnd w:id="2023"/>
      <w:bookmarkEnd w:id="2024"/>
      <w:r w:rsidR="009B068B" w:rsidRPr="001D4560">
        <w:t xml:space="preserve"> </w:t>
      </w:r>
    </w:p>
    <w:p w14:paraId="4A293633" w14:textId="65E880AA" w:rsidR="00264103" w:rsidRPr="001D4560" w:rsidRDefault="00127F6D" w:rsidP="00103A06">
      <w:pPr>
        <w:rPr>
          <w:rStyle w:val="eop"/>
          <w:szCs w:val="24"/>
        </w:rPr>
      </w:pPr>
      <w:r>
        <w:br w:type="page"/>
      </w:r>
      <w:r w:rsidR="00264103" w:rsidRPr="001D4560">
        <w:rPr>
          <w:rStyle w:val="Hyperlink"/>
          <w:b w:val="0"/>
          <w:bCs/>
          <w:szCs w:val="24"/>
          <w:u w:val="none"/>
        </w:rPr>
        <w:lastRenderedPageBreak/>
        <w:t xml:space="preserve">This section provides links to information, resources, and services relevant to tāngata whai ora, whānau, and workers in AOD settings. Though this list is not exhaustive, many of the listed websites and resources provide further links to other supportive resources or services. </w:t>
      </w:r>
    </w:p>
    <w:p w14:paraId="2A111E64" w14:textId="77777777" w:rsidR="00264103" w:rsidRPr="001D4560" w:rsidRDefault="00264103" w:rsidP="00103A06">
      <w:pPr>
        <w:rPr>
          <w:rFonts w:cs="Arial"/>
          <w:szCs w:val="24"/>
        </w:rPr>
      </w:pPr>
      <w:r w:rsidRPr="001D4560">
        <w:rPr>
          <w:rStyle w:val="eop"/>
          <w:rFonts w:ascii="Arial" w:hAnsi="Arial" w:cs="Arial"/>
          <w:bCs/>
          <w:szCs w:val="24"/>
        </w:rPr>
        <w:t xml:space="preserve">Resources are categorised into the following sections. </w:t>
      </w:r>
    </w:p>
    <w:p w14:paraId="6DC7B053" w14:textId="77777777" w:rsidR="00264103" w:rsidRPr="001D4560" w:rsidRDefault="00264103" w:rsidP="00103A06">
      <w:pPr>
        <w:pStyle w:val="Bulletpoint"/>
        <w:rPr>
          <w:rStyle w:val="normaltextrun"/>
          <w:rFonts w:cs="Arial"/>
          <w:bCs/>
          <w:szCs w:val="24"/>
        </w:rPr>
      </w:pPr>
      <w:r w:rsidRPr="001D4560">
        <w:rPr>
          <w:rStyle w:val="normaltextrun"/>
          <w:rFonts w:cs="Arial"/>
          <w:bCs/>
          <w:szCs w:val="24"/>
        </w:rPr>
        <w:t>Consumer rights and service standards.</w:t>
      </w:r>
    </w:p>
    <w:p w14:paraId="20C463BB" w14:textId="77777777" w:rsidR="00264103" w:rsidRPr="001D4560" w:rsidRDefault="00264103" w:rsidP="00103A06">
      <w:pPr>
        <w:pStyle w:val="Bulletpoint"/>
        <w:rPr>
          <w:rStyle w:val="normaltextrun"/>
          <w:rFonts w:cs="Arial"/>
          <w:bCs/>
          <w:szCs w:val="24"/>
        </w:rPr>
      </w:pPr>
      <w:r w:rsidRPr="001D4560">
        <w:rPr>
          <w:rStyle w:val="normaltextrun"/>
          <w:rFonts w:cs="Arial"/>
          <w:bCs/>
          <w:szCs w:val="24"/>
        </w:rPr>
        <w:t>Workforce development resources including relevant guidelines.</w:t>
      </w:r>
    </w:p>
    <w:p w14:paraId="2932AEEA" w14:textId="77777777" w:rsidR="00264103" w:rsidRPr="001D4560" w:rsidRDefault="00264103" w:rsidP="00103A06">
      <w:pPr>
        <w:pStyle w:val="Bulletpoint"/>
        <w:rPr>
          <w:rStyle w:val="normaltextrun"/>
          <w:rFonts w:cs="Arial"/>
          <w:bCs/>
          <w:szCs w:val="24"/>
        </w:rPr>
      </w:pPr>
      <w:r w:rsidRPr="001D4560">
        <w:rPr>
          <w:rStyle w:val="normaltextrun"/>
          <w:rFonts w:cs="Arial"/>
          <w:bCs/>
          <w:szCs w:val="24"/>
        </w:rPr>
        <w:t>Community resources and support for tāngata whai ora and whānau experiencing cognitive impairment.</w:t>
      </w:r>
    </w:p>
    <w:p w14:paraId="7A5B366C" w14:textId="77777777" w:rsidR="001D4560" w:rsidRDefault="00264103" w:rsidP="00103A06">
      <w:pPr>
        <w:pStyle w:val="Bulletpoint"/>
        <w:rPr>
          <w:rStyle w:val="normaltextrun"/>
          <w:rFonts w:cs="Arial"/>
          <w:szCs w:val="24"/>
        </w:rPr>
      </w:pPr>
      <w:r w:rsidRPr="001D4560">
        <w:rPr>
          <w:rStyle w:val="normaltextrun"/>
          <w:rFonts w:cs="Arial"/>
          <w:bCs/>
          <w:szCs w:val="24"/>
        </w:rPr>
        <w:t>Making information and resources accessible</w:t>
      </w:r>
      <w:r w:rsidRPr="001D4560">
        <w:rPr>
          <w:rStyle w:val="normaltextrun"/>
          <w:rFonts w:cs="Arial"/>
          <w:szCs w:val="24"/>
        </w:rPr>
        <w:t>.</w:t>
      </w:r>
    </w:p>
    <w:p w14:paraId="186D0068" w14:textId="7176EC7C" w:rsidR="00264103" w:rsidRPr="001D4560" w:rsidRDefault="00264103" w:rsidP="001D4560">
      <w:pPr>
        <w:pStyle w:val="Bulletpoint"/>
        <w:numPr>
          <w:ilvl w:val="0"/>
          <w:numId w:val="0"/>
        </w:numPr>
        <w:ind w:left="360"/>
        <w:rPr>
          <w:rStyle w:val="normaltextrun"/>
          <w:rFonts w:cs="Arial"/>
          <w:szCs w:val="24"/>
        </w:rPr>
      </w:pPr>
      <w:r w:rsidRPr="001D4560">
        <w:rPr>
          <w:rStyle w:val="normaltextrun"/>
          <w:rFonts w:cs="Arial"/>
          <w:szCs w:val="24"/>
        </w:rPr>
        <w:t xml:space="preserve"> </w:t>
      </w:r>
    </w:p>
    <w:p w14:paraId="28B54E81" w14:textId="77777777" w:rsidR="00264103" w:rsidRPr="007D50FD" w:rsidRDefault="00264103" w:rsidP="0072667D">
      <w:pPr>
        <w:pStyle w:val="Section4Heading2"/>
      </w:pPr>
      <w:bookmarkStart w:id="2025" w:name="_Toc172095795"/>
      <w:bookmarkStart w:id="2026" w:name="_Toc178780163"/>
      <w:bookmarkStart w:id="2027" w:name="_Toc178838929"/>
      <w:bookmarkStart w:id="2028" w:name="_Toc178839116"/>
      <w:bookmarkStart w:id="2029" w:name="_Toc178839237"/>
      <w:bookmarkStart w:id="2030" w:name="_Toc178839465"/>
      <w:bookmarkStart w:id="2031" w:name="_Toc178841675"/>
      <w:bookmarkStart w:id="2032" w:name="_Toc179198235"/>
      <w:bookmarkStart w:id="2033" w:name="_Toc179198485"/>
      <w:bookmarkStart w:id="2034" w:name="_Toc179198592"/>
      <w:bookmarkStart w:id="2035" w:name="_Toc179198699"/>
      <w:bookmarkStart w:id="2036" w:name="_Toc179446143"/>
      <w:bookmarkStart w:id="2037" w:name="_Toc179447156"/>
      <w:bookmarkStart w:id="2038" w:name="_Toc179448695"/>
      <w:bookmarkStart w:id="2039" w:name="_Toc179448852"/>
      <w:bookmarkStart w:id="2040" w:name="_Toc179449221"/>
      <w:bookmarkStart w:id="2041" w:name="_Toc179452924"/>
      <w:bookmarkStart w:id="2042" w:name="_Toc179461437"/>
      <w:bookmarkStart w:id="2043" w:name="_Toc179461881"/>
      <w:bookmarkStart w:id="2044" w:name="_Toc179489236"/>
      <w:bookmarkStart w:id="2045" w:name="_Toc179531361"/>
      <w:bookmarkStart w:id="2046" w:name="_Toc179536034"/>
      <w:bookmarkStart w:id="2047" w:name="_Toc179537873"/>
      <w:bookmarkStart w:id="2048" w:name="_Toc179537937"/>
      <w:bookmarkStart w:id="2049" w:name="_Toc179538104"/>
      <w:bookmarkStart w:id="2050" w:name="_Toc179538920"/>
      <w:bookmarkStart w:id="2051" w:name="_Toc179539238"/>
      <w:bookmarkStart w:id="2052" w:name="_Toc179539354"/>
      <w:bookmarkStart w:id="2053" w:name="_Toc179539492"/>
      <w:bookmarkStart w:id="2054" w:name="_Toc179539589"/>
      <w:bookmarkStart w:id="2055" w:name="_Toc179539674"/>
      <w:bookmarkStart w:id="2056" w:name="_Toc179539764"/>
      <w:bookmarkStart w:id="2057" w:name="_Toc179540448"/>
      <w:bookmarkStart w:id="2058" w:name="_Toc179541793"/>
      <w:bookmarkStart w:id="2059" w:name="_Toc179542985"/>
      <w:bookmarkStart w:id="2060" w:name="_Toc180571313"/>
      <w:r w:rsidRPr="007D50FD">
        <w:t>Consumer rights and service standards</w:t>
      </w:r>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p>
    <w:p w14:paraId="3CBFC00B" w14:textId="320FB285" w:rsidR="00264103" w:rsidRPr="00103A06" w:rsidRDefault="00000000" w:rsidP="00264103">
      <w:pPr>
        <w:rPr>
          <w:rStyle w:val="Hyperlink"/>
          <w:b w:val="0"/>
          <w:szCs w:val="24"/>
          <w:u w:val="none"/>
        </w:rPr>
      </w:pPr>
      <w:hyperlink r:id="rId77" w:history="1">
        <w:r w:rsidR="00264103" w:rsidRPr="00A32A3A">
          <w:rPr>
            <w:rStyle w:val="Hyperlink"/>
            <w:bCs/>
            <w:szCs w:val="24"/>
          </w:rPr>
          <w:t>Code of Health and Disability Services Consumers' Rights</w:t>
        </w:r>
      </w:hyperlink>
      <w:r w:rsidR="00264103" w:rsidRPr="00103A06">
        <w:rPr>
          <w:rStyle w:val="Hyperlink"/>
          <w:b w:val="0"/>
          <w:szCs w:val="24"/>
          <w:u w:val="none"/>
        </w:rPr>
        <w:t xml:space="preserve"> </w:t>
      </w:r>
      <w:r w:rsidR="00A32A3A">
        <w:rPr>
          <w:rStyle w:val="Hyperlink"/>
          <w:b w:val="0"/>
          <w:szCs w:val="24"/>
          <w:u w:val="none"/>
        </w:rPr>
        <w:br/>
      </w:r>
      <w:r w:rsidR="00264103" w:rsidRPr="00103A06">
        <w:rPr>
          <w:rStyle w:val="Hyperlink"/>
          <w:b w:val="0"/>
          <w:szCs w:val="24"/>
          <w:u w:val="none"/>
        </w:rPr>
        <w:t xml:space="preserve">Establishes the rights of consumers, and the obligations and duties of providers to comply with the Code. It is a regulation under the Health and Disability Commissioner Act. </w:t>
      </w:r>
    </w:p>
    <w:p w14:paraId="16098F6A" w14:textId="72BD2E5D" w:rsidR="00264103" w:rsidRPr="00103A06" w:rsidRDefault="00000000" w:rsidP="00264103">
      <w:pPr>
        <w:rPr>
          <w:szCs w:val="24"/>
        </w:rPr>
      </w:pPr>
      <w:hyperlink r:id="rId78" w:history="1">
        <w:r w:rsidR="00264103" w:rsidRPr="00A32A3A">
          <w:rPr>
            <w:rStyle w:val="Hyperlink"/>
            <w:bCs/>
            <w:szCs w:val="24"/>
          </w:rPr>
          <w:t>Privacy Act 2020</w:t>
        </w:r>
      </w:hyperlink>
      <w:r w:rsidR="00264103" w:rsidRPr="00103A06">
        <w:rPr>
          <w:szCs w:val="24"/>
        </w:rPr>
        <w:t xml:space="preserve"> </w:t>
      </w:r>
      <w:r w:rsidR="00A32A3A">
        <w:rPr>
          <w:szCs w:val="24"/>
        </w:rPr>
        <w:br/>
      </w:r>
      <w:r w:rsidR="00264103" w:rsidRPr="00103A06">
        <w:rPr>
          <w:szCs w:val="24"/>
        </w:rPr>
        <w:t>The Privacy Act 2020 governs how organisations and businesses can collect, store, use and share peoples’ information. </w:t>
      </w:r>
    </w:p>
    <w:p w14:paraId="40035A81" w14:textId="057637DA" w:rsidR="00264103" w:rsidRPr="00A32A3A" w:rsidRDefault="00000000" w:rsidP="00264103">
      <w:pPr>
        <w:rPr>
          <w:szCs w:val="24"/>
          <w:u w:val="single"/>
        </w:rPr>
      </w:pPr>
      <w:hyperlink r:id="rId79" w:history="1">
        <w:r w:rsidR="00264103" w:rsidRPr="00A32A3A">
          <w:rPr>
            <w:rStyle w:val="Hyperlink"/>
            <w:bCs/>
            <w:szCs w:val="24"/>
          </w:rPr>
          <w:t>Sector guidance for Ngā Paerewa Health and Disability Services Standard (NZS 8134:2021)</w:t>
        </w:r>
        <w:r w:rsidR="00264103" w:rsidRPr="00A32A3A">
          <w:rPr>
            <w:rStyle w:val="Hyperlink"/>
            <w:szCs w:val="24"/>
          </w:rPr>
          <w:t> </w:t>
        </w:r>
      </w:hyperlink>
      <w:r w:rsidR="00A32A3A">
        <w:rPr>
          <w:szCs w:val="24"/>
          <w:u w:val="single"/>
        </w:rPr>
        <w:br/>
      </w:r>
      <w:r w:rsidR="00264103" w:rsidRPr="00103A06">
        <w:rPr>
          <w:szCs w:val="24"/>
        </w:rPr>
        <w:t xml:space="preserve">Supports providers to meet the updated Ngā Paerewa Health and Disability Services Standard. </w:t>
      </w:r>
    </w:p>
    <w:p w14:paraId="1D365CC8" w14:textId="4AA487F3" w:rsidR="00264103" w:rsidRPr="00A32A3A" w:rsidRDefault="00000000" w:rsidP="00264103">
      <w:pPr>
        <w:rPr>
          <w:szCs w:val="24"/>
          <w:u w:val="single"/>
        </w:rPr>
      </w:pPr>
      <w:hyperlink r:id="rId80" w:history="1">
        <w:r w:rsidR="00264103" w:rsidRPr="00A32A3A">
          <w:rPr>
            <w:rStyle w:val="Hyperlink"/>
            <w:bCs/>
            <w:szCs w:val="24"/>
          </w:rPr>
          <w:t>United Nations Convention on the Rights of Persons with Disabilities</w:t>
        </w:r>
      </w:hyperlink>
      <w:r w:rsidR="00264103" w:rsidRPr="00103A06">
        <w:rPr>
          <w:szCs w:val="24"/>
        </w:rPr>
        <w:t xml:space="preserve"> </w:t>
      </w:r>
      <w:r w:rsidR="00A32A3A">
        <w:rPr>
          <w:szCs w:val="24"/>
          <w:u w:val="single"/>
        </w:rPr>
        <w:br/>
      </w:r>
      <w:r w:rsidR="00A32A3A">
        <w:rPr>
          <w:szCs w:val="24"/>
        </w:rPr>
        <w:t>In</w:t>
      </w:r>
      <w:r w:rsidR="00264103" w:rsidRPr="00103A06">
        <w:rPr>
          <w:szCs w:val="24"/>
        </w:rPr>
        <w:t>formation about the Convention and its implementation in Aotearoa New Zealand. </w:t>
      </w:r>
    </w:p>
    <w:p w14:paraId="08C25357" w14:textId="1426A465" w:rsidR="00264103" w:rsidRDefault="00000000" w:rsidP="00264103">
      <w:pPr>
        <w:rPr>
          <w:szCs w:val="24"/>
        </w:rPr>
      </w:pPr>
      <w:hyperlink r:id="rId81" w:history="1">
        <w:r w:rsidR="00264103" w:rsidRPr="00A32A3A">
          <w:rPr>
            <w:rStyle w:val="Hyperlink"/>
            <w:bCs/>
            <w:szCs w:val="24"/>
          </w:rPr>
          <w:t>United Nations Declaration on the Rights of Indigenous Peoples</w:t>
        </w:r>
      </w:hyperlink>
      <w:r w:rsidR="00264103" w:rsidRPr="00103A06">
        <w:rPr>
          <w:szCs w:val="24"/>
        </w:rPr>
        <w:t xml:space="preserve"> </w:t>
      </w:r>
      <w:r w:rsidR="00A32A3A">
        <w:rPr>
          <w:szCs w:val="24"/>
        </w:rPr>
        <w:br/>
      </w:r>
      <w:r w:rsidR="00264103" w:rsidRPr="00103A06">
        <w:rPr>
          <w:szCs w:val="24"/>
        </w:rPr>
        <w:t>Information about the Declaration and its implementation in Aotearoa New Zealand to improve outcomes for Māori in areas such as health and housing. </w:t>
      </w:r>
    </w:p>
    <w:p w14:paraId="2B9FFADD" w14:textId="77777777" w:rsidR="00A32A3A" w:rsidRDefault="00A32A3A" w:rsidP="00264103">
      <w:pPr>
        <w:rPr>
          <w:szCs w:val="24"/>
        </w:rPr>
      </w:pPr>
    </w:p>
    <w:p w14:paraId="222BFC41" w14:textId="77777777" w:rsidR="00A32A3A" w:rsidRPr="00103A06" w:rsidRDefault="00A32A3A" w:rsidP="00264103">
      <w:pPr>
        <w:rPr>
          <w:szCs w:val="24"/>
        </w:rPr>
      </w:pPr>
    </w:p>
    <w:p w14:paraId="2203EC1A" w14:textId="77777777" w:rsidR="00264103" w:rsidRPr="00BE24B0" w:rsidRDefault="00264103" w:rsidP="0072667D">
      <w:pPr>
        <w:pStyle w:val="Section4Heading2"/>
      </w:pPr>
      <w:bookmarkStart w:id="2061" w:name="_Toc172095796"/>
      <w:bookmarkStart w:id="2062" w:name="_Toc178780164"/>
      <w:bookmarkStart w:id="2063" w:name="_Toc178838930"/>
      <w:bookmarkStart w:id="2064" w:name="_Toc178839117"/>
      <w:bookmarkStart w:id="2065" w:name="_Toc178839238"/>
      <w:bookmarkStart w:id="2066" w:name="_Toc178839466"/>
      <w:bookmarkStart w:id="2067" w:name="_Toc178841676"/>
      <w:bookmarkStart w:id="2068" w:name="_Toc179198236"/>
      <w:bookmarkStart w:id="2069" w:name="_Toc179198486"/>
      <w:bookmarkStart w:id="2070" w:name="_Toc179198593"/>
      <w:bookmarkStart w:id="2071" w:name="_Toc179198700"/>
      <w:bookmarkStart w:id="2072" w:name="_Toc179446144"/>
      <w:bookmarkStart w:id="2073" w:name="_Toc179447157"/>
      <w:bookmarkStart w:id="2074" w:name="_Toc179448696"/>
      <w:bookmarkStart w:id="2075" w:name="_Toc179448853"/>
      <w:bookmarkStart w:id="2076" w:name="_Toc179449222"/>
      <w:bookmarkStart w:id="2077" w:name="_Toc179452925"/>
      <w:bookmarkStart w:id="2078" w:name="_Toc179461438"/>
      <w:bookmarkStart w:id="2079" w:name="_Toc179461882"/>
      <w:bookmarkStart w:id="2080" w:name="_Toc179489237"/>
      <w:bookmarkStart w:id="2081" w:name="_Toc179531362"/>
      <w:bookmarkStart w:id="2082" w:name="_Toc179536035"/>
      <w:bookmarkStart w:id="2083" w:name="_Toc179537874"/>
      <w:bookmarkStart w:id="2084" w:name="_Toc179537938"/>
      <w:bookmarkStart w:id="2085" w:name="_Toc179538105"/>
      <w:bookmarkStart w:id="2086" w:name="_Toc179538921"/>
      <w:bookmarkStart w:id="2087" w:name="_Toc179539239"/>
      <w:bookmarkStart w:id="2088" w:name="_Toc179539355"/>
      <w:bookmarkStart w:id="2089" w:name="_Toc179539493"/>
      <w:bookmarkStart w:id="2090" w:name="_Toc179539590"/>
      <w:bookmarkStart w:id="2091" w:name="_Toc179539675"/>
      <w:bookmarkStart w:id="2092" w:name="_Toc179539765"/>
      <w:bookmarkStart w:id="2093" w:name="_Toc179540449"/>
      <w:bookmarkStart w:id="2094" w:name="_Toc179541794"/>
      <w:bookmarkStart w:id="2095" w:name="_Toc179542986"/>
      <w:bookmarkStart w:id="2096" w:name="_Toc180571314"/>
      <w:r w:rsidRPr="00BE24B0">
        <w:lastRenderedPageBreak/>
        <w:t>Workforce development resources</w:t>
      </w:r>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r w:rsidRPr="00BE24B0">
        <w:t xml:space="preserve"> </w:t>
      </w:r>
    </w:p>
    <w:p w14:paraId="1BB0DDB8" w14:textId="77777777" w:rsidR="00A32A3A" w:rsidRDefault="00A32A3A" w:rsidP="00264103">
      <w:pPr>
        <w:rPr>
          <w:b/>
          <w:bCs/>
          <w:color w:val="4D2379" w:themeColor="accent4"/>
        </w:rPr>
      </w:pPr>
      <w:bookmarkStart w:id="2097" w:name="_Toc145670737"/>
      <w:bookmarkStart w:id="2098" w:name="_Toc145854351"/>
      <w:bookmarkStart w:id="2099" w:name="_Toc146024280"/>
      <w:bookmarkStart w:id="2100" w:name="_Toc146624873"/>
      <w:bookmarkStart w:id="2101" w:name="_Toc146714234"/>
      <w:bookmarkStart w:id="2102" w:name="_Toc178780165"/>
      <w:bookmarkStart w:id="2103" w:name="_Toc178838931"/>
      <w:bookmarkStart w:id="2104" w:name="_Toc178839118"/>
      <w:bookmarkStart w:id="2105" w:name="_Toc178839239"/>
      <w:bookmarkStart w:id="2106" w:name="_Toc178839467"/>
      <w:bookmarkStart w:id="2107" w:name="_Toc178841677"/>
      <w:bookmarkStart w:id="2108" w:name="_Toc179198237"/>
      <w:bookmarkStart w:id="2109" w:name="_Toc179198487"/>
      <w:bookmarkStart w:id="2110" w:name="_Toc179198594"/>
      <w:bookmarkStart w:id="2111" w:name="_Toc179198701"/>
      <w:bookmarkStart w:id="2112" w:name="_Toc179446145"/>
      <w:bookmarkStart w:id="2113" w:name="_Toc179447158"/>
      <w:bookmarkStart w:id="2114" w:name="_Toc179448697"/>
      <w:bookmarkStart w:id="2115" w:name="_Toc179448854"/>
      <w:bookmarkStart w:id="2116" w:name="_Toc179449223"/>
    </w:p>
    <w:p w14:paraId="0B855D77" w14:textId="2191C583" w:rsidR="00264103" w:rsidRPr="0072667D" w:rsidRDefault="00264103" w:rsidP="00264103">
      <w:pPr>
        <w:rPr>
          <w:b/>
          <w:bCs/>
          <w:color w:val="4D2379" w:themeColor="accent4"/>
          <w:sz w:val="28"/>
          <w:szCs w:val="28"/>
        </w:rPr>
      </w:pPr>
      <w:r w:rsidRPr="0072667D">
        <w:rPr>
          <w:b/>
          <w:bCs/>
          <w:color w:val="4D2379" w:themeColor="accent4"/>
          <w:sz w:val="28"/>
          <w:szCs w:val="28"/>
        </w:rPr>
        <w:t>Strategic documents – all roles</w:t>
      </w:r>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p>
    <w:p w14:paraId="64A59DB4" w14:textId="40E739A9" w:rsidR="00264103" w:rsidRPr="00A32A3A" w:rsidRDefault="00000000" w:rsidP="00264103">
      <w:pPr>
        <w:rPr>
          <w:b/>
          <w:szCs w:val="24"/>
        </w:rPr>
      </w:pPr>
      <w:hyperlink r:id="rId82" w:history="1">
        <w:r w:rsidR="00264103" w:rsidRPr="00A32A3A">
          <w:rPr>
            <w:rStyle w:val="Hyperlink"/>
            <w:bCs/>
            <w:szCs w:val="24"/>
          </w:rPr>
          <w:t>New Zealand Health Strategy</w:t>
        </w:r>
      </w:hyperlink>
      <w:r w:rsidR="00264103" w:rsidRPr="00103A06">
        <w:rPr>
          <w:rStyle w:val="Hyperlink"/>
          <w:b w:val="0"/>
          <w:bCs/>
          <w:szCs w:val="24"/>
          <w:u w:val="none"/>
        </w:rPr>
        <w:t xml:space="preserve"> </w:t>
      </w:r>
      <w:r w:rsidR="00A32A3A">
        <w:rPr>
          <w:rStyle w:val="Hyperlink"/>
          <w:szCs w:val="24"/>
          <w:u w:val="none"/>
        </w:rPr>
        <w:br/>
      </w:r>
      <w:r w:rsidR="00264103" w:rsidRPr="00103A06">
        <w:rPr>
          <w:szCs w:val="24"/>
        </w:rPr>
        <w:t xml:space="preserve">Outlines the long-term goals to achieve the vision of pae ora. </w:t>
      </w:r>
    </w:p>
    <w:p w14:paraId="5FFA180E" w14:textId="010970B5" w:rsidR="001B22DB" w:rsidRPr="00A32A3A" w:rsidRDefault="00000000" w:rsidP="00A32A3A">
      <w:pPr>
        <w:tabs>
          <w:tab w:val="left" w:pos="8145"/>
        </w:tabs>
        <w:rPr>
          <w:b/>
          <w:szCs w:val="24"/>
          <w:u w:val="single"/>
        </w:rPr>
      </w:pPr>
      <w:hyperlink r:id="rId83" w:history="1">
        <w:r w:rsidR="00264103" w:rsidRPr="00A32A3A">
          <w:rPr>
            <w:rStyle w:val="Hyperlink"/>
            <w:bCs/>
            <w:szCs w:val="24"/>
          </w:rPr>
          <w:t>Te Mana Ola: The Pacific Health Strategy</w:t>
        </w:r>
      </w:hyperlink>
      <w:r w:rsidR="00A32A3A">
        <w:rPr>
          <w:rStyle w:val="Hyperlink"/>
          <w:b w:val="0"/>
          <w:bCs/>
          <w:szCs w:val="24"/>
          <w:u w:val="none"/>
        </w:rPr>
        <w:br/>
      </w:r>
      <w:r w:rsidR="001B22DB" w:rsidRPr="00103A06">
        <w:rPr>
          <w:szCs w:val="24"/>
        </w:rPr>
        <w:t xml:space="preserve">Outlines the priorities for Pasifika health. </w:t>
      </w:r>
    </w:p>
    <w:p w14:paraId="1054041D" w14:textId="0BF187D5" w:rsidR="001B22DB" w:rsidRPr="00A32A3A" w:rsidRDefault="00000000" w:rsidP="001B22DB">
      <w:pPr>
        <w:rPr>
          <w:szCs w:val="24"/>
          <w:lang w:val="pt-BR"/>
        </w:rPr>
      </w:pPr>
      <w:hyperlink r:id="rId84" w:history="1">
        <w:r w:rsidR="001B22DB" w:rsidRPr="00A32A3A">
          <w:rPr>
            <w:rStyle w:val="Hyperlink"/>
            <w:bCs/>
            <w:szCs w:val="24"/>
            <w:lang w:val="pt-BR"/>
          </w:rPr>
          <w:t>Te Tiriti o Waitangi framework</w:t>
        </w:r>
      </w:hyperlink>
      <w:r w:rsidR="00A32A3A">
        <w:rPr>
          <w:szCs w:val="24"/>
          <w:lang w:val="pt-BR"/>
        </w:rPr>
        <w:br/>
      </w:r>
      <w:r w:rsidR="001B22DB" w:rsidRPr="00103A06">
        <w:rPr>
          <w:szCs w:val="24"/>
        </w:rPr>
        <w:t>A tool for the health and disability system to fulfil its stewardship obligations and special relationship between Māori and the Crown. </w:t>
      </w:r>
    </w:p>
    <w:p w14:paraId="50BD590D" w14:textId="18852038" w:rsidR="001B22DB" w:rsidRPr="00A32A3A" w:rsidRDefault="00000000" w:rsidP="001B22DB">
      <w:pPr>
        <w:rPr>
          <w:b/>
          <w:szCs w:val="24"/>
        </w:rPr>
      </w:pPr>
      <w:hyperlink r:id="rId85" w:history="1">
        <w:r w:rsidR="001B22DB" w:rsidRPr="00A32A3A">
          <w:rPr>
            <w:rStyle w:val="Hyperlink"/>
            <w:bCs/>
            <w:szCs w:val="24"/>
          </w:rPr>
          <w:t>Whakamaua: Māori Health Action Plan 2020-2025</w:t>
        </w:r>
      </w:hyperlink>
      <w:r w:rsidR="001B22DB" w:rsidRPr="00103A06">
        <w:rPr>
          <w:rStyle w:val="Hyperlink"/>
          <w:b w:val="0"/>
          <w:bCs/>
          <w:szCs w:val="24"/>
          <w:u w:val="none"/>
        </w:rPr>
        <w:t xml:space="preserve"> </w:t>
      </w:r>
      <w:r w:rsidR="00B83962">
        <w:rPr>
          <w:rStyle w:val="Hyperlink"/>
          <w:b w:val="0"/>
          <w:bCs/>
          <w:szCs w:val="24"/>
          <w:u w:val="none"/>
        </w:rPr>
        <w:br/>
      </w:r>
      <w:r w:rsidR="001B22DB" w:rsidRPr="00103A06">
        <w:rPr>
          <w:szCs w:val="24"/>
        </w:rPr>
        <w:t>Outlines the actions required to achieve better health outcomes for Māori</w:t>
      </w:r>
      <w:r w:rsidR="001B22DB" w:rsidRPr="00FB6B7B">
        <w:rPr>
          <w:sz w:val="22"/>
        </w:rPr>
        <w:t>.</w:t>
      </w:r>
    </w:p>
    <w:p w14:paraId="7ACE6335" w14:textId="77777777" w:rsidR="001D4560" w:rsidRDefault="001D4560" w:rsidP="001B22DB">
      <w:pPr>
        <w:rPr>
          <w:b/>
          <w:bCs/>
          <w:color w:val="4D2379" w:themeColor="accent4"/>
        </w:rPr>
      </w:pPr>
      <w:bookmarkStart w:id="2117" w:name="_Toc145670738"/>
      <w:bookmarkStart w:id="2118" w:name="_Toc145854352"/>
      <w:bookmarkStart w:id="2119" w:name="_Toc146024281"/>
      <w:bookmarkStart w:id="2120" w:name="_Toc146624874"/>
      <w:bookmarkStart w:id="2121" w:name="_Toc146714235"/>
      <w:bookmarkStart w:id="2122" w:name="_Toc178780166"/>
      <w:bookmarkStart w:id="2123" w:name="_Toc178838932"/>
      <w:bookmarkStart w:id="2124" w:name="_Toc178839119"/>
      <w:bookmarkStart w:id="2125" w:name="_Toc178839240"/>
      <w:bookmarkStart w:id="2126" w:name="_Toc178839468"/>
      <w:bookmarkStart w:id="2127" w:name="_Toc178841678"/>
      <w:bookmarkStart w:id="2128" w:name="_Toc179198238"/>
      <w:bookmarkStart w:id="2129" w:name="_Toc179198488"/>
      <w:bookmarkStart w:id="2130" w:name="_Toc179198595"/>
      <w:bookmarkStart w:id="2131" w:name="_Toc179198702"/>
      <w:bookmarkStart w:id="2132" w:name="_Toc179446146"/>
      <w:bookmarkStart w:id="2133" w:name="_Toc179447159"/>
      <w:bookmarkStart w:id="2134" w:name="_Toc179448698"/>
      <w:bookmarkStart w:id="2135" w:name="_Toc179448855"/>
      <w:bookmarkStart w:id="2136" w:name="_Toc179449224"/>
    </w:p>
    <w:p w14:paraId="0B0E1548" w14:textId="1843C44C" w:rsidR="001B22DB" w:rsidRPr="0072667D" w:rsidRDefault="001B22DB" w:rsidP="001B22DB">
      <w:pPr>
        <w:rPr>
          <w:b/>
          <w:bCs/>
          <w:color w:val="4D2379" w:themeColor="accent4"/>
          <w:sz w:val="28"/>
          <w:szCs w:val="28"/>
        </w:rPr>
      </w:pPr>
      <w:r w:rsidRPr="0072667D">
        <w:rPr>
          <w:b/>
          <w:bCs/>
          <w:color w:val="4D2379" w:themeColor="accent4"/>
          <w:sz w:val="28"/>
          <w:szCs w:val="28"/>
        </w:rPr>
        <w:t>Knowledge and skill frameworks – all roles</w:t>
      </w:r>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p>
    <w:p w14:paraId="2B7AD92B" w14:textId="6F0950F0" w:rsidR="001B22DB" w:rsidRPr="00A32A3A" w:rsidRDefault="00000000" w:rsidP="001B22DB">
      <w:pPr>
        <w:rPr>
          <w:szCs w:val="24"/>
          <w:u w:val="single"/>
        </w:rPr>
      </w:pPr>
      <w:hyperlink r:id="rId86" w:history="1">
        <w:r w:rsidR="001B22DB" w:rsidRPr="00A32A3A">
          <w:rPr>
            <w:rStyle w:val="Hyperlink"/>
            <w:bCs/>
            <w:szCs w:val="24"/>
          </w:rPr>
          <w:t>dapaanz code of ethics</w:t>
        </w:r>
      </w:hyperlink>
      <w:r w:rsidR="00A32A3A">
        <w:rPr>
          <w:b/>
          <w:bCs/>
          <w:szCs w:val="24"/>
        </w:rPr>
        <w:br/>
      </w:r>
      <w:r w:rsidR="001B22DB" w:rsidRPr="00103A06">
        <w:rPr>
          <w:szCs w:val="24"/>
        </w:rPr>
        <w:t>Code of ethics for the addiction workforce.  </w:t>
      </w:r>
    </w:p>
    <w:p w14:paraId="05D8DB00" w14:textId="7A6A5E6B" w:rsidR="001B22DB" w:rsidRPr="00103A06" w:rsidRDefault="00000000" w:rsidP="001B22DB">
      <w:pPr>
        <w:rPr>
          <w:szCs w:val="24"/>
        </w:rPr>
      </w:pPr>
      <w:hyperlink r:id="rId87" w:history="1">
        <w:r w:rsidR="001B22DB" w:rsidRPr="00A32A3A">
          <w:rPr>
            <w:rStyle w:val="Hyperlink"/>
            <w:bCs/>
            <w:szCs w:val="24"/>
          </w:rPr>
          <w:t>Equitable access to wellbeing framework</w:t>
        </w:r>
      </w:hyperlink>
      <w:r w:rsidR="00A32A3A">
        <w:rPr>
          <w:b/>
          <w:bCs/>
          <w:szCs w:val="24"/>
        </w:rPr>
        <w:br/>
      </w:r>
      <w:r w:rsidR="001B22DB" w:rsidRPr="00103A06">
        <w:rPr>
          <w:szCs w:val="24"/>
        </w:rPr>
        <w:t>A competency framework for working with people with a disability and experiencing mental health challenges or problematic substance use. </w:t>
      </w:r>
    </w:p>
    <w:p w14:paraId="64A07241" w14:textId="5AB2961B" w:rsidR="001B22DB" w:rsidRPr="00103A06" w:rsidRDefault="00000000" w:rsidP="001B22DB">
      <w:pPr>
        <w:rPr>
          <w:szCs w:val="24"/>
        </w:rPr>
      </w:pPr>
      <w:hyperlink r:id="rId88" w:history="1">
        <w:r w:rsidR="001B22DB" w:rsidRPr="00A32A3A">
          <w:rPr>
            <w:rStyle w:val="Hyperlink"/>
            <w:bCs/>
            <w:szCs w:val="24"/>
          </w:rPr>
          <w:t>Equity of health care for Māori: A framework</w:t>
        </w:r>
      </w:hyperlink>
      <w:r w:rsidR="00A32A3A">
        <w:rPr>
          <w:szCs w:val="24"/>
        </w:rPr>
        <w:br/>
      </w:r>
      <w:r w:rsidR="001B22DB" w:rsidRPr="00103A06">
        <w:rPr>
          <w:szCs w:val="24"/>
        </w:rPr>
        <w:t>This framework guides health practitioners, organisations, and the wider system to achieve equitable health care for Māori. </w:t>
      </w:r>
    </w:p>
    <w:p w14:paraId="51988889" w14:textId="5CB70261" w:rsidR="001B22DB" w:rsidRPr="00103A06" w:rsidRDefault="00000000" w:rsidP="001B22DB">
      <w:pPr>
        <w:rPr>
          <w:szCs w:val="24"/>
        </w:rPr>
      </w:pPr>
      <w:hyperlink r:id="rId89" w:history="1">
        <w:r w:rsidR="001B22DB" w:rsidRPr="00A32A3A">
          <w:rPr>
            <w:rStyle w:val="Hyperlink"/>
            <w:bCs/>
            <w:szCs w:val="24"/>
          </w:rPr>
          <w:t>Let’s get real</w:t>
        </w:r>
      </w:hyperlink>
      <w:r w:rsidR="00A32A3A">
        <w:rPr>
          <w:b/>
          <w:bCs/>
          <w:szCs w:val="24"/>
        </w:rPr>
        <w:br/>
      </w:r>
      <w:r w:rsidR="001B22DB" w:rsidRPr="00103A06">
        <w:rPr>
          <w:szCs w:val="24"/>
        </w:rPr>
        <w:t>A values, attitudes, knowledge, and skills framework for all health workers. </w:t>
      </w:r>
    </w:p>
    <w:p w14:paraId="1081AF96" w14:textId="12F54463" w:rsidR="001B22DB" w:rsidRPr="00A32A3A" w:rsidRDefault="00000000" w:rsidP="001B22DB">
      <w:pPr>
        <w:rPr>
          <w:rFonts w:cs="Arial"/>
          <w:szCs w:val="24"/>
          <w:u w:val="single"/>
        </w:rPr>
      </w:pPr>
      <w:hyperlink r:id="rId90" w:history="1">
        <w:r w:rsidR="001B22DB" w:rsidRPr="00A32A3A">
          <w:rPr>
            <w:rStyle w:val="Hyperlink"/>
            <w:szCs w:val="24"/>
          </w:rPr>
          <w:t xml:space="preserve">Principles for </w:t>
        </w:r>
        <w:r w:rsidR="00A32A3A" w:rsidRPr="00A32A3A">
          <w:rPr>
            <w:rStyle w:val="Hyperlink"/>
            <w:szCs w:val="24"/>
          </w:rPr>
          <w:t>orange</w:t>
        </w:r>
      </w:hyperlink>
      <w:r w:rsidR="00A32A3A">
        <w:rPr>
          <w:rFonts w:cs="Arial"/>
          <w:b/>
          <w:bCs/>
          <w:szCs w:val="24"/>
        </w:rPr>
        <w:br/>
      </w:r>
      <w:r w:rsidR="001B22DB" w:rsidRPr="00103A06">
        <w:rPr>
          <w:szCs w:val="24"/>
        </w:rPr>
        <w:t xml:space="preserve">Competencies and implementation framework for integrated support. </w:t>
      </w:r>
    </w:p>
    <w:p w14:paraId="77CBD7CF" w14:textId="0D2335E5" w:rsidR="001B22DB" w:rsidRPr="00A32A3A" w:rsidRDefault="00000000" w:rsidP="001B22DB">
      <w:pPr>
        <w:rPr>
          <w:rFonts w:cs="Arial"/>
          <w:szCs w:val="24"/>
        </w:rPr>
      </w:pPr>
      <w:hyperlink r:id="rId91" w:history="1">
        <w:r w:rsidR="001B22DB" w:rsidRPr="00A32A3A">
          <w:rPr>
            <w:rStyle w:val="Hyperlink"/>
            <w:bCs/>
            <w:szCs w:val="24"/>
          </w:rPr>
          <w:t>Real Skills Plus CAMHS</w:t>
        </w:r>
      </w:hyperlink>
      <w:r w:rsidR="00A32A3A">
        <w:rPr>
          <w:rFonts w:cs="Arial"/>
          <w:b/>
          <w:bCs/>
          <w:szCs w:val="24"/>
        </w:rPr>
        <w:br/>
      </w:r>
      <w:r w:rsidR="001B22DB" w:rsidRPr="00103A06">
        <w:rPr>
          <w:rFonts w:cs="Arial"/>
          <w:szCs w:val="24"/>
        </w:rPr>
        <w:t xml:space="preserve">A framework for working with children and young people. </w:t>
      </w:r>
    </w:p>
    <w:p w14:paraId="7956D8E2" w14:textId="1D6F6D97" w:rsidR="001B22DB" w:rsidRPr="00A32A3A" w:rsidRDefault="00000000" w:rsidP="001B22DB">
      <w:pPr>
        <w:rPr>
          <w:rFonts w:cs="Arial"/>
          <w:b/>
          <w:bCs/>
          <w:color w:val="3366FF"/>
          <w:szCs w:val="24"/>
        </w:rPr>
      </w:pPr>
      <w:hyperlink r:id="rId92" w:history="1">
        <w:r w:rsidR="001B22DB" w:rsidRPr="00A32A3A">
          <w:rPr>
            <w:rStyle w:val="Hyperlink"/>
            <w:bCs/>
            <w:szCs w:val="24"/>
          </w:rPr>
          <w:t>Real Skills Plus Seitapu</w:t>
        </w:r>
      </w:hyperlink>
      <w:r w:rsidR="00A32A3A">
        <w:rPr>
          <w:rFonts w:cs="Arial"/>
          <w:b/>
          <w:bCs/>
          <w:color w:val="3366FF"/>
          <w:szCs w:val="24"/>
        </w:rPr>
        <w:br/>
      </w:r>
      <w:r w:rsidR="001B22DB" w:rsidRPr="00103A06">
        <w:rPr>
          <w:rFonts w:cs="Arial"/>
          <w:szCs w:val="24"/>
        </w:rPr>
        <w:t>A framework for working with Pasifika peoples.</w:t>
      </w:r>
    </w:p>
    <w:p w14:paraId="7C6CCCA0" w14:textId="58D93CC1" w:rsidR="001B22DB" w:rsidRPr="00A32A3A" w:rsidRDefault="00000000" w:rsidP="001B22DB">
      <w:pPr>
        <w:rPr>
          <w:b/>
          <w:bCs/>
          <w:szCs w:val="24"/>
        </w:rPr>
      </w:pPr>
      <w:hyperlink r:id="rId93" w:history="1">
        <w:r w:rsidR="001B22DB" w:rsidRPr="00A32A3A">
          <w:rPr>
            <w:rStyle w:val="Hyperlink"/>
            <w:bCs/>
            <w:szCs w:val="24"/>
          </w:rPr>
          <w:t>Pae Tata Pae Tawhiti</w:t>
        </w:r>
      </w:hyperlink>
      <w:r w:rsidR="00A32A3A">
        <w:rPr>
          <w:b/>
          <w:bCs/>
          <w:color w:val="00C7C7" w:themeColor="accent5" w:themeTint="BF"/>
          <w:szCs w:val="24"/>
        </w:rPr>
        <w:t xml:space="preserve"> </w:t>
      </w:r>
      <w:r w:rsidR="00A32A3A">
        <w:rPr>
          <w:b/>
          <w:bCs/>
          <w:color w:val="00C7C7" w:themeColor="accent5" w:themeTint="BF"/>
          <w:szCs w:val="24"/>
        </w:rPr>
        <w:br/>
      </w:r>
      <w:r w:rsidR="001B22DB" w:rsidRPr="00103A06">
        <w:rPr>
          <w:szCs w:val="24"/>
        </w:rPr>
        <w:t xml:space="preserve">A brief and early intervention framework for practitioners in different settings. </w:t>
      </w:r>
    </w:p>
    <w:p w14:paraId="5F202134" w14:textId="3DEE8B7E" w:rsidR="00122447" w:rsidRDefault="00000000" w:rsidP="002411F0">
      <w:pPr>
        <w:rPr>
          <w:szCs w:val="24"/>
        </w:rPr>
      </w:pPr>
      <w:hyperlink r:id="rId94" w:history="1">
        <w:r w:rsidR="001B22DB" w:rsidRPr="00A32A3A">
          <w:rPr>
            <w:rStyle w:val="Hyperlink"/>
            <w:rFonts w:cs="Arial"/>
            <w:bCs/>
            <w:szCs w:val="24"/>
          </w:rPr>
          <w:t>Takarangi competency framework</w:t>
        </w:r>
      </w:hyperlink>
      <w:r w:rsidR="00A32A3A">
        <w:rPr>
          <w:rFonts w:cs="Arial"/>
          <w:szCs w:val="24"/>
        </w:rPr>
        <w:br/>
      </w:r>
      <w:r w:rsidR="001B22DB" w:rsidRPr="00103A06">
        <w:rPr>
          <w:szCs w:val="24"/>
        </w:rPr>
        <w:t>A competency framework to guide effective engagement with Māori.</w:t>
      </w:r>
      <w:bookmarkStart w:id="2137" w:name="_Toc145670739"/>
      <w:bookmarkStart w:id="2138" w:name="_Toc145854353"/>
      <w:bookmarkStart w:id="2139" w:name="_Toc146024282"/>
      <w:bookmarkStart w:id="2140" w:name="_Toc146624875"/>
      <w:bookmarkStart w:id="2141" w:name="_Toc146714236"/>
      <w:bookmarkStart w:id="2142" w:name="_Toc178780167"/>
      <w:bookmarkStart w:id="2143" w:name="_Toc178838933"/>
      <w:bookmarkStart w:id="2144" w:name="_Toc178839120"/>
      <w:bookmarkStart w:id="2145" w:name="_Toc178839241"/>
      <w:bookmarkStart w:id="2146" w:name="_Toc178839469"/>
      <w:bookmarkStart w:id="2147" w:name="_Toc178841679"/>
      <w:bookmarkStart w:id="2148" w:name="_Toc179198239"/>
      <w:bookmarkStart w:id="2149" w:name="_Toc179198489"/>
      <w:bookmarkStart w:id="2150" w:name="_Toc179198596"/>
      <w:bookmarkStart w:id="2151" w:name="_Toc179198703"/>
      <w:bookmarkStart w:id="2152" w:name="_Toc179446147"/>
      <w:bookmarkStart w:id="2153" w:name="_Toc179447160"/>
      <w:bookmarkStart w:id="2154" w:name="_Toc179448699"/>
      <w:bookmarkStart w:id="2155" w:name="_Toc179448856"/>
      <w:bookmarkStart w:id="2156" w:name="_Toc179449225"/>
    </w:p>
    <w:p w14:paraId="25163E7A" w14:textId="77777777" w:rsidR="00A32A3A" w:rsidRPr="00A32A3A" w:rsidRDefault="00A32A3A" w:rsidP="002411F0">
      <w:pPr>
        <w:rPr>
          <w:rFonts w:cs="Arial"/>
          <w:szCs w:val="24"/>
        </w:rPr>
      </w:pPr>
    </w:p>
    <w:p w14:paraId="73D9A02F" w14:textId="3B6CFC84" w:rsidR="002411F0" w:rsidRPr="0072667D" w:rsidRDefault="002411F0" w:rsidP="002411F0">
      <w:pPr>
        <w:rPr>
          <w:b/>
          <w:bCs/>
          <w:color w:val="4D2379" w:themeColor="accent4"/>
          <w:sz w:val="28"/>
          <w:szCs w:val="28"/>
        </w:rPr>
      </w:pPr>
      <w:r w:rsidRPr="0072667D">
        <w:rPr>
          <w:b/>
          <w:bCs/>
          <w:color w:val="4D2379" w:themeColor="accent4"/>
          <w:sz w:val="28"/>
          <w:szCs w:val="28"/>
        </w:rPr>
        <w:t>Training programmes or e-learning – all roles</w:t>
      </w:r>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p>
    <w:p w14:paraId="69FAABD1" w14:textId="2E0ACAD5" w:rsidR="002411F0" w:rsidRPr="00A32A3A" w:rsidRDefault="00000000" w:rsidP="002411F0">
      <w:pPr>
        <w:rPr>
          <w:b/>
          <w:bCs/>
          <w:color w:val="3366FF"/>
          <w:szCs w:val="24"/>
        </w:rPr>
      </w:pPr>
      <w:hyperlink r:id="rId95" w:history="1">
        <w:r w:rsidR="002411F0" w:rsidRPr="00A32A3A">
          <w:rPr>
            <w:rStyle w:val="Hyperlink"/>
            <w:bCs/>
            <w:szCs w:val="24"/>
          </w:rPr>
          <w:t>eCALD</w:t>
        </w:r>
      </w:hyperlink>
      <w:r w:rsidR="00A32A3A">
        <w:rPr>
          <w:b/>
          <w:bCs/>
          <w:color w:val="3366FF"/>
          <w:szCs w:val="24"/>
        </w:rPr>
        <w:br/>
      </w:r>
      <w:r w:rsidR="002411F0" w:rsidRPr="00103A06">
        <w:rPr>
          <w:szCs w:val="24"/>
        </w:rPr>
        <w:t xml:space="preserve">Online and in-person courses to support working with people from Asian, Middle Eastern, and African backgrounds. </w:t>
      </w:r>
    </w:p>
    <w:p w14:paraId="66927140" w14:textId="5B8A848E" w:rsidR="002411F0" w:rsidRPr="00A32A3A" w:rsidRDefault="00000000" w:rsidP="002411F0">
      <w:pPr>
        <w:rPr>
          <w:b/>
          <w:bCs/>
          <w:color w:val="00C7C7" w:themeColor="accent5" w:themeTint="BF"/>
          <w:szCs w:val="24"/>
        </w:rPr>
      </w:pPr>
      <w:hyperlink r:id="rId96" w:history="1">
        <w:r w:rsidR="002411F0" w:rsidRPr="00A32A3A">
          <w:rPr>
            <w:rStyle w:val="Hyperlink"/>
            <w:bCs/>
            <w:szCs w:val="24"/>
          </w:rPr>
          <w:t>Engaging Pasifika</w:t>
        </w:r>
      </w:hyperlink>
      <w:r w:rsidR="00A32A3A">
        <w:rPr>
          <w:b/>
          <w:bCs/>
          <w:color w:val="00C7C7" w:themeColor="accent5" w:themeTint="BF"/>
          <w:szCs w:val="24"/>
        </w:rPr>
        <w:br/>
      </w:r>
      <w:r w:rsidR="002411F0" w:rsidRPr="00103A06">
        <w:rPr>
          <w:szCs w:val="24"/>
        </w:rPr>
        <w:t xml:space="preserve">A cultural competency training programme for working with Pasifika peoples. </w:t>
      </w:r>
    </w:p>
    <w:p w14:paraId="3CBB4626" w14:textId="5A3B970D" w:rsidR="002411F0" w:rsidRPr="00A32A3A" w:rsidRDefault="00000000" w:rsidP="002411F0">
      <w:pPr>
        <w:rPr>
          <w:b/>
          <w:bCs/>
          <w:color w:val="3366FF"/>
          <w:szCs w:val="24"/>
        </w:rPr>
      </w:pPr>
      <w:hyperlink r:id="rId97" w:history="1">
        <w:r w:rsidR="002411F0" w:rsidRPr="00A32A3A">
          <w:rPr>
            <w:rStyle w:val="Hyperlink"/>
            <w:bCs/>
            <w:szCs w:val="24"/>
          </w:rPr>
          <w:t>Groundwork</w:t>
        </w:r>
      </w:hyperlink>
      <w:r w:rsidR="00A32A3A">
        <w:rPr>
          <w:b/>
          <w:bCs/>
          <w:color w:val="3366FF"/>
          <w:szCs w:val="24"/>
        </w:rPr>
        <w:br/>
      </w:r>
      <w:r w:rsidR="002411F0" w:rsidRPr="00103A06">
        <w:rPr>
          <w:szCs w:val="24"/>
        </w:rPr>
        <w:t>Helps organisations to understand and apply Te Tiriti o Waitangi by providing self-paced and facilitated workshops and mentoring for those leading organisational transformation.</w:t>
      </w:r>
    </w:p>
    <w:p w14:paraId="5BE31022" w14:textId="6B27EAB1" w:rsidR="002411F0" w:rsidRPr="00A32A3A" w:rsidRDefault="00000000" w:rsidP="002411F0">
      <w:pPr>
        <w:rPr>
          <w:b/>
          <w:bCs/>
          <w:color w:val="3366FF"/>
          <w:szCs w:val="24"/>
        </w:rPr>
      </w:pPr>
      <w:hyperlink r:id="rId98" w:history="1">
        <w:r w:rsidR="002411F0" w:rsidRPr="00A32A3A">
          <w:rPr>
            <w:rStyle w:val="Hyperlink"/>
            <w:bCs/>
            <w:szCs w:val="24"/>
          </w:rPr>
          <w:t>He Punu Whakaata</w:t>
        </w:r>
      </w:hyperlink>
      <w:r w:rsidR="00A32A3A">
        <w:rPr>
          <w:b/>
          <w:bCs/>
          <w:color w:val="3366FF"/>
          <w:szCs w:val="24"/>
        </w:rPr>
        <w:br/>
      </w:r>
      <w:r w:rsidR="002411F0" w:rsidRPr="00103A06">
        <w:rPr>
          <w:szCs w:val="24"/>
        </w:rPr>
        <w:t xml:space="preserve">Values based programme that enhances therapeutic engagement with Māori. </w:t>
      </w:r>
    </w:p>
    <w:p w14:paraId="51F02B3B" w14:textId="25FAA2B0" w:rsidR="002411F0" w:rsidRPr="00A32A3A" w:rsidRDefault="00000000" w:rsidP="002411F0">
      <w:pPr>
        <w:rPr>
          <w:b/>
          <w:bCs/>
          <w:color w:val="3366FF"/>
          <w:szCs w:val="24"/>
        </w:rPr>
      </w:pPr>
      <w:hyperlink r:id="rId99" w:history="1">
        <w:r w:rsidR="002411F0" w:rsidRPr="00A32A3A">
          <w:rPr>
            <w:rStyle w:val="Hyperlink"/>
            <w:bCs/>
            <w:szCs w:val="24"/>
          </w:rPr>
          <w:t>Intercultural capability</w:t>
        </w:r>
      </w:hyperlink>
      <w:r w:rsidR="00A32A3A">
        <w:rPr>
          <w:b/>
          <w:bCs/>
          <w:color w:val="3366FF"/>
          <w:szCs w:val="24"/>
        </w:rPr>
        <w:br/>
      </w:r>
      <w:r w:rsidR="002411F0" w:rsidRPr="00103A06">
        <w:rPr>
          <w:szCs w:val="24"/>
        </w:rPr>
        <w:t>E-learning related to working effectively with people from diverse cultures.</w:t>
      </w:r>
    </w:p>
    <w:p w14:paraId="0B26E2A2" w14:textId="77777777" w:rsidR="00122447" w:rsidRDefault="00122447" w:rsidP="002411F0">
      <w:pPr>
        <w:rPr>
          <w:b/>
          <w:bCs/>
          <w:color w:val="4D2379" w:themeColor="accent4"/>
        </w:rPr>
      </w:pPr>
      <w:bookmarkStart w:id="2157" w:name="_Toc145670740"/>
      <w:bookmarkStart w:id="2158" w:name="_Toc145854354"/>
      <w:bookmarkStart w:id="2159" w:name="_Toc146024283"/>
      <w:bookmarkStart w:id="2160" w:name="_Toc146624876"/>
      <w:bookmarkStart w:id="2161" w:name="_Toc146714237"/>
      <w:bookmarkStart w:id="2162" w:name="_Toc178780168"/>
      <w:bookmarkStart w:id="2163" w:name="_Toc178838934"/>
      <w:bookmarkStart w:id="2164" w:name="_Toc178839121"/>
      <w:bookmarkStart w:id="2165" w:name="_Toc178839242"/>
      <w:bookmarkStart w:id="2166" w:name="_Toc178839470"/>
      <w:bookmarkStart w:id="2167" w:name="_Toc178841680"/>
      <w:bookmarkStart w:id="2168" w:name="_Toc179198240"/>
      <w:bookmarkStart w:id="2169" w:name="_Toc179198490"/>
      <w:bookmarkStart w:id="2170" w:name="_Toc179198597"/>
      <w:bookmarkStart w:id="2171" w:name="_Toc179198704"/>
      <w:bookmarkStart w:id="2172" w:name="_Toc179446148"/>
      <w:bookmarkStart w:id="2173" w:name="_Toc179447161"/>
      <w:bookmarkStart w:id="2174" w:name="_Toc179448700"/>
      <w:bookmarkStart w:id="2175" w:name="_Toc179448857"/>
      <w:bookmarkStart w:id="2176" w:name="_Toc179449226"/>
    </w:p>
    <w:p w14:paraId="05B760E9" w14:textId="6EA6AC24" w:rsidR="002411F0" w:rsidRPr="0072667D" w:rsidRDefault="002411F0" w:rsidP="002411F0">
      <w:pPr>
        <w:rPr>
          <w:b/>
          <w:bCs/>
          <w:color w:val="4D2379" w:themeColor="accent4"/>
          <w:sz w:val="28"/>
          <w:szCs w:val="28"/>
        </w:rPr>
      </w:pPr>
      <w:r w:rsidRPr="0072667D">
        <w:rPr>
          <w:b/>
          <w:bCs/>
          <w:color w:val="4D2379" w:themeColor="accent4"/>
          <w:sz w:val="28"/>
          <w:szCs w:val="28"/>
        </w:rPr>
        <w:t>Guides and resources – all roles</w:t>
      </w:r>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p>
    <w:p w14:paraId="0C501591" w14:textId="2DD30A8B" w:rsidR="002411F0" w:rsidRPr="00A32A3A" w:rsidRDefault="00000000" w:rsidP="002411F0">
      <w:pPr>
        <w:rPr>
          <w:rFonts w:cs="Arial"/>
          <w:szCs w:val="24"/>
        </w:rPr>
      </w:pPr>
      <w:hyperlink r:id="rId100" w:history="1">
        <w:r w:rsidR="002411F0" w:rsidRPr="00A32A3A">
          <w:rPr>
            <w:rStyle w:val="Hyperlink"/>
            <w:szCs w:val="24"/>
          </w:rPr>
          <w:t>5-Step Method</w:t>
        </w:r>
      </w:hyperlink>
      <w:r w:rsidR="00A32A3A" w:rsidRPr="00103A06">
        <w:rPr>
          <w:rFonts w:cs="Arial"/>
          <w:szCs w:val="24"/>
        </w:rPr>
        <w:t xml:space="preserve"> </w:t>
      </w:r>
      <w:r w:rsidR="00A32A3A">
        <w:rPr>
          <w:rFonts w:cs="Arial"/>
          <w:szCs w:val="24"/>
        </w:rPr>
        <w:br/>
      </w:r>
      <w:r w:rsidR="002411F0" w:rsidRPr="00103A06">
        <w:rPr>
          <w:szCs w:val="24"/>
        </w:rPr>
        <w:t>An approach for working with whānau in addiction services.</w:t>
      </w:r>
    </w:p>
    <w:p w14:paraId="0783C5C4" w14:textId="664D44E1" w:rsidR="002411F0" w:rsidRPr="00A32A3A" w:rsidRDefault="00000000" w:rsidP="002411F0">
      <w:pPr>
        <w:rPr>
          <w:b/>
          <w:bCs/>
          <w:color w:val="00C7C7" w:themeColor="accent5" w:themeTint="BF"/>
          <w:szCs w:val="24"/>
        </w:rPr>
      </w:pPr>
      <w:hyperlink r:id="rId101" w:history="1">
        <w:r w:rsidR="002411F0" w:rsidRPr="00A32A3A">
          <w:rPr>
            <w:rStyle w:val="Hyperlink"/>
            <w:bCs/>
            <w:szCs w:val="24"/>
          </w:rPr>
          <w:t>Bridging the gap</w:t>
        </w:r>
      </w:hyperlink>
      <w:r w:rsidR="00A32A3A">
        <w:rPr>
          <w:b/>
          <w:bCs/>
          <w:color w:val="00C7C7" w:themeColor="accent5" w:themeTint="BF"/>
          <w:szCs w:val="24"/>
        </w:rPr>
        <w:br/>
      </w:r>
      <w:r w:rsidR="002411F0" w:rsidRPr="00103A06">
        <w:rPr>
          <w:szCs w:val="24"/>
        </w:rPr>
        <w:t xml:space="preserve">Resource on working with young people experiencing problematic substance use. </w:t>
      </w:r>
    </w:p>
    <w:p w14:paraId="6452413D" w14:textId="00DF3919" w:rsidR="002411F0" w:rsidRPr="00103A06" w:rsidRDefault="00000000" w:rsidP="002411F0">
      <w:pPr>
        <w:pStyle w:val="Bodycopy"/>
        <w:rPr>
          <w:sz w:val="24"/>
          <w:szCs w:val="24"/>
        </w:rPr>
      </w:pPr>
      <w:hyperlink r:id="rId102" w:history="1">
        <w:r w:rsidR="002411F0" w:rsidRPr="00A32A3A">
          <w:rPr>
            <w:rStyle w:val="Hyperlink"/>
            <w:bCs/>
            <w:sz w:val="24"/>
            <w:szCs w:val="24"/>
          </w:rPr>
          <w:t>Ethnicity matters: A guide to working with ethnic communities</w:t>
        </w:r>
      </w:hyperlink>
      <w:r w:rsidR="00A32A3A">
        <w:rPr>
          <w:sz w:val="24"/>
          <w:szCs w:val="24"/>
        </w:rPr>
        <w:br/>
      </w:r>
      <w:r w:rsidR="002411F0" w:rsidRPr="00103A06">
        <w:rPr>
          <w:sz w:val="24"/>
          <w:szCs w:val="24"/>
        </w:rPr>
        <w:t>A guide for working with ethnic communities.</w:t>
      </w:r>
    </w:p>
    <w:p w14:paraId="3840E7C5" w14:textId="2B1A0C90" w:rsidR="002411F0" w:rsidRPr="00A32A3A" w:rsidRDefault="00000000" w:rsidP="002411F0">
      <w:pPr>
        <w:rPr>
          <w:b/>
          <w:bCs/>
          <w:color w:val="3366FF"/>
          <w:szCs w:val="24"/>
        </w:rPr>
      </w:pPr>
      <w:hyperlink r:id="rId103" w:history="1">
        <w:r w:rsidR="002411F0" w:rsidRPr="00A32A3A">
          <w:rPr>
            <w:rStyle w:val="Hyperlink"/>
            <w:bCs/>
            <w:szCs w:val="24"/>
          </w:rPr>
          <w:t>Let’s get talking toolkit</w:t>
        </w:r>
      </w:hyperlink>
      <w:r w:rsidR="00A32A3A">
        <w:rPr>
          <w:b/>
          <w:bCs/>
          <w:color w:val="3366FF"/>
          <w:szCs w:val="24"/>
        </w:rPr>
        <w:br/>
      </w:r>
      <w:r w:rsidR="002411F0" w:rsidRPr="00103A06">
        <w:rPr>
          <w:szCs w:val="24"/>
        </w:rPr>
        <w:t xml:space="preserve">Seven tools aimed at leaders, managers, therapists, and practitioners across primary and secondary healthcare services. </w:t>
      </w:r>
    </w:p>
    <w:p w14:paraId="30831BD2" w14:textId="13A93DD3" w:rsidR="002411F0" w:rsidRPr="00A32A3A" w:rsidRDefault="00000000" w:rsidP="002411F0">
      <w:pPr>
        <w:rPr>
          <w:b/>
          <w:bCs/>
          <w:color w:val="3366FF"/>
          <w:szCs w:val="24"/>
        </w:rPr>
      </w:pPr>
      <w:hyperlink r:id="rId104" w:history="1">
        <w:r w:rsidR="002411F0" w:rsidRPr="00A32A3A">
          <w:rPr>
            <w:rStyle w:val="Hyperlink"/>
            <w:bCs/>
            <w:szCs w:val="24"/>
          </w:rPr>
          <w:t>Manaaki: Mana enhancing and mana protecting practice</w:t>
        </w:r>
      </w:hyperlink>
      <w:r w:rsidR="00A32A3A">
        <w:rPr>
          <w:b/>
          <w:bCs/>
          <w:color w:val="3366FF"/>
          <w:szCs w:val="24"/>
        </w:rPr>
        <w:br/>
      </w:r>
      <w:r w:rsidR="002411F0" w:rsidRPr="00103A06">
        <w:rPr>
          <w:szCs w:val="24"/>
        </w:rPr>
        <w:t xml:space="preserve">Explores mana protecting and enhancing practice in the implementation of the SACAT Act. </w:t>
      </w:r>
    </w:p>
    <w:p w14:paraId="52674148" w14:textId="4928F21D" w:rsidR="00286250" w:rsidRPr="00103A06" w:rsidRDefault="00000000" w:rsidP="00286250">
      <w:pPr>
        <w:pStyle w:val="Bodycopy"/>
        <w:rPr>
          <w:sz w:val="24"/>
          <w:szCs w:val="24"/>
        </w:rPr>
      </w:pPr>
      <w:hyperlink r:id="rId105" w:history="1">
        <w:r w:rsidR="002411F0" w:rsidRPr="00A32A3A">
          <w:rPr>
            <w:rStyle w:val="Hyperlink"/>
            <w:bCs/>
            <w:sz w:val="24"/>
            <w:szCs w:val="24"/>
          </w:rPr>
          <w:t>Single Session Family Consultation</w:t>
        </w:r>
      </w:hyperlink>
      <w:r w:rsidR="00A32A3A">
        <w:rPr>
          <w:sz w:val="24"/>
          <w:szCs w:val="24"/>
        </w:rPr>
        <w:br/>
      </w:r>
      <w:r w:rsidR="00286250" w:rsidRPr="00103A06">
        <w:rPr>
          <w:sz w:val="24"/>
          <w:szCs w:val="24"/>
        </w:rPr>
        <w:t xml:space="preserve">A model for engaging and meeting with whānau as part of the support process in mental health or addiction services. The website also lists trainers. </w:t>
      </w:r>
    </w:p>
    <w:p w14:paraId="60C2970D" w14:textId="478DAEBC" w:rsidR="00286250" w:rsidRPr="00A32A3A" w:rsidRDefault="00000000" w:rsidP="00286250">
      <w:pPr>
        <w:rPr>
          <w:rFonts w:cs="Arial"/>
          <w:bCs/>
          <w:color w:val="3366FF"/>
          <w:szCs w:val="24"/>
          <w:u w:val="single"/>
        </w:rPr>
      </w:pPr>
      <w:hyperlink r:id="rId106" w:history="1">
        <w:r w:rsidR="00286250" w:rsidRPr="00A32A3A">
          <w:rPr>
            <w:rStyle w:val="Hyperlink"/>
            <w:szCs w:val="24"/>
          </w:rPr>
          <w:t>Tātou tātou being with people and whānau</w:t>
        </w:r>
      </w:hyperlink>
      <w:r w:rsidR="00A32A3A">
        <w:rPr>
          <w:rStyle w:val="Hyperlink"/>
          <w:rFonts w:cs="Arial"/>
          <w:b w:val="0"/>
          <w:bCs/>
          <w:color w:val="3366FF"/>
          <w:szCs w:val="24"/>
        </w:rPr>
        <w:br/>
      </w:r>
      <w:r w:rsidR="00286250" w:rsidRPr="00103A06">
        <w:rPr>
          <w:szCs w:val="24"/>
        </w:rPr>
        <w:t>A resource on effective engagement with tāngata whai ora and whānau.</w:t>
      </w:r>
    </w:p>
    <w:p w14:paraId="6E670176" w14:textId="2132E363" w:rsidR="00286250" w:rsidRPr="00A32A3A" w:rsidRDefault="00000000" w:rsidP="00286250">
      <w:pPr>
        <w:rPr>
          <w:rFonts w:cs="Arial"/>
          <w:b/>
          <w:bCs/>
          <w:color w:val="00C7C7" w:themeColor="accent5" w:themeTint="BF"/>
          <w:szCs w:val="24"/>
        </w:rPr>
      </w:pPr>
      <w:hyperlink r:id="rId107" w:history="1">
        <w:r w:rsidR="00286250" w:rsidRPr="00A32A3A">
          <w:rPr>
            <w:rStyle w:val="Hyperlink"/>
            <w:szCs w:val="24"/>
          </w:rPr>
          <w:t>Weaving together knowledge for wellbeing</w:t>
        </w:r>
      </w:hyperlink>
      <w:r w:rsidR="00A32A3A">
        <w:rPr>
          <w:rFonts w:cs="Arial"/>
          <w:b/>
          <w:bCs/>
          <w:color w:val="00C7C7" w:themeColor="accent5" w:themeTint="BF"/>
          <w:szCs w:val="24"/>
        </w:rPr>
        <w:br/>
      </w:r>
      <w:r w:rsidR="00286250" w:rsidRPr="00103A06">
        <w:rPr>
          <w:szCs w:val="24"/>
        </w:rPr>
        <w:t>A resource on trauma-informed approaches.</w:t>
      </w:r>
    </w:p>
    <w:p w14:paraId="7D5B99D1" w14:textId="75F43E97" w:rsidR="00286250" w:rsidRPr="00A32A3A" w:rsidRDefault="00000000" w:rsidP="00286250">
      <w:pPr>
        <w:rPr>
          <w:b/>
          <w:bCs/>
          <w:color w:val="00C7C7" w:themeColor="accent5" w:themeTint="BF"/>
          <w:szCs w:val="24"/>
        </w:rPr>
      </w:pPr>
      <w:hyperlink r:id="rId108" w:history="1">
        <w:r w:rsidR="00286250" w:rsidRPr="00A32A3A">
          <w:rPr>
            <w:rStyle w:val="Hyperlink"/>
            <w:bCs/>
            <w:szCs w:val="24"/>
          </w:rPr>
          <w:t>Working with rainbow communities</w:t>
        </w:r>
      </w:hyperlink>
      <w:r w:rsidR="00A32A3A">
        <w:rPr>
          <w:b/>
          <w:bCs/>
          <w:color w:val="00C7C7" w:themeColor="accent5" w:themeTint="BF"/>
          <w:szCs w:val="24"/>
        </w:rPr>
        <w:br/>
      </w:r>
      <w:r w:rsidR="00286250" w:rsidRPr="00103A06">
        <w:rPr>
          <w:szCs w:val="24"/>
        </w:rPr>
        <w:t>A practical guide for working with people from rainbow communities. Written for mental health workers but widely applicable.</w:t>
      </w:r>
    </w:p>
    <w:p w14:paraId="410FA785" w14:textId="435328B4" w:rsidR="00286250" w:rsidRPr="00A32A3A" w:rsidRDefault="00000000" w:rsidP="00286250">
      <w:pPr>
        <w:rPr>
          <w:rFonts w:cs="Arial"/>
          <w:b/>
          <w:bCs/>
          <w:color w:val="00C7C7" w:themeColor="accent5" w:themeTint="BF"/>
          <w:szCs w:val="24"/>
        </w:rPr>
      </w:pPr>
      <w:hyperlink r:id="rId109" w:history="1">
        <w:r w:rsidR="00286250" w:rsidRPr="00A32A3A">
          <w:rPr>
            <w:rStyle w:val="Hyperlink"/>
            <w:szCs w:val="24"/>
          </w:rPr>
          <w:t>Yavu: Foundations of Pacific engagement</w:t>
        </w:r>
      </w:hyperlink>
      <w:r w:rsidR="00A32A3A">
        <w:rPr>
          <w:rFonts w:cs="Arial"/>
          <w:b/>
          <w:bCs/>
          <w:color w:val="00C7C7" w:themeColor="accent5" w:themeTint="BF"/>
          <w:szCs w:val="24"/>
        </w:rPr>
        <w:br/>
      </w:r>
      <w:r w:rsidR="00286250" w:rsidRPr="00103A06">
        <w:rPr>
          <w:szCs w:val="24"/>
        </w:rPr>
        <w:t xml:space="preserve">A report to guide effective engagement with Pasifika peoples. </w:t>
      </w:r>
    </w:p>
    <w:p w14:paraId="095BE850" w14:textId="77777777" w:rsidR="00122447" w:rsidRDefault="00122447" w:rsidP="00286250">
      <w:pPr>
        <w:rPr>
          <w:b/>
          <w:bCs/>
          <w:color w:val="4D2379" w:themeColor="accent4"/>
          <w:szCs w:val="24"/>
        </w:rPr>
      </w:pPr>
      <w:bookmarkStart w:id="2177" w:name="_Toc145670741"/>
      <w:bookmarkStart w:id="2178" w:name="_Toc145854355"/>
      <w:bookmarkStart w:id="2179" w:name="_Toc146024284"/>
      <w:bookmarkStart w:id="2180" w:name="_Toc146624877"/>
      <w:bookmarkStart w:id="2181" w:name="_Toc146714238"/>
      <w:bookmarkStart w:id="2182" w:name="_Toc178780169"/>
      <w:bookmarkStart w:id="2183" w:name="_Toc178838935"/>
      <w:bookmarkStart w:id="2184" w:name="_Toc178839122"/>
      <w:bookmarkStart w:id="2185" w:name="_Toc178839243"/>
      <w:bookmarkStart w:id="2186" w:name="_Toc178839471"/>
      <w:bookmarkStart w:id="2187" w:name="_Toc178841681"/>
      <w:bookmarkStart w:id="2188" w:name="_Toc179198241"/>
      <w:bookmarkStart w:id="2189" w:name="_Toc179198491"/>
      <w:bookmarkStart w:id="2190" w:name="_Toc179198598"/>
      <w:bookmarkStart w:id="2191" w:name="_Toc179198705"/>
      <w:bookmarkStart w:id="2192" w:name="_Toc179446149"/>
      <w:bookmarkStart w:id="2193" w:name="_Toc179447162"/>
      <w:bookmarkStart w:id="2194" w:name="_Toc179448701"/>
      <w:bookmarkStart w:id="2195" w:name="_Toc179448858"/>
      <w:bookmarkStart w:id="2196" w:name="_Toc179449227"/>
    </w:p>
    <w:p w14:paraId="109A7422" w14:textId="6DD11693" w:rsidR="00286250" w:rsidRPr="0072667D" w:rsidRDefault="00286250" w:rsidP="00286250">
      <w:pPr>
        <w:rPr>
          <w:b/>
          <w:bCs/>
          <w:color w:val="4D2379" w:themeColor="accent4"/>
          <w:sz w:val="28"/>
          <w:szCs w:val="28"/>
        </w:rPr>
      </w:pPr>
      <w:r w:rsidRPr="0072667D">
        <w:rPr>
          <w:b/>
          <w:bCs/>
          <w:color w:val="4D2379" w:themeColor="accent4"/>
          <w:sz w:val="28"/>
          <w:szCs w:val="28"/>
        </w:rPr>
        <w:t>Language guides – all roles</w:t>
      </w:r>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p>
    <w:p w14:paraId="3288DFDC" w14:textId="004BB167" w:rsidR="00286250" w:rsidRPr="00A32A3A" w:rsidRDefault="00000000" w:rsidP="00286250">
      <w:pPr>
        <w:rPr>
          <w:b/>
          <w:bCs/>
          <w:szCs w:val="24"/>
        </w:rPr>
      </w:pPr>
      <w:hyperlink r:id="rId110" w:history="1">
        <w:r w:rsidR="00286250" w:rsidRPr="00A32A3A">
          <w:rPr>
            <w:rStyle w:val="Hyperlink"/>
            <w:bCs/>
            <w:szCs w:val="24"/>
          </w:rPr>
          <w:t>Language matter</w:t>
        </w:r>
        <w:r w:rsidR="00A32A3A" w:rsidRPr="00A32A3A">
          <w:rPr>
            <w:rStyle w:val="Hyperlink"/>
            <w:bCs/>
            <w:szCs w:val="24"/>
          </w:rPr>
          <w:t>s</w:t>
        </w:r>
      </w:hyperlink>
      <w:r w:rsidR="00A32A3A">
        <w:rPr>
          <w:b/>
          <w:bCs/>
          <w:szCs w:val="24"/>
        </w:rPr>
        <w:br/>
      </w:r>
      <w:r w:rsidR="00286250" w:rsidRPr="00103A06">
        <w:rPr>
          <w:szCs w:val="24"/>
        </w:rPr>
        <w:t xml:space="preserve">A resource on language and its power when talking about addiction. </w:t>
      </w:r>
    </w:p>
    <w:p w14:paraId="61EC5A26" w14:textId="5E9BDA48" w:rsidR="00286250" w:rsidRPr="00A32A3A" w:rsidRDefault="00000000" w:rsidP="00286250">
      <w:pPr>
        <w:rPr>
          <w:b/>
          <w:bCs/>
          <w:color w:val="3366FF"/>
          <w:szCs w:val="24"/>
        </w:rPr>
      </w:pPr>
      <w:hyperlink r:id="rId111" w:history="1">
        <w:r w:rsidR="00286250" w:rsidRPr="00A32A3A">
          <w:rPr>
            <w:rStyle w:val="Hyperlink"/>
            <w:bCs/>
            <w:szCs w:val="24"/>
          </w:rPr>
          <w:t>Te Mana o te Kupu</w:t>
        </w:r>
      </w:hyperlink>
      <w:r w:rsidR="00A32A3A">
        <w:rPr>
          <w:b/>
          <w:bCs/>
          <w:color w:val="3366FF"/>
          <w:szCs w:val="24"/>
        </w:rPr>
        <w:br/>
      </w:r>
      <w:r w:rsidR="00286250" w:rsidRPr="00103A06">
        <w:rPr>
          <w:szCs w:val="24"/>
        </w:rPr>
        <w:t>A report on stigma, racism, discrimination, and AOD harm – how words influence outcomes.</w:t>
      </w:r>
    </w:p>
    <w:p w14:paraId="3C4E8929" w14:textId="415735EA" w:rsidR="00286250" w:rsidRPr="00A32A3A" w:rsidRDefault="00000000" w:rsidP="00286250">
      <w:pPr>
        <w:rPr>
          <w:b/>
          <w:bCs/>
          <w:color w:val="3366FF"/>
          <w:sz w:val="22"/>
        </w:rPr>
      </w:pPr>
      <w:hyperlink r:id="rId112" w:history="1">
        <w:r w:rsidR="00286250" w:rsidRPr="00A32A3A">
          <w:rPr>
            <w:rStyle w:val="Hyperlink"/>
            <w:bCs/>
            <w:szCs w:val="24"/>
          </w:rPr>
          <w:t>Te Reo Hāpai – The language of enrichment</w:t>
        </w:r>
      </w:hyperlink>
      <w:r w:rsidR="00A32A3A">
        <w:rPr>
          <w:b/>
          <w:bCs/>
          <w:color w:val="3366FF"/>
          <w:sz w:val="22"/>
        </w:rPr>
        <w:br/>
      </w:r>
      <w:r w:rsidR="00286250" w:rsidRPr="00122447">
        <w:rPr>
          <w:szCs w:val="24"/>
        </w:rPr>
        <w:t>A Māori language glossary from a strengths-based and mana-enhancing Māori worldview. </w:t>
      </w:r>
    </w:p>
    <w:p w14:paraId="6751A752" w14:textId="77777777" w:rsidR="00122447" w:rsidRDefault="00122447" w:rsidP="00286250">
      <w:pPr>
        <w:rPr>
          <w:b/>
          <w:bCs/>
          <w:color w:val="4D2379" w:themeColor="accent4"/>
        </w:rPr>
      </w:pPr>
      <w:bookmarkStart w:id="2197" w:name="_Toc145670742"/>
      <w:bookmarkStart w:id="2198" w:name="_Toc145854356"/>
      <w:bookmarkStart w:id="2199" w:name="_Toc146024285"/>
      <w:bookmarkStart w:id="2200" w:name="_Toc146624878"/>
      <w:bookmarkStart w:id="2201" w:name="_Toc146714239"/>
      <w:bookmarkStart w:id="2202" w:name="_Toc178780170"/>
      <w:bookmarkStart w:id="2203" w:name="_Toc178838936"/>
      <w:bookmarkStart w:id="2204" w:name="_Toc178839123"/>
      <w:bookmarkStart w:id="2205" w:name="_Toc178839244"/>
      <w:bookmarkStart w:id="2206" w:name="_Toc178839472"/>
      <w:bookmarkStart w:id="2207" w:name="_Toc178841682"/>
      <w:bookmarkStart w:id="2208" w:name="_Toc179198242"/>
      <w:bookmarkStart w:id="2209" w:name="_Toc179198492"/>
      <w:bookmarkStart w:id="2210" w:name="_Toc179198599"/>
      <w:bookmarkStart w:id="2211" w:name="_Toc179198706"/>
      <w:bookmarkStart w:id="2212" w:name="_Toc179446150"/>
      <w:bookmarkStart w:id="2213" w:name="_Toc179447163"/>
      <w:bookmarkStart w:id="2214" w:name="_Toc179448702"/>
      <w:bookmarkStart w:id="2215" w:name="_Toc179448859"/>
      <w:bookmarkStart w:id="2216" w:name="_Toc179449228"/>
    </w:p>
    <w:p w14:paraId="2BF0BFB0" w14:textId="25EBEF8C" w:rsidR="00286250" w:rsidRPr="0072667D" w:rsidRDefault="00286250" w:rsidP="00286250">
      <w:pPr>
        <w:rPr>
          <w:b/>
          <w:bCs/>
          <w:color w:val="4D2379" w:themeColor="accent4"/>
          <w:sz w:val="28"/>
          <w:szCs w:val="28"/>
        </w:rPr>
      </w:pPr>
      <w:r w:rsidRPr="0072667D">
        <w:rPr>
          <w:b/>
          <w:bCs/>
          <w:color w:val="4D2379" w:themeColor="accent4"/>
          <w:sz w:val="28"/>
          <w:szCs w:val="28"/>
        </w:rPr>
        <w:t>Consumer, peer support, and lived experience (CPSLE) roles</w:t>
      </w:r>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r w:rsidRPr="0072667D">
        <w:rPr>
          <w:b/>
          <w:bCs/>
          <w:color w:val="4D2379" w:themeColor="accent4"/>
          <w:sz w:val="28"/>
          <w:szCs w:val="28"/>
        </w:rPr>
        <w:t xml:space="preserve"> </w:t>
      </w:r>
    </w:p>
    <w:p w14:paraId="08C9B164" w14:textId="2F33CEA9" w:rsidR="00286250" w:rsidRPr="00A32A3A" w:rsidRDefault="00000000" w:rsidP="00103A06">
      <w:pPr>
        <w:rPr>
          <w:b/>
          <w:bCs/>
          <w:color w:val="3366FF"/>
          <w:szCs w:val="24"/>
        </w:rPr>
      </w:pPr>
      <w:hyperlink r:id="rId113" w:history="1">
        <w:r w:rsidR="00286250" w:rsidRPr="00A32A3A">
          <w:rPr>
            <w:rStyle w:val="Hyperlink"/>
            <w:bCs/>
            <w:szCs w:val="24"/>
          </w:rPr>
          <w:t>CPSLE competencies</w:t>
        </w:r>
      </w:hyperlink>
      <w:r w:rsidR="00A32A3A">
        <w:rPr>
          <w:b/>
          <w:bCs/>
          <w:color w:val="3366FF"/>
          <w:szCs w:val="24"/>
        </w:rPr>
        <w:br/>
      </w:r>
      <w:r w:rsidR="00286250" w:rsidRPr="00103A06">
        <w:rPr>
          <w:szCs w:val="24"/>
        </w:rPr>
        <w:t xml:space="preserve">Competencies for the consumer, peer support, and lived experience workforce. </w:t>
      </w:r>
    </w:p>
    <w:p w14:paraId="6E375141" w14:textId="0859C709" w:rsidR="00286250" w:rsidRPr="00A32A3A" w:rsidRDefault="00000000" w:rsidP="00103A06">
      <w:pPr>
        <w:rPr>
          <w:b/>
          <w:bCs/>
          <w:color w:val="00C7C7" w:themeColor="accent5" w:themeTint="BF"/>
          <w:szCs w:val="24"/>
        </w:rPr>
      </w:pPr>
      <w:hyperlink r:id="rId114" w:history="1">
        <w:r w:rsidR="00286250" w:rsidRPr="00A32A3A">
          <w:rPr>
            <w:rStyle w:val="Hyperlink"/>
            <w:bCs/>
            <w:szCs w:val="24"/>
          </w:rPr>
          <w:t>CPSLE strategy</w:t>
        </w:r>
      </w:hyperlink>
      <w:r w:rsidR="00A32A3A">
        <w:rPr>
          <w:b/>
          <w:bCs/>
          <w:color w:val="00C7C7" w:themeColor="accent5" w:themeTint="BF"/>
          <w:szCs w:val="24"/>
        </w:rPr>
        <w:br/>
      </w:r>
      <w:r w:rsidR="00286250" w:rsidRPr="00103A06">
        <w:rPr>
          <w:szCs w:val="24"/>
        </w:rPr>
        <w:t>Consumer, peer support, and lived experience strategy.</w:t>
      </w:r>
    </w:p>
    <w:p w14:paraId="1FAA5D44" w14:textId="37E88FEB" w:rsidR="00286250" w:rsidRPr="00A32A3A" w:rsidRDefault="00000000" w:rsidP="00103A06">
      <w:pPr>
        <w:rPr>
          <w:b/>
          <w:bCs/>
          <w:color w:val="3366FF"/>
          <w:szCs w:val="24"/>
        </w:rPr>
      </w:pPr>
      <w:hyperlink r:id="rId115" w:history="1">
        <w:r w:rsidR="00286250" w:rsidRPr="00A32A3A">
          <w:rPr>
            <w:rStyle w:val="Hyperlink"/>
            <w:bCs/>
            <w:szCs w:val="24"/>
          </w:rPr>
          <w:t>Tupu a Nuku ki te Wheiao</w:t>
        </w:r>
      </w:hyperlink>
      <w:r w:rsidR="00A32A3A">
        <w:rPr>
          <w:b/>
          <w:bCs/>
          <w:color w:val="3366FF"/>
          <w:szCs w:val="24"/>
        </w:rPr>
        <w:br/>
      </w:r>
      <w:r w:rsidR="00286250" w:rsidRPr="00103A06">
        <w:rPr>
          <w:szCs w:val="24"/>
        </w:rPr>
        <w:t xml:space="preserve">Alcohol and other drug lived experience workforce framework. </w:t>
      </w:r>
    </w:p>
    <w:p w14:paraId="33ED4DF7" w14:textId="77777777" w:rsidR="00122447" w:rsidRDefault="00122447" w:rsidP="00286250">
      <w:pPr>
        <w:rPr>
          <w:b/>
          <w:bCs/>
          <w:color w:val="4D2379" w:themeColor="accent4"/>
        </w:rPr>
      </w:pPr>
      <w:bookmarkStart w:id="2217" w:name="_Toc145670743"/>
      <w:bookmarkStart w:id="2218" w:name="_Toc145854357"/>
      <w:bookmarkStart w:id="2219" w:name="_Toc146024286"/>
      <w:bookmarkStart w:id="2220" w:name="_Toc146624879"/>
      <w:bookmarkStart w:id="2221" w:name="_Toc146714240"/>
      <w:bookmarkStart w:id="2222" w:name="_Toc178780171"/>
      <w:bookmarkStart w:id="2223" w:name="_Toc178838937"/>
      <w:bookmarkStart w:id="2224" w:name="_Toc178839124"/>
      <w:bookmarkStart w:id="2225" w:name="_Toc178839245"/>
      <w:bookmarkStart w:id="2226" w:name="_Toc178839473"/>
      <w:bookmarkStart w:id="2227" w:name="_Toc178841683"/>
      <w:bookmarkStart w:id="2228" w:name="_Toc179198243"/>
      <w:bookmarkStart w:id="2229" w:name="_Toc179198493"/>
      <w:bookmarkStart w:id="2230" w:name="_Toc179198600"/>
      <w:bookmarkStart w:id="2231" w:name="_Toc179198707"/>
      <w:bookmarkStart w:id="2232" w:name="_Toc179446151"/>
      <w:bookmarkStart w:id="2233" w:name="_Toc179447164"/>
      <w:bookmarkStart w:id="2234" w:name="_Toc179448703"/>
      <w:bookmarkStart w:id="2235" w:name="_Toc179448860"/>
      <w:bookmarkStart w:id="2236" w:name="_Toc179449229"/>
    </w:p>
    <w:p w14:paraId="65C8C5FA" w14:textId="428CF059" w:rsidR="00286250" w:rsidRPr="0072667D" w:rsidRDefault="00286250" w:rsidP="00286250">
      <w:pPr>
        <w:rPr>
          <w:b/>
          <w:bCs/>
          <w:color w:val="4D2379" w:themeColor="accent4"/>
          <w:sz w:val="28"/>
          <w:szCs w:val="28"/>
        </w:rPr>
      </w:pPr>
      <w:r w:rsidRPr="0072667D">
        <w:rPr>
          <w:b/>
          <w:bCs/>
          <w:color w:val="4D2379" w:themeColor="accent4"/>
          <w:sz w:val="28"/>
          <w:szCs w:val="28"/>
        </w:rPr>
        <w:lastRenderedPageBreak/>
        <w:t>Support workers</w:t>
      </w:r>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p>
    <w:p w14:paraId="35DFE5E7" w14:textId="344DD2E0" w:rsidR="00C5577A" w:rsidRPr="00A32A3A" w:rsidRDefault="00000000" w:rsidP="00122447">
      <w:pPr>
        <w:rPr>
          <w:b/>
          <w:bCs/>
          <w:color w:val="3366FF"/>
          <w:szCs w:val="24"/>
        </w:rPr>
      </w:pPr>
      <w:hyperlink r:id="rId116" w:history="1">
        <w:r w:rsidR="00C5577A" w:rsidRPr="00A32A3A">
          <w:rPr>
            <w:rStyle w:val="Hyperlink"/>
            <w:bCs/>
            <w:szCs w:val="24"/>
          </w:rPr>
          <w:t>Online training for support workers</w:t>
        </w:r>
      </w:hyperlink>
      <w:r w:rsidR="00A32A3A">
        <w:rPr>
          <w:b/>
          <w:bCs/>
          <w:color w:val="3366FF"/>
          <w:szCs w:val="24"/>
        </w:rPr>
        <w:br/>
      </w:r>
      <w:r w:rsidR="00C5577A" w:rsidRPr="00122447">
        <w:rPr>
          <w:szCs w:val="24"/>
        </w:rPr>
        <w:t xml:space="preserve">A range of training options available for support workers in different areas including addiction and physical health. </w:t>
      </w:r>
    </w:p>
    <w:p w14:paraId="79A91AC2" w14:textId="4B63A1AA" w:rsidR="00C5577A" w:rsidRPr="00A32A3A" w:rsidRDefault="00000000" w:rsidP="00122447">
      <w:pPr>
        <w:rPr>
          <w:b/>
          <w:szCs w:val="24"/>
          <w:u w:val="single"/>
        </w:rPr>
      </w:pPr>
      <w:hyperlink r:id="rId117" w:history="1">
        <w:r w:rsidR="00C5577A" w:rsidRPr="00A32A3A">
          <w:rPr>
            <w:rStyle w:val="Hyperlink"/>
            <w:bCs/>
            <w:szCs w:val="24"/>
          </w:rPr>
          <w:t>Supervision for support workers</w:t>
        </w:r>
      </w:hyperlink>
      <w:r w:rsidR="00A32A3A">
        <w:rPr>
          <w:rStyle w:val="Hyperlink"/>
          <w:szCs w:val="24"/>
        </w:rPr>
        <w:br/>
      </w:r>
      <w:r w:rsidR="00C5577A" w:rsidRPr="00122447">
        <w:rPr>
          <w:szCs w:val="24"/>
        </w:rPr>
        <w:t xml:space="preserve">Evidence updates on supervision for support workers. </w:t>
      </w:r>
    </w:p>
    <w:p w14:paraId="4B3307FD" w14:textId="77777777" w:rsidR="00122447" w:rsidRDefault="00122447" w:rsidP="00C5577A">
      <w:pPr>
        <w:rPr>
          <w:b/>
          <w:bCs/>
          <w:color w:val="4D2379" w:themeColor="accent4"/>
        </w:rPr>
      </w:pPr>
      <w:bookmarkStart w:id="2237" w:name="_Toc145670744"/>
      <w:bookmarkStart w:id="2238" w:name="_Toc145854358"/>
      <w:bookmarkStart w:id="2239" w:name="_Toc146024287"/>
      <w:bookmarkStart w:id="2240" w:name="_Toc146624880"/>
      <w:bookmarkStart w:id="2241" w:name="_Toc146714241"/>
      <w:bookmarkStart w:id="2242" w:name="_Toc178780172"/>
      <w:bookmarkStart w:id="2243" w:name="_Toc178838938"/>
      <w:bookmarkStart w:id="2244" w:name="_Toc178839125"/>
      <w:bookmarkStart w:id="2245" w:name="_Toc178839246"/>
      <w:bookmarkStart w:id="2246" w:name="_Toc178839474"/>
      <w:bookmarkStart w:id="2247" w:name="_Toc178841684"/>
      <w:bookmarkStart w:id="2248" w:name="_Toc179198244"/>
      <w:bookmarkStart w:id="2249" w:name="_Toc179198494"/>
      <w:bookmarkStart w:id="2250" w:name="_Toc179198601"/>
      <w:bookmarkStart w:id="2251" w:name="_Toc179198708"/>
      <w:bookmarkStart w:id="2252" w:name="_Toc179446152"/>
      <w:bookmarkStart w:id="2253" w:name="_Toc179447165"/>
      <w:bookmarkStart w:id="2254" w:name="_Toc179448704"/>
      <w:bookmarkStart w:id="2255" w:name="_Toc179448861"/>
      <w:bookmarkStart w:id="2256" w:name="_Toc179449230"/>
    </w:p>
    <w:p w14:paraId="6774898C" w14:textId="31D4C915" w:rsidR="00C5577A" w:rsidRPr="0072667D" w:rsidRDefault="00C5577A" w:rsidP="00C5577A">
      <w:pPr>
        <w:rPr>
          <w:b/>
          <w:bCs/>
          <w:color w:val="4D2379" w:themeColor="accent4"/>
          <w:sz w:val="28"/>
          <w:szCs w:val="28"/>
        </w:rPr>
      </w:pPr>
      <w:r w:rsidRPr="0072667D">
        <w:rPr>
          <w:b/>
          <w:bCs/>
          <w:color w:val="4D2379" w:themeColor="accent4"/>
          <w:sz w:val="28"/>
          <w:szCs w:val="28"/>
        </w:rPr>
        <w:t>Roles assessing for the SACAT</w:t>
      </w:r>
      <w:bookmarkEnd w:id="2237"/>
      <w:bookmarkEnd w:id="2238"/>
      <w:bookmarkEnd w:id="2239"/>
      <w:r w:rsidRPr="0072667D">
        <w:rPr>
          <w:b/>
          <w:bCs/>
          <w:color w:val="4D2379" w:themeColor="accent4"/>
          <w:sz w:val="28"/>
          <w:szCs w:val="28"/>
        </w:rPr>
        <w:t xml:space="preserve"> Act</w:t>
      </w:r>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p>
    <w:p w14:paraId="79F81262" w14:textId="27B0BC17" w:rsidR="00C5577A" w:rsidRPr="00A32A3A" w:rsidRDefault="00000000" w:rsidP="00122447">
      <w:pPr>
        <w:rPr>
          <w:bCs/>
          <w:color w:val="00C7C7" w:themeColor="accent5" w:themeTint="BF"/>
          <w:szCs w:val="24"/>
          <w:u w:val="single"/>
        </w:rPr>
      </w:pPr>
      <w:hyperlink r:id="rId118" w:history="1">
        <w:r w:rsidR="00C5577A" w:rsidRPr="00A32A3A">
          <w:rPr>
            <w:rStyle w:val="Hyperlink"/>
            <w:bCs/>
            <w:szCs w:val="24"/>
          </w:rPr>
          <w:t>CAT-CAT tool</w:t>
        </w:r>
      </w:hyperlink>
      <w:r w:rsidR="00A32A3A">
        <w:rPr>
          <w:rStyle w:val="Hyperlink"/>
          <w:b w:val="0"/>
          <w:bCs/>
          <w:color w:val="00C7C7" w:themeColor="accent5" w:themeTint="BF"/>
          <w:szCs w:val="24"/>
        </w:rPr>
        <w:br/>
      </w:r>
      <w:r w:rsidR="00C5577A" w:rsidRPr="00122447">
        <w:rPr>
          <w:szCs w:val="24"/>
        </w:rPr>
        <w:t xml:space="preserve">E-learning for authorised officers and responsible clinicians. </w:t>
      </w:r>
    </w:p>
    <w:p w14:paraId="6373118D" w14:textId="11D419EE" w:rsidR="00C5577A" w:rsidRDefault="00000000" w:rsidP="00122447">
      <w:pPr>
        <w:rPr>
          <w:szCs w:val="24"/>
        </w:rPr>
      </w:pPr>
      <w:hyperlink r:id="rId119" w:history="1">
        <w:r w:rsidR="00C5577A" w:rsidRPr="00A32A3A">
          <w:rPr>
            <w:rStyle w:val="Hyperlink"/>
            <w:bCs/>
            <w:szCs w:val="24"/>
          </w:rPr>
          <w:t>Guideline on assessing capacity to make decisions about treatment for severe substance addiction</w:t>
        </w:r>
      </w:hyperlink>
      <w:r w:rsidR="00A32A3A">
        <w:rPr>
          <w:szCs w:val="24"/>
        </w:rPr>
        <w:br/>
      </w:r>
      <w:r w:rsidR="00C5577A" w:rsidRPr="00122447">
        <w:rPr>
          <w:szCs w:val="24"/>
        </w:rPr>
        <w:t>Guidelines on how to properly assess capacity within a SACAT Act context.</w:t>
      </w:r>
    </w:p>
    <w:p w14:paraId="797666FA" w14:textId="77777777" w:rsidR="00122447" w:rsidRPr="00122447" w:rsidRDefault="00122447" w:rsidP="00122447">
      <w:pPr>
        <w:rPr>
          <w:szCs w:val="24"/>
        </w:rPr>
      </w:pPr>
    </w:p>
    <w:p w14:paraId="507542A9" w14:textId="77777777" w:rsidR="00C5577A" w:rsidRPr="0072667D" w:rsidRDefault="00C5577A" w:rsidP="00C5577A">
      <w:pPr>
        <w:rPr>
          <w:b/>
          <w:bCs/>
          <w:color w:val="4D2379" w:themeColor="accent4"/>
          <w:sz w:val="28"/>
          <w:szCs w:val="28"/>
        </w:rPr>
      </w:pPr>
      <w:bookmarkStart w:id="2257" w:name="_Toc145670745"/>
      <w:bookmarkStart w:id="2258" w:name="_Toc145854359"/>
      <w:bookmarkStart w:id="2259" w:name="_Toc146024288"/>
      <w:bookmarkStart w:id="2260" w:name="_Toc146624881"/>
      <w:bookmarkStart w:id="2261" w:name="_Toc146714242"/>
      <w:bookmarkStart w:id="2262" w:name="_Toc178780173"/>
      <w:bookmarkStart w:id="2263" w:name="_Toc178838939"/>
      <w:bookmarkStart w:id="2264" w:name="_Toc178839126"/>
      <w:bookmarkStart w:id="2265" w:name="_Toc178839247"/>
      <w:bookmarkStart w:id="2266" w:name="_Toc178839475"/>
      <w:bookmarkStart w:id="2267" w:name="_Toc178841685"/>
      <w:bookmarkStart w:id="2268" w:name="_Toc179198245"/>
      <w:bookmarkStart w:id="2269" w:name="_Toc179198495"/>
      <w:bookmarkStart w:id="2270" w:name="_Toc179198602"/>
      <w:bookmarkStart w:id="2271" w:name="_Toc179198709"/>
      <w:bookmarkStart w:id="2272" w:name="_Toc179446153"/>
      <w:bookmarkStart w:id="2273" w:name="_Toc179447166"/>
      <w:bookmarkStart w:id="2274" w:name="_Toc179448705"/>
      <w:bookmarkStart w:id="2275" w:name="_Toc179448862"/>
      <w:bookmarkStart w:id="2276" w:name="_Toc179449231"/>
      <w:r w:rsidRPr="0072667D">
        <w:rPr>
          <w:b/>
          <w:bCs/>
          <w:color w:val="4D2379" w:themeColor="accent4"/>
          <w:sz w:val="28"/>
          <w:szCs w:val="28"/>
        </w:rPr>
        <w:t>Relevant guidelines</w:t>
      </w:r>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p>
    <w:p w14:paraId="1FF9A8A0" w14:textId="3C9F47E9" w:rsidR="00C5577A" w:rsidRPr="00122447" w:rsidRDefault="00000000" w:rsidP="00C5577A">
      <w:pPr>
        <w:rPr>
          <w:szCs w:val="24"/>
        </w:rPr>
      </w:pPr>
      <w:hyperlink r:id="rId120" w:history="1">
        <w:r w:rsidR="00C5577A" w:rsidRPr="00A32A3A">
          <w:rPr>
            <w:rStyle w:val="Hyperlink"/>
            <w:bCs/>
            <w:szCs w:val="24"/>
          </w:rPr>
          <w:t>Mental health and addiction screening and assessment</w:t>
        </w:r>
      </w:hyperlink>
      <w:r w:rsidR="00A32A3A">
        <w:rPr>
          <w:szCs w:val="24"/>
        </w:rPr>
        <w:br/>
      </w:r>
      <w:r w:rsidR="00C5577A" w:rsidRPr="00122447">
        <w:rPr>
          <w:szCs w:val="24"/>
        </w:rPr>
        <w:t xml:space="preserve">Provides guidance on AOD screening and comprehensive assessment. </w:t>
      </w:r>
    </w:p>
    <w:p w14:paraId="2E231BC1" w14:textId="1148CF0D" w:rsidR="00C5577A" w:rsidRPr="00122447" w:rsidRDefault="00000000" w:rsidP="00C5577A">
      <w:pPr>
        <w:rPr>
          <w:szCs w:val="24"/>
        </w:rPr>
      </w:pPr>
      <w:hyperlink r:id="rId121" w:history="1">
        <w:r w:rsidR="00C5577A" w:rsidRPr="00A32A3A">
          <w:rPr>
            <w:rStyle w:val="Hyperlink"/>
            <w:bCs/>
            <w:szCs w:val="24"/>
          </w:rPr>
          <w:t>Substance withdrawal management: Guidelines for medical and nursing practitioners</w:t>
        </w:r>
      </w:hyperlink>
      <w:r w:rsidR="00A32A3A">
        <w:rPr>
          <w:szCs w:val="24"/>
        </w:rPr>
        <w:br/>
      </w:r>
      <w:r w:rsidR="00C5577A" w:rsidRPr="00122447">
        <w:rPr>
          <w:szCs w:val="24"/>
        </w:rPr>
        <w:t xml:space="preserve">How to manage withdrawal. Includes guidance for thiamine supplementation. </w:t>
      </w:r>
    </w:p>
    <w:p w14:paraId="75E768A3" w14:textId="620D0E4E" w:rsidR="00C5577A" w:rsidRPr="00A32A3A" w:rsidRDefault="00000000" w:rsidP="00C5577A">
      <w:pPr>
        <w:rPr>
          <w:b/>
          <w:bCs/>
          <w:color w:val="3366FF"/>
          <w:szCs w:val="24"/>
        </w:rPr>
      </w:pPr>
      <w:hyperlink r:id="rId122" w:history="1">
        <w:r w:rsidR="00C5577A" w:rsidRPr="00A32A3A">
          <w:rPr>
            <w:rStyle w:val="Hyperlink"/>
            <w:bCs/>
            <w:szCs w:val="24"/>
          </w:rPr>
          <w:t>Supporting Parents, Healthy Children</w:t>
        </w:r>
      </w:hyperlink>
      <w:r w:rsidR="00A32A3A">
        <w:rPr>
          <w:b/>
          <w:bCs/>
          <w:color w:val="3366FF"/>
          <w:szCs w:val="24"/>
        </w:rPr>
        <w:br/>
      </w:r>
      <w:r w:rsidR="00C5577A" w:rsidRPr="00122447">
        <w:rPr>
          <w:szCs w:val="24"/>
        </w:rPr>
        <w:t xml:space="preserve">Guide for supporting children of people accessing mental health and addiction services. </w:t>
      </w:r>
    </w:p>
    <w:p w14:paraId="07E920CB" w14:textId="2B5860C8" w:rsidR="00C5577A" w:rsidRPr="00A32A3A" w:rsidRDefault="00000000" w:rsidP="00C5577A">
      <w:pPr>
        <w:rPr>
          <w:b/>
          <w:bCs/>
          <w:color w:val="00C7C7" w:themeColor="accent5" w:themeTint="BF"/>
          <w:szCs w:val="24"/>
        </w:rPr>
      </w:pPr>
      <w:hyperlink r:id="rId123" w:history="1">
        <w:r w:rsidR="00C5577A" w:rsidRPr="00A32A3A">
          <w:rPr>
            <w:rStyle w:val="Hyperlink"/>
            <w:bCs/>
            <w:szCs w:val="24"/>
          </w:rPr>
          <w:t>Te Ariari o te Oranga: The assessment and management of people with co-existing mental health and substance use problems</w:t>
        </w:r>
      </w:hyperlink>
      <w:r w:rsidR="00A32A3A">
        <w:rPr>
          <w:b/>
          <w:bCs/>
          <w:color w:val="00C7C7" w:themeColor="accent5" w:themeTint="BF"/>
          <w:szCs w:val="24"/>
        </w:rPr>
        <w:br/>
      </w:r>
      <w:r w:rsidR="00C5577A" w:rsidRPr="00122447">
        <w:rPr>
          <w:szCs w:val="24"/>
        </w:rPr>
        <w:t xml:space="preserve">Provides guidance on assessment and support for co-existing problems. </w:t>
      </w:r>
    </w:p>
    <w:p w14:paraId="5CA18B91" w14:textId="77777777" w:rsidR="006B376E" w:rsidRPr="00122447" w:rsidRDefault="006B376E" w:rsidP="00C5577A">
      <w:pPr>
        <w:rPr>
          <w:szCs w:val="24"/>
        </w:rPr>
      </w:pPr>
    </w:p>
    <w:p w14:paraId="159BD122" w14:textId="0E9DCF82" w:rsidR="00C5577A" w:rsidRPr="002B1D1C" w:rsidRDefault="009501E3" w:rsidP="0072667D">
      <w:pPr>
        <w:pStyle w:val="Section4Heading2"/>
      </w:pPr>
      <w:bookmarkStart w:id="2277" w:name="_Toc179539240"/>
      <w:bookmarkStart w:id="2278" w:name="_Toc179539356"/>
      <w:bookmarkStart w:id="2279" w:name="_Toc179539494"/>
      <w:bookmarkStart w:id="2280" w:name="_Toc179539591"/>
      <w:bookmarkStart w:id="2281" w:name="_Toc179539676"/>
      <w:bookmarkStart w:id="2282" w:name="_Toc179539766"/>
      <w:bookmarkStart w:id="2283" w:name="_Toc179540450"/>
      <w:bookmarkStart w:id="2284" w:name="_Toc179541795"/>
      <w:bookmarkStart w:id="2285" w:name="_Toc179542987"/>
      <w:bookmarkStart w:id="2286" w:name="_Toc180571315"/>
      <w:bookmarkStart w:id="2287" w:name="_Toc172095797"/>
      <w:bookmarkStart w:id="2288" w:name="_Toc178780174"/>
      <w:bookmarkStart w:id="2289" w:name="_Toc178838940"/>
      <w:bookmarkStart w:id="2290" w:name="_Toc178839127"/>
      <w:bookmarkStart w:id="2291" w:name="_Toc178839248"/>
      <w:bookmarkStart w:id="2292" w:name="_Toc178839476"/>
      <w:bookmarkStart w:id="2293" w:name="_Toc178841686"/>
      <w:bookmarkStart w:id="2294" w:name="_Toc179198246"/>
      <w:bookmarkStart w:id="2295" w:name="_Toc179198496"/>
      <w:bookmarkStart w:id="2296" w:name="_Toc179198603"/>
      <w:bookmarkStart w:id="2297" w:name="_Toc179198710"/>
      <w:bookmarkStart w:id="2298" w:name="_Toc179446154"/>
      <w:bookmarkStart w:id="2299" w:name="_Toc179447167"/>
      <w:bookmarkStart w:id="2300" w:name="_Toc179448706"/>
      <w:bookmarkStart w:id="2301" w:name="_Toc179448863"/>
      <w:bookmarkStart w:id="2302" w:name="_Toc179449232"/>
      <w:r w:rsidRPr="002B1D1C">
        <w:t xml:space="preserve">Workforce </w:t>
      </w:r>
      <w:r w:rsidR="002B1D1C" w:rsidRPr="002B1D1C">
        <w:t xml:space="preserve">Community support for people and </w:t>
      </w:r>
      <w:r w:rsidR="002B1D1C" w:rsidRPr="002B1D1C">
        <w:rPr>
          <w:bCs/>
        </w:rPr>
        <w:t>whānau</w:t>
      </w:r>
      <w:bookmarkEnd w:id="2277"/>
      <w:bookmarkEnd w:id="2278"/>
      <w:bookmarkEnd w:id="2279"/>
      <w:bookmarkEnd w:id="2280"/>
      <w:bookmarkEnd w:id="2281"/>
      <w:bookmarkEnd w:id="2282"/>
      <w:bookmarkEnd w:id="2283"/>
      <w:bookmarkEnd w:id="2284"/>
      <w:bookmarkEnd w:id="2285"/>
      <w:bookmarkEnd w:id="2286"/>
      <w:r w:rsidR="002B1D1C" w:rsidRPr="002B1D1C">
        <w:t xml:space="preserve"> </w:t>
      </w:r>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p>
    <w:p w14:paraId="058EA180" w14:textId="2881DBD6" w:rsidR="00C5577A" w:rsidRPr="00A32A3A" w:rsidRDefault="00000000" w:rsidP="00A32A3A">
      <w:pPr>
        <w:rPr>
          <w:b/>
          <w:bCs/>
          <w:color w:val="00C7C7" w:themeColor="accent5" w:themeTint="BF"/>
          <w:szCs w:val="24"/>
        </w:rPr>
      </w:pPr>
      <w:hyperlink r:id="rId124" w:history="1">
        <w:r w:rsidR="00C5577A" w:rsidRPr="00A32A3A">
          <w:rPr>
            <w:rStyle w:val="Hyperlink"/>
            <w:bCs/>
            <w:szCs w:val="24"/>
          </w:rPr>
          <w:t>ACC</w:t>
        </w:r>
      </w:hyperlink>
      <w:r w:rsidR="00A32A3A">
        <w:rPr>
          <w:b/>
          <w:bCs/>
          <w:szCs w:val="24"/>
        </w:rPr>
        <w:br/>
      </w:r>
      <w:r w:rsidR="00C5577A" w:rsidRPr="00122447">
        <w:rPr>
          <w:szCs w:val="24"/>
        </w:rPr>
        <w:t>Resources for people and whānau. Financial support for healthcare after any injury.</w:t>
      </w:r>
    </w:p>
    <w:p w14:paraId="7A346C6B" w14:textId="7E6EE5CF" w:rsidR="00C5577A" w:rsidRPr="00A32A3A" w:rsidRDefault="00000000" w:rsidP="00C5577A">
      <w:pPr>
        <w:spacing w:after="160" w:line="259" w:lineRule="auto"/>
        <w:rPr>
          <w:b/>
          <w:bCs/>
          <w:color w:val="3366FF"/>
          <w:szCs w:val="24"/>
        </w:rPr>
      </w:pPr>
      <w:hyperlink r:id="rId125" w:history="1">
        <w:r w:rsidR="00C5577A" w:rsidRPr="00A32A3A">
          <w:rPr>
            <w:rStyle w:val="Hyperlink"/>
            <w:bCs/>
            <w:szCs w:val="24"/>
          </w:rPr>
          <w:t>ADHD New Zealand</w:t>
        </w:r>
      </w:hyperlink>
      <w:r w:rsidR="00A32A3A">
        <w:rPr>
          <w:b/>
          <w:bCs/>
          <w:color w:val="3366FF"/>
          <w:szCs w:val="24"/>
        </w:rPr>
        <w:br/>
      </w:r>
      <w:r w:rsidR="00C5577A" w:rsidRPr="00122447">
        <w:rPr>
          <w:szCs w:val="24"/>
        </w:rPr>
        <w:t xml:space="preserve">Support services for people with ADHD and whānau. </w:t>
      </w:r>
    </w:p>
    <w:p w14:paraId="2A249D04" w14:textId="49416059" w:rsidR="0015078F" w:rsidRPr="00A32A3A" w:rsidRDefault="00000000" w:rsidP="0015078F">
      <w:pPr>
        <w:spacing w:after="160" w:line="259" w:lineRule="auto"/>
        <w:rPr>
          <w:b/>
          <w:szCs w:val="24"/>
          <w:u w:val="single"/>
        </w:rPr>
      </w:pPr>
      <w:hyperlink r:id="rId126" w:history="1">
        <w:r w:rsidR="00C5577A" w:rsidRPr="00A32A3A">
          <w:rPr>
            <w:rStyle w:val="Hyperlink"/>
            <w:bCs/>
            <w:szCs w:val="24"/>
          </w:rPr>
          <w:t>Asian Family Services</w:t>
        </w:r>
      </w:hyperlink>
      <w:r w:rsidR="00A32A3A">
        <w:rPr>
          <w:rStyle w:val="Hyperlink"/>
          <w:szCs w:val="24"/>
        </w:rPr>
        <w:br/>
      </w:r>
      <w:r w:rsidR="0015078F" w:rsidRPr="00122447">
        <w:rPr>
          <w:szCs w:val="24"/>
        </w:rPr>
        <w:t xml:space="preserve">Support for Asian peoples including how to navigate health services, crisis, and emotional support. </w:t>
      </w:r>
    </w:p>
    <w:p w14:paraId="2DE92F9D" w14:textId="6046D39A" w:rsidR="0015078F" w:rsidRPr="00A32A3A" w:rsidRDefault="00000000" w:rsidP="0015078F">
      <w:pPr>
        <w:spacing w:after="160" w:line="259" w:lineRule="auto"/>
        <w:rPr>
          <w:b/>
          <w:bCs/>
          <w:color w:val="00C7C7" w:themeColor="accent5" w:themeTint="BF"/>
          <w:szCs w:val="24"/>
        </w:rPr>
      </w:pPr>
      <w:hyperlink r:id="rId127" w:history="1">
        <w:r w:rsidR="0015078F" w:rsidRPr="00A32A3A">
          <w:rPr>
            <w:rStyle w:val="Hyperlink"/>
            <w:bCs/>
            <w:szCs w:val="24"/>
          </w:rPr>
          <w:t>Alzheimers New Zealand</w:t>
        </w:r>
      </w:hyperlink>
      <w:r w:rsidR="00A32A3A">
        <w:rPr>
          <w:b/>
          <w:bCs/>
          <w:color w:val="00C7C7" w:themeColor="accent5" w:themeTint="BF"/>
          <w:szCs w:val="24"/>
        </w:rPr>
        <w:br/>
      </w:r>
      <w:r w:rsidR="0015078F" w:rsidRPr="00122447">
        <w:rPr>
          <w:szCs w:val="24"/>
        </w:rPr>
        <w:t xml:space="preserve">Support services and information for people with Alzheimer’s disease and whānau. </w:t>
      </w:r>
    </w:p>
    <w:p w14:paraId="1DB120A0" w14:textId="6E0048B3" w:rsidR="0015078F" w:rsidRPr="00122447" w:rsidRDefault="00000000" w:rsidP="0015078F">
      <w:pPr>
        <w:spacing w:after="160" w:line="259" w:lineRule="auto"/>
        <w:rPr>
          <w:szCs w:val="24"/>
        </w:rPr>
      </w:pPr>
      <w:hyperlink r:id="rId128" w:history="1">
        <w:r w:rsidR="0015078F" w:rsidRPr="00A32A3A">
          <w:rPr>
            <w:rStyle w:val="Hyperlink"/>
            <w:bCs/>
            <w:szCs w:val="24"/>
          </w:rPr>
          <w:t>Autism NZ</w:t>
        </w:r>
      </w:hyperlink>
      <w:r w:rsidR="00A32A3A">
        <w:rPr>
          <w:szCs w:val="24"/>
        </w:rPr>
        <w:br/>
      </w:r>
      <w:r w:rsidR="0015078F" w:rsidRPr="00122447">
        <w:rPr>
          <w:szCs w:val="24"/>
        </w:rPr>
        <w:t>Support services and resources for autistic people.</w:t>
      </w:r>
    </w:p>
    <w:p w14:paraId="5FAE4968" w14:textId="18D6194C" w:rsidR="0015078F" w:rsidRPr="00A32A3A" w:rsidRDefault="00000000" w:rsidP="0015078F">
      <w:pPr>
        <w:spacing w:after="160" w:line="259" w:lineRule="auto"/>
        <w:rPr>
          <w:color w:val="3366FF"/>
          <w:szCs w:val="24"/>
        </w:rPr>
      </w:pPr>
      <w:hyperlink r:id="rId129" w:history="1">
        <w:r w:rsidR="0015078F" w:rsidRPr="00A32A3A">
          <w:rPr>
            <w:rStyle w:val="Hyperlink"/>
            <w:bCs/>
            <w:szCs w:val="24"/>
          </w:rPr>
          <w:t>Brain Injury New Zealand</w:t>
        </w:r>
      </w:hyperlink>
      <w:r w:rsidR="00A32A3A">
        <w:rPr>
          <w:color w:val="3366FF"/>
          <w:szCs w:val="24"/>
        </w:rPr>
        <w:br/>
      </w:r>
      <w:r w:rsidR="0015078F" w:rsidRPr="00122447">
        <w:rPr>
          <w:szCs w:val="24"/>
        </w:rPr>
        <w:t>Support services and resources for people with a brain injury and whānau. Local teams can also provide the workforce and tāngata whai ora support with navigating ACC.</w:t>
      </w:r>
    </w:p>
    <w:p w14:paraId="71D170DC" w14:textId="1E85380E" w:rsidR="0015078F" w:rsidRPr="00A32A3A" w:rsidRDefault="00000000" w:rsidP="0015078F">
      <w:pPr>
        <w:spacing w:after="160" w:line="259" w:lineRule="auto"/>
        <w:rPr>
          <w:b/>
          <w:bCs/>
          <w:color w:val="3366FF"/>
          <w:szCs w:val="24"/>
        </w:rPr>
      </w:pPr>
      <w:hyperlink r:id="rId130" w:history="1">
        <w:r w:rsidR="0015078F" w:rsidRPr="00A32A3A">
          <w:rPr>
            <w:rStyle w:val="Hyperlink"/>
            <w:bCs/>
            <w:szCs w:val="24"/>
          </w:rPr>
          <w:t>Burnett Foundation Aotearoa</w:t>
        </w:r>
      </w:hyperlink>
      <w:r w:rsidR="00A32A3A">
        <w:rPr>
          <w:szCs w:val="24"/>
        </w:rPr>
        <w:br/>
      </w:r>
      <w:r w:rsidR="0015078F" w:rsidRPr="00122447">
        <w:rPr>
          <w:szCs w:val="24"/>
        </w:rPr>
        <w:t xml:space="preserve">Support services for HIV. </w:t>
      </w:r>
    </w:p>
    <w:p w14:paraId="5848C14E" w14:textId="5C595C58" w:rsidR="0015078F" w:rsidRPr="00A32A3A" w:rsidRDefault="00000000" w:rsidP="0015078F">
      <w:pPr>
        <w:spacing w:after="160" w:line="259" w:lineRule="auto"/>
        <w:rPr>
          <w:b/>
          <w:bCs/>
          <w:color w:val="00C7C7" w:themeColor="accent5" w:themeTint="BF"/>
          <w:szCs w:val="24"/>
        </w:rPr>
      </w:pPr>
      <w:hyperlink r:id="rId131" w:history="1">
        <w:r w:rsidR="0015078F" w:rsidRPr="00A32A3A">
          <w:rPr>
            <w:rStyle w:val="Hyperlink"/>
            <w:bCs/>
            <w:szCs w:val="24"/>
          </w:rPr>
          <w:t>Dementia NZ</w:t>
        </w:r>
      </w:hyperlink>
      <w:r w:rsidR="00A32A3A">
        <w:rPr>
          <w:szCs w:val="24"/>
        </w:rPr>
        <w:br/>
      </w:r>
      <w:r w:rsidR="0015078F" w:rsidRPr="00122447">
        <w:rPr>
          <w:szCs w:val="24"/>
        </w:rPr>
        <w:t>Support services and resources for dementia.</w:t>
      </w:r>
    </w:p>
    <w:p w14:paraId="203B4252" w14:textId="2979D61A" w:rsidR="0015078F" w:rsidRPr="00A32A3A" w:rsidRDefault="00000000" w:rsidP="0015078F">
      <w:pPr>
        <w:spacing w:after="160" w:line="259" w:lineRule="auto"/>
        <w:rPr>
          <w:b/>
          <w:bCs/>
          <w:color w:val="3366FF"/>
          <w:szCs w:val="24"/>
        </w:rPr>
      </w:pPr>
      <w:hyperlink r:id="rId132" w:history="1">
        <w:r w:rsidR="0015078F" w:rsidRPr="00A32A3A">
          <w:rPr>
            <w:rStyle w:val="Hyperlink"/>
            <w:bCs/>
            <w:szCs w:val="24"/>
          </w:rPr>
          <w:t>FASD-CAN</w:t>
        </w:r>
      </w:hyperlink>
      <w:r w:rsidR="00A32A3A">
        <w:rPr>
          <w:b/>
          <w:bCs/>
          <w:color w:val="3366FF"/>
          <w:szCs w:val="24"/>
        </w:rPr>
        <w:br/>
      </w:r>
      <w:r w:rsidR="0015078F" w:rsidRPr="00122447">
        <w:rPr>
          <w:szCs w:val="24"/>
        </w:rPr>
        <w:t xml:space="preserve">Support services and resources for people with FASD and whānau. </w:t>
      </w:r>
    </w:p>
    <w:p w14:paraId="77B15E13" w14:textId="61409BD3" w:rsidR="0015078F" w:rsidRPr="00122447" w:rsidRDefault="00000000" w:rsidP="0015078F">
      <w:pPr>
        <w:spacing w:after="160" w:line="259" w:lineRule="auto"/>
        <w:rPr>
          <w:szCs w:val="24"/>
        </w:rPr>
      </w:pPr>
      <w:hyperlink r:id="rId133" w:history="1">
        <w:r w:rsidR="0015078F" w:rsidRPr="00A32A3A">
          <w:rPr>
            <w:rStyle w:val="Hyperlink"/>
            <w:bCs/>
            <w:szCs w:val="24"/>
          </w:rPr>
          <w:t>Idea services</w:t>
        </w:r>
      </w:hyperlink>
      <w:r w:rsidR="00A32A3A">
        <w:rPr>
          <w:szCs w:val="24"/>
        </w:rPr>
        <w:br/>
      </w:r>
      <w:r w:rsidR="0015078F" w:rsidRPr="00122447">
        <w:rPr>
          <w:szCs w:val="24"/>
        </w:rPr>
        <w:t>Support services</w:t>
      </w:r>
      <w:r w:rsidR="0015078F" w:rsidRPr="00122447">
        <w:rPr>
          <w:rStyle w:val="Hyperlink"/>
          <w:szCs w:val="24"/>
        </w:rPr>
        <w:t xml:space="preserve"> </w:t>
      </w:r>
      <w:r w:rsidR="0015078F" w:rsidRPr="00122447">
        <w:rPr>
          <w:szCs w:val="24"/>
        </w:rPr>
        <w:t>for people</w:t>
      </w:r>
      <w:r w:rsidR="0015078F" w:rsidRPr="00122447">
        <w:rPr>
          <w:rStyle w:val="Hyperlink"/>
          <w:szCs w:val="24"/>
        </w:rPr>
        <w:t xml:space="preserve"> </w:t>
      </w:r>
      <w:r w:rsidR="0015078F" w:rsidRPr="00122447">
        <w:rPr>
          <w:szCs w:val="24"/>
        </w:rPr>
        <w:t>with an intellectual disability.</w:t>
      </w:r>
    </w:p>
    <w:p w14:paraId="58A60112" w14:textId="06DE3908" w:rsidR="0015078F" w:rsidRPr="00A32A3A" w:rsidRDefault="00000000" w:rsidP="0015078F">
      <w:pPr>
        <w:spacing w:after="160" w:line="259" w:lineRule="auto"/>
        <w:rPr>
          <w:b/>
          <w:bCs/>
          <w:color w:val="3366FF"/>
          <w:szCs w:val="24"/>
          <w:lang w:val="fr-FR"/>
        </w:rPr>
      </w:pPr>
      <w:hyperlink r:id="rId134" w:history="1">
        <w:r w:rsidR="0015078F" w:rsidRPr="00A32A3A">
          <w:rPr>
            <w:rStyle w:val="Hyperlink"/>
            <w:bCs/>
            <w:szCs w:val="24"/>
            <w:lang w:val="fr-FR"/>
          </w:rPr>
          <w:t>IHC NZ</w:t>
        </w:r>
      </w:hyperlink>
      <w:r w:rsidR="00A32A3A">
        <w:rPr>
          <w:b/>
          <w:bCs/>
          <w:color w:val="3366FF"/>
          <w:szCs w:val="24"/>
          <w:lang w:val="fr-FR"/>
        </w:rPr>
        <w:br/>
      </w:r>
      <w:r w:rsidR="0015078F" w:rsidRPr="00122447">
        <w:rPr>
          <w:szCs w:val="24"/>
        </w:rPr>
        <w:t xml:space="preserve">Information about family-whānau liaisons for intellectual disability. </w:t>
      </w:r>
    </w:p>
    <w:p w14:paraId="2A0F7835" w14:textId="53B9C387" w:rsidR="0015078F" w:rsidRPr="00A32A3A" w:rsidRDefault="00000000" w:rsidP="0015078F">
      <w:pPr>
        <w:spacing w:after="160" w:line="259" w:lineRule="auto"/>
        <w:rPr>
          <w:color w:val="3366FF"/>
          <w:szCs w:val="24"/>
          <w:lang w:val="mi-NZ"/>
        </w:rPr>
      </w:pPr>
      <w:hyperlink r:id="rId135" w:history="1">
        <w:r w:rsidR="0015078F" w:rsidRPr="00A32A3A">
          <w:rPr>
            <w:rStyle w:val="Hyperlink"/>
            <w:bCs/>
            <w:szCs w:val="24"/>
          </w:rPr>
          <w:t>M</w:t>
        </w:r>
        <w:r w:rsidR="0015078F" w:rsidRPr="00A32A3A">
          <w:rPr>
            <w:rStyle w:val="Hyperlink"/>
            <w:bCs/>
            <w:szCs w:val="24"/>
            <w:lang w:val="mi-NZ"/>
          </w:rPr>
          <w:t>āori disability support services</w:t>
        </w:r>
      </w:hyperlink>
      <w:r w:rsidR="00A32A3A">
        <w:rPr>
          <w:color w:val="3366FF"/>
          <w:szCs w:val="24"/>
          <w:lang w:val="mi-NZ"/>
        </w:rPr>
        <w:br/>
      </w:r>
      <w:r w:rsidR="0015078F" w:rsidRPr="00122447">
        <w:rPr>
          <w:szCs w:val="24"/>
        </w:rPr>
        <w:t>Whaikaha webpage that lists disability support specific for Māori.</w:t>
      </w:r>
    </w:p>
    <w:p w14:paraId="018EA09E" w14:textId="319C187A" w:rsidR="0015078F" w:rsidRPr="00A32A3A" w:rsidRDefault="00000000" w:rsidP="0015078F">
      <w:pPr>
        <w:spacing w:after="160" w:line="259" w:lineRule="auto"/>
        <w:rPr>
          <w:b/>
          <w:bCs/>
          <w:color w:val="00C7C7" w:themeColor="accent5" w:themeTint="BF"/>
          <w:szCs w:val="24"/>
        </w:rPr>
      </w:pPr>
      <w:hyperlink r:id="rId136" w:history="1">
        <w:r w:rsidR="0015078F" w:rsidRPr="00A32A3A">
          <w:rPr>
            <w:rStyle w:val="Hyperlink"/>
            <w:bCs/>
            <w:szCs w:val="24"/>
          </w:rPr>
          <w:t>Mental Health Foundation</w:t>
        </w:r>
      </w:hyperlink>
      <w:r w:rsidR="00A32A3A">
        <w:rPr>
          <w:b/>
          <w:bCs/>
          <w:color w:val="00C7C7" w:themeColor="accent5" w:themeTint="BF"/>
          <w:szCs w:val="24"/>
        </w:rPr>
        <w:br/>
      </w:r>
      <w:r w:rsidR="0015078F" w:rsidRPr="00122447">
        <w:rPr>
          <w:szCs w:val="24"/>
        </w:rPr>
        <w:t>Support services and resources for mental health challenges.</w:t>
      </w:r>
    </w:p>
    <w:p w14:paraId="44BACC49" w14:textId="47A10DEE" w:rsidR="0015078F" w:rsidRPr="00A32A3A" w:rsidRDefault="00000000" w:rsidP="00A32A3A">
      <w:pPr>
        <w:rPr>
          <w:color w:val="3366FF"/>
          <w:szCs w:val="24"/>
        </w:rPr>
      </w:pPr>
      <w:hyperlink r:id="rId137" w:history="1">
        <w:r w:rsidR="0015078F" w:rsidRPr="00A32A3A">
          <w:rPr>
            <w:rStyle w:val="Hyperlink"/>
            <w:bCs/>
            <w:szCs w:val="24"/>
          </w:rPr>
          <w:t>New Zealand Disability Support Network</w:t>
        </w:r>
      </w:hyperlink>
      <w:r w:rsidR="00A32A3A">
        <w:rPr>
          <w:color w:val="3366FF"/>
          <w:szCs w:val="24"/>
        </w:rPr>
        <w:br/>
      </w:r>
      <w:r w:rsidR="0015078F" w:rsidRPr="00122447">
        <w:rPr>
          <w:szCs w:val="24"/>
        </w:rPr>
        <w:t>Links to support for any disability. Links to a range of support services specifically for people with a cognitive or intellectual disability.</w:t>
      </w:r>
    </w:p>
    <w:p w14:paraId="1031AFE1" w14:textId="49516FBC" w:rsidR="0015078F" w:rsidRPr="00122447" w:rsidRDefault="00000000" w:rsidP="0015078F">
      <w:pPr>
        <w:spacing w:after="160" w:line="259" w:lineRule="auto"/>
        <w:rPr>
          <w:szCs w:val="24"/>
        </w:rPr>
      </w:pPr>
      <w:hyperlink r:id="rId138" w:history="1">
        <w:r w:rsidR="0015078F" w:rsidRPr="00A32A3A">
          <w:rPr>
            <w:rStyle w:val="Hyperlink"/>
            <w:bCs/>
            <w:szCs w:val="24"/>
          </w:rPr>
          <w:t>Parent2parent</w:t>
        </w:r>
      </w:hyperlink>
      <w:r w:rsidR="00A32A3A">
        <w:rPr>
          <w:szCs w:val="24"/>
        </w:rPr>
        <w:br/>
      </w:r>
      <w:r w:rsidR="0015078F" w:rsidRPr="00122447">
        <w:rPr>
          <w:szCs w:val="24"/>
        </w:rPr>
        <w:t xml:space="preserve">Website page for whānau of someone with any disability or impairment. </w:t>
      </w:r>
    </w:p>
    <w:p w14:paraId="5545B2EF" w14:textId="3B53BAE8" w:rsidR="0015078F" w:rsidRPr="00A32A3A" w:rsidRDefault="00000000" w:rsidP="0015078F">
      <w:pPr>
        <w:spacing w:after="160" w:line="259" w:lineRule="auto"/>
        <w:rPr>
          <w:b/>
          <w:bCs/>
          <w:color w:val="3366FF"/>
          <w:szCs w:val="24"/>
        </w:rPr>
      </w:pPr>
      <w:hyperlink r:id="rId139" w:history="1">
        <w:r w:rsidR="0015078F" w:rsidRPr="00A32A3A">
          <w:rPr>
            <w:rStyle w:val="Hyperlink"/>
            <w:bCs/>
            <w:szCs w:val="24"/>
          </w:rPr>
          <w:t>Stroke Foundation NZ</w:t>
        </w:r>
      </w:hyperlink>
      <w:r w:rsidR="00A32A3A">
        <w:rPr>
          <w:b/>
          <w:bCs/>
          <w:color w:val="3366FF"/>
          <w:szCs w:val="24"/>
        </w:rPr>
        <w:br/>
      </w:r>
      <w:r w:rsidR="0015078F" w:rsidRPr="00122447">
        <w:rPr>
          <w:szCs w:val="24"/>
        </w:rPr>
        <w:t>Support services and resources for people and whānau affected by stroke.</w:t>
      </w:r>
    </w:p>
    <w:p w14:paraId="6F68BEEE" w14:textId="546016F3" w:rsidR="0015078F" w:rsidRPr="00A32A3A" w:rsidRDefault="00000000" w:rsidP="0015078F">
      <w:pPr>
        <w:spacing w:after="160" w:line="259" w:lineRule="auto"/>
        <w:rPr>
          <w:b/>
          <w:bCs/>
          <w:color w:val="3366FF"/>
          <w:szCs w:val="24"/>
        </w:rPr>
      </w:pPr>
      <w:hyperlink r:id="rId140" w:history="1">
        <w:r w:rsidR="0015078F" w:rsidRPr="00A32A3A">
          <w:rPr>
            <w:rStyle w:val="Hyperlink"/>
            <w:bCs/>
            <w:szCs w:val="24"/>
          </w:rPr>
          <w:t>Support for ethnic communities</w:t>
        </w:r>
      </w:hyperlink>
      <w:r w:rsidR="00A32A3A">
        <w:rPr>
          <w:b/>
          <w:bCs/>
          <w:color w:val="3366FF"/>
          <w:szCs w:val="24"/>
        </w:rPr>
        <w:br/>
      </w:r>
      <w:r w:rsidR="0015078F" w:rsidRPr="00122447">
        <w:rPr>
          <w:szCs w:val="24"/>
        </w:rPr>
        <w:t xml:space="preserve">A directory of support for migrants and ethnic communities (not specific to AOD or disability). </w:t>
      </w:r>
    </w:p>
    <w:p w14:paraId="3092D2EF" w14:textId="4055627C" w:rsidR="00D1408E" w:rsidRPr="00A32A3A" w:rsidRDefault="00000000" w:rsidP="00D1408E">
      <w:pPr>
        <w:spacing w:after="160" w:line="259" w:lineRule="auto"/>
        <w:rPr>
          <w:color w:val="3366FF"/>
          <w:szCs w:val="24"/>
        </w:rPr>
      </w:pPr>
      <w:hyperlink r:id="rId141" w:history="1">
        <w:r w:rsidR="0015078F" w:rsidRPr="00A32A3A">
          <w:rPr>
            <w:rStyle w:val="Hyperlink"/>
            <w:bCs/>
            <w:szCs w:val="24"/>
          </w:rPr>
          <w:t>Tagata Sa’ilimalo – disability services</w:t>
        </w:r>
      </w:hyperlink>
      <w:r w:rsidR="00A32A3A">
        <w:rPr>
          <w:color w:val="3366FF"/>
          <w:szCs w:val="24"/>
        </w:rPr>
        <w:br/>
      </w:r>
      <w:r w:rsidR="00D1408E" w:rsidRPr="00122447">
        <w:rPr>
          <w:szCs w:val="24"/>
        </w:rPr>
        <w:t>Disability services for Pasifika people and their whānau.</w:t>
      </w:r>
    </w:p>
    <w:p w14:paraId="69E58080" w14:textId="66B31AAB" w:rsidR="00D1408E" w:rsidRPr="00A32A3A" w:rsidRDefault="00000000" w:rsidP="00A32A3A">
      <w:pPr>
        <w:spacing w:after="160" w:line="259" w:lineRule="auto"/>
        <w:rPr>
          <w:b/>
          <w:bCs/>
          <w:color w:val="3366FF"/>
          <w:szCs w:val="24"/>
        </w:rPr>
      </w:pPr>
      <w:hyperlink r:id="rId142" w:history="1">
        <w:r w:rsidR="00D1408E" w:rsidRPr="00A32A3A">
          <w:rPr>
            <w:rStyle w:val="Hyperlink"/>
            <w:bCs/>
            <w:szCs w:val="24"/>
          </w:rPr>
          <w:t>The Hepatitis Foundation of New Zealand</w:t>
        </w:r>
      </w:hyperlink>
      <w:r w:rsidR="00A32A3A">
        <w:rPr>
          <w:b/>
          <w:bCs/>
          <w:color w:val="3366FF"/>
          <w:szCs w:val="24"/>
        </w:rPr>
        <w:br/>
      </w:r>
      <w:r w:rsidR="00A32A3A">
        <w:rPr>
          <w:szCs w:val="24"/>
        </w:rPr>
        <w:t>R</w:t>
      </w:r>
      <w:r w:rsidR="00D1408E" w:rsidRPr="00122447">
        <w:rPr>
          <w:szCs w:val="24"/>
        </w:rPr>
        <w:t>esources and training for people and health professionals around Hepatitis C.</w:t>
      </w:r>
    </w:p>
    <w:p w14:paraId="4C957828" w14:textId="03A03A68" w:rsidR="00D1408E" w:rsidRPr="00A32A3A" w:rsidRDefault="00000000" w:rsidP="00103A06">
      <w:pPr>
        <w:rPr>
          <w:b/>
          <w:bCs/>
          <w:color w:val="00C7C7" w:themeColor="accent5" w:themeTint="BF"/>
          <w:szCs w:val="24"/>
        </w:rPr>
      </w:pPr>
      <w:hyperlink r:id="rId143" w:history="1">
        <w:r w:rsidR="00D1408E" w:rsidRPr="00A32A3A">
          <w:rPr>
            <w:rStyle w:val="Hyperlink"/>
            <w:bCs/>
            <w:szCs w:val="24"/>
          </w:rPr>
          <w:t>Whaikaha</w:t>
        </w:r>
      </w:hyperlink>
      <w:r w:rsidR="00A32A3A">
        <w:rPr>
          <w:b/>
          <w:bCs/>
          <w:color w:val="00C7C7" w:themeColor="accent5" w:themeTint="BF"/>
          <w:szCs w:val="24"/>
        </w:rPr>
        <w:br/>
      </w:r>
      <w:r w:rsidR="00D1408E" w:rsidRPr="00122447">
        <w:rPr>
          <w:szCs w:val="24"/>
        </w:rPr>
        <w:t xml:space="preserve">Information about how to access support for any disability, including NASC assessments. </w:t>
      </w:r>
    </w:p>
    <w:p w14:paraId="3E86CEBD" w14:textId="2F3C4E3E" w:rsidR="00D1408E" w:rsidRPr="00A32A3A" w:rsidRDefault="00000000" w:rsidP="00103A06">
      <w:pPr>
        <w:rPr>
          <w:b/>
          <w:bCs/>
          <w:color w:val="3366FF"/>
          <w:szCs w:val="24"/>
        </w:rPr>
      </w:pPr>
      <w:hyperlink r:id="rId144" w:history="1">
        <w:r w:rsidR="00D1408E" w:rsidRPr="00A32A3A">
          <w:rPr>
            <w:rStyle w:val="Hyperlink"/>
            <w:bCs/>
            <w:szCs w:val="24"/>
          </w:rPr>
          <w:t>Whāraurau</w:t>
        </w:r>
      </w:hyperlink>
      <w:r w:rsidR="00A32A3A">
        <w:rPr>
          <w:b/>
          <w:bCs/>
          <w:color w:val="3366FF"/>
          <w:szCs w:val="24"/>
        </w:rPr>
        <w:br/>
      </w:r>
      <w:r w:rsidR="00D1408E" w:rsidRPr="00122447">
        <w:rPr>
          <w:szCs w:val="24"/>
        </w:rPr>
        <w:t>Resources for whānau of people accessing mental health or addiction services.</w:t>
      </w:r>
    </w:p>
    <w:p w14:paraId="3536368D" w14:textId="77777777" w:rsidR="006B376E" w:rsidRPr="00122447" w:rsidRDefault="006B376E" w:rsidP="00103A06">
      <w:pPr>
        <w:rPr>
          <w:szCs w:val="24"/>
        </w:rPr>
      </w:pPr>
    </w:p>
    <w:p w14:paraId="57E12DC3" w14:textId="77777777" w:rsidR="00396E68" w:rsidRPr="006637E9" w:rsidRDefault="00396E68" w:rsidP="0072667D">
      <w:pPr>
        <w:pStyle w:val="Section4Heading2"/>
      </w:pPr>
      <w:bookmarkStart w:id="2303" w:name="_Toc142047725"/>
      <w:bookmarkStart w:id="2304" w:name="_Toc172095798"/>
      <w:bookmarkStart w:id="2305" w:name="_Toc178780175"/>
      <w:bookmarkStart w:id="2306" w:name="_Toc178838941"/>
      <w:bookmarkStart w:id="2307" w:name="_Toc178839128"/>
      <w:bookmarkStart w:id="2308" w:name="_Toc178839249"/>
      <w:bookmarkStart w:id="2309" w:name="_Toc178839477"/>
      <w:bookmarkStart w:id="2310" w:name="_Toc178841687"/>
      <w:bookmarkStart w:id="2311" w:name="_Toc179198247"/>
      <w:bookmarkStart w:id="2312" w:name="_Toc179198497"/>
      <w:bookmarkStart w:id="2313" w:name="_Toc179198604"/>
      <w:bookmarkStart w:id="2314" w:name="_Toc179198711"/>
      <w:bookmarkStart w:id="2315" w:name="_Toc179446155"/>
      <w:bookmarkStart w:id="2316" w:name="_Toc179447168"/>
      <w:bookmarkStart w:id="2317" w:name="_Toc179448707"/>
      <w:bookmarkStart w:id="2318" w:name="_Toc179448864"/>
      <w:bookmarkStart w:id="2319" w:name="_Toc179449233"/>
      <w:bookmarkStart w:id="2320" w:name="_Toc179452926"/>
      <w:bookmarkStart w:id="2321" w:name="_Toc179461439"/>
      <w:bookmarkStart w:id="2322" w:name="_Toc179461883"/>
      <w:bookmarkStart w:id="2323" w:name="_Toc179489238"/>
      <w:bookmarkStart w:id="2324" w:name="_Toc179531363"/>
      <w:bookmarkStart w:id="2325" w:name="_Toc179536036"/>
      <w:bookmarkStart w:id="2326" w:name="_Toc179537875"/>
      <w:bookmarkStart w:id="2327" w:name="_Toc179537939"/>
      <w:bookmarkStart w:id="2328" w:name="_Toc179538106"/>
      <w:bookmarkStart w:id="2329" w:name="_Toc179538922"/>
      <w:bookmarkStart w:id="2330" w:name="_Toc179539241"/>
      <w:bookmarkStart w:id="2331" w:name="_Toc179539357"/>
      <w:bookmarkStart w:id="2332" w:name="_Toc179539495"/>
      <w:bookmarkStart w:id="2333" w:name="_Toc179539592"/>
      <w:bookmarkStart w:id="2334" w:name="_Toc179539677"/>
      <w:bookmarkStart w:id="2335" w:name="_Toc179539767"/>
      <w:bookmarkStart w:id="2336" w:name="_Toc179540451"/>
      <w:bookmarkStart w:id="2337" w:name="_Toc179541796"/>
      <w:bookmarkStart w:id="2338" w:name="_Toc179542988"/>
      <w:bookmarkStart w:id="2339" w:name="_Toc180571316"/>
      <w:r w:rsidRPr="006637E9">
        <w:t>Accessible communication and resources</w:t>
      </w:r>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p>
    <w:p w14:paraId="0A8AF397" w14:textId="4513586A" w:rsidR="00396E68" w:rsidRPr="00A32A3A" w:rsidRDefault="00000000" w:rsidP="00103A06">
      <w:pPr>
        <w:rPr>
          <w:b/>
          <w:bCs/>
          <w:color w:val="00C7C7" w:themeColor="accent5" w:themeTint="BF"/>
          <w:szCs w:val="24"/>
        </w:rPr>
      </w:pPr>
      <w:hyperlink r:id="rId145" w:history="1">
        <w:r w:rsidR="00396E68" w:rsidRPr="00A32A3A">
          <w:rPr>
            <w:rStyle w:val="Hyperlink"/>
            <w:bCs/>
            <w:szCs w:val="24"/>
          </w:rPr>
          <w:t>Ministry of Health</w:t>
        </w:r>
      </w:hyperlink>
      <w:r w:rsidR="00A32A3A">
        <w:rPr>
          <w:b/>
          <w:bCs/>
          <w:color w:val="00C7C7" w:themeColor="accent5" w:themeTint="BF"/>
          <w:szCs w:val="24"/>
        </w:rPr>
        <w:br/>
      </w:r>
      <w:r w:rsidR="00396E68" w:rsidRPr="00122447">
        <w:rPr>
          <w:szCs w:val="24"/>
        </w:rPr>
        <w:t xml:space="preserve">Webpage about engaging with people with complex communication needs. Links to webpages about using written and printed materials accessibly, accessible presentations and verbal communication, and engaging with people with learning/intellectual disabilities. </w:t>
      </w:r>
    </w:p>
    <w:p w14:paraId="5FE0EE38" w14:textId="67A38F88" w:rsidR="00184E67" w:rsidRPr="00122447" w:rsidRDefault="00000000" w:rsidP="00103A06">
      <w:pPr>
        <w:rPr>
          <w:rStyle w:val="Hyperlink"/>
          <w:b w:val="0"/>
          <w:bCs/>
          <w:szCs w:val="24"/>
          <w:u w:val="none"/>
        </w:rPr>
      </w:pPr>
      <w:hyperlink r:id="rId146" w:history="1">
        <w:r w:rsidR="009F3B6D" w:rsidRPr="00A32A3A">
          <w:rPr>
            <w:rStyle w:val="Hyperlink"/>
            <w:szCs w:val="24"/>
          </w:rPr>
          <w:t>People First</w:t>
        </w:r>
      </w:hyperlink>
      <w:r w:rsidR="00A32A3A">
        <w:rPr>
          <w:rStyle w:val="Hyperlink"/>
          <w:b w:val="0"/>
          <w:bCs/>
          <w:szCs w:val="24"/>
          <w:u w:val="none"/>
        </w:rPr>
        <w:br/>
      </w:r>
      <w:r w:rsidR="00184E67" w:rsidRPr="00122447">
        <w:rPr>
          <w:rStyle w:val="Hyperlink"/>
          <w:b w:val="0"/>
          <w:bCs/>
          <w:szCs w:val="24"/>
          <w:u w:val="none"/>
        </w:rPr>
        <w:t xml:space="preserve">Free Easy Read translation service to convert resources. Email </w:t>
      </w:r>
      <w:hyperlink r:id="rId147" w:history="1">
        <w:r w:rsidR="00184E67" w:rsidRPr="00122447">
          <w:rPr>
            <w:rStyle w:val="Hyperlink"/>
            <w:szCs w:val="24"/>
          </w:rPr>
          <w:t>makeiteasy@peoplefirst.org.nz</w:t>
        </w:r>
      </w:hyperlink>
      <w:r w:rsidR="00184E67" w:rsidRPr="00122447">
        <w:rPr>
          <w:rStyle w:val="Hyperlink"/>
          <w:b w:val="0"/>
          <w:bCs/>
          <w:szCs w:val="24"/>
          <w:u w:val="none"/>
        </w:rPr>
        <w:t xml:space="preserve"> to find out more or request a translation</w:t>
      </w:r>
      <w:r w:rsidR="0090205C" w:rsidRPr="00122447">
        <w:rPr>
          <w:rStyle w:val="Hyperlink"/>
          <w:b w:val="0"/>
          <w:bCs/>
          <w:szCs w:val="24"/>
          <w:u w:val="none"/>
        </w:rPr>
        <w:t xml:space="preserve">. </w:t>
      </w:r>
    </w:p>
    <w:p w14:paraId="6A010E2B" w14:textId="702CB1B8" w:rsidR="00127F6D" w:rsidRDefault="00127F6D" w:rsidP="00127F6D">
      <w:pPr>
        <w:spacing w:before="0" w:after="160" w:line="259" w:lineRule="auto"/>
      </w:pPr>
    </w:p>
    <w:p w14:paraId="13EC021C" w14:textId="77777777" w:rsidR="00CD0934" w:rsidRPr="006637E9" w:rsidRDefault="00CD0934" w:rsidP="0072667D">
      <w:pPr>
        <w:pStyle w:val="Section4Heading2"/>
      </w:pPr>
      <w:bookmarkStart w:id="2340" w:name="_Toc172095799"/>
      <w:bookmarkStart w:id="2341" w:name="_Toc178780176"/>
      <w:bookmarkStart w:id="2342" w:name="_Toc178838942"/>
      <w:bookmarkStart w:id="2343" w:name="_Toc178839129"/>
      <w:bookmarkStart w:id="2344" w:name="_Toc178839250"/>
      <w:bookmarkStart w:id="2345" w:name="_Toc178839478"/>
      <w:bookmarkStart w:id="2346" w:name="_Toc178841688"/>
      <w:bookmarkStart w:id="2347" w:name="_Toc179198248"/>
      <w:bookmarkStart w:id="2348" w:name="_Toc179198498"/>
      <w:bookmarkStart w:id="2349" w:name="_Toc179198605"/>
      <w:bookmarkStart w:id="2350" w:name="_Toc179198712"/>
      <w:bookmarkStart w:id="2351" w:name="_Toc179446156"/>
      <w:bookmarkStart w:id="2352" w:name="_Toc179447169"/>
      <w:bookmarkStart w:id="2353" w:name="_Toc179448708"/>
      <w:bookmarkStart w:id="2354" w:name="_Toc179448865"/>
      <w:bookmarkStart w:id="2355" w:name="_Toc179449234"/>
      <w:bookmarkStart w:id="2356" w:name="_Toc179452927"/>
      <w:bookmarkStart w:id="2357" w:name="_Toc179461440"/>
      <w:bookmarkStart w:id="2358" w:name="_Toc179461884"/>
      <w:bookmarkStart w:id="2359" w:name="_Toc179489239"/>
      <w:bookmarkStart w:id="2360" w:name="_Toc179531364"/>
      <w:bookmarkStart w:id="2361" w:name="_Toc179536037"/>
      <w:bookmarkStart w:id="2362" w:name="_Toc179537876"/>
      <w:bookmarkStart w:id="2363" w:name="_Toc179537940"/>
      <w:bookmarkStart w:id="2364" w:name="_Toc179538107"/>
      <w:bookmarkStart w:id="2365" w:name="_Toc179538923"/>
      <w:bookmarkStart w:id="2366" w:name="_Toc179539242"/>
      <w:bookmarkStart w:id="2367" w:name="_Toc179539358"/>
      <w:bookmarkStart w:id="2368" w:name="_Toc179539496"/>
      <w:bookmarkStart w:id="2369" w:name="_Toc179539593"/>
      <w:bookmarkStart w:id="2370" w:name="_Toc179539678"/>
      <w:bookmarkStart w:id="2371" w:name="_Toc179539768"/>
      <w:bookmarkStart w:id="2372" w:name="_Toc179540452"/>
      <w:bookmarkStart w:id="2373" w:name="_Toc179541797"/>
      <w:bookmarkStart w:id="2374" w:name="_Toc179542989"/>
      <w:bookmarkStart w:id="2375" w:name="_Toc180571317"/>
      <w:bookmarkStart w:id="2376" w:name="_Toc175317967"/>
      <w:bookmarkStart w:id="2377" w:name="_Toc179465253"/>
      <w:bookmarkStart w:id="2378" w:name="_Toc179467055"/>
      <w:bookmarkStart w:id="2379" w:name="_Toc179467112"/>
      <w:bookmarkStart w:id="2380" w:name="_Toc179467189"/>
      <w:bookmarkStart w:id="2381" w:name="_Toc179467263"/>
      <w:bookmarkStart w:id="2382" w:name="_Toc179467448"/>
      <w:bookmarkStart w:id="2383" w:name="_Toc179467688"/>
      <w:bookmarkStart w:id="2384" w:name="_Toc179468063"/>
      <w:bookmarkStart w:id="2385" w:name="_Toc179468325"/>
      <w:bookmarkStart w:id="2386" w:name="_Toc179468568"/>
      <w:bookmarkStart w:id="2387" w:name="_Toc179483266"/>
      <w:bookmarkStart w:id="2388" w:name="_Toc179486336"/>
      <w:bookmarkStart w:id="2389" w:name="_Toc179487936"/>
      <w:r w:rsidRPr="006637E9">
        <w:t>Guideline summary</w:t>
      </w:r>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Guideline summary"/>
        <w:tblDescription w:val="Box summing up the main points of the guideline. That identifying cognitive impairment in AOD settings is important to provide the right support. Trauma-informed, mana-enhancing, and strenths-based approach to screening, assesssment and support is required so people and whānau can live well"/>
      </w:tblPr>
      <w:tblGrid>
        <w:gridCol w:w="9010"/>
      </w:tblGrid>
      <w:tr w:rsidR="00CD0934" w:rsidRPr="00554152" w14:paraId="13EF0D10" w14:textId="77777777" w:rsidTr="00234887">
        <w:tc>
          <w:tcPr>
            <w:tcW w:w="9010" w:type="dxa"/>
            <w:shd w:val="clear" w:color="auto" w:fill="F2F2F2" w:themeFill="background1" w:themeFillShade="F2"/>
          </w:tcPr>
          <w:p w14:paraId="6019B706" w14:textId="77777777" w:rsidR="00CD0934" w:rsidRPr="006637E9" w:rsidRDefault="00CD0934" w:rsidP="00103A06">
            <w:pPr>
              <w:pStyle w:val="Bulletpoint"/>
            </w:pPr>
            <w:r w:rsidRPr="006637E9">
              <w:t xml:space="preserve">Cognitive impairment is common in AOD settings and requires adaptations to support and treatment. </w:t>
            </w:r>
          </w:p>
          <w:p w14:paraId="558F4CA0" w14:textId="77777777" w:rsidR="00CD0934" w:rsidRPr="006637E9" w:rsidRDefault="00CD0934" w:rsidP="00103A06">
            <w:pPr>
              <w:pStyle w:val="Bulletpoint"/>
              <w:rPr>
                <w:rFonts w:cs="Arial"/>
              </w:rPr>
            </w:pPr>
            <w:r w:rsidRPr="006637E9">
              <w:t>Identifying cognitive impairment early is important and can help people get the most out of problematic substance use treatment and support. Failing to provide support for cognitive impairment perpetuates stigma, discrimination, and inequities for tāngata whai ora accessing AOD services.</w:t>
            </w:r>
          </w:p>
          <w:p w14:paraId="757B8218" w14:textId="77777777" w:rsidR="00CD0934" w:rsidRPr="006637E9" w:rsidRDefault="00CD0934" w:rsidP="00103A06">
            <w:pPr>
              <w:pStyle w:val="Bulletpoint"/>
            </w:pPr>
            <w:r w:rsidRPr="006637E9">
              <w:t>The impact of cognitive impairment on people varies based on strengths and adaptations to daily functioning, the importance placed on particular aspects of their lives, and the support available around them.</w:t>
            </w:r>
          </w:p>
          <w:p w14:paraId="1E3AC91C" w14:textId="77777777" w:rsidR="00CD0934" w:rsidRPr="006637E9" w:rsidRDefault="00CD0934" w:rsidP="00103A06">
            <w:pPr>
              <w:pStyle w:val="Bulletpoint"/>
            </w:pPr>
            <w:r w:rsidRPr="006637E9">
              <w:t xml:space="preserve">Problematic substance use can be both a cause and consequence of cognitive impairment. All substances can potentially cause cognitive impairment but recovery is possible. </w:t>
            </w:r>
          </w:p>
          <w:p w14:paraId="5041EA59" w14:textId="77777777" w:rsidR="00CD0934" w:rsidRPr="006637E9" w:rsidRDefault="00CD0934" w:rsidP="00103A06">
            <w:pPr>
              <w:pStyle w:val="Bulletpoint"/>
            </w:pPr>
            <w:r w:rsidRPr="006637E9">
              <w:lastRenderedPageBreak/>
              <w:t xml:space="preserve">Cognitive screening should be incorporated into AOD service processes. However, the right training and skill is required to use and interpret screening information, as well as determine the right time for screening to take place. Information collected requires interpretation within the person’s context including culture. </w:t>
            </w:r>
          </w:p>
          <w:p w14:paraId="0BC8347F" w14:textId="77777777" w:rsidR="00CD0934" w:rsidRPr="006637E9" w:rsidRDefault="00CD0934" w:rsidP="00103A06">
            <w:pPr>
              <w:pStyle w:val="Bulletpoint"/>
              <w:rPr>
                <w:rFonts w:cs="Arial"/>
              </w:rPr>
            </w:pPr>
            <w:r w:rsidRPr="006637E9">
              <w:t xml:space="preserve">A holistic, respectful, trauma-informed, and mana-enhancing approach to screening, assessment, and support is needed. Support should be driven by tāngata whai ora and whānau strengths, priorities, and preferences. </w:t>
            </w:r>
          </w:p>
          <w:p w14:paraId="1A92AFA6" w14:textId="77777777" w:rsidR="00CD0934" w:rsidRPr="00122447" w:rsidRDefault="00CD0934" w:rsidP="00122447">
            <w:pPr>
              <w:pStyle w:val="Bulletpoint"/>
              <w:rPr>
                <w:rStyle w:val="normaltextrun"/>
              </w:rPr>
            </w:pPr>
            <w:r w:rsidRPr="00122447">
              <w:rPr>
                <w:rStyle w:val="normaltextrun"/>
              </w:rPr>
              <w:t xml:space="preserve">There are a range of support options for cognitive impairment in the context of addiction that can be adapted to suit people and whānau. These include compensatory strategies, adapting problematic substance use treatment, cognitive training and remediation, and lifestyle approaches. </w:t>
            </w:r>
          </w:p>
          <w:p w14:paraId="08694009" w14:textId="77777777" w:rsidR="00CD0934" w:rsidRPr="00122447" w:rsidRDefault="00CD0934" w:rsidP="00122447">
            <w:pPr>
              <w:pStyle w:val="Bulletpoint"/>
              <w:rPr>
                <w:rStyle w:val="normaltextrun"/>
              </w:rPr>
            </w:pPr>
            <w:r w:rsidRPr="00122447">
              <w:rPr>
                <w:rStyle w:val="normaltextrun"/>
              </w:rPr>
              <w:t xml:space="preserve">Consider environmental changes and how communication can be simplified to enhance understanding and focus. </w:t>
            </w:r>
          </w:p>
          <w:p w14:paraId="48CA4CBF" w14:textId="77777777" w:rsidR="00CD0934" w:rsidRPr="00755ED0" w:rsidRDefault="00CD0934" w:rsidP="00122447">
            <w:pPr>
              <w:pStyle w:val="Bulletpoint"/>
            </w:pPr>
            <w:r w:rsidRPr="00122447">
              <w:rPr>
                <w:rStyle w:val="normaltextrun"/>
              </w:rPr>
              <w:t xml:space="preserve">These approaches can help to minimise the impacts of cognitive impairment and help people and whānau live well. </w:t>
            </w:r>
          </w:p>
        </w:tc>
      </w:tr>
    </w:tbl>
    <w:p w14:paraId="264BD15F" w14:textId="77777777" w:rsidR="000A07F1" w:rsidRDefault="000A07F1" w:rsidP="000A07F1">
      <w:bookmarkStart w:id="2390" w:name="_Toc178780177"/>
      <w:bookmarkStart w:id="2391" w:name="_Toc178838943"/>
      <w:bookmarkStart w:id="2392" w:name="_Toc178839130"/>
      <w:bookmarkStart w:id="2393" w:name="_Toc178839251"/>
      <w:bookmarkStart w:id="2394" w:name="_Toc178839479"/>
      <w:bookmarkStart w:id="2395" w:name="_Toc178841689"/>
      <w:bookmarkStart w:id="2396" w:name="_Toc179198249"/>
      <w:bookmarkStart w:id="2397" w:name="_Toc179198499"/>
      <w:bookmarkStart w:id="2398" w:name="_Toc179198606"/>
      <w:bookmarkStart w:id="2399" w:name="_Toc179198713"/>
      <w:bookmarkStart w:id="2400" w:name="_Toc179446157"/>
      <w:bookmarkStart w:id="2401" w:name="_Toc179447170"/>
      <w:bookmarkStart w:id="2402" w:name="_Toc179448709"/>
      <w:bookmarkStart w:id="2403" w:name="_Toc179448866"/>
      <w:bookmarkStart w:id="2404" w:name="_Toc179449235"/>
      <w:bookmarkStart w:id="2405" w:name="_Toc179452928"/>
      <w:bookmarkStart w:id="2406" w:name="_Toc179461441"/>
      <w:bookmarkStart w:id="2407" w:name="_Toc179461885"/>
      <w:bookmarkStart w:id="2408" w:name="_Toc179531365"/>
    </w:p>
    <w:p w14:paraId="6E9438B5" w14:textId="77777777" w:rsidR="000A07F1" w:rsidRDefault="000A07F1" w:rsidP="000A07F1"/>
    <w:p w14:paraId="72FD3BDB" w14:textId="77777777" w:rsidR="000A07F1" w:rsidRDefault="000A07F1" w:rsidP="000A07F1"/>
    <w:p w14:paraId="0AA7659F" w14:textId="77777777" w:rsidR="000A07F1" w:rsidRDefault="000A07F1" w:rsidP="000A07F1"/>
    <w:p w14:paraId="3255C2F8" w14:textId="77777777" w:rsidR="000A07F1" w:rsidRDefault="000A07F1" w:rsidP="000A07F1"/>
    <w:p w14:paraId="7C294DD2" w14:textId="77777777" w:rsidR="000A07F1" w:rsidRDefault="000A07F1" w:rsidP="000A07F1"/>
    <w:p w14:paraId="00EAC5B3" w14:textId="77777777" w:rsidR="000A07F1" w:rsidRDefault="000A07F1" w:rsidP="000A07F1"/>
    <w:p w14:paraId="5A14C4D7" w14:textId="77777777" w:rsidR="000A07F1" w:rsidRDefault="000A07F1" w:rsidP="000A07F1"/>
    <w:p w14:paraId="799EBDF9" w14:textId="77777777" w:rsidR="000A07F1" w:rsidRDefault="000A07F1" w:rsidP="000A07F1"/>
    <w:p w14:paraId="10ED4F79" w14:textId="77777777" w:rsidR="000A07F1" w:rsidRDefault="000A07F1" w:rsidP="00125D7A">
      <w:pPr>
        <w:pStyle w:val="Heading1"/>
        <w:rPr>
          <w:color w:val="7030A0"/>
          <w:sz w:val="36"/>
          <w:szCs w:val="36"/>
        </w:rPr>
      </w:pPr>
    </w:p>
    <w:p w14:paraId="7724C109" w14:textId="77777777" w:rsidR="000A07F1" w:rsidRDefault="000A07F1" w:rsidP="000A07F1"/>
    <w:p w14:paraId="7B9D7F16" w14:textId="77777777" w:rsidR="009B78F5" w:rsidRPr="009B78F5" w:rsidRDefault="009B78F5" w:rsidP="009B78F5">
      <w:bookmarkStart w:id="2409" w:name="_Toc179536038"/>
      <w:bookmarkStart w:id="2410" w:name="_Toc179537877"/>
      <w:bookmarkStart w:id="2411" w:name="_Toc179537941"/>
      <w:bookmarkStart w:id="2412" w:name="_Toc179538108"/>
      <w:bookmarkStart w:id="2413" w:name="_Toc179538924"/>
      <w:bookmarkStart w:id="2414" w:name="_Toc179539243"/>
      <w:bookmarkStart w:id="2415" w:name="_Toc179539359"/>
      <w:bookmarkStart w:id="2416" w:name="_Toc179539497"/>
      <w:bookmarkStart w:id="2417" w:name="_Toc179539594"/>
      <w:bookmarkStart w:id="2418" w:name="_Toc179539679"/>
      <w:bookmarkStart w:id="2419" w:name="_Toc179539769"/>
      <w:bookmarkStart w:id="2420" w:name="_Toc179540453"/>
    </w:p>
    <w:p w14:paraId="541F1C78" w14:textId="755E0081" w:rsidR="00125D7A" w:rsidRPr="00A97382" w:rsidRDefault="00125D7A" w:rsidP="006B376E">
      <w:pPr>
        <w:pStyle w:val="Section4Heading1"/>
      </w:pPr>
      <w:bookmarkStart w:id="2421" w:name="_Toc179541798"/>
      <w:bookmarkStart w:id="2422" w:name="_Toc179542990"/>
      <w:bookmarkStart w:id="2423" w:name="_Toc180571318"/>
      <w:r w:rsidRPr="00A97382">
        <w:lastRenderedPageBreak/>
        <w:t>Glossary</w:t>
      </w:r>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p>
    <w:p w14:paraId="4893F8AA" w14:textId="77777777" w:rsidR="00125D7A" w:rsidRPr="00122447" w:rsidRDefault="00125D7A" w:rsidP="00122447">
      <w:pPr>
        <w:rPr>
          <w:b/>
          <w:bCs/>
          <w:szCs w:val="24"/>
        </w:rPr>
      </w:pPr>
      <w:r w:rsidRPr="00122447">
        <w:rPr>
          <w:rStyle w:val="normaltextrun"/>
          <w:rFonts w:cs="Arial"/>
          <w:b/>
          <w:bCs/>
          <w:szCs w:val="24"/>
        </w:rPr>
        <w:t xml:space="preserve">Abstinence </w:t>
      </w:r>
      <w:r w:rsidRPr="00122447">
        <w:rPr>
          <w:szCs w:val="24"/>
        </w:rPr>
        <w:t>–</w:t>
      </w:r>
      <w:r w:rsidRPr="00122447">
        <w:rPr>
          <w:rStyle w:val="normaltextrun"/>
          <w:rFonts w:cs="Arial"/>
          <w:szCs w:val="24"/>
        </w:rPr>
        <w:t xml:space="preserve"> a period of time when a person does not use a particular substance or substances.</w:t>
      </w:r>
    </w:p>
    <w:p w14:paraId="6FB78020" w14:textId="77777777" w:rsidR="00125D7A" w:rsidRPr="00122447" w:rsidRDefault="00125D7A" w:rsidP="00122447">
      <w:pPr>
        <w:rPr>
          <w:szCs w:val="24"/>
        </w:rPr>
      </w:pPr>
      <w:r w:rsidRPr="00122447">
        <w:rPr>
          <w:b/>
          <w:bCs/>
          <w:szCs w:val="24"/>
        </w:rPr>
        <w:t>Capacity</w:t>
      </w:r>
      <w:r w:rsidRPr="00122447">
        <w:rPr>
          <w:szCs w:val="24"/>
        </w:rPr>
        <w:t xml:space="preserve"> – a legal term referring to a person’s ability to understand the information necessary for decision making and understand likely outcomes of decisions. This includes having the ability to: understand and retain relevant information; use or weigh relevant information as part of a specific decision-making process; and communicate a decision.</w:t>
      </w:r>
      <w:r w:rsidRPr="00122447">
        <w:rPr>
          <w:szCs w:val="24"/>
        </w:rPr>
        <w:fldChar w:fldCharType="begin"/>
      </w:r>
      <w:r w:rsidRPr="00122447">
        <w:rPr>
          <w:szCs w:val="24"/>
        </w:rPr>
        <w:instrText xml:space="preserve"> ADDIN ZOTERO_ITEM CSL_CITATION {"citationID":"a22grh9cl7u","properties":{"formattedCitation":"\\super 181\\nosupersub{}","plainCitation":"181","noteIndex":0},"citationItems":[{"id":11167,"uris":["http://zotero.org/groups/4543682/items/AQPPVL9R"],"itemData":{"id":11167,"type":"report","language":"en","page":"25","source":"Zotero","title":"Guideline on Assessing Capacity to Make Decisions about Treatment for Severe Substance Addiction","author":[{"literal":"Ministry of Health"}],"issued":{"date-parts":[["2017"]]}}}],"schema":"https://github.com/citation-style-language/schema/raw/master/csl-citation.json"} </w:instrText>
      </w:r>
      <w:r w:rsidRPr="00122447">
        <w:rPr>
          <w:szCs w:val="24"/>
        </w:rPr>
        <w:fldChar w:fldCharType="separate"/>
      </w:r>
      <w:r w:rsidRPr="00122447">
        <w:rPr>
          <w:szCs w:val="24"/>
          <w:vertAlign w:val="superscript"/>
        </w:rPr>
        <w:t>181</w:t>
      </w:r>
      <w:r w:rsidRPr="00122447">
        <w:rPr>
          <w:szCs w:val="24"/>
        </w:rPr>
        <w:fldChar w:fldCharType="end"/>
      </w:r>
      <w:r w:rsidRPr="00122447">
        <w:rPr>
          <w:szCs w:val="24"/>
        </w:rPr>
        <w:t xml:space="preserve"> </w:t>
      </w:r>
    </w:p>
    <w:p w14:paraId="6DBB3AD1" w14:textId="77777777" w:rsidR="00125D7A" w:rsidRPr="00A97382" w:rsidRDefault="00125D7A" w:rsidP="00103A06">
      <w:r w:rsidRPr="00A97382">
        <w:rPr>
          <w:b/>
          <w:bCs/>
        </w:rPr>
        <w:t>Cognition</w:t>
      </w:r>
      <w:r w:rsidRPr="00A97382">
        <w:t xml:space="preserve"> – the brain’s ability to collect, integrate, organise, store, and process information.</w:t>
      </w:r>
      <w:r w:rsidRPr="00A97382">
        <w:fldChar w:fldCharType="begin"/>
      </w:r>
      <w:r w:rsidRPr="00A97382">
        <w:instrText xml:space="preserve"> ADDIN ZOTERO_ITEM CSL_CITATION {"citationID":"a246t58db0f","properties":{"formattedCitation":"\\super 3\\nosupersub{}","plainCitation":"3","noteIndex":0},"citationItems":[{"id":14007,"uris":["http://zotero.org/groups/4745233/items/U3GGYCKU"],"itemData":{"id":14007,"type":"report","event-place":"Richmond, Victoria","language":"en","publisher":"Turning Point","publisher-place":"Richmond, Victoria","source":"Zotero","title":"Managing Cognitive Impairment in AOD Treatment: Practice Guidelines for Healthcare Professionals","URL":"https://www.turningpoint.org.au/treatment/clinicians/Managing-Cognitive-Impairment-in-AOD-Treatment-Guidelines","author":[{"family":"Manning","given":"Victoria"},{"family":"Gooden","given":"James"},{"family":"Cox","given":"Catherine"},{"family":"Whelan","given":"Danielle"},{"family":"Miroz","given":"Katherine"}],"issued":{"date-parts":[["2021"]]}}}],"schema":"https://github.com/citation-style-language/schema/raw/master/csl-citation.json"} </w:instrText>
      </w:r>
      <w:r w:rsidRPr="00A97382">
        <w:fldChar w:fldCharType="separate"/>
      </w:r>
      <w:r w:rsidRPr="00A97382">
        <w:rPr>
          <w:vertAlign w:val="superscript"/>
        </w:rPr>
        <w:t>3</w:t>
      </w:r>
      <w:r w:rsidRPr="00A97382">
        <w:fldChar w:fldCharType="end"/>
      </w:r>
      <w:r w:rsidRPr="00A97382">
        <w:t xml:space="preserve"> </w:t>
      </w:r>
    </w:p>
    <w:p w14:paraId="42CC530B" w14:textId="77777777" w:rsidR="00125D7A" w:rsidRPr="00A97382" w:rsidRDefault="00125D7A" w:rsidP="00103A06">
      <w:r w:rsidRPr="00A97382">
        <w:rPr>
          <w:b/>
          <w:bCs/>
        </w:rPr>
        <w:t>Cognitive functioning/processes</w:t>
      </w:r>
      <w:r w:rsidRPr="00A97382">
        <w:t xml:space="preserve"> – functions of the brain such as attention, learning, memory, and problem-solving.</w:t>
      </w:r>
      <w:r w:rsidRPr="00A97382">
        <w:fldChar w:fldCharType="begin"/>
      </w:r>
      <w:r w:rsidRPr="00A97382">
        <w:instrText xml:space="preserve"> ADDIN ZOTERO_ITEM CSL_CITATION {"citationID":"a27a6s18198","properties":{"formattedCitation":"\\super 3\\nosupersub{}","plainCitation":"3","noteIndex":0},"citationItems":[{"id":14007,"uris":["http://zotero.org/groups/4745233/items/U3GGYCKU"],"itemData":{"id":14007,"type":"report","event-place":"Richmond, Victoria","language":"en","publisher":"Turning Point","publisher-place":"Richmond, Victoria","source":"Zotero","title":"Managing Cognitive Impairment in AOD Treatment: Practice Guidelines for Healthcare Professionals","URL":"https://www.turningpoint.org.au/treatment/clinicians/Managing-Cognitive-Impairment-in-AOD-Treatment-Guidelines","author":[{"family":"Manning","given":"Victoria"},{"family":"Gooden","given":"James"},{"family":"Cox","given":"Catherine"},{"family":"Whelan","given":"Danielle"},{"family":"Miroz","given":"Katherine"}],"issued":{"date-parts":[["2021"]]}}}],"schema":"https://github.com/citation-style-language/schema/raw/master/csl-citation.json"} </w:instrText>
      </w:r>
      <w:r w:rsidRPr="00A97382">
        <w:fldChar w:fldCharType="separate"/>
      </w:r>
      <w:r w:rsidRPr="00A97382">
        <w:rPr>
          <w:vertAlign w:val="superscript"/>
        </w:rPr>
        <w:t>3</w:t>
      </w:r>
      <w:r w:rsidRPr="00A97382">
        <w:fldChar w:fldCharType="end"/>
      </w:r>
    </w:p>
    <w:p w14:paraId="339AB539" w14:textId="77777777" w:rsidR="00125D7A" w:rsidRPr="00A97382" w:rsidRDefault="00125D7A" w:rsidP="00103A06">
      <w:r w:rsidRPr="00A97382">
        <w:rPr>
          <w:b/>
          <w:bCs/>
        </w:rPr>
        <w:t>Cognitive impairment</w:t>
      </w:r>
      <w:r w:rsidRPr="00A97382">
        <w:t xml:space="preserve"> – noticeable and measurable reduced function or difficulties in one or more areas of cognition (relative to a person’s usual function and age).</w:t>
      </w:r>
      <w:r w:rsidRPr="00A97382">
        <w:fldChar w:fldCharType="begin"/>
      </w:r>
      <w:r w:rsidRPr="00A97382">
        <w:instrText xml:space="preserve"> ADDIN ZOTERO_ITEM CSL_CITATION {"citationID":"a1l4l8n3jhd","properties":{"formattedCitation":"\\super 3\\nosupersub{}","plainCitation":"3","noteIndex":0},"citationItems":[{"id":14007,"uris":["http://zotero.org/groups/4745233/items/U3GGYCKU"],"itemData":{"id":14007,"type":"report","event-place":"Richmond, Victoria","language":"en","publisher":"Turning Point","publisher-place":"Richmond, Victoria","source":"Zotero","title":"Managing Cognitive Impairment in AOD Treatment: Practice Guidelines for Healthcare Professionals","URL":"https://www.turningpoint.org.au/treatment/clinicians/Managing-Cognitive-Impairment-in-AOD-Treatment-Guidelines","author":[{"family":"Manning","given":"Victoria"},{"family":"Gooden","given":"James"},{"family":"Cox","given":"Catherine"},{"family":"Whelan","given":"Danielle"},{"family":"Miroz","given":"Katherine"}],"issued":{"date-parts":[["2021"]]}}}],"schema":"https://github.com/citation-style-language/schema/raw/master/csl-citation.json"} </w:instrText>
      </w:r>
      <w:r w:rsidRPr="00A97382">
        <w:fldChar w:fldCharType="separate"/>
      </w:r>
      <w:r w:rsidRPr="00A97382">
        <w:rPr>
          <w:vertAlign w:val="superscript"/>
        </w:rPr>
        <w:t>3</w:t>
      </w:r>
      <w:r w:rsidRPr="00A97382">
        <w:fldChar w:fldCharType="end"/>
      </w:r>
      <w:r w:rsidRPr="00A97382">
        <w:t xml:space="preserve"> A distinction can be made between temporary (or short-term) and long-term cognitive impairment; and between mild, moderate, and severe cognitive impairment.</w:t>
      </w:r>
      <w:r w:rsidRPr="00A97382">
        <w:fldChar w:fldCharType="begin"/>
      </w:r>
      <w:r w:rsidRPr="00A97382">
        <w:instrText xml:space="preserve"> ADDIN ZOTERO_ITEM CSL_CITATION {"citationID":"a260ms1r4pe","properties":{"formattedCitation":"\\super 3\\nosupersub{}","plainCitation":"3","noteIndex":0},"citationItems":[{"id":14007,"uris":["http://zotero.org/groups/4745233/items/U3GGYCKU"],"itemData":{"id":14007,"type":"report","event-place":"Richmond, Victoria","language":"en","publisher":"Turning Point","publisher-place":"Richmond, Victoria","source":"Zotero","title":"Managing Cognitive Impairment in AOD Treatment: Practice Guidelines for Healthcare Professionals","URL":"https://www.turningpoint.org.au/treatment/clinicians/Managing-Cognitive-Impairment-in-AOD-Treatment-Guidelines","author":[{"family":"Manning","given":"Victoria"},{"family":"Gooden","given":"James"},{"family":"Cox","given":"Catherine"},{"family":"Whelan","given":"Danielle"},{"family":"Miroz","given":"Katherine"}],"issued":{"date-parts":[["2021"]]}}}],"schema":"https://github.com/citation-style-language/schema/raw/master/csl-citation.json"} </w:instrText>
      </w:r>
      <w:r w:rsidRPr="00A97382">
        <w:fldChar w:fldCharType="separate"/>
      </w:r>
      <w:r w:rsidRPr="00A97382">
        <w:rPr>
          <w:vertAlign w:val="superscript"/>
        </w:rPr>
        <w:t>3</w:t>
      </w:r>
      <w:r w:rsidRPr="00A97382">
        <w:fldChar w:fldCharType="end"/>
      </w:r>
      <w:r w:rsidRPr="00A97382">
        <w:t xml:space="preserve"> </w:t>
      </w:r>
    </w:p>
    <w:p w14:paraId="57EE43F7" w14:textId="77777777" w:rsidR="00361FAF" w:rsidRPr="00A97382" w:rsidRDefault="00361FAF" w:rsidP="00103A06">
      <w:r w:rsidRPr="00A97382">
        <w:rPr>
          <w:b/>
          <w:bCs/>
        </w:rPr>
        <w:t>Cognitive remediation or rehabilitation</w:t>
      </w:r>
      <w:r w:rsidRPr="00A97382">
        <w:t xml:space="preserve"> – techniques to restore or compensate for cognitive impairment.</w:t>
      </w:r>
      <w:r w:rsidRPr="00A97382">
        <w:fldChar w:fldCharType="begin"/>
      </w:r>
      <w:r w:rsidRPr="00A97382">
        <w:instrText xml:space="preserve"> ADDIN ZOTERO_ITEM CSL_CITATION {"citationID":"a2gik848q4i","properties":{"formattedCitation":"\\super 3\\nosupersub{}","plainCitation":"3","noteIndex":0},"citationItems":[{"id":14007,"uris":["http://zotero.org/groups/4745233/items/U3GGYCKU"],"itemData":{"id":14007,"type":"report","event-place":"Richmond, Victoria","language":"en","publisher":"Turning Point","publisher-place":"Richmond, Victoria","source":"Zotero","title":"Managing Cognitive Impairment in AOD Treatment: Practice Guidelines for Healthcare Professionals","URL":"https://www.turningpoint.org.au/treatment/clinicians/Managing-Cognitive-Impairment-in-AOD-Treatment-Guidelines","author":[{"family":"Manning","given":"Victoria"},{"family":"Gooden","given":"James"},{"family":"Cox","given":"Catherine"},{"family":"Whelan","given":"Danielle"},{"family":"Miroz","given":"Katherine"}],"issued":{"date-parts":[["2021"]]}}}],"schema":"https://github.com/citation-style-language/schema/raw/master/csl-citation.json"} </w:instrText>
      </w:r>
      <w:r w:rsidRPr="00A97382">
        <w:fldChar w:fldCharType="separate"/>
      </w:r>
      <w:r w:rsidRPr="00A97382">
        <w:rPr>
          <w:vertAlign w:val="superscript"/>
        </w:rPr>
        <w:t>3</w:t>
      </w:r>
      <w:r w:rsidRPr="00A97382">
        <w:fldChar w:fldCharType="end"/>
      </w:r>
      <w:r w:rsidRPr="00A97382">
        <w:t xml:space="preserve"> </w:t>
      </w:r>
    </w:p>
    <w:p w14:paraId="6AB23A90" w14:textId="77777777" w:rsidR="00361FAF" w:rsidRPr="00A97382" w:rsidRDefault="00361FAF" w:rsidP="00103A06">
      <w:r w:rsidRPr="00A97382">
        <w:rPr>
          <w:b/>
          <w:bCs/>
        </w:rPr>
        <w:t>Compensatory strategies</w:t>
      </w:r>
      <w:r w:rsidRPr="00A97382">
        <w:t xml:space="preserve"> – techniques that work around any cognitive challenges.</w:t>
      </w:r>
      <w:r w:rsidRPr="00A97382">
        <w:fldChar w:fldCharType="begin"/>
      </w:r>
      <w:r w:rsidRPr="00A97382">
        <w:instrText xml:space="preserve"> ADDIN ZOTERO_ITEM CSL_CITATION {"citationID":"a11u520l8n9","properties":{"formattedCitation":"\\super 3\\nosupersub{}","plainCitation":"3","noteIndex":0},"citationItems":[{"id":14007,"uris":["http://zotero.org/groups/4745233/items/U3GGYCKU"],"itemData":{"id":14007,"type":"report","event-place":"Richmond, Victoria","language":"en","publisher":"Turning Point","publisher-place":"Richmond, Victoria","source":"Zotero","title":"Managing Cognitive Impairment in AOD Treatment: Practice Guidelines for Healthcare Professionals","URL":"https://www.turningpoint.org.au/treatment/clinicians/Managing-Cognitive-Impairment-in-AOD-Treatment-Guidelines","author":[{"family":"Manning","given":"Victoria"},{"family":"Gooden","given":"James"},{"family":"Cox","given":"Catherine"},{"family":"Whelan","given":"Danielle"},{"family":"Miroz","given":"Katherine"}],"issued":{"date-parts":[["2021"]]}}}],"schema":"https://github.com/citation-style-language/schema/raw/master/csl-citation.json"} </w:instrText>
      </w:r>
      <w:r w:rsidRPr="00A97382">
        <w:fldChar w:fldCharType="separate"/>
      </w:r>
      <w:r w:rsidRPr="00A97382">
        <w:rPr>
          <w:vertAlign w:val="superscript"/>
        </w:rPr>
        <w:t>3</w:t>
      </w:r>
      <w:r w:rsidRPr="00A97382">
        <w:fldChar w:fldCharType="end"/>
      </w:r>
    </w:p>
    <w:p w14:paraId="527D8C5D" w14:textId="77777777" w:rsidR="00361FAF" w:rsidRPr="00A97382" w:rsidRDefault="00361FAF" w:rsidP="00103A06">
      <w:r w:rsidRPr="00A97382">
        <w:rPr>
          <w:b/>
          <w:bCs/>
        </w:rPr>
        <w:t>Comprehensive assessment</w:t>
      </w:r>
      <w:r w:rsidRPr="00A97382">
        <w:t xml:space="preserve"> – refers to the personalised and individualised information gathering process that is standard in specialist AOD services. A comprehensive assessment gathers information that allows workers to develop an understanding of the social, clinical, and cultural context of a person, their whānau, and their strengths.</w:t>
      </w:r>
      <w:r w:rsidRPr="00A97382">
        <w:fldChar w:fldCharType="begin"/>
      </w:r>
      <w:r w:rsidRPr="00A97382">
        <w:instrText xml:space="preserve"> ADDIN ZOTERO_ITEM CSL_CITATION {"citationID":"a1l4jpf01h7","properties":{"formattedCitation":"\\super 133\\nosupersub{}","plainCitation":"133","noteIndex":0},"citationItems":[{"id":14184,"uris":["http://zotero.org/groups/4745233/items/TUQ48Y78"],"itemData":{"id":14184,"type":"report","event-place":"Wellington","publisher":"Matua Raki","publisher-place":"Wellington","title":"Mental health and addiction screening and assessment","author":[{"family":"Matua Raki","given":""}],"issued":{"date-parts":[["2016"]]}}}],"schema":"https://github.com/citation-style-language/schema/raw/master/csl-citation.json"} </w:instrText>
      </w:r>
      <w:r w:rsidRPr="00A97382">
        <w:fldChar w:fldCharType="separate"/>
      </w:r>
      <w:r w:rsidRPr="00A97382">
        <w:rPr>
          <w:vertAlign w:val="superscript"/>
        </w:rPr>
        <w:t>133</w:t>
      </w:r>
      <w:r w:rsidRPr="00A97382">
        <w:fldChar w:fldCharType="end"/>
      </w:r>
    </w:p>
    <w:p w14:paraId="357EB4C3" w14:textId="77777777" w:rsidR="00361FAF" w:rsidRPr="00A97382" w:rsidRDefault="00361FAF" w:rsidP="00103A06">
      <w:r w:rsidRPr="00A97382">
        <w:rPr>
          <w:b/>
          <w:bCs/>
        </w:rPr>
        <w:t>Diverse cultures</w:t>
      </w:r>
      <w:r w:rsidRPr="00A97382">
        <w:t xml:space="preserve"> – refers to the range of cultures in Aotearoa New Zealand. </w:t>
      </w:r>
    </w:p>
    <w:p w14:paraId="58E962AC" w14:textId="77777777" w:rsidR="00361FAF" w:rsidRPr="00122447" w:rsidRDefault="00361FAF" w:rsidP="00103A06">
      <w:pPr>
        <w:rPr>
          <w:szCs w:val="24"/>
        </w:rPr>
      </w:pPr>
      <w:r w:rsidRPr="00122447">
        <w:rPr>
          <w:rStyle w:val="normaltextrun"/>
          <w:rFonts w:cs="Arial"/>
          <w:b/>
          <w:bCs/>
          <w:szCs w:val="24"/>
        </w:rPr>
        <w:t>Harm reduction</w:t>
      </w:r>
      <w:r w:rsidRPr="00122447">
        <w:rPr>
          <w:rStyle w:val="normaltextrun"/>
          <w:rFonts w:cs="Arial"/>
          <w:szCs w:val="24"/>
        </w:rPr>
        <w:t xml:space="preserve"> approaches </w:t>
      </w:r>
      <w:r w:rsidRPr="00122447">
        <w:rPr>
          <w:szCs w:val="24"/>
        </w:rPr>
        <w:t xml:space="preserve">– </w:t>
      </w:r>
      <w:r w:rsidRPr="00122447">
        <w:rPr>
          <w:rStyle w:val="normaltextrun"/>
          <w:rFonts w:cs="Arial"/>
          <w:szCs w:val="24"/>
        </w:rPr>
        <w:t>aim to help people prevent or reduce potential health, social, or legal harms associated with substance use.</w:t>
      </w:r>
      <w:r w:rsidRPr="00122447">
        <w:rPr>
          <w:rStyle w:val="normaltextrun"/>
          <w:rFonts w:cs="Arial"/>
          <w:szCs w:val="24"/>
        </w:rPr>
        <w:fldChar w:fldCharType="begin"/>
      </w:r>
      <w:r w:rsidRPr="00122447">
        <w:rPr>
          <w:rStyle w:val="normaltextrun"/>
          <w:rFonts w:cs="Arial"/>
          <w:szCs w:val="24"/>
        </w:rPr>
        <w:instrText xml:space="preserve"> ADDIN ZOTERO_ITEM CSL_CITATION {"citationID":"anllu6vjq7","properties":{"formattedCitation":"\\super 182\\nosupersub{}","plainCitation":"182","noteIndex":0},"citationItems":[{"id":14194,"uris":["http://zotero.org/groups/4745233/items/AE5FDVW2"],"itemData":{"id":14194,"type":"post-weblog","abstract":"Harm reduction is a set of practical strategies aimed at reducing negative consequences associated with drug use. Understand the principles of harm reduction.","container-title":"National Harm Reduction Coalition","language":"en-US","title":"Harm Reduction Principles","URL":"https://harmreduction.org/about-us/principles-of-harm-reduction/","author":[{"literal":"National Harm Reduction Coalition"}],"accessed":{"date-parts":[["2023",8,14]]}}}],"schema":"https://github.com/citation-style-language/schema/raw/master/csl-citation.json"} </w:instrText>
      </w:r>
      <w:r w:rsidRPr="00122447">
        <w:rPr>
          <w:rStyle w:val="normaltextrun"/>
          <w:rFonts w:cs="Arial"/>
          <w:szCs w:val="24"/>
        </w:rPr>
        <w:fldChar w:fldCharType="separate"/>
      </w:r>
      <w:r w:rsidRPr="00122447">
        <w:rPr>
          <w:szCs w:val="24"/>
          <w:vertAlign w:val="superscript"/>
        </w:rPr>
        <w:t>182</w:t>
      </w:r>
      <w:r w:rsidRPr="00122447">
        <w:rPr>
          <w:rStyle w:val="normaltextrun"/>
          <w:rFonts w:cs="Arial"/>
          <w:szCs w:val="24"/>
        </w:rPr>
        <w:fldChar w:fldCharType="end"/>
      </w:r>
      <w:r w:rsidRPr="00122447">
        <w:rPr>
          <w:rStyle w:val="normaltextrun"/>
          <w:rFonts w:cs="Arial"/>
          <w:szCs w:val="24"/>
        </w:rPr>
        <w:t xml:space="preserve"> ‘Harm reduction’ can mean different things in different contexts, including: policies and legislation; programmes, practices, and approaches that support people who use substances to minimise potential health, social, and legal impacts; and information, tools, and support to help people reduce the risk of potential harms. All meanings emphasise autonomy, compassion, and human rights for people who use substances without coercion, judgement, or discrimination.</w:t>
      </w:r>
    </w:p>
    <w:p w14:paraId="0C7B456B" w14:textId="77777777" w:rsidR="00361FAF" w:rsidRPr="00A97382" w:rsidRDefault="00361FAF" w:rsidP="00103A06">
      <w:r w:rsidRPr="00A97382">
        <w:rPr>
          <w:b/>
          <w:bCs/>
        </w:rPr>
        <w:t xml:space="preserve">Kanohi ki te kanohi </w:t>
      </w:r>
      <w:r w:rsidRPr="00A97382">
        <w:t>– in-person, face-to-face.</w:t>
      </w:r>
      <w:r w:rsidRPr="00A97382">
        <w:fldChar w:fldCharType="begin"/>
      </w:r>
      <w:r w:rsidRPr="00A97382">
        <w:instrText xml:space="preserve"> ADDIN ZOTERO_ITEM CSL_CITATION {"citationID":"a2s7k9r0j1","properties":{"formattedCitation":"\\super 38\\nosupersub{}","plainCitation":"38","noteIndex":0},"citationItems":[{"id":13543,"uris":["http://zotero.org/groups/4745233/items/3E9SAV69"],"itemData":{"id":13543,"type":"webpage","abstract":"Search the Māori dictionary with the online version of Te Aka Māori-English, English-Māori Dictionary and Index","container-title":"Te Aka Māori Dictionary","language":"en","title":"Te Aka Māori Dictionary","URL":"https://www.maoridictionary.co.nz/","author":[{"literal":"Te Aka Māori Dictionary"}],"accessed":{"date-parts":[["2023",1,12]]},"issued":{"date-parts":[["2023"]]}}}],"schema":"https://github.com/citation-style-language/schema/raw/master/csl-citation.json"} </w:instrText>
      </w:r>
      <w:r w:rsidRPr="00A97382">
        <w:fldChar w:fldCharType="separate"/>
      </w:r>
      <w:r w:rsidRPr="00A97382">
        <w:rPr>
          <w:vertAlign w:val="superscript"/>
        </w:rPr>
        <w:t>38</w:t>
      </w:r>
      <w:r w:rsidRPr="00A97382">
        <w:fldChar w:fldCharType="end"/>
      </w:r>
    </w:p>
    <w:p w14:paraId="7022C0AE" w14:textId="77777777" w:rsidR="00361FAF" w:rsidRPr="00A97382" w:rsidRDefault="00361FAF" w:rsidP="00103A06">
      <w:r w:rsidRPr="00A97382">
        <w:rPr>
          <w:b/>
        </w:rPr>
        <w:lastRenderedPageBreak/>
        <w:t>Mana</w:t>
      </w:r>
      <w:r w:rsidRPr="00A97382">
        <w:t xml:space="preserve"> – dignity.</w:t>
      </w:r>
      <w:r w:rsidRPr="00A97382">
        <w:fldChar w:fldCharType="begin"/>
      </w:r>
      <w:r w:rsidRPr="00A97382">
        <w:instrText xml:space="preserve"> ADDIN ZOTERO_ITEM CSL_CITATION {"citationID":"a1fd1qndl95","properties":{"formattedCitation":"\\super 37\\nosupersub{}","plainCitation":"37","noteIndex":0},"citationItems":[{"id":16434,"uris":["http://zotero.org/groups/4768959/items/XBQIW2DK"],"itemData":{"id":16434,"type":"book","event-place":"Auckland","publisher":"Te Pou o te Whakaaro Nui","publisher-place":"Auckland","title":"Te Reo Hāpai: The language of enrichment","author":[{"family":"Opai","given":"K."}],"issued":{"date-parts":[["2017"]]}}}],"schema":"https://github.com/citation-style-language/schema/raw/master/csl-citation.json"} </w:instrText>
      </w:r>
      <w:r w:rsidRPr="00A97382">
        <w:fldChar w:fldCharType="separate"/>
      </w:r>
      <w:r w:rsidRPr="00A97382">
        <w:rPr>
          <w:vertAlign w:val="superscript"/>
        </w:rPr>
        <w:t>37</w:t>
      </w:r>
      <w:r w:rsidRPr="00A97382">
        <w:fldChar w:fldCharType="end"/>
      </w:r>
      <w:r w:rsidRPr="00A97382">
        <w:t xml:space="preserve"> </w:t>
      </w:r>
      <w:r w:rsidRPr="00A97382">
        <w:rPr>
          <w:bCs/>
        </w:rPr>
        <w:t>Mana motuhake</w:t>
      </w:r>
      <w:r w:rsidRPr="00A97382">
        <w:t xml:space="preserve"> means autonomy, self-government, self-determination, independence, sovereignty, and authority.</w:t>
      </w:r>
      <w:r w:rsidRPr="00A97382">
        <w:fldChar w:fldCharType="begin"/>
      </w:r>
      <w:r w:rsidRPr="00A97382">
        <w:instrText xml:space="preserve"> ADDIN ZOTERO_ITEM CSL_CITATION {"citationID":"a2cbhgdb3mp","properties":{"formattedCitation":"\\super 38\\nosupersub{}","plainCitation":"38","noteIndex":0},"citationItems":[{"id":13543,"uris":["http://zotero.org/groups/4745233/items/3E9SAV69"],"itemData":{"id":13543,"type":"webpage","abstract":"Search the Māori dictionary with the online version of Te Aka Māori-English, English-Māori Dictionary and Index","container-title":"Te Aka Māori Dictionary","language":"en","title":"Te Aka Māori Dictionary","URL":"https://www.maoridictionary.co.nz/","author":[{"literal":"Te Aka Māori Dictionary"}],"accessed":{"date-parts":[["2023",1,12]]},"issued":{"date-parts":[["2023"]]}}}],"schema":"https://github.com/citation-style-language/schema/raw/master/csl-citation.json"} </w:instrText>
      </w:r>
      <w:r w:rsidRPr="00A97382">
        <w:fldChar w:fldCharType="separate"/>
      </w:r>
      <w:r w:rsidRPr="00A97382">
        <w:rPr>
          <w:vertAlign w:val="superscript"/>
        </w:rPr>
        <w:t>38</w:t>
      </w:r>
      <w:r w:rsidRPr="00A97382">
        <w:fldChar w:fldCharType="end"/>
      </w:r>
    </w:p>
    <w:p w14:paraId="0046D6DD" w14:textId="77777777" w:rsidR="00361FAF" w:rsidRPr="00A97382" w:rsidRDefault="00361FAF" w:rsidP="00103A06">
      <w:r w:rsidRPr="00A97382">
        <w:rPr>
          <w:b/>
          <w:bCs/>
        </w:rPr>
        <w:t xml:space="preserve">Mātauranga </w:t>
      </w:r>
      <w:r w:rsidRPr="00A97382">
        <w:t>– knowledge, wisdom.</w:t>
      </w:r>
      <w:r w:rsidRPr="00A97382">
        <w:fldChar w:fldCharType="begin"/>
      </w:r>
      <w:r w:rsidRPr="00A97382">
        <w:instrText xml:space="preserve"> ADDIN ZOTERO_ITEM CSL_CITATION {"citationID":"a2brtobs2ki","properties":{"formattedCitation":"\\super 38\\nosupersub{}","plainCitation":"38","noteIndex":0},"citationItems":[{"id":13543,"uris":["http://zotero.org/groups/4745233/items/3E9SAV69"],"itemData":{"id":13543,"type":"webpage","abstract":"Search the Māori dictionary with the online version of Te Aka Māori-English, English-Māori Dictionary and Index","container-title":"Te Aka Māori Dictionary","language":"en","title":"Te Aka Māori Dictionary","URL":"https://www.maoridictionary.co.nz/","author":[{"literal":"Te Aka Māori Dictionary"}],"accessed":{"date-parts":[["2023",1,12]]},"issued":{"date-parts":[["2023"]]}}}],"schema":"https://github.com/citation-style-language/schema/raw/master/csl-citation.json"} </w:instrText>
      </w:r>
      <w:r w:rsidRPr="00A97382">
        <w:fldChar w:fldCharType="separate"/>
      </w:r>
      <w:r w:rsidRPr="00A97382">
        <w:rPr>
          <w:vertAlign w:val="superscript"/>
        </w:rPr>
        <w:t>38</w:t>
      </w:r>
      <w:r w:rsidRPr="00A97382">
        <w:fldChar w:fldCharType="end"/>
      </w:r>
    </w:p>
    <w:p w14:paraId="38AD954E" w14:textId="77777777" w:rsidR="00361FAF" w:rsidRPr="00A97382" w:rsidRDefault="00361FAF" w:rsidP="00103A06">
      <w:pPr>
        <w:rPr>
          <w:b/>
          <w:bCs/>
        </w:rPr>
      </w:pPr>
      <w:r w:rsidRPr="00A97382">
        <w:rPr>
          <w:b/>
          <w:bCs/>
        </w:rPr>
        <w:t xml:space="preserve">Mihimihi </w:t>
      </w:r>
      <w:r w:rsidRPr="00A97382">
        <w:t>–</w:t>
      </w:r>
      <w:r w:rsidRPr="00A97382">
        <w:rPr>
          <w:b/>
          <w:bCs/>
        </w:rPr>
        <w:t xml:space="preserve"> </w:t>
      </w:r>
      <w:r w:rsidRPr="00A97382">
        <w:t>greeting.</w:t>
      </w:r>
      <w:r w:rsidRPr="00A97382">
        <w:fldChar w:fldCharType="begin"/>
      </w:r>
      <w:r w:rsidRPr="00A97382">
        <w:instrText xml:space="preserve"> ADDIN ZOTERO_ITEM CSL_CITATION {"citationID":"ZhRUkiJE","properties":{"formattedCitation":"\\super 38\\nosupersub{}","plainCitation":"38","noteIndex":0},"citationItems":[{"id":13543,"uris":["http://zotero.org/groups/4745233/items/3E9SAV69"],"itemData":{"id":13543,"type":"webpage","abstract":"Search the Māori dictionary with the online version of Te Aka Māori-English, English-Māori Dictionary and Index","container-title":"Te Aka Māori Dictionary","language":"en","title":"Te Aka Māori Dictionary","URL":"https://www.maoridictionary.co.nz/","author":[{"literal":"Te Aka Māori Dictionary"}],"accessed":{"date-parts":[["2023",1,12]]},"issued":{"date-parts":[["2023"]]}}}],"schema":"https://github.com/citation-style-language/schema/raw/master/csl-citation.json"} </w:instrText>
      </w:r>
      <w:r w:rsidRPr="00A97382">
        <w:fldChar w:fldCharType="separate"/>
      </w:r>
      <w:r w:rsidRPr="00A97382">
        <w:rPr>
          <w:vertAlign w:val="superscript"/>
        </w:rPr>
        <w:t>38</w:t>
      </w:r>
      <w:r w:rsidRPr="00A97382">
        <w:fldChar w:fldCharType="end"/>
      </w:r>
    </w:p>
    <w:p w14:paraId="30EE5084" w14:textId="77777777" w:rsidR="002961FA" w:rsidRPr="00A97382" w:rsidRDefault="002961FA" w:rsidP="00103A06">
      <w:r w:rsidRPr="00A97382">
        <w:rPr>
          <w:b/>
          <w:bCs/>
        </w:rPr>
        <w:t>Mental health challenges</w:t>
      </w:r>
      <w:r w:rsidRPr="00A97382">
        <w:t xml:space="preserve"> – a strengths-based term preferred by people with lived experience that describes experiences from symptoms through to meeting diagnostic criteria for a mental health condition. </w:t>
      </w:r>
    </w:p>
    <w:p w14:paraId="41939731" w14:textId="77777777" w:rsidR="002961FA" w:rsidRPr="00A97382" w:rsidRDefault="002961FA" w:rsidP="00103A06">
      <w:pPr>
        <w:rPr>
          <w:rFonts w:ascii="Open Sans" w:hAnsi="Open Sans" w:cs="Open Sans"/>
          <w:color w:val="28303D"/>
          <w:shd w:val="clear" w:color="auto" w:fill="FFFFFF"/>
        </w:rPr>
      </w:pPr>
      <w:r w:rsidRPr="00A97382">
        <w:rPr>
          <w:b/>
          <w:bCs/>
        </w:rPr>
        <w:t>Neuropsychological assessment</w:t>
      </w:r>
      <w:r w:rsidRPr="00A97382">
        <w:t xml:space="preserve"> – refers to in-depth assessment specific to cognition and cognitive impairment. A neuropsychological assessment measures and evaluates thinking, mood and behaviour through interview, observation, testing, and other relevant information.</w:t>
      </w:r>
      <w:r w:rsidRPr="00A97382">
        <w:fldChar w:fldCharType="begin"/>
      </w:r>
      <w:r w:rsidRPr="00A97382">
        <w:instrText xml:space="preserve"> ADDIN ZOTERO_ITEM CSL_CITATION {"citationID":"a5ktg0mqai","properties":{"formattedCitation":"\\super 3\\nosupersub{}","plainCitation":"3","noteIndex":0},"citationItems":[{"id":14007,"uris":["http://zotero.org/groups/4745233/items/U3GGYCKU"],"itemData":{"id":14007,"type":"report","event-place":"Richmond, Victoria","language":"en","publisher":"Turning Point","publisher-place":"Richmond, Victoria","source":"Zotero","title":"Managing Cognitive Impairment in AOD Treatment: Practice Guidelines for Healthcare Professionals","URL":"https://www.turningpoint.org.au/treatment/clinicians/Managing-Cognitive-Impairment-in-AOD-Treatment-Guidelines","author":[{"family":"Manning","given":"Victoria"},{"family":"Gooden","given":"James"},{"family":"Cox","given":"Catherine"},{"family":"Whelan","given":"Danielle"},{"family":"Miroz","given":"Katherine"}],"issued":{"date-parts":[["2021"]]}}}],"schema":"https://github.com/citation-style-language/schema/raw/master/csl-citation.json"} </w:instrText>
      </w:r>
      <w:r w:rsidRPr="00A97382">
        <w:fldChar w:fldCharType="separate"/>
      </w:r>
      <w:r w:rsidRPr="00A97382">
        <w:rPr>
          <w:vertAlign w:val="superscript"/>
        </w:rPr>
        <w:t>3</w:t>
      </w:r>
      <w:r w:rsidRPr="00A97382">
        <w:fldChar w:fldCharType="end"/>
      </w:r>
      <w:r w:rsidRPr="00A97382">
        <w:t xml:space="preserve"> In Aotearoa New Zealand these can be carried out by clinical psychologists and neuropsychologists.</w:t>
      </w:r>
      <w:r w:rsidRPr="00A97382">
        <w:rPr>
          <w:rFonts w:ascii="Open Sans" w:hAnsi="Open Sans" w:cs="Open Sans"/>
          <w:color w:val="28303D"/>
          <w:shd w:val="clear" w:color="auto" w:fill="FFFFFF"/>
        </w:rPr>
        <w:t xml:space="preserve"> </w:t>
      </w:r>
    </w:p>
    <w:p w14:paraId="561C1854" w14:textId="77777777" w:rsidR="002961FA" w:rsidRPr="00A97382" w:rsidRDefault="002961FA" w:rsidP="00103A06">
      <w:r w:rsidRPr="00A97382">
        <w:rPr>
          <w:b/>
          <w:bCs/>
        </w:rPr>
        <w:t xml:space="preserve">Prevalence </w:t>
      </w:r>
      <w:r w:rsidRPr="00A97382">
        <w:t>- the proportion of people living with a condition who meet diagnostic criteria at a specific point in time or within a specific time period.</w:t>
      </w:r>
      <w:r w:rsidRPr="00A97382">
        <w:fldChar w:fldCharType="begin"/>
      </w:r>
      <w:r w:rsidRPr="00A97382">
        <w:instrText xml:space="preserve"> ADDIN ZOTERO_ITEM CSL_CITATION {"citationID":"a29uv84osu6","properties":{"formattedCitation":"\\super 183\\nosupersub{}","plainCitation":"183","noteIndex":0},"citationItems":[{"id":8655,"uris":["http://zotero.org/groups/4406622/items/7J2NWMHC"],"itemData":{"id":8655,"type":"article-journal","abstract":"Despite a substantial degree of inter-survey heterogeneity in the meta-analysis, the findings confirm that common mental disorders are highly prevalent globally, affecting people across all regions of the world. This research provides an important resource for modelling population needs based on glo …","container-title":"International journal of epidemiology","DOI":"10.1093/ije/dyu038","ISSN":"1464-3685","issue":"2","language":"en","note":"publisher: Int J Epidemiol\nPMID: 24648481","source":"pubmed.ncbi.nlm.nih.gov","title":"The global prevalence of common mental disorders: a systematic review and meta-analysis 1980-2013","title-short":"The global prevalence of common mental disorders","URL":"https://pubmed.ncbi.nlm.nih.gov/24648481/","volume":"43","author":[{"family":"Steel","given":"Z"},{"family":"Marnane","given":"C"},{"family":"Iranpour","given":"C"},{"family":"Chey","given":"T"},{"family":"Jackson","given":"Jw"},{"family":"Patel","given":"V"},{"family":"Silove","given":"D"}],"accessed":{"date-parts":[["2023",3,30]]},"issued":{"date-parts":[["2014",4]]}}}],"schema":"https://github.com/citation-style-language/schema/raw/master/csl-citation.json"} </w:instrText>
      </w:r>
      <w:r w:rsidRPr="00A97382">
        <w:fldChar w:fldCharType="separate"/>
      </w:r>
      <w:r w:rsidRPr="00A97382">
        <w:rPr>
          <w:vertAlign w:val="superscript"/>
        </w:rPr>
        <w:t>183</w:t>
      </w:r>
      <w:r w:rsidRPr="00A97382">
        <w:fldChar w:fldCharType="end"/>
      </w:r>
      <w:r w:rsidRPr="00A97382">
        <w:t xml:space="preserve"> </w:t>
      </w:r>
    </w:p>
    <w:p w14:paraId="0EDE2D14" w14:textId="77777777" w:rsidR="002961FA" w:rsidRPr="00122447" w:rsidRDefault="002961FA" w:rsidP="00103A06">
      <w:pPr>
        <w:rPr>
          <w:rStyle w:val="normaltextrun"/>
          <w:rFonts w:cs="Arial"/>
          <w:szCs w:val="24"/>
        </w:rPr>
      </w:pPr>
      <w:r w:rsidRPr="00122447">
        <w:rPr>
          <w:b/>
          <w:bCs/>
          <w:szCs w:val="24"/>
        </w:rPr>
        <w:t>Problematic substance use</w:t>
      </w:r>
      <w:r w:rsidRPr="00122447">
        <w:rPr>
          <w:szCs w:val="24"/>
        </w:rPr>
        <w:t xml:space="preserve"> – </w:t>
      </w:r>
      <w:r w:rsidRPr="00122447">
        <w:rPr>
          <w:rStyle w:val="normaltextrun"/>
          <w:rFonts w:cs="Arial"/>
          <w:szCs w:val="24"/>
        </w:rPr>
        <w:t xml:space="preserve">patterns of substance use that negatively impact people’s lives, including those that do not meet diagnostic criteria for substance use disorders. </w:t>
      </w:r>
      <w:r w:rsidRPr="00122447">
        <w:rPr>
          <w:rStyle w:val="ui-provider"/>
          <w:szCs w:val="24"/>
        </w:rPr>
        <w:t>Aligning with a more strengths-based and recovery-oriented approach, problematic substance use is a preferred term when talking about people’s experiences and experienced harm.</w:t>
      </w:r>
      <w:r w:rsidRPr="00122447">
        <w:rPr>
          <w:rStyle w:val="ui-provider"/>
          <w:szCs w:val="24"/>
        </w:rPr>
        <w:fldChar w:fldCharType="begin"/>
      </w:r>
      <w:r w:rsidRPr="00122447">
        <w:rPr>
          <w:rStyle w:val="ui-provider"/>
          <w:szCs w:val="24"/>
        </w:rPr>
        <w:instrText xml:space="preserve"> ADDIN ZOTERO_ITEM CSL_CITATION {"citationID":"a9hqcat693","properties":{"formattedCitation":"\\super 184\\nosupersub{}","plainCitation":"184","noteIndex":0},"citationItems":[{"id":12473,"uris":["http://zotero.org/groups/4745233/items/5IHMKZAV"],"itemData":{"id":12473,"type":"report","event-place":"Glasgow","publisher":"Scottish Drugs Forum","publisher-place":"Glasgow","title":"Moving Beyonod 'People-First' Language: A glossary of contested terms in substance use","URL":"https://www.sdf.org.uk/wp-content/uploads/2020/10/Moving-Beyond-People-First-Language.pdf","author":[{"family":"Scottish Drugs Forum","given":""}],"issued":{"date-parts":[["2020"]]}}}],"schema":"https://github.com/citation-style-language/schema/raw/master/csl-citation.json"} </w:instrText>
      </w:r>
      <w:r w:rsidRPr="00122447">
        <w:rPr>
          <w:rStyle w:val="ui-provider"/>
          <w:szCs w:val="24"/>
        </w:rPr>
        <w:fldChar w:fldCharType="separate"/>
      </w:r>
      <w:r w:rsidRPr="00122447">
        <w:rPr>
          <w:szCs w:val="24"/>
          <w:vertAlign w:val="superscript"/>
        </w:rPr>
        <w:t>184</w:t>
      </w:r>
      <w:r w:rsidRPr="00122447">
        <w:rPr>
          <w:rStyle w:val="ui-provider"/>
          <w:szCs w:val="24"/>
        </w:rPr>
        <w:fldChar w:fldCharType="end"/>
      </w:r>
    </w:p>
    <w:p w14:paraId="7C741494" w14:textId="77777777" w:rsidR="002961FA" w:rsidRPr="00122447" w:rsidRDefault="002961FA" w:rsidP="00122447">
      <w:pPr>
        <w:rPr>
          <w:szCs w:val="24"/>
        </w:rPr>
      </w:pPr>
      <w:r w:rsidRPr="00122447">
        <w:rPr>
          <w:rStyle w:val="normaltextrun"/>
          <w:rFonts w:cs="Arial"/>
          <w:b/>
          <w:bCs/>
          <w:szCs w:val="24"/>
        </w:rPr>
        <w:t xml:space="preserve">Relapse </w:t>
      </w:r>
      <w:r w:rsidRPr="00122447">
        <w:rPr>
          <w:szCs w:val="24"/>
        </w:rPr>
        <w:t xml:space="preserve">– </w:t>
      </w:r>
      <w:r w:rsidRPr="00122447">
        <w:rPr>
          <w:rStyle w:val="normaltextrun"/>
          <w:rFonts w:cs="Arial"/>
          <w:szCs w:val="24"/>
        </w:rPr>
        <w:t>refers to the return to problematic substance use after a period of abstinence. Many people experience (multiple) relapses as part of their recovery journey.</w:t>
      </w:r>
      <w:r w:rsidRPr="00122447">
        <w:rPr>
          <w:rStyle w:val="eop"/>
          <w:rFonts w:cs="Arial"/>
          <w:szCs w:val="24"/>
        </w:rPr>
        <w:t> </w:t>
      </w:r>
    </w:p>
    <w:p w14:paraId="0C467A70" w14:textId="77777777" w:rsidR="002961FA" w:rsidRPr="00A97382" w:rsidRDefault="002961FA" w:rsidP="00103A06">
      <w:r w:rsidRPr="00A97382">
        <w:rPr>
          <w:b/>
          <w:bCs/>
        </w:rPr>
        <w:t>Tāngata whai ora</w:t>
      </w:r>
      <w:r w:rsidRPr="00A97382">
        <w:t xml:space="preserve"> – refers to people seeking wellness.</w:t>
      </w:r>
      <w:r w:rsidRPr="00A97382">
        <w:fldChar w:fldCharType="begin"/>
      </w:r>
      <w:r w:rsidRPr="00A97382">
        <w:instrText xml:space="preserve"> ADDIN ZOTERO_ITEM CSL_CITATION {"citationID":"af8s6r7vb2","properties":{"formattedCitation":"\\super 37\\nosupersub{}","plainCitation":"37","noteIndex":0},"citationItems":[{"id":16434,"uris":["http://zotero.org/groups/4768959/items/XBQIW2DK"],"itemData":{"id":16434,"type":"book","event-place":"Auckland","publisher":"Te Pou o te Whakaaro Nui","publisher-place":"Auckland","title":"Te Reo Hāpai: The language of enrichment","author":[{"family":"Opai","given":"K."}],"issued":{"date-parts":[["2017"]]}}}],"schema":"https://github.com/citation-style-language/schema/raw/master/csl-citation.json"} </w:instrText>
      </w:r>
      <w:r w:rsidRPr="00A97382">
        <w:fldChar w:fldCharType="separate"/>
      </w:r>
      <w:r w:rsidRPr="00A97382">
        <w:rPr>
          <w:vertAlign w:val="superscript"/>
        </w:rPr>
        <w:t>37</w:t>
      </w:r>
      <w:r w:rsidRPr="00A97382">
        <w:fldChar w:fldCharType="end"/>
      </w:r>
      <w:r w:rsidRPr="00A97382">
        <w:t xml:space="preserve"> Tāngata whai ora Māori is used when specifically referring to Māori. The singular version (person) is tangata whai ora. Tāngata whaikaha refers to disabled people.</w:t>
      </w:r>
    </w:p>
    <w:p w14:paraId="06D3DA28" w14:textId="77777777" w:rsidR="002961FA" w:rsidRPr="00A97382" w:rsidRDefault="002961FA" w:rsidP="00103A06">
      <w:r w:rsidRPr="00A97382">
        <w:rPr>
          <w:b/>
          <w:bCs/>
        </w:rPr>
        <w:t>Whānau</w:t>
      </w:r>
      <w:r w:rsidRPr="00A97382">
        <w:t xml:space="preserve"> – is used to refer to peoples’ support networks including and beyond their immediate families, such as partners, friends, and others in their support network. </w:t>
      </w:r>
    </w:p>
    <w:p w14:paraId="0864DE3E" w14:textId="77777777" w:rsidR="002961FA" w:rsidRPr="00A97382" w:rsidRDefault="002961FA" w:rsidP="00103A06">
      <w:r w:rsidRPr="00A97382">
        <w:t>Whakapapa whānau is used if referring specifically to genealogical links, while kaupapa whānau refers to those with responsibilities and/or obligations to others based on a shared interest or kaupapa rather than by genealogy.</w:t>
      </w:r>
    </w:p>
    <w:p w14:paraId="20AE9C5C" w14:textId="77777777" w:rsidR="002961FA" w:rsidRPr="00B423C5" w:rsidRDefault="002961FA" w:rsidP="00103A06">
      <w:pPr>
        <w:rPr>
          <w:rStyle w:val="eop"/>
          <w:rFonts w:cs="Arial"/>
          <w:color w:val="000000"/>
          <w:szCs w:val="24"/>
          <w:shd w:val="clear" w:color="auto" w:fill="FFFFFF"/>
        </w:rPr>
      </w:pPr>
      <w:r w:rsidRPr="00B423C5">
        <w:rPr>
          <w:rStyle w:val="normaltextrun"/>
          <w:rFonts w:cs="Arial"/>
          <w:b/>
          <w:bCs/>
          <w:color w:val="000000"/>
          <w:szCs w:val="24"/>
          <w:shd w:val="clear" w:color="auto" w:fill="FFFFFF"/>
        </w:rPr>
        <w:t>Whakawhanaungatanga</w:t>
      </w:r>
      <w:r w:rsidRPr="00B423C5">
        <w:rPr>
          <w:rStyle w:val="normaltextrun"/>
          <w:rFonts w:cs="Arial"/>
          <w:color w:val="000000"/>
          <w:szCs w:val="24"/>
          <w:shd w:val="clear" w:color="auto" w:fill="FFFFFF"/>
        </w:rPr>
        <w:t xml:space="preserve"> </w:t>
      </w:r>
      <w:r w:rsidRPr="00B423C5">
        <w:rPr>
          <w:szCs w:val="24"/>
        </w:rPr>
        <w:t>–</w:t>
      </w:r>
      <w:r w:rsidRPr="00B423C5">
        <w:rPr>
          <w:rStyle w:val="normaltextrun"/>
          <w:rFonts w:cs="Arial"/>
          <w:color w:val="000000"/>
          <w:szCs w:val="24"/>
          <w:shd w:val="clear" w:color="auto" w:fill="FFFFFF"/>
        </w:rPr>
        <w:t xml:space="preserve"> refers to the process of establishing good relationships.</w:t>
      </w:r>
      <w:r w:rsidRPr="00B423C5">
        <w:rPr>
          <w:rStyle w:val="normaltextrun"/>
          <w:rFonts w:cs="Arial"/>
          <w:color w:val="000000"/>
          <w:szCs w:val="24"/>
          <w:shd w:val="clear" w:color="auto" w:fill="FFFFFF"/>
        </w:rPr>
        <w:fldChar w:fldCharType="begin"/>
      </w:r>
      <w:r w:rsidRPr="00B423C5">
        <w:rPr>
          <w:rStyle w:val="normaltextrun"/>
          <w:rFonts w:cs="Arial"/>
          <w:color w:val="000000"/>
          <w:szCs w:val="24"/>
          <w:shd w:val="clear" w:color="auto" w:fill="FFFFFF"/>
        </w:rPr>
        <w:instrText xml:space="preserve"> ADDIN ZOTERO_ITEM CSL_CITATION {"citationID":"a11bbv9ib2l","properties":{"formattedCitation":"\\super 38\\nosupersub{}","plainCitation":"38","noteIndex":0},"citationItems":[{"id":13543,"uris":["http://zotero.org/groups/4745233/items/3E9SAV69"],"itemData":{"id":13543,"type":"webpage","abstract":"Search the Māori dictionary with the online version of Te Aka Māori-English, English-Māori Dictionary and Index","container-title":"Te Aka Māori Dictionary","language":"en","title":"Te Aka Māori Dictionary","URL":"https://www.maoridictionary.co.nz/","author":[{"literal":"Te Aka Māori Dictionary"}],"accessed":{"date-parts":[["2023",1,12]]},"issued":{"date-parts":[["2023"]]}}}],"schema":"https://github.com/citation-style-language/schema/raw/master/csl-citation.json"} </w:instrText>
      </w:r>
      <w:r w:rsidRPr="00B423C5">
        <w:rPr>
          <w:rStyle w:val="normaltextrun"/>
          <w:rFonts w:cs="Arial"/>
          <w:color w:val="000000"/>
          <w:szCs w:val="24"/>
          <w:shd w:val="clear" w:color="auto" w:fill="FFFFFF"/>
        </w:rPr>
        <w:fldChar w:fldCharType="separate"/>
      </w:r>
      <w:r w:rsidRPr="00B423C5">
        <w:rPr>
          <w:szCs w:val="24"/>
          <w:vertAlign w:val="superscript"/>
        </w:rPr>
        <w:t>38</w:t>
      </w:r>
      <w:r w:rsidRPr="00B423C5">
        <w:rPr>
          <w:rStyle w:val="normaltextrun"/>
          <w:rFonts w:cs="Arial"/>
          <w:color w:val="000000"/>
          <w:szCs w:val="24"/>
          <w:shd w:val="clear" w:color="auto" w:fill="FFFFFF"/>
        </w:rPr>
        <w:fldChar w:fldCharType="end"/>
      </w:r>
      <w:r w:rsidRPr="00B423C5">
        <w:rPr>
          <w:rStyle w:val="eop"/>
          <w:rFonts w:cs="Arial"/>
          <w:color w:val="000000"/>
          <w:szCs w:val="24"/>
          <w:shd w:val="clear" w:color="auto" w:fill="FFFFFF"/>
        </w:rPr>
        <w:t> </w:t>
      </w:r>
    </w:p>
    <w:p w14:paraId="7303A0C7" w14:textId="39C208FB" w:rsidR="006B229D" w:rsidRPr="006B376E" w:rsidRDefault="002961FA" w:rsidP="006B229D">
      <w:r w:rsidRPr="00A97382">
        <w:rPr>
          <w:b/>
          <w:bCs/>
        </w:rPr>
        <w:t>Validated</w:t>
      </w:r>
      <w:r w:rsidRPr="00A97382">
        <w:t xml:space="preserve"> – in the context of cognitive screening tools this refers to measuring what the tool is intended to measure (for example, cognitive function). </w:t>
      </w:r>
      <w:bookmarkStart w:id="2424" w:name="_Toc172095801"/>
      <w:bookmarkStart w:id="2425" w:name="_Toc178780178"/>
      <w:bookmarkStart w:id="2426" w:name="_Toc178838944"/>
      <w:bookmarkStart w:id="2427" w:name="_Toc178839131"/>
      <w:bookmarkStart w:id="2428" w:name="_Toc178839252"/>
      <w:bookmarkStart w:id="2429" w:name="_Toc178839480"/>
      <w:bookmarkStart w:id="2430" w:name="_Toc178841690"/>
      <w:bookmarkStart w:id="2431" w:name="_Toc179198250"/>
      <w:bookmarkStart w:id="2432" w:name="_Toc179198500"/>
      <w:bookmarkStart w:id="2433" w:name="_Toc179198607"/>
      <w:bookmarkStart w:id="2434" w:name="_Toc179198714"/>
      <w:bookmarkStart w:id="2435" w:name="_Toc179446158"/>
      <w:bookmarkStart w:id="2436" w:name="_Toc179447171"/>
      <w:bookmarkStart w:id="2437" w:name="_Toc179448710"/>
      <w:bookmarkStart w:id="2438" w:name="_Toc179448867"/>
      <w:bookmarkStart w:id="2439" w:name="_Toc179449236"/>
      <w:bookmarkStart w:id="2440" w:name="_Toc179452929"/>
      <w:bookmarkStart w:id="2441" w:name="_Toc179461442"/>
      <w:bookmarkStart w:id="2442" w:name="_Toc179461886"/>
      <w:bookmarkStart w:id="2443" w:name="_Toc179531366"/>
    </w:p>
    <w:p w14:paraId="7E7B7BBC" w14:textId="3E6ADBA9" w:rsidR="00417EDF" w:rsidRPr="009B78F5" w:rsidRDefault="00417EDF" w:rsidP="006B376E">
      <w:pPr>
        <w:pStyle w:val="Section4Heading1"/>
        <w:rPr>
          <w:lang w:val="fr-FR"/>
        </w:rPr>
      </w:pPr>
      <w:bookmarkStart w:id="2444" w:name="_Toc179536039"/>
      <w:bookmarkStart w:id="2445" w:name="_Toc179537878"/>
      <w:bookmarkStart w:id="2446" w:name="_Toc179537942"/>
      <w:bookmarkStart w:id="2447" w:name="_Toc179538109"/>
      <w:bookmarkStart w:id="2448" w:name="_Toc179538925"/>
      <w:bookmarkStart w:id="2449" w:name="_Toc179539244"/>
      <w:bookmarkStart w:id="2450" w:name="_Toc179539360"/>
      <w:bookmarkStart w:id="2451" w:name="_Toc179539498"/>
      <w:bookmarkStart w:id="2452" w:name="_Toc179539595"/>
      <w:bookmarkStart w:id="2453" w:name="_Toc179539680"/>
      <w:bookmarkStart w:id="2454" w:name="_Toc179539770"/>
      <w:bookmarkStart w:id="2455" w:name="_Toc179540454"/>
      <w:bookmarkStart w:id="2456" w:name="_Toc179541799"/>
      <w:bookmarkStart w:id="2457" w:name="_Toc179542991"/>
      <w:bookmarkStart w:id="2458" w:name="_Toc180571319"/>
      <w:r w:rsidRPr="009B78F5">
        <w:rPr>
          <w:lang w:val="fr-FR"/>
        </w:rPr>
        <w:lastRenderedPageBreak/>
        <w:t>Appendices</w:t>
      </w:r>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p>
    <w:p w14:paraId="6246E3E4" w14:textId="77777777" w:rsidR="00417EDF" w:rsidRPr="002C111C" w:rsidRDefault="00417EDF" w:rsidP="009607E5">
      <w:pPr>
        <w:pStyle w:val="Section4Heading2"/>
        <w:rPr>
          <w:lang w:val="fr-FR"/>
        </w:rPr>
      </w:pPr>
      <w:bookmarkStart w:id="2459" w:name="_Ref139012402"/>
      <w:bookmarkStart w:id="2460" w:name="_Ref139014618"/>
      <w:bookmarkStart w:id="2461" w:name="_Toc172095802"/>
      <w:bookmarkStart w:id="2462" w:name="_Toc178780179"/>
      <w:bookmarkStart w:id="2463" w:name="_Toc178838945"/>
      <w:bookmarkStart w:id="2464" w:name="_Toc178839132"/>
      <w:bookmarkStart w:id="2465" w:name="_Toc178839253"/>
      <w:bookmarkStart w:id="2466" w:name="_Toc178839481"/>
      <w:bookmarkStart w:id="2467" w:name="_Toc178841691"/>
      <w:bookmarkStart w:id="2468" w:name="_Toc179198251"/>
      <w:bookmarkStart w:id="2469" w:name="_Toc179198501"/>
      <w:bookmarkStart w:id="2470" w:name="_Toc179198608"/>
      <w:bookmarkStart w:id="2471" w:name="_Toc179198715"/>
      <w:bookmarkStart w:id="2472" w:name="_Toc179446159"/>
      <w:bookmarkStart w:id="2473" w:name="_Toc179447172"/>
      <w:bookmarkStart w:id="2474" w:name="_Toc179448711"/>
      <w:bookmarkStart w:id="2475" w:name="_Toc179448868"/>
      <w:bookmarkStart w:id="2476" w:name="_Toc179449237"/>
      <w:bookmarkStart w:id="2477" w:name="_Toc179452930"/>
      <w:bookmarkStart w:id="2478" w:name="_Toc179461443"/>
      <w:bookmarkStart w:id="2479" w:name="_Toc179461887"/>
      <w:bookmarkStart w:id="2480" w:name="_Toc179531367"/>
      <w:bookmarkStart w:id="2481" w:name="_Toc179536040"/>
      <w:bookmarkStart w:id="2482" w:name="_Toc179537879"/>
      <w:bookmarkStart w:id="2483" w:name="_Toc179537943"/>
      <w:bookmarkStart w:id="2484" w:name="_Toc179538110"/>
      <w:bookmarkStart w:id="2485" w:name="_Toc179538926"/>
      <w:bookmarkStart w:id="2486" w:name="_Toc179539245"/>
      <w:bookmarkStart w:id="2487" w:name="_Toc179539361"/>
      <w:bookmarkStart w:id="2488" w:name="_Toc179539499"/>
      <w:bookmarkStart w:id="2489" w:name="_Toc179539596"/>
      <w:bookmarkStart w:id="2490" w:name="_Toc179539681"/>
      <w:bookmarkStart w:id="2491" w:name="_Toc179539771"/>
      <w:bookmarkStart w:id="2492" w:name="_Toc179540455"/>
      <w:bookmarkStart w:id="2493" w:name="_Toc179541800"/>
      <w:bookmarkStart w:id="2494" w:name="_Toc179542992"/>
      <w:bookmarkStart w:id="2495" w:name="_Toc180571320"/>
      <w:r w:rsidRPr="002C111C">
        <w:rPr>
          <w:lang w:val="fr-FR"/>
        </w:rPr>
        <w:t xml:space="preserve">Appendix A : Māori cultural </w:t>
      </w:r>
      <w:bookmarkEnd w:id="2459"/>
      <w:bookmarkEnd w:id="2460"/>
      <w:bookmarkEnd w:id="2461"/>
      <w:r w:rsidRPr="002C111C">
        <w:rPr>
          <w:lang w:val="fr-FR"/>
        </w:rPr>
        <w:t>model</w:t>
      </w:r>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p>
    <w:p w14:paraId="54A180C3" w14:textId="77777777" w:rsidR="00417EDF" w:rsidRPr="002C111C" w:rsidRDefault="00417EDF" w:rsidP="00103A06">
      <w:r w:rsidRPr="002C111C">
        <w:t xml:space="preserve">This Appendix contains more information about two possible models that can be used as a framework for information gathering with tāngata whai ora Māori. These are: </w:t>
      </w:r>
    </w:p>
    <w:p w14:paraId="52D597FF" w14:textId="77777777" w:rsidR="00417EDF" w:rsidRPr="002C111C" w:rsidRDefault="00417EDF" w:rsidP="00103A06">
      <w:pPr>
        <w:pStyle w:val="Bulletpoint"/>
      </w:pPr>
      <w:r w:rsidRPr="002C111C">
        <w:t>the Meihana model</w:t>
      </w:r>
    </w:p>
    <w:p w14:paraId="673505B3" w14:textId="77777777" w:rsidR="00417EDF" w:rsidRPr="002C111C" w:rsidRDefault="00417EDF" w:rsidP="00103A06">
      <w:pPr>
        <w:pStyle w:val="Bulletpoint"/>
      </w:pPr>
      <w:r w:rsidRPr="002C111C">
        <w:t>Te Waka Kuaka.</w:t>
      </w:r>
    </w:p>
    <w:p w14:paraId="43D8A07F" w14:textId="77777777" w:rsidR="00122447" w:rsidRDefault="00122447" w:rsidP="00417EDF">
      <w:pPr>
        <w:rPr>
          <w:b/>
          <w:bCs/>
          <w:color w:val="4D2379" w:themeColor="accent4"/>
        </w:rPr>
      </w:pPr>
      <w:bookmarkStart w:id="2496" w:name="_Toc138832279"/>
      <w:bookmarkStart w:id="2497" w:name="_Toc178780180"/>
      <w:bookmarkStart w:id="2498" w:name="_Toc178838946"/>
      <w:bookmarkStart w:id="2499" w:name="_Toc178839133"/>
      <w:bookmarkStart w:id="2500" w:name="_Toc178839254"/>
      <w:bookmarkStart w:id="2501" w:name="_Toc178839482"/>
      <w:bookmarkStart w:id="2502" w:name="_Toc178841692"/>
      <w:bookmarkStart w:id="2503" w:name="_Toc179198252"/>
      <w:bookmarkStart w:id="2504" w:name="_Toc179198502"/>
      <w:bookmarkStart w:id="2505" w:name="_Toc179198609"/>
      <w:bookmarkStart w:id="2506" w:name="_Toc179198716"/>
      <w:bookmarkStart w:id="2507" w:name="_Toc179446160"/>
      <w:bookmarkStart w:id="2508" w:name="_Toc179447173"/>
      <w:bookmarkStart w:id="2509" w:name="_Toc179448712"/>
      <w:bookmarkStart w:id="2510" w:name="_Toc179448869"/>
      <w:bookmarkStart w:id="2511" w:name="_Toc179449238"/>
    </w:p>
    <w:p w14:paraId="78288BBA" w14:textId="09F9810E" w:rsidR="00417EDF" w:rsidRPr="00B423C5" w:rsidRDefault="00417EDF" w:rsidP="00417EDF">
      <w:pPr>
        <w:rPr>
          <w:b/>
          <w:bCs/>
          <w:color w:val="4D2379" w:themeColor="accent4"/>
          <w:sz w:val="28"/>
          <w:szCs w:val="28"/>
        </w:rPr>
      </w:pPr>
      <w:r w:rsidRPr="00B423C5">
        <w:rPr>
          <w:b/>
          <w:bCs/>
          <w:color w:val="4D2379" w:themeColor="accent4"/>
          <w:sz w:val="28"/>
          <w:szCs w:val="28"/>
        </w:rPr>
        <w:t>Meihana model</w:t>
      </w:r>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p>
    <w:p w14:paraId="334A0A72" w14:textId="3D2B9B3C" w:rsidR="000C41E3" w:rsidRPr="00385ED9" w:rsidRDefault="000C41E3" w:rsidP="00103A06">
      <w:r w:rsidRPr="00385ED9">
        <w:t>The Meihana model has been used and evaluated in clinical practice in Aotearoa New Zealand (though not specifically for cognitive impairment), and is shown to increase quality interactions between workers, tāngata whai ora Māori, and whānau.</w:t>
      </w:r>
      <w:r w:rsidRPr="00385ED9">
        <w:fldChar w:fldCharType="begin"/>
      </w:r>
      <w:r w:rsidRPr="00385ED9">
        <w:instrText xml:space="preserve"> ADDIN ZOTERO_ITEM CSL_CITATION {"citationID":"a11h56c3c8l","properties":{"formattedCitation":"\\super 111\\nosupersub{}","plainCitation":"111","noteIndex":0},"citationItems":[{"id":13610,"uris":["http://zotero.org/groups/4745233/items/EFWPJSJ5"],"itemData":{"id":13610,"type":"article-journal","abstract":"Health professionals play an important role in addressing indigenous health inequalities. This paper describes the further development and a new conceptualisation of the Meihana model (2007) and the Hui process (2011), which together have formed the indigenous health framework in the University of Otago, Christchurch undergraduate medical education programme for 4th-6th year medical students over the past 5 years. The components of the framework are defined followed by description of their application to clinical assessment. The indigenous health framework has been evaluated by medical students, health practitioners, Maori patients and whanau over this time and has been rated favourably as a clinically relevant framework that supports health practitioners to work effectively with Maori patients and whanau.","container-title":"The New Zealand Medical Journal","ISSN":"1175-8716","issue":"1393","journalAbbreviation":"N Z Med J","language":"eng","note":"PMID: 24816961","page":"107-119","source":"PubMed","title":"Improving Maori health through clinical assessment: Waikare o te Waka o Meihana","title-short":"Improving Maori health through clinical assessment","volume":"127","author":[{"family":"Pitama","given":"Suzanne"},{"family":"Huria","given":"Tania"},{"family":"Lacey","given":"Cameron"}],"issued":{"date-parts":[["2014",5,2]]}}}],"schema":"https://github.com/citation-style-language/schema/raw/master/csl-citation.json"} </w:instrText>
      </w:r>
      <w:r w:rsidRPr="00385ED9">
        <w:fldChar w:fldCharType="separate"/>
      </w:r>
      <w:r w:rsidRPr="00385ED9">
        <w:rPr>
          <w:vertAlign w:val="superscript"/>
        </w:rPr>
        <w:t>111</w:t>
      </w:r>
      <w:r w:rsidRPr="00385ED9">
        <w:fldChar w:fldCharType="end"/>
      </w:r>
      <w:r w:rsidRPr="00385ED9">
        <w:t xml:space="preserve"> It can be used by both Māori and non-Māori workers and can also be used to guide cultural supervision.</w:t>
      </w:r>
      <w:r w:rsidRPr="00385ED9">
        <w:fldChar w:fldCharType="begin"/>
      </w:r>
      <w:r w:rsidRPr="00385ED9">
        <w:instrText xml:space="preserve"> ADDIN ZOTERO_ITEM CSL_CITATION {"citationID":"a2f0985lpel","properties":{"formattedCitation":"\\super 111,115\\nosupersub{}","plainCitation":"111,115","noteIndex":0},"citationItems":[{"id":13610,"uris":["http://zotero.org/groups/4745233/items/EFWPJSJ5"],"itemData":{"id":13610,"type":"article-journal","abstract":"Health professionals play an important role in addressing indigenous health inequalities. This paper describes the further development and a new conceptualisation of the Meihana model (2007) and the Hui process (2011), which together have formed the indigenous health framework in the University of Otago, Christchurch undergraduate medical education programme for 4th-6th year medical students over the past 5 years. The components of the framework are defined followed by description of their application to clinical assessment. The indigenous health framework has been evaluated by medical students, health practitioners, Maori patients and whanau over this time and has been rated favourably as a clinically relevant framework that supports health practitioners to work effectively with Maori patients and whanau.","container-title":"The New Zealand Medical Journal","ISSN":"1175-8716","issue":"1393","journalAbbreviation":"N Z Med J","language":"eng","note":"PMID: 24816961","page":"107-119","source":"PubMed","title":"Improving Maori health through clinical assessment: Waikare o te Waka o Meihana","title-short":"Improving Maori health through clinical assessment","volume":"127","author":[{"family":"Pitama","given":"Suzanne"},{"family":"Huria","given":"Tania"},{"family":"Lacey","given":"Cameron"}],"issued":{"date-parts":[["2014",5,2]]}}},{"id":14215,"uris":["http://zotero.org/groups/4745233/items/RHU67DDZ"],"itemData":{"id":14215,"type":"article-journal","abstract":"This paper documents a joint initiative of clinical practice educators from four tertiary institutions and their engagement in the design and development of a proposed Hauora Māori Clinical Guide for Psychologists, which outlines how to apply the Hui Process and Meihana Model to applied psychology. It describes the ability for this proposed Hauora Maori Clinical Guide for Psychologists to assist clinicians, professional psychology training programmes and institutions in meeting the expectations of the Health Practitioners Act and The New Zealand Psychologists Board’s (NZPB) Standards and Procedures document. It presents how this proposed guide can support the implementation of clinical and cultural competence and the Code of Ethics for Psychologists Working in New Zealand. It also provides an opportunity for the psychology profession to demonstrate responsivity to Te Tiriti o Waitangi obligations.","container-title":"New Zealand Journal of Psychology","ISSN":"0112-109X","issue":"3","language":"en","note":"Accepted: 2019-05-07T23:18:41Z\npublisher: New Zealand Psychological Society","page":"7-19","source":"researchcommons.waikato.ac.nz","title":"A proposed hauora Māori clinical guide for psychologists: Using the hui process and meihana model in clinical assessment and formulation","title-short":"A proposed hauora Māori clinical guide for psychologists","volume":"46","author":[{"family":"Pitama","given":"Suzanne G."},{"family":"Bennett","given":"Simon T."},{"family":"Waitoki","given":"Waikaremoana"},{"family":"Haitana","given":"Tracy N."},{"family":"Valentine","given":"Hukarere"},{"family":"Pahiina","given":"John"},{"family":"Taylor","given":"Joanne E."},{"family":"Tassell-Matamua","given":"Natasha"},{"family":"Rowe","given":"Luke"},{"family":"Beckert","given":"Lutz"},{"family":"Palmer","given":"Suetonia C."},{"family":"Huria","given":"Tania M."},{"family":"Lacey","given":"Cameron J."},{"family":"McLachlan","given":"Andre"}],"issued":{"date-parts":[["2017"]]}}}],"schema":"https://github.com/citation-style-language/schema/raw/master/csl-citation.json"} </w:instrText>
      </w:r>
      <w:r w:rsidRPr="00385ED9">
        <w:fldChar w:fldCharType="separate"/>
      </w:r>
      <w:r w:rsidRPr="00385ED9">
        <w:rPr>
          <w:vertAlign w:val="superscript"/>
        </w:rPr>
        <w:t>111,115</w:t>
      </w:r>
      <w:r w:rsidRPr="00385ED9">
        <w:fldChar w:fldCharType="end"/>
      </w:r>
      <w:r w:rsidRPr="00385ED9">
        <w:t xml:space="preserve"> Its use broadens the range of a comprehensive assessment to provide quality support and reduce inequities for Māori.</w:t>
      </w:r>
      <w:r w:rsidRPr="00385ED9">
        <w:fldChar w:fldCharType="begin"/>
      </w:r>
      <w:r w:rsidRPr="00385ED9">
        <w:instrText xml:space="preserve"> ADDIN ZOTERO_ITEM CSL_CITATION {"citationID":"a3ptap31k0","properties":{"formattedCitation":"\\super 111\\nosupersub{}","plainCitation":"111","noteIndex":0},"citationItems":[{"id":13610,"uris":["http://zotero.org/groups/4745233/items/EFWPJSJ5"],"itemData":{"id":13610,"type":"article-journal","abstract":"Health professionals play an important role in addressing indigenous health inequalities. This paper describes the further development and a new conceptualisation of the Meihana model (2007) and the Hui process (2011), which together have formed the indigenous health framework in the University of Otago, Christchurch undergraduate medical education programme for 4th-6th year medical students over the past 5 years. The components of the framework are defined followed by description of their application to clinical assessment. The indigenous health framework has been evaluated by medical students, health practitioners, Maori patients and whanau over this time and has been rated favourably as a clinically relevant framework that supports health practitioners to work effectively with Maori patients and whanau.","container-title":"The New Zealand Medical Journal","ISSN":"1175-8716","issue":"1393","journalAbbreviation":"N Z Med J","language":"eng","note":"PMID: 24816961","page":"107-119","source":"PubMed","title":"Improving Maori health through clinical assessment: Waikare o te Waka o Meihana","title-short":"Improving Maori health through clinical assessment","volume":"127","author":[{"family":"Pitama","given":"Suzanne"},{"family":"Huria","given":"Tania"},{"family":"Lacey","given":"Cameron"}],"issued":{"date-parts":[["2014",5,2]]}}}],"schema":"https://github.com/citation-style-language/schema/raw/master/csl-citation.json"} </w:instrText>
      </w:r>
      <w:r w:rsidRPr="00385ED9">
        <w:fldChar w:fldCharType="separate"/>
      </w:r>
      <w:r w:rsidRPr="00385ED9">
        <w:rPr>
          <w:vertAlign w:val="superscript"/>
        </w:rPr>
        <w:t>111</w:t>
      </w:r>
      <w:r w:rsidRPr="00385ED9">
        <w:fldChar w:fldCharType="end"/>
      </w:r>
      <w:r w:rsidRPr="00385ED9">
        <w:t xml:space="preserve"> </w:t>
      </w:r>
      <w:r w:rsidRPr="00385ED9">
        <w:fldChar w:fldCharType="begin"/>
      </w:r>
      <w:r w:rsidRPr="00385ED9">
        <w:instrText xml:space="preserve"> REF _Ref146120689 \h  \* MERGEFORMAT </w:instrText>
      </w:r>
      <w:r w:rsidRPr="00385ED9">
        <w:fldChar w:fldCharType="separate"/>
      </w:r>
      <w:r w:rsidR="007F1966" w:rsidRPr="00A546E2">
        <w:t xml:space="preserve">Table </w:t>
      </w:r>
      <w:r w:rsidR="007F1966">
        <w:rPr>
          <w:noProof/>
        </w:rPr>
        <w:t>11</w:t>
      </w:r>
      <w:r w:rsidRPr="00385ED9">
        <w:fldChar w:fldCharType="end"/>
      </w:r>
      <w:r w:rsidRPr="00385ED9">
        <w:t xml:space="preserve"> below describes key aspects of the Meihana </w:t>
      </w:r>
    </w:p>
    <w:p w14:paraId="3A7F808B" w14:textId="5990F020" w:rsidR="000C41E3" w:rsidRPr="00A546E2" w:rsidRDefault="000C41E3" w:rsidP="00122447">
      <w:pPr>
        <w:pStyle w:val="Figure"/>
      </w:pPr>
      <w:bookmarkStart w:id="2512" w:name="_Ref146120689"/>
      <w:bookmarkStart w:id="2513" w:name="_Toc129609435"/>
      <w:bookmarkStart w:id="2514" w:name="_Toc179544013"/>
      <w:bookmarkStart w:id="2515" w:name="_Toc146024741"/>
      <w:bookmarkStart w:id="2516" w:name="_Toc146279095"/>
      <w:bookmarkStart w:id="2517" w:name="_Toc146093739"/>
      <w:bookmarkStart w:id="2518" w:name="_Toc146624910"/>
      <w:r w:rsidRPr="00A546E2">
        <w:t xml:space="preserve">Table </w:t>
      </w:r>
      <w:r w:rsidRPr="00A546E2">
        <w:fldChar w:fldCharType="begin"/>
      </w:r>
      <w:r w:rsidRPr="00A546E2">
        <w:instrText xml:space="preserve"> SEQ Table \* ARABIC </w:instrText>
      </w:r>
      <w:r w:rsidRPr="00A546E2">
        <w:fldChar w:fldCharType="separate"/>
      </w:r>
      <w:r w:rsidR="007F1966">
        <w:rPr>
          <w:noProof/>
        </w:rPr>
        <w:t>11</w:t>
      </w:r>
      <w:r w:rsidRPr="00A546E2">
        <w:fldChar w:fldCharType="end"/>
      </w:r>
      <w:bookmarkEnd w:id="2512"/>
      <w:r w:rsidRPr="00A546E2">
        <w:t>. Aspects and definitions included in the Meihana model</w:t>
      </w:r>
      <w:bookmarkEnd w:id="2513"/>
      <w:r w:rsidRPr="00A546E2">
        <w:fldChar w:fldCharType="begin"/>
      </w:r>
      <w:r w:rsidRPr="00A546E2">
        <w:instrText xml:space="preserve"> ADDIN ZOTERO_ITEM CSL_CITATION {"citationID":"a10lrt6s9hc","properties":{"formattedCitation":"\\super 111,115\\nosupersub{}","plainCitation":"111,115","noteIndex":0},"citationItems":[{"id":13610,"uris":["http://zotero.org/groups/4745233/items/EFWPJSJ5"],"itemData":{"id":13610,"type":"article-journal","abstract":"Health professionals play an important role in addressing indigenous health inequalities. This paper describes the further development and a new conceptualisation of the Meihana model (2007) and the Hui process (2011), which together have formed the indigenous health framework in the University of Otago, Christchurch undergraduate medical education programme for 4th-6th year medical students over the past 5 years. The components of the framework are defined followed by description of their application to clinical assessment. The indigenous health framework has been evaluated by medical students, health practitioners, Maori patients and whanau over this time and has been rated favourably as a clinically relevant framework that supports health practitioners to work effectively with Maori patients and whanau.","container-title":"The New Zealand Medical Journal","ISSN":"1175-8716","issue":"1393","journalAbbreviation":"N Z Med J","language":"eng","note":"PMID: 24816961","page":"107-119","source":"PubMed","title":"Improving Maori health through clinical assessment: Waikare o te Waka o Meihana","title-short":"Improving Maori health through clinical assessment","volume":"127","author":[{"family":"Pitama","given":"Suzanne"},{"family":"Huria","given":"Tania"},{"family":"Lacey","given":"Cameron"}],"issued":{"date-parts":[["2014",5,2]]}}},{"id":14215,"uris":["http://zotero.org/groups/4745233/items/RHU67DDZ"],"itemData":{"id":14215,"type":"article-journal","abstract":"This paper documents a joint initiative of clinical practice educators from four tertiary institutions and their engagement in the design and development of a proposed Hauora Māori Clinical Guide for Psychologists, which outlines how to apply the Hui Process and Meihana Model to applied psychology. It describes the ability for this proposed Hauora Maori Clinical Guide for Psychologists to assist clinicians, professional psychology training programmes and institutions in meeting the expectations of the Health Practitioners Act and The New Zealand Psychologists Board’s (NZPB) Standards and Procedures document. It presents how this proposed guide can support the implementation of clinical and cultural competence and the Code of Ethics for Psychologists Working in New Zealand. It also provides an opportunity for the psychology profession to demonstrate responsivity to Te Tiriti o Waitangi obligations.","container-title":"New Zealand Journal of Psychology","ISSN":"0112-109X","issue":"3","language":"en","note":"Accepted: 2019-05-07T23:18:41Z\npublisher: New Zealand Psychological Society","page":"7-19","source":"researchcommons.waikato.ac.nz","title":"A proposed hauora Māori clinical guide for psychologists: Using the hui process and meihana model in clinical assessment and formulation","title-short":"A proposed hauora Māori clinical guide for psychologists","volume":"46","author":[{"family":"Pitama","given":"Suzanne G."},{"family":"Bennett","given":"Simon T."},{"family":"Waitoki","given":"Waikaremoana"},{"family":"Haitana","given":"Tracy N."},{"family":"Valentine","given":"Hukarere"},{"family":"Pahiina","given":"John"},{"family":"Taylor","given":"Joanne E."},{"family":"Tassell-Matamua","given":"Natasha"},{"family":"Rowe","given":"Luke"},{"family":"Beckert","given":"Lutz"},{"family":"Palmer","given":"Suetonia C."},{"family":"Huria","given":"Tania M."},{"family":"Lacey","given":"Cameron J."},{"family":"McLachlan","given":"Andre"}],"issued":{"date-parts":[["2017"]]}}}],"schema":"https://github.com/citation-style-language/schema/raw/master/csl-citation.json"} </w:instrText>
      </w:r>
      <w:r w:rsidRPr="00A546E2">
        <w:fldChar w:fldCharType="separate"/>
      </w:r>
      <w:bookmarkEnd w:id="2515"/>
      <w:bookmarkEnd w:id="2516"/>
      <w:bookmarkEnd w:id="2517"/>
      <w:bookmarkEnd w:id="2518"/>
      <w:r w:rsidRPr="00A546E2">
        <w:rPr>
          <w:vertAlign w:val="superscript"/>
        </w:rPr>
        <w:t>111,115</w:t>
      </w:r>
      <w:bookmarkEnd w:id="2514"/>
      <w:r w:rsidRPr="00A546E2">
        <w:fldChar w:fldCharType="end"/>
      </w:r>
    </w:p>
    <w:tbl>
      <w:tblPr>
        <w:tblStyle w:val="GridTable4-Accent2"/>
        <w:tblW w:w="10201" w:type="dxa"/>
        <w:tblInd w:w="-5" w:type="dxa"/>
        <w:tblBorders>
          <w:top w:val="none" w:sz="0" w:space="0" w:color="auto"/>
          <w:left w:val="none" w:sz="0" w:space="0" w:color="auto"/>
          <w:bottom w:val="none" w:sz="0" w:space="0" w:color="auto"/>
          <w:right w:val="none" w:sz="0" w:space="0" w:color="auto"/>
          <w:insideH w:val="double" w:sz="4" w:space="0" w:color="28A1AC" w:themeColor="accent2"/>
          <w:insideV w:val="double" w:sz="4" w:space="0" w:color="28A1AC" w:themeColor="accent2"/>
        </w:tblBorders>
        <w:tblLook w:val="04A0" w:firstRow="1" w:lastRow="0" w:firstColumn="1" w:lastColumn="0" w:noHBand="0" w:noVBand="1"/>
      </w:tblPr>
      <w:tblGrid>
        <w:gridCol w:w="1977"/>
        <w:gridCol w:w="8224"/>
      </w:tblGrid>
      <w:tr w:rsidR="00245802" w:rsidRPr="00385ED9" w14:paraId="1363AB3A" w14:textId="77777777" w:rsidTr="002D3B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nil"/>
              <w:bottom w:val="nil"/>
              <w:right w:val="double" w:sz="4" w:space="0" w:color="28A1AC" w:themeColor="accent2"/>
            </w:tcBorders>
            <w:shd w:val="clear" w:color="auto" w:fill="000070"/>
          </w:tcPr>
          <w:p w14:paraId="297E32D1" w14:textId="77777777" w:rsidR="00245802" w:rsidRPr="00385ED9" w:rsidRDefault="00245802" w:rsidP="00103A06">
            <w:r w:rsidRPr="00385ED9">
              <w:t>Component</w:t>
            </w:r>
          </w:p>
        </w:tc>
        <w:tc>
          <w:tcPr>
            <w:tcW w:w="8363" w:type="dxa"/>
            <w:tcBorders>
              <w:top w:val="nil"/>
              <w:left w:val="double" w:sz="4" w:space="0" w:color="28A1AC" w:themeColor="accent2"/>
              <w:bottom w:val="nil"/>
            </w:tcBorders>
            <w:shd w:val="clear" w:color="auto" w:fill="000070"/>
          </w:tcPr>
          <w:p w14:paraId="69704714" w14:textId="77777777" w:rsidR="00245802" w:rsidRPr="00385ED9" w:rsidRDefault="00245802" w:rsidP="00103A06">
            <w:pPr>
              <w:cnfStyle w:val="100000000000" w:firstRow="1" w:lastRow="0" w:firstColumn="0" w:lastColumn="0" w:oddVBand="0" w:evenVBand="0" w:oddHBand="0" w:evenHBand="0" w:firstRowFirstColumn="0" w:firstRowLastColumn="0" w:lastRowFirstColumn="0" w:lastRowLastColumn="0"/>
            </w:pPr>
            <w:r w:rsidRPr="00385ED9">
              <w:t>Definition and inclusions</w:t>
            </w:r>
          </w:p>
        </w:tc>
      </w:tr>
      <w:tr w:rsidR="00245802" w:rsidRPr="00385ED9" w14:paraId="4EE74B64" w14:textId="77777777" w:rsidTr="002D3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nil"/>
              <w:bottom w:val="nil"/>
            </w:tcBorders>
          </w:tcPr>
          <w:p w14:paraId="71AC8531" w14:textId="77777777" w:rsidR="00245802" w:rsidRPr="00385ED9" w:rsidRDefault="00245802" w:rsidP="00103A06">
            <w:r w:rsidRPr="00385ED9">
              <w:t>The person</w:t>
            </w:r>
          </w:p>
        </w:tc>
        <w:tc>
          <w:tcPr>
            <w:tcW w:w="8363" w:type="dxa"/>
            <w:tcBorders>
              <w:top w:val="nil"/>
              <w:bottom w:val="nil"/>
            </w:tcBorders>
          </w:tcPr>
          <w:p w14:paraId="027EA0B1" w14:textId="77777777" w:rsidR="00245802" w:rsidRPr="00385ED9" w:rsidRDefault="00245802" w:rsidP="00103A06">
            <w:pPr>
              <w:pStyle w:val="Bulletpoint"/>
              <w:cnfStyle w:val="000000100000" w:firstRow="0" w:lastRow="0" w:firstColumn="0" w:lastColumn="0" w:oddVBand="0" w:evenVBand="0" w:oddHBand="1" w:evenHBand="0" w:firstRowFirstColumn="0" w:firstRowLastColumn="0" w:lastRowFirstColumn="0" w:lastRowLastColumn="0"/>
            </w:pPr>
            <w:r w:rsidRPr="00385ED9">
              <w:t xml:space="preserve">A person with whakapapa Māori. </w:t>
            </w:r>
          </w:p>
        </w:tc>
      </w:tr>
      <w:tr w:rsidR="00245802" w:rsidRPr="00385ED9" w14:paraId="038C369A" w14:textId="77777777" w:rsidTr="002D3B4B">
        <w:tc>
          <w:tcPr>
            <w:cnfStyle w:val="001000000000" w:firstRow="0" w:lastRow="0" w:firstColumn="1" w:lastColumn="0" w:oddVBand="0" w:evenVBand="0" w:oddHBand="0" w:evenHBand="0" w:firstRowFirstColumn="0" w:firstRowLastColumn="0" w:lastRowFirstColumn="0" w:lastRowLastColumn="0"/>
            <w:tcW w:w="1838" w:type="dxa"/>
            <w:tcBorders>
              <w:top w:val="nil"/>
              <w:bottom w:val="nil"/>
            </w:tcBorders>
          </w:tcPr>
          <w:p w14:paraId="1A4411CD" w14:textId="77777777" w:rsidR="00245802" w:rsidRPr="00385ED9" w:rsidRDefault="00245802" w:rsidP="00103A06">
            <w:r w:rsidRPr="00385ED9">
              <w:t>Whānau</w:t>
            </w:r>
          </w:p>
        </w:tc>
        <w:tc>
          <w:tcPr>
            <w:tcW w:w="8363" w:type="dxa"/>
            <w:tcBorders>
              <w:top w:val="nil"/>
              <w:bottom w:val="nil"/>
            </w:tcBorders>
          </w:tcPr>
          <w:p w14:paraId="406BA11E" w14:textId="77777777" w:rsidR="00245802" w:rsidRPr="00385ED9" w:rsidRDefault="00245802" w:rsidP="00103A06">
            <w:pPr>
              <w:pStyle w:val="Bulletpoint"/>
              <w:cnfStyle w:val="000000000000" w:firstRow="0" w:lastRow="0" w:firstColumn="0" w:lastColumn="0" w:oddVBand="0" w:evenVBand="0" w:oddHBand="0" w:evenHBand="0" w:firstRowFirstColumn="0" w:firstRowLastColumn="0" w:lastRowFirstColumn="0" w:lastRowLastColumn="0"/>
            </w:pPr>
            <w:r w:rsidRPr="00385ED9">
              <w:t>A person’s support network.</w:t>
            </w:r>
          </w:p>
          <w:p w14:paraId="7C10C5D9" w14:textId="77777777" w:rsidR="00245802" w:rsidRPr="00385ED9" w:rsidRDefault="00245802" w:rsidP="00103A06">
            <w:pPr>
              <w:pStyle w:val="Bulletpoint"/>
              <w:cnfStyle w:val="000000000000" w:firstRow="0" w:lastRow="0" w:firstColumn="0" w:lastColumn="0" w:oddVBand="0" w:evenVBand="0" w:oddHBand="0" w:evenHBand="0" w:firstRowFirstColumn="0" w:firstRowLastColumn="0" w:lastRowFirstColumn="0" w:lastRowLastColumn="0"/>
            </w:pPr>
            <w:r w:rsidRPr="00385ED9">
              <w:t>Permission to include whānau should be sought from the person.</w:t>
            </w:r>
          </w:p>
          <w:p w14:paraId="2A8320C0" w14:textId="77777777" w:rsidR="00245802" w:rsidRPr="00385ED9" w:rsidRDefault="00245802" w:rsidP="00103A06">
            <w:pPr>
              <w:pStyle w:val="Bulletpoint"/>
              <w:cnfStyle w:val="000000000000" w:firstRow="0" w:lastRow="0" w:firstColumn="0" w:lastColumn="0" w:oddVBand="0" w:evenVBand="0" w:oddHBand="0" w:evenHBand="0" w:firstRowFirstColumn="0" w:firstRowLastColumn="0" w:lastRowFirstColumn="0" w:lastRowLastColumn="0"/>
            </w:pPr>
            <w:r w:rsidRPr="00385ED9">
              <w:t xml:space="preserve">Include whānau in the process if the person wants them involved. </w:t>
            </w:r>
          </w:p>
        </w:tc>
      </w:tr>
      <w:tr w:rsidR="00245802" w:rsidRPr="00385ED9" w14:paraId="44985B1A" w14:textId="77777777" w:rsidTr="002D3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nil"/>
              <w:bottom w:val="nil"/>
            </w:tcBorders>
          </w:tcPr>
          <w:p w14:paraId="3517650C" w14:textId="77777777" w:rsidR="00245802" w:rsidRPr="00385ED9" w:rsidRDefault="00245802" w:rsidP="00103A06">
            <w:r w:rsidRPr="00385ED9">
              <w:t>Tinana</w:t>
            </w:r>
          </w:p>
        </w:tc>
        <w:tc>
          <w:tcPr>
            <w:tcW w:w="8363" w:type="dxa"/>
            <w:tcBorders>
              <w:top w:val="nil"/>
              <w:bottom w:val="nil"/>
            </w:tcBorders>
          </w:tcPr>
          <w:p w14:paraId="5D8C528D" w14:textId="77777777" w:rsidR="00245802" w:rsidRPr="00385ED9" w:rsidRDefault="00245802" w:rsidP="00103A06">
            <w:pPr>
              <w:pStyle w:val="Bulletpoint"/>
              <w:cnfStyle w:val="000000100000" w:firstRow="0" w:lastRow="0" w:firstColumn="0" w:lastColumn="0" w:oddVBand="0" w:evenVBand="0" w:oddHBand="1" w:evenHBand="0" w:firstRowFirstColumn="0" w:firstRowLastColumn="0" w:lastRowFirstColumn="0" w:lastRowLastColumn="0"/>
            </w:pPr>
            <w:r w:rsidRPr="00385ED9">
              <w:t>Physical health and functioning.</w:t>
            </w:r>
          </w:p>
          <w:p w14:paraId="6B47D937" w14:textId="77777777" w:rsidR="00245802" w:rsidRPr="00385ED9" w:rsidRDefault="00245802" w:rsidP="00103A06">
            <w:pPr>
              <w:pStyle w:val="Bulletpoint"/>
              <w:cnfStyle w:val="000000100000" w:firstRow="0" w:lastRow="0" w:firstColumn="0" w:lastColumn="0" w:oddVBand="0" w:evenVBand="0" w:oddHBand="1" w:evenHBand="0" w:firstRowFirstColumn="0" w:firstRowLastColumn="0" w:lastRowFirstColumn="0" w:lastRowLastColumn="0"/>
            </w:pPr>
            <w:r w:rsidRPr="00385ED9">
              <w:t>Tinana cannot be considered in isolation from other components in the model.</w:t>
            </w:r>
          </w:p>
          <w:p w14:paraId="3E6505B2" w14:textId="77777777" w:rsidR="00245802" w:rsidRPr="00385ED9" w:rsidRDefault="00245802" w:rsidP="00103A06">
            <w:pPr>
              <w:pStyle w:val="Bulletpoint"/>
              <w:cnfStyle w:val="000000100000" w:firstRow="0" w:lastRow="0" w:firstColumn="0" w:lastColumn="0" w:oddVBand="0" w:evenVBand="0" w:oddHBand="1" w:evenHBand="0" w:firstRowFirstColumn="0" w:firstRowLastColumn="0" w:lastRowFirstColumn="0" w:lastRowLastColumn="0"/>
            </w:pPr>
            <w:r w:rsidRPr="00385ED9">
              <w:t>Assessment of tinana can include physical symptoms, medications, substance use, diet, exercise, and any physical examinations.</w:t>
            </w:r>
          </w:p>
        </w:tc>
      </w:tr>
      <w:tr w:rsidR="00245802" w:rsidRPr="00385ED9" w14:paraId="72B107B9" w14:textId="77777777" w:rsidTr="002D3B4B">
        <w:tc>
          <w:tcPr>
            <w:cnfStyle w:val="001000000000" w:firstRow="0" w:lastRow="0" w:firstColumn="1" w:lastColumn="0" w:oddVBand="0" w:evenVBand="0" w:oddHBand="0" w:evenHBand="0" w:firstRowFirstColumn="0" w:firstRowLastColumn="0" w:lastRowFirstColumn="0" w:lastRowLastColumn="0"/>
            <w:tcW w:w="1838" w:type="dxa"/>
            <w:tcBorders>
              <w:top w:val="nil"/>
              <w:bottom w:val="nil"/>
            </w:tcBorders>
          </w:tcPr>
          <w:p w14:paraId="23EBBB54" w14:textId="77777777" w:rsidR="00245802" w:rsidRPr="00385ED9" w:rsidRDefault="00245802" w:rsidP="00103A06">
            <w:r w:rsidRPr="00385ED9">
              <w:lastRenderedPageBreak/>
              <w:t>Hinengaro</w:t>
            </w:r>
          </w:p>
        </w:tc>
        <w:tc>
          <w:tcPr>
            <w:tcW w:w="8363" w:type="dxa"/>
            <w:tcBorders>
              <w:top w:val="nil"/>
              <w:bottom w:val="nil"/>
            </w:tcBorders>
          </w:tcPr>
          <w:p w14:paraId="257E58EA" w14:textId="77777777" w:rsidR="00245802" w:rsidRPr="00385ED9" w:rsidRDefault="00245802" w:rsidP="00103A06">
            <w:pPr>
              <w:pStyle w:val="Bulletpoint"/>
              <w:cnfStyle w:val="000000000000" w:firstRow="0" w:lastRow="0" w:firstColumn="0" w:lastColumn="0" w:oddVBand="0" w:evenVBand="0" w:oddHBand="0" w:evenHBand="0" w:firstRowFirstColumn="0" w:firstRowLastColumn="0" w:lastRowFirstColumn="0" w:lastRowLastColumn="0"/>
            </w:pPr>
            <w:r w:rsidRPr="00385ED9">
              <w:t>Psychological and emotional wellbeing.</w:t>
            </w:r>
          </w:p>
          <w:p w14:paraId="7B25C2D9" w14:textId="77777777" w:rsidR="00245802" w:rsidRPr="00385ED9" w:rsidRDefault="00245802" w:rsidP="00103A06">
            <w:pPr>
              <w:pStyle w:val="Bulletpoint"/>
              <w:cnfStyle w:val="000000000000" w:firstRow="0" w:lastRow="0" w:firstColumn="0" w:lastColumn="0" w:oddVBand="0" w:evenVBand="0" w:oddHBand="0" w:evenHBand="0" w:firstRowFirstColumn="0" w:firstRowLastColumn="0" w:lastRowFirstColumn="0" w:lastRowLastColumn="0"/>
            </w:pPr>
            <w:r w:rsidRPr="00385ED9">
              <w:t>Assessment should include a person’s perceptions and impact on their wellbeing, beliefs, and emotions – as these influence ways in which any symptoms or challenges are discussed.</w:t>
            </w:r>
          </w:p>
        </w:tc>
      </w:tr>
      <w:tr w:rsidR="00245802" w:rsidRPr="00385ED9" w14:paraId="29857518" w14:textId="77777777" w:rsidTr="002D3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nil"/>
              <w:bottom w:val="nil"/>
            </w:tcBorders>
          </w:tcPr>
          <w:p w14:paraId="0C823F05" w14:textId="77777777" w:rsidR="00245802" w:rsidRPr="00385ED9" w:rsidRDefault="00245802" w:rsidP="00103A06">
            <w:r w:rsidRPr="00385ED9">
              <w:t>Wairua</w:t>
            </w:r>
          </w:p>
        </w:tc>
        <w:tc>
          <w:tcPr>
            <w:tcW w:w="8363" w:type="dxa"/>
            <w:tcBorders>
              <w:top w:val="nil"/>
              <w:bottom w:val="nil"/>
            </w:tcBorders>
          </w:tcPr>
          <w:p w14:paraId="7BB84B33" w14:textId="77777777" w:rsidR="00245802" w:rsidRPr="00385ED9" w:rsidRDefault="00245802" w:rsidP="00103A06">
            <w:pPr>
              <w:pStyle w:val="Bulletpoint"/>
              <w:cnfStyle w:val="000000100000" w:firstRow="0" w:lastRow="0" w:firstColumn="0" w:lastColumn="0" w:oddVBand="0" w:evenVBand="0" w:oddHBand="1" w:evenHBand="0" w:firstRowFirstColumn="0" w:firstRowLastColumn="0" w:lastRowFirstColumn="0" w:lastRowLastColumn="0"/>
            </w:pPr>
            <w:r w:rsidRPr="00385ED9">
              <w:t>Beliefs regarding connectedness and spirituality.</w:t>
            </w:r>
          </w:p>
          <w:p w14:paraId="6829E00E" w14:textId="77777777" w:rsidR="00245802" w:rsidRPr="00385ED9" w:rsidRDefault="00245802" w:rsidP="00103A06">
            <w:pPr>
              <w:pStyle w:val="Bulletpoint"/>
              <w:cnfStyle w:val="000000100000" w:firstRow="0" w:lastRow="0" w:firstColumn="0" w:lastColumn="0" w:oddVBand="0" w:evenVBand="0" w:oddHBand="1" w:evenHBand="0" w:firstRowFirstColumn="0" w:firstRowLastColumn="0" w:lastRowFirstColumn="0" w:lastRowLastColumn="0"/>
            </w:pPr>
            <w:r w:rsidRPr="00385ED9">
              <w:t>Identify the beliefs, values, and priorities for the person and whānau that may impact their engagement. Ask about spiritual or religious beliefs, and attachments to people, places, and taonga (treasured items).</w:t>
            </w:r>
          </w:p>
        </w:tc>
      </w:tr>
      <w:tr w:rsidR="00245802" w:rsidRPr="00385ED9" w14:paraId="052CDD53" w14:textId="77777777" w:rsidTr="002D3B4B">
        <w:tc>
          <w:tcPr>
            <w:cnfStyle w:val="001000000000" w:firstRow="0" w:lastRow="0" w:firstColumn="1" w:lastColumn="0" w:oddVBand="0" w:evenVBand="0" w:oddHBand="0" w:evenHBand="0" w:firstRowFirstColumn="0" w:firstRowLastColumn="0" w:lastRowFirstColumn="0" w:lastRowLastColumn="0"/>
            <w:tcW w:w="1838" w:type="dxa"/>
            <w:tcBorders>
              <w:top w:val="nil"/>
              <w:bottom w:val="nil"/>
            </w:tcBorders>
          </w:tcPr>
          <w:p w14:paraId="7FE9E4CB" w14:textId="77777777" w:rsidR="00245802" w:rsidRPr="00385ED9" w:rsidRDefault="00245802" w:rsidP="00103A06">
            <w:r w:rsidRPr="00385ED9">
              <w:t>Taiao</w:t>
            </w:r>
          </w:p>
        </w:tc>
        <w:tc>
          <w:tcPr>
            <w:tcW w:w="8363" w:type="dxa"/>
            <w:tcBorders>
              <w:top w:val="nil"/>
              <w:bottom w:val="nil"/>
            </w:tcBorders>
          </w:tcPr>
          <w:p w14:paraId="4AFB4019" w14:textId="77777777" w:rsidR="00245802" w:rsidRPr="00385ED9" w:rsidRDefault="00245802" w:rsidP="00103A06">
            <w:pPr>
              <w:pStyle w:val="Bulletpoint"/>
              <w:cnfStyle w:val="000000000000" w:firstRow="0" w:lastRow="0" w:firstColumn="0" w:lastColumn="0" w:oddVBand="0" w:evenVBand="0" w:oddHBand="0" w:evenHBand="0" w:firstRowFirstColumn="0" w:firstRowLastColumn="0" w:lastRowFirstColumn="0" w:lastRowLastColumn="0"/>
            </w:pPr>
            <w:r w:rsidRPr="00385ED9">
              <w:t xml:space="preserve">The physical environment. </w:t>
            </w:r>
          </w:p>
          <w:p w14:paraId="23D6DEC4" w14:textId="77777777" w:rsidR="00245802" w:rsidRPr="00385ED9" w:rsidRDefault="00245802" w:rsidP="00103A06">
            <w:pPr>
              <w:pStyle w:val="Bulletpoint"/>
              <w:cnfStyle w:val="000000000000" w:firstRow="0" w:lastRow="0" w:firstColumn="0" w:lastColumn="0" w:oddVBand="0" w:evenVBand="0" w:oddHBand="0" w:evenHBand="0" w:firstRowFirstColumn="0" w:firstRowLastColumn="0" w:lastRowFirstColumn="0" w:lastRowLastColumn="0"/>
            </w:pPr>
            <w:r w:rsidRPr="00385ED9">
              <w:t>Workers can ask questions about the home environment, neighbourhood, and workplaces. This also involves critiquing the clinical environment that the person/whānau might be currently connecting with. For example, adequate seating for whānau.</w:t>
            </w:r>
          </w:p>
        </w:tc>
      </w:tr>
      <w:tr w:rsidR="00245802" w:rsidRPr="00385ED9" w14:paraId="3E207A31" w14:textId="77777777" w:rsidTr="002D3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nil"/>
              <w:bottom w:val="nil"/>
            </w:tcBorders>
          </w:tcPr>
          <w:p w14:paraId="25335DA5" w14:textId="77777777" w:rsidR="00245802" w:rsidRPr="00385ED9" w:rsidRDefault="00245802" w:rsidP="00103A06">
            <w:r w:rsidRPr="00385ED9">
              <w:t xml:space="preserve">Iwi katoa </w:t>
            </w:r>
            <w:r w:rsidRPr="00385ED9">
              <w:rPr>
                <w:b w:val="0"/>
                <w:bCs w:val="0"/>
              </w:rPr>
              <w:t xml:space="preserve">(Note: replaced with </w:t>
            </w:r>
            <w:r w:rsidRPr="00385ED9">
              <w:t>ratonga hauora</w:t>
            </w:r>
            <w:r w:rsidRPr="00385ED9">
              <w:rPr>
                <w:b w:val="0"/>
                <w:bCs w:val="0"/>
              </w:rPr>
              <w:t xml:space="preserve"> in the 2017 version for psychologists. This means access to quality health services)</w:t>
            </w:r>
          </w:p>
        </w:tc>
        <w:tc>
          <w:tcPr>
            <w:tcW w:w="8363" w:type="dxa"/>
            <w:tcBorders>
              <w:top w:val="nil"/>
              <w:bottom w:val="nil"/>
            </w:tcBorders>
          </w:tcPr>
          <w:p w14:paraId="3E9C4807" w14:textId="77777777" w:rsidR="00245802" w:rsidRPr="00385ED9" w:rsidRDefault="00245802" w:rsidP="00103A06">
            <w:pPr>
              <w:pStyle w:val="Bulletpoint"/>
              <w:cnfStyle w:val="000000100000" w:firstRow="0" w:lastRow="0" w:firstColumn="0" w:lastColumn="0" w:oddVBand="0" w:evenVBand="0" w:oddHBand="1" w:evenHBand="0" w:firstRowFirstColumn="0" w:firstRowLastColumn="0" w:lastRowFirstColumn="0" w:lastRowLastColumn="0"/>
            </w:pPr>
            <w:r w:rsidRPr="00385ED9">
              <w:t>Services and systems that provide support for people and whānau within the health environment.</w:t>
            </w:r>
          </w:p>
          <w:p w14:paraId="0C83FA28" w14:textId="77777777" w:rsidR="00245802" w:rsidRPr="00385ED9" w:rsidRDefault="00245802" w:rsidP="00103A06">
            <w:pPr>
              <w:pStyle w:val="Bulletpoint"/>
              <w:cnfStyle w:val="000000100000" w:firstRow="0" w:lastRow="0" w:firstColumn="0" w:lastColumn="0" w:oddVBand="0" w:evenVBand="0" w:oddHBand="1" w:evenHBand="0" w:firstRowFirstColumn="0" w:firstRowLastColumn="0" w:lastRowFirstColumn="0" w:lastRowLastColumn="0"/>
            </w:pPr>
            <w:r w:rsidRPr="00385ED9">
              <w:t>This includes assessing if people have had or need access to other services that can improve their broader health context, like social and housing services, and kaupapa Māori services. Explore barriers to accessing services to inform the support plan.</w:t>
            </w:r>
          </w:p>
        </w:tc>
      </w:tr>
      <w:tr w:rsidR="00245802" w:rsidRPr="00385ED9" w14:paraId="3AF46CBC" w14:textId="77777777" w:rsidTr="002D3B4B">
        <w:tc>
          <w:tcPr>
            <w:cnfStyle w:val="001000000000" w:firstRow="0" w:lastRow="0" w:firstColumn="1" w:lastColumn="0" w:oddVBand="0" w:evenVBand="0" w:oddHBand="0" w:evenHBand="0" w:firstRowFirstColumn="0" w:firstRowLastColumn="0" w:lastRowFirstColumn="0" w:lastRowLastColumn="0"/>
            <w:tcW w:w="1838" w:type="dxa"/>
            <w:tcBorders>
              <w:top w:val="nil"/>
              <w:bottom w:val="nil"/>
            </w:tcBorders>
          </w:tcPr>
          <w:p w14:paraId="7EFC8356" w14:textId="77777777" w:rsidR="00245802" w:rsidRPr="00385ED9" w:rsidRDefault="00245802" w:rsidP="00103A06">
            <w:r w:rsidRPr="00385ED9">
              <w:t>Colonisation</w:t>
            </w:r>
          </w:p>
        </w:tc>
        <w:tc>
          <w:tcPr>
            <w:tcW w:w="8363" w:type="dxa"/>
            <w:tcBorders>
              <w:top w:val="nil"/>
              <w:bottom w:val="nil"/>
            </w:tcBorders>
          </w:tcPr>
          <w:p w14:paraId="38477CC5" w14:textId="77777777" w:rsidR="00245802" w:rsidRPr="00385ED9" w:rsidRDefault="00245802" w:rsidP="00103A06">
            <w:pPr>
              <w:pStyle w:val="Bulletpoint"/>
              <w:cnfStyle w:val="000000000000" w:firstRow="0" w:lastRow="0" w:firstColumn="0" w:lastColumn="0" w:oddVBand="0" w:evenVBand="0" w:oddHBand="0" w:evenHBand="0" w:firstRowFirstColumn="0" w:firstRowLastColumn="0" w:lastRowFirstColumn="0" w:lastRowLastColumn="0"/>
            </w:pPr>
            <w:r w:rsidRPr="00385ED9">
              <w:t xml:space="preserve">Colonisation, both historic and ongoing, occurs through the loss of land, political reorganisation, and dehumanisation of Māori and communities. </w:t>
            </w:r>
          </w:p>
          <w:p w14:paraId="298A553A" w14:textId="77777777" w:rsidR="00245802" w:rsidRPr="00385ED9" w:rsidRDefault="00245802" w:rsidP="00103A06">
            <w:pPr>
              <w:pStyle w:val="Bulletpoint"/>
              <w:cnfStyle w:val="000000000000" w:firstRow="0" w:lastRow="0" w:firstColumn="0" w:lastColumn="0" w:oddVBand="0" w:evenVBand="0" w:oddHBand="0" w:evenHBand="0" w:firstRowFirstColumn="0" w:firstRowLastColumn="0" w:lastRowFirstColumn="0" w:lastRowLastColumn="0"/>
            </w:pPr>
            <w:r w:rsidRPr="00385ED9">
              <w:t>Be aware of any deficit stereotypes about Māori that cause biased decision making, and explore impacts of colonisation like socioeconomic status, employment, and housing.</w:t>
            </w:r>
          </w:p>
        </w:tc>
      </w:tr>
      <w:tr w:rsidR="00245802" w:rsidRPr="00385ED9" w14:paraId="0EA5D7D6" w14:textId="77777777" w:rsidTr="002D3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nil"/>
              <w:bottom w:val="nil"/>
            </w:tcBorders>
          </w:tcPr>
          <w:p w14:paraId="4DFC39E5" w14:textId="77777777" w:rsidR="00245802" w:rsidRPr="00385ED9" w:rsidRDefault="00245802" w:rsidP="00103A06">
            <w:r w:rsidRPr="00385ED9">
              <w:t>Racism</w:t>
            </w:r>
          </w:p>
        </w:tc>
        <w:tc>
          <w:tcPr>
            <w:tcW w:w="8363" w:type="dxa"/>
            <w:tcBorders>
              <w:top w:val="nil"/>
              <w:bottom w:val="nil"/>
            </w:tcBorders>
          </w:tcPr>
          <w:p w14:paraId="6045D89C" w14:textId="77777777" w:rsidR="00245802" w:rsidRPr="00385ED9" w:rsidRDefault="00245802" w:rsidP="00103A06">
            <w:pPr>
              <w:pStyle w:val="Bulletpoint"/>
              <w:cnfStyle w:val="000000100000" w:firstRow="0" w:lastRow="0" w:firstColumn="0" w:lastColumn="0" w:oddVBand="0" w:evenVBand="0" w:oddHBand="1" w:evenHBand="0" w:firstRowFirstColumn="0" w:firstRowLastColumn="0" w:lastRowFirstColumn="0" w:lastRowLastColumn="0"/>
            </w:pPr>
            <w:r w:rsidRPr="00385ED9">
              <w:t>Understand the impact of generational, institutional, interpersonal, and internalised racism on a person’s concerns or wellbeing.</w:t>
            </w:r>
          </w:p>
          <w:p w14:paraId="7293D161" w14:textId="77777777" w:rsidR="00245802" w:rsidRPr="00385ED9" w:rsidRDefault="00245802" w:rsidP="00103A06">
            <w:pPr>
              <w:pStyle w:val="Bulletpoint"/>
              <w:cnfStyle w:val="000000100000" w:firstRow="0" w:lastRow="0" w:firstColumn="0" w:lastColumn="0" w:oddVBand="0" w:evenVBand="0" w:oddHBand="1" w:evenHBand="0" w:firstRowFirstColumn="0" w:firstRowLastColumn="0" w:lastRowFirstColumn="0" w:lastRowLastColumn="0"/>
            </w:pPr>
            <w:r w:rsidRPr="00385ED9">
              <w:lastRenderedPageBreak/>
              <w:t xml:space="preserve">Explore people’s experiences of racism and discrimination in different settings (such as education, health, or community) to help break down barriers for engagement with health services. This requires sensitivity and competency, and critique of any systemic processes that contribute to racism. </w:t>
            </w:r>
          </w:p>
          <w:p w14:paraId="2BD467FB" w14:textId="77777777" w:rsidR="00245802" w:rsidRPr="00385ED9" w:rsidRDefault="00245802" w:rsidP="00103A06">
            <w:pPr>
              <w:pStyle w:val="Bulletpoint"/>
              <w:cnfStyle w:val="000000100000" w:firstRow="0" w:lastRow="0" w:firstColumn="0" w:lastColumn="0" w:oddVBand="0" w:evenVBand="0" w:oddHBand="1" w:evenHBand="0" w:firstRowFirstColumn="0" w:firstRowLastColumn="0" w:lastRowFirstColumn="0" w:lastRowLastColumn="0"/>
            </w:pPr>
            <w:r w:rsidRPr="00385ED9">
              <w:t>Be aware of internalised racism and the impact this can have on people’s self-worth and identity.</w:t>
            </w:r>
          </w:p>
        </w:tc>
      </w:tr>
      <w:tr w:rsidR="00245802" w:rsidRPr="00385ED9" w14:paraId="21FFD56A" w14:textId="77777777" w:rsidTr="002D3B4B">
        <w:tc>
          <w:tcPr>
            <w:cnfStyle w:val="001000000000" w:firstRow="0" w:lastRow="0" w:firstColumn="1" w:lastColumn="0" w:oddVBand="0" w:evenVBand="0" w:oddHBand="0" w:evenHBand="0" w:firstRowFirstColumn="0" w:firstRowLastColumn="0" w:lastRowFirstColumn="0" w:lastRowLastColumn="0"/>
            <w:tcW w:w="1838" w:type="dxa"/>
            <w:tcBorders>
              <w:top w:val="nil"/>
              <w:bottom w:val="nil"/>
            </w:tcBorders>
          </w:tcPr>
          <w:p w14:paraId="0B55E372" w14:textId="77777777" w:rsidR="00245802" w:rsidRPr="00385ED9" w:rsidRDefault="00245802" w:rsidP="00103A06">
            <w:r w:rsidRPr="00385ED9">
              <w:lastRenderedPageBreak/>
              <w:t>Migration</w:t>
            </w:r>
          </w:p>
        </w:tc>
        <w:tc>
          <w:tcPr>
            <w:tcW w:w="8363" w:type="dxa"/>
            <w:tcBorders>
              <w:top w:val="nil"/>
              <w:bottom w:val="nil"/>
            </w:tcBorders>
          </w:tcPr>
          <w:p w14:paraId="79033074" w14:textId="77777777" w:rsidR="00245802" w:rsidRPr="00385ED9" w:rsidRDefault="00245802" w:rsidP="00103A06">
            <w:pPr>
              <w:pStyle w:val="Bulletpoint"/>
              <w:cnfStyle w:val="000000000000" w:firstRow="0" w:lastRow="0" w:firstColumn="0" w:lastColumn="0" w:oddVBand="0" w:evenVBand="0" w:oddHBand="0" w:evenHBand="0" w:firstRowFirstColumn="0" w:firstRowLastColumn="0" w:lastRowFirstColumn="0" w:lastRowLastColumn="0"/>
            </w:pPr>
            <w:r w:rsidRPr="00385ED9">
              <w:t>Understanding internal migration of Māori from traditional iwi land to other regions within Aotearoa New Zealand, tracking possible external migration, and establishing where support networks are located.</w:t>
            </w:r>
          </w:p>
          <w:p w14:paraId="0A66BA25" w14:textId="77777777" w:rsidR="00245802" w:rsidRPr="00385ED9" w:rsidRDefault="00245802" w:rsidP="00103A06">
            <w:pPr>
              <w:pStyle w:val="Bulletpoint"/>
              <w:cnfStyle w:val="000000000000" w:firstRow="0" w:lastRow="0" w:firstColumn="0" w:lastColumn="0" w:oddVBand="0" w:evenVBand="0" w:oddHBand="0" w:evenHBand="0" w:firstRowFirstColumn="0" w:firstRowLastColumn="0" w:lastRowFirstColumn="0" w:lastRowLastColumn="0"/>
            </w:pPr>
            <w:r w:rsidRPr="00385ED9">
              <w:t>Explore this to understand a person’s connection to land, levels of support and where support is located, reasons behind migration, and how such events have enabled or become a barrier to health care. If no migration occurred or people do not know about it, explore the available support networks for people and whānau, and where they are located.</w:t>
            </w:r>
          </w:p>
        </w:tc>
      </w:tr>
      <w:tr w:rsidR="00245802" w:rsidRPr="00385ED9" w14:paraId="77D1C590" w14:textId="77777777" w:rsidTr="002D3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nil"/>
              <w:bottom w:val="nil"/>
            </w:tcBorders>
          </w:tcPr>
          <w:p w14:paraId="6EAB1148" w14:textId="77777777" w:rsidR="00245802" w:rsidRPr="00385ED9" w:rsidRDefault="00245802" w:rsidP="00103A06">
            <w:r w:rsidRPr="00385ED9">
              <w:t xml:space="preserve">Marginalisation </w:t>
            </w:r>
          </w:p>
        </w:tc>
        <w:tc>
          <w:tcPr>
            <w:tcW w:w="8363" w:type="dxa"/>
            <w:tcBorders>
              <w:top w:val="nil"/>
              <w:bottom w:val="nil"/>
            </w:tcBorders>
          </w:tcPr>
          <w:p w14:paraId="33C2E5D4" w14:textId="77777777" w:rsidR="00245802" w:rsidRPr="00385ED9" w:rsidRDefault="00245802" w:rsidP="00103A06">
            <w:pPr>
              <w:pStyle w:val="Bulletpoint"/>
              <w:cnfStyle w:val="000000100000" w:firstRow="0" w:lastRow="0" w:firstColumn="0" w:lastColumn="0" w:oddVBand="0" w:evenVBand="0" w:oddHBand="1" w:evenHBand="0" w:firstRowFirstColumn="0" w:firstRowLastColumn="0" w:lastRowFirstColumn="0" w:lastRowLastColumn="0"/>
            </w:pPr>
            <w:r w:rsidRPr="00385ED9">
              <w:t xml:space="preserve">Knowledge of health information which identifies current Māori health status, including health disparities and health gains. </w:t>
            </w:r>
          </w:p>
          <w:p w14:paraId="56F7B46E" w14:textId="77777777" w:rsidR="00245802" w:rsidRPr="00385ED9" w:rsidRDefault="00245802" w:rsidP="00103A06">
            <w:pPr>
              <w:pStyle w:val="Bulletpoint"/>
              <w:cnfStyle w:val="000000100000" w:firstRow="0" w:lastRow="0" w:firstColumn="0" w:lastColumn="0" w:oddVBand="0" w:evenVBand="0" w:oddHBand="1" w:evenHBand="0" w:firstRowFirstColumn="0" w:firstRowLastColumn="0" w:lastRowFirstColumn="0" w:lastRowLastColumn="0"/>
            </w:pPr>
            <w:r w:rsidRPr="00385ED9">
              <w:t>Learn about prevalence and incidence of specific conditions to reduce further marginalisation of Māori.</w:t>
            </w:r>
          </w:p>
        </w:tc>
      </w:tr>
      <w:tr w:rsidR="00245802" w:rsidRPr="00385ED9" w14:paraId="2B58F8E3" w14:textId="77777777" w:rsidTr="002D3B4B">
        <w:tc>
          <w:tcPr>
            <w:cnfStyle w:val="001000000000" w:firstRow="0" w:lastRow="0" w:firstColumn="1" w:lastColumn="0" w:oddVBand="0" w:evenVBand="0" w:oddHBand="0" w:evenHBand="0" w:firstRowFirstColumn="0" w:firstRowLastColumn="0" w:lastRowFirstColumn="0" w:lastRowLastColumn="0"/>
            <w:tcW w:w="1838" w:type="dxa"/>
            <w:tcBorders>
              <w:top w:val="nil"/>
              <w:bottom w:val="nil"/>
            </w:tcBorders>
          </w:tcPr>
          <w:p w14:paraId="45950AD7" w14:textId="77777777" w:rsidR="00245802" w:rsidRPr="00385ED9" w:rsidRDefault="00245802" w:rsidP="00103A06">
            <w:r w:rsidRPr="00385ED9">
              <w:t>Ahua</w:t>
            </w:r>
          </w:p>
        </w:tc>
        <w:tc>
          <w:tcPr>
            <w:tcW w:w="8363" w:type="dxa"/>
            <w:tcBorders>
              <w:top w:val="nil"/>
              <w:bottom w:val="nil"/>
            </w:tcBorders>
          </w:tcPr>
          <w:p w14:paraId="01CDB8BE" w14:textId="77777777" w:rsidR="00245802" w:rsidRPr="00385ED9" w:rsidRDefault="00245802" w:rsidP="00103A06">
            <w:pPr>
              <w:pStyle w:val="Bulletpoint"/>
              <w:cnfStyle w:val="000000000000" w:firstRow="0" w:lastRow="0" w:firstColumn="0" w:lastColumn="0" w:oddVBand="0" w:evenVBand="0" w:oddHBand="0" w:evenHBand="0" w:firstRowFirstColumn="0" w:firstRowLastColumn="0" w:lastRowFirstColumn="0" w:lastRowLastColumn="0"/>
            </w:pPr>
            <w:r w:rsidRPr="00385ED9">
              <w:t>Personal indicators of Te Ao Māori that are important to the person and whānau.</w:t>
            </w:r>
          </w:p>
          <w:p w14:paraId="4C35144F" w14:textId="77777777" w:rsidR="00245802" w:rsidRPr="00385ED9" w:rsidRDefault="00245802" w:rsidP="00103A06">
            <w:pPr>
              <w:pStyle w:val="Bulletpoint"/>
              <w:cnfStyle w:val="000000000000" w:firstRow="0" w:lastRow="0" w:firstColumn="0" w:lastColumn="0" w:oddVBand="0" w:evenVBand="0" w:oddHBand="0" w:evenHBand="0" w:firstRowFirstColumn="0" w:firstRowLastColumn="0" w:lastRowFirstColumn="0" w:lastRowLastColumn="0"/>
            </w:pPr>
            <w:r w:rsidRPr="00385ED9">
              <w:t>Explore these as opportunities to connect and for meaningful whakawhanaungatanga. This might include exploring personal and whānau use of te reo Māori, wearing of specific taonga, and having an ingoa Māori (Māori name).</w:t>
            </w:r>
          </w:p>
        </w:tc>
      </w:tr>
      <w:tr w:rsidR="00245802" w:rsidRPr="00385ED9" w14:paraId="098C7304" w14:textId="77777777" w:rsidTr="002D3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nil"/>
              <w:bottom w:val="nil"/>
            </w:tcBorders>
          </w:tcPr>
          <w:p w14:paraId="0F50F34F" w14:textId="77777777" w:rsidR="00245802" w:rsidRPr="00385ED9" w:rsidRDefault="00245802" w:rsidP="00103A06">
            <w:r w:rsidRPr="00385ED9">
              <w:t>Tikanga</w:t>
            </w:r>
          </w:p>
        </w:tc>
        <w:tc>
          <w:tcPr>
            <w:tcW w:w="8363" w:type="dxa"/>
            <w:tcBorders>
              <w:top w:val="nil"/>
              <w:bottom w:val="nil"/>
            </w:tcBorders>
          </w:tcPr>
          <w:p w14:paraId="2F92E52F" w14:textId="77777777" w:rsidR="00245802" w:rsidRPr="00385ED9" w:rsidRDefault="00245802" w:rsidP="00103A06">
            <w:pPr>
              <w:pStyle w:val="Bulletpoint"/>
              <w:cnfStyle w:val="000000100000" w:firstRow="0" w:lastRow="0" w:firstColumn="0" w:lastColumn="0" w:oddVBand="0" w:evenVBand="0" w:oddHBand="1" w:evenHBand="0" w:firstRowFirstColumn="0" w:firstRowLastColumn="0" w:lastRowFirstColumn="0" w:lastRowLastColumn="0"/>
            </w:pPr>
            <w:r w:rsidRPr="00385ED9">
              <w:t>Māori cultural practices.</w:t>
            </w:r>
          </w:p>
          <w:p w14:paraId="316EFA7E" w14:textId="77777777" w:rsidR="00245802" w:rsidRPr="00385ED9" w:rsidRDefault="00245802" w:rsidP="00103A06">
            <w:pPr>
              <w:pStyle w:val="Bulletpoint"/>
              <w:cnfStyle w:val="000000100000" w:firstRow="0" w:lastRow="0" w:firstColumn="0" w:lastColumn="0" w:oddVBand="0" w:evenVBand="0" w:oddHBand="1" w:evenHBand="0" w:firstRowFirstColumn="0" w:firstRowLastColumn="0" w:lastRowFirstColumn="0" w:lastRowLastColumn="0"/>
            </w:pPr>
            <w:r w:rsidRPr="00385ED9">
              <w:t>Implement knowledge of cultural practices and integrate into assessment and support. For example, make space for karakia which is essential for protecting and maintaining spiritual, mental, and emotional wellbeing.</w:t>
            </w:r>
          </w:p>
        </w:tc>
      </w:tr>
      <w:tr w:rsidR="00245802" w:rsidRPr="00385ED9" w14:paraId="02292EA0" w14:textId="77777777" w:rsidTr="002D3B4B">
        <w:tc>
          <w:tcPr>
            <w:cnfStyle w:val="001000000000" w:firstRow="0" w:lastRow="0" w:firstColumn="1" w:lastColumn="0" w:oddVBand="0" w:evenVBand="0" w:oddHBand="0" w:evenHBand="0" w:firstRowFirstColumn="0" w:firstRowLastColumn="0" w:lastRowFirstColumn="0" w:lastRowLastColumn="0"/>
            <w:tcW w:w="1838" w:type="dxa"/>
            <w:tcBorders>
              <w:top w:val="nil"/>
              <w:bottom w:val="nil"/>
            </w:tcBorders>
          </w:tcPr>
          <w:p w14:paraId="6C251F9E" w14:textId="77777777" w:rsidR="00245802" w:rsidRPr="00385ED9" w:rsidRDefault="00245802" w:rsidP="00103A06">
            <w:r w:rsidRPr="00385ED9">
              <w:lastRenderedPageBreak/>
              <w:t>Whānau</w:t>
            </w:r>
          </w:p>
        </w:tc>
        <w:tc>
          <w:tcPr>
            <w:tcW w:w="8363" w:type="dxa"/>
            <w:tcBorders>
              <w:top w:val="nil"/>
              <w:bottom w:val="nil"/>
            </w:tcBorders>
          </w:tcPr>
          <w:p w14:paraId="673ACEF5" w14:textId="77777777" w:rsidR="00245802" w:rsidRPr="00385ED9" w:rsidRDefault="00245802" w:rsidP="00103A06">
            <w:pPr>
              <w:pStyle w:val="Bulletpoint"/>
              <w:cnfStyle w:val="000000000000" w:firstRow="0" w:lastRow="0" w:firstColumn="0" w:lastColumn="0" w:oddVBand="0" w:evenVBand="0" w:oddHBand="0" w:evenHBand="0" w:firstRowFirstColumn="0" w:firstRowLastColumn="0" w:lastRowFirstColumn="0" w:lastRowLastColumn="0"/>
            </w:pPr>
            <w:r w:rsidRPr="00385ED9">
              <w:t>The relationship, roles, and responsibilities of the person within Te Ao Māori, including whānau, hapū, and iwi.</w:t>
            </w:r>
          </w:p>
          <w:p w14:paraId="56226FD5" w14:textId="77777777" w:rsidR="00245802" w:rsidRPr="00385ED9" w:rsidRDefault="00245802" w:rsidP="00103A06">
            <w:pPr>
              <w:pStyle w:val="Bulletpoint"/>
              <w:cnfStyle w:val="000000000000" w:firstRow="0" w:lastRow="0" w:firstColumn="0" w:lastColumn="0" w:oddVBand="0" w:evenVBand="0" w:oddHBand="0" w:evenHBand="0" w:firstRowFirstColumn="0" w:firstRowLastColumn="0" w:lastRowFirstColumn="0" w:lastRowLastColumn="0"/>
            </w:pPr>
            <w:r w:rsidRPr="00385ED9">
              <w:t>Identify roles to understand priorities, values, and beliefs, as well as why some whānau might be more active in certain parts of the assessment and support process.</w:t>
            </w:r>
          </w:p>
        </w:tc>
      </w:tr>
      <w:tr w:rsidR="00245802" w:rsidRPr="00385ED9" w14:paraId="10ED6694" w14:textId="77777777" w:rsidTr="002D3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nil"/>
              <w:bottom w:val="nil"/>
            </w:tcBorders>
          </w:tcPr>
          <w:p w14:paraId="00EE675A" w14:textId="77777777" w:rsidR="00245802" w:rsidRPr="00385ED9" w:rsidRDefault="00245802" w:rsidP="00103A06">
            <w:r w:rsidRPr="00385ED9">
              <w:t>Whenua</w:t>
            </w:r>
          </w:p>
        </w:tc>
        <w:tc>
          <w:tcPr>
            <w:tcW w:w="8363" w:type="dxa"/>
            <w:tcBorders>
              <w:top w:val="nil"/>
              <w:bottom w:val="nil"/>
            </w:tcBorders>
          </w:tcPr>
          <w:p w14:paraId="54FF9627" w14:textId="77777777" w:rsidR="00245802" w:rsidRPr="00385ED9" w:rsidRDefault="00245802" w:rsidP="00103A06">
            <w:pPr>
              <w:pStyle w:val="Bulletpoint"/>
              <w:cnfStyle w:val="000000100000" w:firstRow="0" w:lastRow="0" w:firstColumn="0" w:lastColumn="0" w:oddVBand="0" w:evenVBand="0" w:oddHBand="1" w:evenHBand="0" w:firstRowFirstColumn="0" w:firstRowLastColumn="0" w:lastRowFirstColumn="0" w:lastRowLastColumn="0"/>
            </w:pPr>
            <w:r w:rsidRPr="00385ED9">
              <w:t>Specific genealogical or spiritual connection between the person and/or whānau and land.</w:t>
            </w:r>
          </w:p>
          <w:p w14:paraId="6C303851" w14:textId="77777777" w:rsidR="00245802" w:rsidRPr="00385ED9" w:rsidRDefault="00245802" w:rsidP="00103A06">
            <w:pPr>
              <w:pStyle w:val="Bulletpoint"/>
              <w:cnfStyle w:val="000000100000" w:firstRow="0" w:lastRow="0" w:firstColumn="0" w:lastColumn="0" w:oddVBand="0" w:evenVBand="0" w:oddHBand="1" w:evenHBand="0" w:firstRowFirstColumn="0" w:firstRowLastColumn="0" w:lastRowFirstColumn="0" w:lastRowLastColumn="0"/>
            </w:pPr>
            <w:r w:rsidRPr="00385ED9">
              <w:t>Places identified may be a key part of identity for the person and whānau. Explore this to help build the relationship.</w:t>
            </w:r>
          </w:p>
        </w:tc>
      </w:tr>
      <w:tr w:rsidR="00245802" w:rsidRPr="00385ED9" w14:paraId="62E238B2" w14:textId="77777777" w:rsidTr="002D3B4B">
        <w:trPr>
          <w:trHeight w:val="1026"/>
        </w:trPr>
        <w:tc>
          <w:tcPr>
            <w:cnfStyle w:val="001000000000" w:firstRow="0" w:lastRow="0" w:firstColumn="1" w:lastColumn="0" w:oddVBand="0" w:evenVBand="0" w:oddHBand="0" w:evenHBand="0" w:firstRowFirstColumn="0" w:firstRowLastColumn="0" w:lastRowFirstColumn="0" w:lastRowLastColumn="0"/>
            <w:tcW w:w="1838" w:type="dxa"/>
            <w:tcBorders>
              <w:top w:val="nil"/>
              <w:bottom w:val="double" w:sz="4" w:space="0" w:color="28A1AC" w:themeColor="accent2"/>
            </w:tcBorders>
          </w:tcPr>
          <w:p w14:paraId="7E84E5A6" w14:textId="77777777" w:rsidR="00245802" w:rsidRPr="00385ED9" w:rsidRDefault="00245802" w:rsidP="00234887">
            <w:pPr>
              <w:rPr>
                <w:rFonts w:cstheme="minorHAnsi"/>
                <w:sz w:val="22"/>
              </w:rPr>
            </w:pPr>
            <w:r w:rsidRPr="00385ED9">
              <w:rPr>
                <w:rFonts w:cstheme="minorHAnsi"/>
                <w:sz w:val="22"/>
              </w:rPr>
              <w:t>Navigation</w:t>
            </w:r>
          </w:p>
        </w:tc>
        <w:tc>
          <w:tcPr>
            <w:tcW w:w="8363" w:type="dxa"/>
            <w:tcBorders>
              <w:top w:val="nil"/>
              <w:bottom w:val="double" w:sz="4" w:space="0" w:color="28A1AC" w:themeColor="accent2"/>
            </w:tcBorders>
          </w:tcPr>
          <w:p w14:paraId="4B6AFFC0" w14:textId="77777777" w:rsidR="00245802" w:rsidRPr="00385ED9" w:rsidRDefault="00245802" w:rsidP="00103A06">
            <w:pPr>
              <w:pStyle w:val="Bulletpoint"/>
              <w:cnfStyle w:val="000000000000" w:firstRow="0" w:lastRow="0" w:firstColumn="0" w:lastColumn="0" w:oddVBand="0" w:evenVBand="0" w:oddHBand="0" w:evenHBand="0" w:firstRowFirstColumn="0" w:firstRowLastColumn="0" w:lastRowFirstColumn="0" w:lastRowLastColumn="0"/>
            </w:pPr>
            <w:r w:rsidRPr="00385ED9">
              <w:t>Navigating the most appropriate course is influenced by all of the other components. The process of plotting a course refers to the person and whānau collaborating with the workers for support.</w:t>
            </w:r>
          </w:p>
        </w:tc>
      </w:tr>
    </w:tbl>
    <w:p w14:paraId="544B61CA" w14:textId="77777777" w:rsidR="002D3B4B" w:rsidRDefault="002D3B4B" w:rsidP="002D3B4B">
      <w:pPr>
        <w:spacing w:before="0" w:after="160" w:line="259" w:lineRule="auto"/>
        <w:rPr>
          <w:b/>
          <w:bCs/>
          <w:color w:val="00C7C7" w:themeColor="accent5" w:themeTint="BF"/>
          <w:szCs w:val="24"/>
        </w:rPr>
      </w:pPr>
    </w:p>
    <w:p w14:paraId="67CFC85C" w14:textId="325DD1EE" w:rsidR="002D3B4B" w:rsidRPr="00B423C5" w:rsidRDefault="002D3B4B" w:rsidP="002D3B4B">
      <w:pPr>
        <w:spacing w:before="0" w:after="160" w:line="259" w:lineRule="auto"/>
        <w:rPr>
          <w:rFonts w:eastAsiaTheme="majorEastAsia" w:cstheme="minorHAnsi"/>
          <w:b/>
          <w:color w:val="4D2379" w:themeColor="accent4"/>
          <w:sz w:val="28"/>
          <w:szCs w:val="28"/>
        </w:rPr>
      </w:pPr>
      <w:r w:rsidRPr="00B423C5">
        <w:rPr>
          <w:b/>
          <w:bCs/>
          <w:color w:val="4D2379" w:themeColor="accent4"/>
          <w:sz w:val="28"/>
          <w:szCs w:val="28"/>
        </w:rPr>
        <w:t>Te Waka Kuaka</w:t>
      </w:r>
    </w:p>
    <w:p w14:paraId="29464D96" w14:textId="77777777" w:rsidR="002D3B4B" w:rsidRPr="0072595C" w:rsidRDefault="002D3B4B" w:rsidP="00103A06">
      <w:r w:rsidRPr="0072595C">
        <w:t>Te Waka Kuaka (‘a flock of godwits’) is a bilingual cultural needs assessment tool for whānau developed by Dr Hinemoa Elder.</w:t>
      </w:r>
      <w:r w:rsidRPr="0072595C">
        <w:fldChar w:fldCharType="begin"/>
      </w:r>
      <w:r w:rsidRPr="0072595C">
        <w:instrText xml:space="preserve"> ADDIN ZOTERO_ITEM CSL_CITATION {"citationID":"a3re02301q","properties":{"formattedCitation":"\\super 36\\nosupersub{}","plainCitation":"36","noteIndex":0},"citationItems":[{"id":13692,"uris":["http://zotero.org/groups/4745233/items/DTEWWJ2S"],"itemData":{"id":13692,"type":"article-journal","abstract":"Background: The aim was to examine the validity of a new measure, Te Waka Kuaka, in assessing the cultural needs of Māori with traumatic brain injury (TBI).\nMethods: Māori from around Aotearoa, New Zealand were recruited. 319 people with a history of TBI, their whānau (extended family members), friends, work associates, and interested community members participated. All completed the 46-item measure. Rasch analysis of the data was undertaken.\nResults: All four subscales; Wā (time), Wāhi (place), Tangata (people) and Wairua practices (activities that strengthen spiritual connection) were unidimensional. Ten items were deleted because they did not fit the model, due to statistically significant disordered thresholds, nonuniform differential item functioning (DIF) and local dependence. Five items were re-scored in the fourth subscale resulting in ordered thresholds.\nConclusions: Rasch analysis facilitated a robust validation process of Te Waka Kuaka.","container-title":"F1000Research","DOI":"10.12688/f1000research.11500.1","ISSN":"2046-1402","journalAbbreviation":"F1000Res","language":"en","page":"1034","source":"DOI.org (Crossref)","title":"Te Waka Kuaka, Rasch analysis of a cultural assessment tool in traumatic brain injury in Māori","volume":"6","author":[{"family":"Elder","given":"Hinemoa"},{"family":"Czuba","given":"Karol"},{"family":"Kersten","given":"Paula"},{"family":"Caracuel","given":"Alfonso"},{"family":"McPherson","given":"Kathryn"}],"issued":{"date-parts":[["2017",6,30]]}}}],"schema":"https://github.com/citation-style-language/schema/raw/master/csl-citation.json"} </w:instrText>
      </w:r>
      <w:r w:rsidRPr="0072595C">
        <w:fldChar w:fldCharType="separate"/>
      </w:r>
      <w:r w:rsidRPr="0072595C">
        <w:rPr>
          <w:rFonts w:cs="Arial"/>
          <w:vertAlign w:val="superscript"/>
        </w:rPr>
        <w:t>36</w:t>
      </w:r>
      <w:r w:rsidRPr="0072595C">
        <w:fldChar w:fldCharType="end"/>
      </w:r>
      <w:r w:rsidRPr="0072595C">
        <w:t xml:space="preserve"> Te Waka Kuaka helps whānau to identify their needs in order to better navigate their healing journeys, like how godwits organise themselves to navigate their long-distance migrations. The four navigational priorities that form the assessment subscales are helpful in grouping areas of focus: </w:t>
      </w:r>
      <w:r w:rsidRPr="0072595C">
        <w:rPr>
          <w:lang w:eastAsia="en-NZ"/>
        </w:rPr>
        <w:t>Wairua; </w:t>
      </w:r>
      <w:r w:rsidRPr="0072595C">
        <w:t>T</w:t>
      </w:r>
      <w:r w:rsidRPr="0072595C">
        <w:rPr>
          <w:lang w:eastAsia="en-NZ"/>
        </w:rPr>
        <w:t>angata (people); Wā (time); and</w:t>
      </w:r>
      <w:r w:rsidRPr="0072595C">
        <w:t xml:space="preserve"> </w:t>
      </w:r>
      <w:r w:rsidRPr="0072595C">
        <w:rPr>
          <w:lang w:eastAsia="en-NZ"/>
        </w:rPr>
        <w:t>Wāhi (place).</w:t>
      </w:r>
      <w:r w:rsidRPr="0072595C">
        <w:rPr>
          <w:lang w:eastAsia="en-NZ"/>
        </w:rPr>
        <w:fldChar w:fldCharType="begin"/>
      </w:r>
      <w:r w:rsidRPr="0072595C">
        <w:rPr>
          <w:lang w:eastAsia="en-NZ"/>
        </w:rPr>
        <w:instrText xml:space="preserve"> ADDIN ZOTERO_ITEM CSL_CITATION {"citationID":"a27gdiq19hg","properties":{"formattedCitation":"\\super 36\\nosupersub{}","plainCitation":"36","noteIndex":0},"citationItems":[{"id":13692,"uris":["http://zotero.org/groups/4745233/items/DTEWWJ2S"],"itemData":{"id":13692,"type":"article-journal","abstract":"Background: The aim was to examine the validity of a new measure, Te Waka Kuaka, in assessing the cultural needs of Māori with traumatic brain injury (TBI).\nMethods: Māori from around Aotearoa, New Zealand were recruited. 319 people with a history of TBI, their whānau (extended family members), friends, work associates, and interested community members participated. All completed the 46-item measure. Rasch analysis of the data was undertaken.\nResults: All four subscales; Wā (time), Wāhi (place), Tangata (people) and Wairua practices (activities that strengthen spiritual connection) were unidimensional. Ten items were deleted because they did not fit the model, due to statistically significant disordered thresholds, nonuniform differential item functioning (DIF) and local dependence. Five items were re-scored in the fourth subscale resulting in ordered thresholds.\nConclusions: Rasch analysis facilitated a robust validation process of Te Waka Kuaka.","container-title":"F1000Research","DOI":"10.12688/f1000research.11500.1","ISSN":"2046-1402","journalAbbreviation":"F1000Res","language":"en","page":"1034","source":"DOI.org (Crossref)","title":"Te Waka Kuaka, Rasch analysis of a cultural assessment tool in traumatic brain injury in Māori","volume":"6","author":[{"family":"Elder","given":"Hinemoa"},{"family":"Czuba","given":"Karol"},{"family":"Kersten","given":"Paula"},{"family":"Caracuel","given":"Alfonso"},{"family":"McPherson","given":"Kathryn"}],"issued":{"date-parts":[["2017",6,30]]}}}],"schema":"https://github.com/citation-style-language/schema/raw/master/csl-citation.json"} </w:instrText>
      </w:r>
      <w:r w:rsidRPr="0072595C">
        <w:rPr>
          <w:lang w:eastAsia="en-NZ"/>
        </w:rPr>
        <w:fldChar w:fldCharType="separate"/>
      </w:r>
      <w:r w:rsidRPr="0072595C">
        <w:rPr>
          <w:rFonts w:cs="Arial"/>
          <w:vertAlign w:val="superscript"/>
        </w:rPr>
        <w:t>36</w:t>
      </w:r>
      <w:r w:rsidRPr="0072595C">
        <w:rPr>
          <w:lang w:eastAsia="en-NZ"/>
        </w:rPr>
        <w:fldChar w:fldCharType="end"/>
      </w:r>
    </w:p>
    <w:p w14:paraId="1FEADA85" w14:textId="77777777" w:rsidR="00CB687D" w:rsidRPr="0072595C" w:rsidRDefault="002D3B4B" w:rsidP="00103A06">
      <w:pPr>
        <w:rPr>
          <w:lang w:eastAsia="en-NZ"/>
        </w:rPr>
      </w:pPr>
      <w:r w:rsidRPr="0072595C">
        <w:rPr>
          <w:lang w:eastAsia="en-NZ"/>
        </w:rPr>
        <w:t>Te Waka Kuaka is used as a rehabilitation model at ABI Rehabilitation Services New Zealand.</w:t>
      </w:r>
      <w:r w:rsidRPr="0072595C">
        <w:rPr>
          <w:lang w:eastAsia="en-NZ"/>
        </w:rPr>
        <w:fldChar w:fldCharType="begin"/>
      </w:r>
      <w:r w:rsidRPr="0072595C">
        <w:rPr>
          <w:lang w:eastAsia="en-NZ"/>
        </w:rPr>
        <w:instrText xml:space="preserve"> ADDIN ZOTERO_ITEM CSL_CITATION {"citationID":"asraucvf74","properties":{"formattedCitation":"\\super 185\\nosupersub{}","plainCitation":"185","noteIndex":0},"citationItems":[{"id":13758,"uris":["http://zotero.org/groups/4745233/items/UQK8JL4P"],"itemData":{"id":13758,"type":"webpage","abstract":"ABI Rehabilitation New Zealand provides residential &amp; community-based rehabilitation services for people with traumatic brain injury or stroke","container-title":"ABI Rehabilitation Services","language":"en-NZ","title":"Working with Whānau – two models of rehabilitation used at ABI Rehab","URL":"https://www.abi-rehab.co.nz/","author":[{"literal":"ABI Rehabilitation Services"}],"accessed":{"date-parts":[["2023",7,18]]},"issued":{"date-parts":[["2021"]]}}}],"schema":"https://github.com/citation-style-language/schema/raw/master/csl-citation.json"} </w:instrText>
      </w:r>
      <w:r w:rsidRPr="0072595C">
        <w:rPr>
          <w:lang w:eastAsia="en-NZ"/>
        </w:rPr>
        <w:fldChar w:fldCharType="separate"/>
      </w:r>
      <w:r w:rsidRPr="0072595C">
        <w:rPr>
          <w:rFonts w:cs="Arial"/>
          <w:vertAlign w:val="superscript"/>
        </w:rPr>
        <w:t>185</w:t>
      </w:r>
      <w:r w:rsidRPr="0072595C">
        <w:rPr>
          <w:lang w:eastAsia="en-NZ"/>
        </w:rPr>
        <w:fldChar w:fldCharType="end"/>
      </w:r>
      <w:r w:rsidRPr="0072595C">
        <w:rPr>
          <w:lang w:eastAsia="en-NZ"/>
        </w:rPr>
        <w:t xml:space="preserve"> Whānau are asked to rate the importance of statements in the tool in relation to healing. The</w:t>
      </w:r>
      <w:r w:rsidR="00CB687D">
        <w:rPr>
          <w:lang w:eastAsia="en-NZ"/>
        </w:rPr>
        <w:t xml:space="preserve"> </w:t>
      </w:r>
      <w:r w:rsidR="00CB687D" w:rsidRPr="0072595C">
        <w:rPr>
          <w:lang w:eastAsia="en-NZ"/>
        </w:rPr>
        <w:t>responses can then be reviewed by the clinical team to see what the needs and priorities are for the whānau. This model acknowledges that whānau mātauranga (family knowledge systems) can greatly improve outcomes for tāngata whai ora Māori.</w:t>
      </w:r>
      <w:r w:rsidR="00CB687D" w:rsidRPr="0072595C">
        <w:rPr>
          <w:lang w:eastAsia="en-NZ"/>
        </w:rPr>
        <w:fldChar w:fldCharType="begin"/>
      </w:r>
      <w:r w:rsidR="00CB687D" w:rsidRPr="0072595C">
        <w:rPr>
          <w:lang w:eastAsia="en-NZ"/>
        </w:rPr>
        <w:instrText xml:space="preserve"> ADDIN ZOTERO_ITEM CSL_CITATION {"citationID":"a123kdu6ca5","properties":{"formattedCitation":"\\super 36,185\\nosupersub{}","plainCitation":"36,185","noteIndex":0},"citationItems":[{"id":13758,"uris":["http://zotero.org/groups/4745233/items/UQK8JL4P"],"itemData":{"id":13758,"type":"webpage","abstract":"ABI Rehabilitation New Zealand provides residential &amp; community-based rehabilitation services for people with traumatic brain injury or stroke","container-title":"ABI Rehabilitation Services","language":"en-NZ","title":"Working with Whānau – two models of rehabilitation used at ABI Rehab","URL":"https://www.abi-rehab.co.nz/","author":[{"literal":"ABI Rehabilitation Services"}],"accessed":{"date-parts":[["2023",7,18]]},"issued":{"date-parts":[["2021"]]}}},{"id":13692,"uris":["http://zotero.org/groups/4745233/items/DTEWWJ2S"],"itemData":{"id":13692,"type":"article-journal","abstract":"Background: The aim was to examine the validity of a new measure, Te Waka Kuaka, in assessing the cultural needs of Māori with traumatic brain injury (TBI).\nMethods: Māori from around Aotearoa, New Zealand were recruited. 319 people with a history of TBI, their whānau (extended family members), friends, work associates, and interested community members participated. All completed the 46-item measure. Rasch analysis of the data was undertaken.\nResults: All four subscales; Wā (time), Wāhi (place), Tangata (people) and Wairua practices (activities that strengthen spiritual connection) were unidimensional. Ten items were deleted because they did not fit the model, due to statistically significant disordered thresholds, nonuniform differential item functioning (DIF) and local dependence. Five items were re-scored in the fourth subscale resulting in ordered thresholds.\nConclusions: Rasch analysis facilitated a robust validation process of Te Waka Kuaka.","container-title":"F1000Research","DOI":"10.12688/f1000research.11500.1","ISSN":"2046-1402","journalAbbreviation":"F1000Res","language":"en","page":"1034","source":"DOI.org (Crossref)","title":"Te Waka Kuaka, Rasch analysis of a cultural assessment tool in traumatic brain injury in Māori","volume":"6","author":[{"family":"Elder","given":"Hinemoa"},{"family":"Czuba","given":"Karol"},{"family":"Kersten","given":"Paula"},{"family":"Caracuel","given":"Alfonso"},{"family":"McPherson","given":"Kathryn"}],"issued":{"date-parts":[["2017",6,30]]}}}],"schema":"https://github.com/citation-style-language/schema/raw/master/csl-citation.json"} </w:instrText>
      </w:r>
      <w:r w:rsidR="00CB687D" w:rsidRPr="0072595C">
        <w:rPr>
          <w:lang w:eastAsia="en-NZ"/>
        </w:rPr>
        <w:fldChar w:fldCharType="separate"/>
      </w:r>
      <w:r w:rsidR="00CB687D" w:rsidRPr="0072595C">
        <w:rPr>
          <w:rFonts w:cs="Arial"/>
          <w:vertAlign w:val="superscript"/>
        </w:rPr>
        <w:t>36,185</w:t>
      </w:r>
      <w:r w:rsidR="00CB687D" w:rsidRPr="0072595C">
        <w:rPr>
          <w:lang w:eastAsia="en-NZ"/>
        </w:rPr>
        <w:fldChar w:fldCharType="end"/>
      </w:r>
      <w:r w:rsidR="00CB687D" w:rsidRPr="0072595C">
        <w:rPr>
          <w:lang w:eastAsia="en-NZ"/>
        </w:rPr>
        <w:t xml:space="preserve">  </w:t>
      </w:r>
    </w:p>
    <w:p w14:paraId="6793964F" w14:textId="0FCDDA3D" w:rsidR="00C3461A" w:rsidRDefault="00C3461A" w:rsidP="002D3B4B"/>
    <w:p w14:paraId="479515A9" w14:textId="77777777" w:rsidR="00A253AD" w:rsidRDefault="00A253AD" w:rsidP="002D3B4B"/>
    <w:p w14:paraId="1116F225" w14:textId="77777777" w:rsidR="00A253AD" w:rsidRDefault="00A253AD" w:rsidP="002D3B4B"/>
    <w:p w14:paraId="12A96EE7" w14:textId="77777777" w:rsidR="00A253AD" w:rsidRDefault="00A253AD" w:rsidP="002D3B4B"/>
    <w:p w14:paraId="542D55B8" w14:textId="77777777" w:rsidR="00A253AD" w:rsidRDefault="00A253AD" w:rsidP="002D3B4B"/>
    <w:p w14:paraId="2A24E9D0" w14:textId="77777777" w:rsidR="006B229D" w:rsidRDefault="006B229D" w:rsidP="002D3B4B"/>
    <w:p w14:paraId="0A8605A0" w14:textId="77777777" w:rsidR="00A50E2A" w:rsidRPr="009B78F5" w:rsidRDefault="00A50E2A" w:rsidP="009607E5">
      <w:pPr>
        <w:pStyle w:val="Section4Heading2"/>
      </w:pPr>
      <w:bookmarkStart w:id="2519" w:name="_Ref145919681"/>
      <w:bookmarkStart w:id="2520" w:name="_Toc172095803"/>
      <w:bookmarkStart w:id="2521" w:name="_Toc178780181"/>
      <w:bookmarkStart w:id="2522" w:name="_Toc178838947"/>
      <w:bookmarkStart w:id="2523" w:name="_Toc178839134"/>
      <w:bookmarkStart w:id="2524" w:name="_Toc178839255"/>
      <w:bookmarkStart w:id="2525" w:name="_Toc178839483"/>
      <w:bookmarkStart w:id="2526" w:name="_Toc178841693"/>
      <w:bookmarkStart w:id="2527" w:name="_Toc179198253"/>
      <w:bookmarkStart w:id="2528" w:name="_Toc179198503"/>
      <w:bookmarkStart w:id="2529" w:name="_Toc179198610"/>
      <w:bookmarkStart w:id="2530" w:name="_Toc179198717"/>
      <w:bookmarkStart w:id="2531" w:name="_Toc179446161"/>
      <w:bookmarkStart w:id="2532" w:name="_Toc179447174"/>
      <w:bookmarkStart w:id="2533" w:name="_Toc179448713"/>
      <w:bookmarkStart w:id="2534" w:name="_Toc179448870"/>
      <w:bookmarkStart w:id="2535" w:name="_Toc179449239"/>
      <w:bookmarkStart w:id="2536" w:name="_Toc179452931"/>
      <w:bookmarkStart w:id="2537" w:name="_Toc179461444"/>
      <w:bookmarkStart w:id="2538" w:name="_Toc179461888"/>
      <w:bookmarkStart w:id="2539" w:name="_Toc179531368"/>
      <w:bookmarkStart w:id="2540" w:name="_Toc179536041"/>
      <w:bookmarkStart w:id="2541" w:name="_Toc179537880"/>
      <w:bookmarkStart w:id="2542" w:name="_Toc179537944"/>
      <w:bookmarkStart w:id="2543" w:name="_Toc179538111"/>
      <w:bookmarkStart w:id="2544" w:name="_Toc179538927"/>
      <w:bookmarkStart w:id="2545" w:name="_Toc179539246"/>
      <w:bookmarkStart w:id="2546" w:name="_Toc179539362"/>
      <w:bookmarkStart w:id="2547" w:name="_Toc179539500"/>
      <w:bookmarkStart w:id="2548" w:name="_Toc179539597"/>
      <w:bookmarkStart w:id="2549" w:name="_Toc179539682"/>
      <w:bookmarkStart w:id="2550" w:name="_Toc179539772"/>
      <w:bookmarkStart w:id="2551" w:name="_Toc179540456"/>
      <w:bookmarkStart w:id="2552" w:name="_Toc179541801"/>
      <w:bookmarkStart w:id="2553" w:name="_Toc179542993"/>
      <w:bookmarkStart w:id="2554" w:name="_Toc180571321"/>
      <w:r w:rsidRPr="009B78F5">
        <w:lastRenderedPageBreak/>
        <w:t>Appendix B: Pasifika cultural models</w:t>
      </w:r>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p>
    <w:p w14:paraId="52928D96" w14:textId="77777777" w:rsidR="00A50E2A" w:rsidRPr="006011ED" w:rsidRDefault="00A50E2A" w:rsidP="00103A06">
      <w:r w:rsidRPr="006011ED">
        <w:t>This Appendix contains brief information on two models for Pasifika peoples considering holistic wellbeing and cultural needs. These are the:</w:t>
      </w:r>
    </w:p>
    <w:p w14:paraId="5B4E91C0" w14:textId="77777777" w:rsidR="00A50E2A" w:rsidRPr="006011ED" w:rsidRDefault="00A50E2A" w:rsidP="00103A06">
      <w:pPr>
        <w:pStyle w:val="Bulletpoint"/>
      </w:pPr>
      <w:r w:rsidRPr="006011ED">
        <w:t>Fonofale model (Samoan and Pan-Pacific)</w:t>
      </w:r>
    </w:p>
    <w:p w14:paraId="703A5FEB" w14:textId="77777777" w:rsidR="00A50E2A" w:rsidRPr="006011ED" w:rsidRDefault="00A50E2A" w:rsidP="00103A06">
      <w:pPr>
        <w:pStyle w:val="Bulletpoint"/>
      </w:pPr>
      <w:r w:rsidRPr="006011ED">
        <w:t xml:space="preserve">Fonua/Fonua Ola model (Tongan). </w:t>
      </w:r>
    </w:p>
    <w:p w14:paraId="13FABB99" w14:textId="77777777" w:rsidR="00103A06" w:rsidRDefault="00103A06" w:rsidP="00C5616E">
      <w:pPr>
        <w:rPr>
          <w:b/>
          <w:bCs/>
          <w:color w:val="4D2379" w:themeColor="accent4"/>
        </w:rPr>
      </w:pPr>
      <w:bookmarkStart w:id="2555" w:name="_Toc138832280"/>
      <w:bookmarkStart w:id="2556" w:name="_Toc178780182"/>
      <w:bookmarkStart w:id="2557" w:name="_Toc178838948"/>
      <w:bookmarkStart w:id="2558" w:name="_Toc178839135"/>
      <w:bookmarkStart w:id="2559" w:name="_Toc178839256"/>
      <w:bookmarkStart w:id="2560" w:name="_Toc178839484"/>
      <w:bookmarkStart w:id="2561" w:name="_Toc178841694"/>
      <w:bookmarkStart w:id="2562" w:name="_Toc179198254"/>
      <w:bookmarkStart w:id="2563" w:name="_Toc179198504"/>
      <w:bookmarkStart w:id="2564" w:name="_Toc179198611"/>
      <w:bookmarkStart w:id="2565" w:name="_Toc179198718"/>
      <w:bookmarkStart w:id="2566" w:name="_Toc179446162"/>
      <w:bookmarkStart w:id="2567" w:name="_Toc179447175"/>
      <w:bookmarkStart w:id="2568" w:name="_Toc179448714"/>
      <w:bookmarkStart w:id="2569" w:name="_Toc179448871"/>
      <w:bookmarkStart w:id="2570" w:name="_Toc179449240"/>
    </w:p>
    <w:p w14:paraId="54B9E5DD" w14:textId="085730E0" w:rsidR="00C5616E" w:rsidRPr="00B423C5" w:rsidRDefault="00C5616E" w:rsidP="00C5616E">
      <w:pPr>
        <w:rPr>
          <w:b/>
          <w:bCs/>
          <w:color w:val="4D2379" w:themeColor="accent4"/>
          <w:sz w:val="28"/>
          <w:szCs w:val="28"/>
        </w:rPr>
      </w:pPr>
      <w:r w:rsidRPr="00B423C5">
        <w:rPr>
          <w:b/>
          <w:bCs/>
          <w:color w:val="4D2379" w:themeColor="accent4"/>
          <w:sz w:val="28"/>
          <w:szCs w:val="28"/>
        </w:rPr>
        <w:t>Fonofale model</w:t>
      </w:r>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r w:rsidRPr="00B423C5">
        <w:rPr>
          <w:b/>
          <w:bCs/>
          <w:color w:val="4D2379" w:themeColor="accent4"/>
          <w:sz w:val="28"/>
          <w:szCs w:val="28"/>
        </w:rPr>
        <w:t xml:space="preserve"> </w:t>
      </w:r>
    </w:p>
    <w:p w14:paraId="7AB4217A" w14:textId="3B65EE1A" w:rsidR="00C5616E" w:rsidRPr="006011ED" w:rsidRDefault="00C5616E" w:rsidP="00103A06">
      <w:r w:rsidRPr="006011ED">
        <w:t>Developed by Fuimaono Karl Pulotu-Endemann, the Fonofale model (</w:t>
      </w:r>
      <w:r w:rsidRPr="006011ED">
        <w:fldChar w:fldCharType="begin"/>
      </w:r>
      <w:r w:rsidRPr="006011ED">
        <w:instrText xml:space="preserve"> REF _Ref146468861 \h  \* MERGEFORMAT </w:instrText>
      </w:r>
      <w:r w:rsidRPr="006011ED">
        <w:fldChar w:fldCharType="separate"/>
      </w:r>
      <w:r w:rsidR="007F1966" w:rsidRPr="006011ED">
        <w:t xml:space="preserve">Figure </w:t>
      </w:r>
      <w:r w:rsidR="007F1966">
        <w:rPr>
          <w:noProof/>
        </w:rPr>
        <w:t>11</w:t>
      </w:r>
      <w:r w:rsidRPr="006011ED">
        <w:fldChar w:fldCharType="end"/>
      </w:r>
      <w:r w:rsidRPr="006011ED">
        <w:t>) represents a fale (traditional Samoan House).</w:t>
      </w:r>
      <w:r w:rsidRPr="006011ED">
        <w:fldChar w:fldCharType="begin"/>
      </w:r>
      <w:r w:rsidRPr="006011ED">
        <w:instrText xml:space="preserve"> ADDIN ZOTERO_ITEM CSL_CITATION {"citationID":"G5XUTBNb","properties":{"formattedCitation":"\\super 186\\nosupersub{}","plainCitation":"186","noteIndex":0},"citationItems":[{"id":12650,"uris":["http://zotero.org/groups/4745233/items/LV39YEW7"],"itemData":{"id":12650,"type":"document","title":"Fonofale model of health","URL":"https://d3n8a8pro7vhmx.cloudfront.net/actionpoint/pages/437/attachments/original/1534408956/Fonofalemodelexplanation.pdf?1534408956","author":[{"family":"Pulotu-Endemann","given":"Fuimaono Karl"}],"accessed":{"date-parts":[["2023",1,20]]},"issued":{"date-parts":[["2001"]]}}}],"schema":"https://github.com/citation-style-language/schema/raw/master/csl-citation.json"} </w:instrText>
      </w:r>
      <w:r w:rsidRPr="006011ED">
        <w:fldChar w:fldCharType="separate"/>
      </w:r>
      <w:r w:rsidRPr="006011ED">
        <w:rPr>
          <w:vertAlign w:val="superscript"/>
        </w:rPr>
        <w:t>186</w:t>
      </w:r>
      <w:r w:rsidRPr="006011ED">
        <w:fldChar w:fldCharType="end"/>
      </w:r>
      <w:r w:rsidRPr="006011ED">
        <w:t xml:space="preserve"> This model takes into account the different foundations of life which can be explored as part of holistic wellbeing including family, culture, physical, spiritual, mental and other aspects of a person in their context.</w:t>
      </w:r>
      <w:r w:rsidRPr="006011ED">
        <w:fldChar w:fldCharType="begin"/>
      </w:r>
      <w:r w:rsidRPr="006011ED">
        <w:instrText xml:space="preserve"> ADDIN ZOTERO_ITEM CSL_CITATION {"citationID":"hoL8RD0b","properties":{"formattedCitation":"\\super 119\\nosupersub{}","plainCitation":"119","noteIndex":0},"citationItems":[{"id":14208,"uris":["http://zotero.org/groups/4745233/items/BXPCIFAN"],"itemData":{"id":14208,"type":"article-journal","abstract":"We describe and validate the Pacific Identity and Wellbeing Scale (PIWBS). The PIWBS is a culturally appropriate self-report measure assessing a five-factor model of Pacific identity and wellbeing. Items and construct definitions were developed through qualitative interviews, review of psychological theories, and previous research on Pacific concepts of ethnic identity and wellbeing. Exploratory and confirmatory factor analyses supported the model (Study 1 N = 143; Study 2 N = 443). The proposed five-factor model of Pacific identity and wellbeing includes scales assessing (1) Perceived Familial Wellbeing, (2) Perceived Societal Wellbeing, (3) Pacific Connectedness and Belonging, (4) Religious Centrality and Embeddedness, and (5) Group Membership Evaluation. The PIWBS provides a culturally appropriate valid and reliable assessment tool that can be used for within-cultural research for Pacific peoples from a Pacific perspective. A copy of the PIWBS and scoring instructions for its use are included.","container-title":"Social Indicators Research","DOI":"10.1007/s11205-012-0041-9","journalAbbreviation":"Social Indicators Research","source":"ResearchGate","title":"The Pacific Identity and Wellbeing Scale (PIWBS): A culturally-appropriate self-report measure for Pacific peoples in New Zealand","title-short":"The Pacific Identity and Wellbeing Scale (PIWBS)","volume":"112","author":[{"family":"Manuela","given":"Sam"},{"family":"Sibley","given":"Chris"}],"issued":{"date-parts":[["2012",5,1]]}}}],"schema":"https://github.com/citation-style-language/schema/raw/master/csl-citation.json"} </w:instrText>
      </w:r>
      <w:r w:rsidRPr="006011ED">
        <w:fldChar w:fldCharType="separate"/>
      </w:r>
      <w:r w:rsidRPr="006011ED">
        <w:rPr>
          <w:vertAlign w:val="superscript"/>
        </w:rPr>
        <w:t>119</w:t>
      </w:r>
      <w:r w:rsidRPr="006011ED">
        <w:fldChar w:fldCharType="end"/>
      </w:r>
      <w:r w:rsidRPr="006011ED">
        <w:t xml:space="preserve"> </w:t>
      </w:r>
    </w:p>
    <w:p w14:paraId="6B754F7C" w14:textId="14823C6B" w:rsidR="00C5616E" w:rsidRPr="006011ED" w:rsidRDefault="00C5616E" w:rsidP="00103A06">
      <w:pPr>
        <w:pStyle w:val="Figure"/>
      </w:pPr>
      <w:bookmarkStart w:id="2571" w:name="_Ref146468861"/>
      <w:bookmarkStart w:id="2572" w:name="_Toc179461360"/>
      <w:r w:rsidRPr="006011ED">
        <w:t xml:space="preserve">Figure </w:t>
      </w:r>
      <w:r w:rsidRPr="006011ED">
        <w:fldChar w:fldCharType="begin"/>
      </w:r>
      <w:r w:rsidRPr="006011ED">
        <w:instrText xml:space="preserve"> SEQ Figure \* ARABIC </w:instrText>
      </w:r>
      <w:r w:rsidRPr="006011ED">
        <w:fldChar w:fldCharType="separate"/>
      </w:r>
      <w:r w:rsidR="007F1966">
        <w:rPr>
          <w:noProof/>
        </w:rPr>
        <w:t>11</w:t>
      </w:r>
      <w:r w:rsidRPr="006011ED">
        <w:fldChar w:fldCharType="end"/>
      </w:r>
      <w:bookmarkEnd w:id="2571"/>
      <w:r w:rsidRPr="006011ED">
        <w:t>. The Fonofale model</w:t>
      </w:r>
      <w:bookmarkEnd w:id="2572"/>
    </w:p>
    <w:p w14:paraId="3443EC3D" w14:textId="77777777" w:rsidR="00D27EAF" w:rsidRDefault="00353FF6" w:rsidP="00125D7A">
      <w:r>
        <w:rPr>
          <w:noProof/>
        </w:rPr>
        <w:t xml:space="preserve">                    </w:t>
      </w:r>
      <w:r>
        <w:rPr>
          <w:noProof/>
        </w:rPr>
        <w:drawing>
          <wp:inline distT="0" distB="0" distL="0" distR="0" wp14:anchorId="08E6E289" wp14:editId="4B8B3C7E">
            <wp:extent cx="3962400" cy="2702968"/>
            <wp:effectExtent l="0" t="0" r="0" b="2540"/>
            <wp:docPr id="765065235" name="Picture 765065235" descr="A thatched roof with text representing holistic wellbeing. Includes culture, family, context, time, and environment, with physical, spiritual, mental, and other factors making up the foundations that hold the house up&#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065235" name="Picture 2" descr="A thatched roof with text representing holistic wellbeing. Includes culture, family, context, time, and environment, with physical, spiritual, mental, and other factors making up the foundations that hold the house up&#10;&#10;"/>
                    <pic:cNvPicPr>
                      <a:picLocks noChangeAspect="1" noChangeArrowheads="1"/>
                    </pic:cNvPicPr>
                  </pic:nvPicPr>
                  <pic:blipFill>
                    <a:blip r:embed="rId148" r:link="rId149" cstate="print">
                      <a:extLst>
                        <a:ext uri="{28A0092B-C50C-407E-A947-70E740481C1C}">
                          <a14:useLocalDpi xmlns:a14="http://schemas.microsoft.com/office/drawing/2010/main" val="0"/>
                        </a:ext>
                      </a:extLst>
                    </a:blip>
                    <a:srcRect/>
                    <a:stretch>
                      <a:fillRect/>
                    </a:stretch>
                  </pic:blipFill>
                  <pic:spPr bwMode="auto">
                    <a:xfrm>
                      <a:off x="0" y="0"/>
                      <a:ext cx="3977211" cy="2713072"/>
                    </a:xfrm>
                    <a:prstGeom prst="rect">
                      <a:avLst/>
                    </a:prstGeom>
                    <a:noFill/>
                    <a:ln>
                      <a:noFill/>
                    </a:ln>
                  </pic:spPr>
                </pic:pic>
              </a:graphicData>
            </a:graphic>
          </wp:inline>
        </w:drawing>
      </w:r>
      <w:r>
        <w:t xml:space="preserve">         </w:t>
      </w:r>
    </w:p>
    <w:p w14:paraId="2CCABA73" w14:textId="77777777" w:rsidR="00D27EAF" w:rsidRPr="006011ED" w:rsidRDefault="00D27EAF" w:rsidP="00B423C5">
      <w:r w:rsidRPr="006011ED">
        <w:t>From “</w:t>
      </w:r>
      <w:r w:rsidRPr="006011ED">
        <w:rPr>
          <w:i/>
          <w:iCs/>
        </w:rPr>
        <w:t>The Fonofale Model of Health”</w:t>
      </w:r>
      <w:r w:rsidRPr="006011ED">
        <w:t>, Mana Services, 2021.</w:t>
      </w:r>
      <w:r w:rsidRPr="006011ED">
        <w:fldChar w:fldCharType="begin"/>
      </w:r>
      <w:r w:rsidRPr="006011ED">
        <w:instrText xml:space="preserve"> ADDIN ZOTERO_ITEM CSL_CITATION {"citationID":"a2pl6cs6laj","properties":{"formattedCitation":"\\super 187\\nosupersub{}","plainCitation":"187","noteIndex":0},"citationItems":[{"id":16829,"uris":["http://zotero.org/groups/4745233/items/TFXJQTBH"],"itemData":{"id":16829,"type":"webpage","title":"The Fonofale Model of Health – Mana Services","URL":"https://manaservices.nz/the-fonofale-model-of-health/","author":[{"literal":"Mana Services"}],"accessed":{"date-parts":[["2023",9,27]]},"issued":{"date-parts":[["2021"]]}}}],"schema":"https://github.com/citation-style-language/schema/raw/master/csl-citation.json"} </w:instrText>
      </w:r>
      <w:r w:rsidRPr="006011ED">
        <w:fldChar w:fldCharType="separate"/>
      </w:r>
      <w:r w:rsidRPr="006011ED">
        <w:rPr>
          <w:vertAlign w:val="superscript"/>
        </w:rPr>
        <w:t>187</w:t>
      </w:r>
      <w:r w:rsidRPr="006011ED">
        <w:fldChar w:fldCharType="end"/>
      </w:r>
      <w:r w:rsidRPr="006011ED">
        <w:t xml:space="preserve"> In the public domain.</w:t>
      </w:r>
    </w:p>
    <w:p w14:paraId="5F71C64D" w14:textId="77777777" w:rsidR="00E462CD" w:rsidRDefault="00E462CD" w:rsidP="00E462CD">
      <w:pPr>
        <w:rPr>
          <w:b/>
          <w:bCs/>
          <w:color w:val="00C7C7" w:themeColor="accent5" w:themeTint="BF"/>
        </w:rPr>
      </w:pPr>
      <w:bookmarkStart w:id="2573" w:name="_Toc178780183"/>
      <w:bookmarkStart w:id="2574" w:name="_Toc178838949"/>
      <w:bookmarkStart w:id="2575" w:name="_Toc178839136"/>
      <w:bookmarkStart w:id="2576" w:name="_Toc178839257"/>
      <w:bookmarkStart w:id="2577" w:name="_Toc178839485"/>
      <w:bookmarkStart w:id="2578" w:name="_Toc178841695"/>
      <w:bookmarkStart w:id="2579" w:name="_Toc179198255"/>
      <w:bookmarkStart w:id="2580" w:name="_Toc179198505"/>
      <w:bookmarkStart w:id="2581" w:name="_Toc179198612"/>
      <w:bookmarkStart w:id="2582" w:name="_Toc179198719"/>
      <w:bookmarkStart w:id="2583" w:name="_Toc179446163"/>
      <w:bookmarkStart w:id="2584" w:name="_Toc179447176"/>
      <w:bookmarkStart w:id="2585" w:name="_Toc179448715"/>
      <w:bookmarkStart w:id="2586" w:name="_Toc179448872"/>
      <w:bookmarkStart w:id="2587" w:name="_Toc179449241"/>
    </w:p>
    <w:p w14:paraId="33E15E31" w14:textId="77777777" w:rsidR="00B423C5" w:rsidRDefault="00B423C5" w:rsidP="00E462CD">
      <w:pPr>
        <w:rPr>
          <w:b/>
          <w:bCs/>
          <w:color w:val="00C7C7" w:themeColor="accent5" w:themeTint="BF"/>
        </w:rPr>
      </w:pPr>
    </w:p>
    <w:p w14:paraId="2E17A2E9" w14:textId="77777777" w:rsidR="00B423C5" w:rsidRDefault="00B423C5" w:rsidP="00E462CD">
      <w:pPr>
        <w:rPr>
          <w:b/>
          <w:bCs/>
          <w:color w:val="00C7C7" w:themeColor="accent5" w:themeTint="BF"/>
        </w:rPr>
      </w:pPr>
    </w:p>
    <w:p w14:paraId="12721B77" w14:textId="77777777" w:rsidR="00B423C5" w:rsidRDefault="00B423C5" w:rsidP="00E462CD">
      <w:pPr>
        <w:rPr>
          <w:b/>
          <w:bCs/>
          <w:color w:val="00C7C7" w:themeColor="accent5" w:themeTint="BF"/>
        </w:rPr>
      </w:pPr>
    </w:p>
    <w:p w14:paraId="5D4E7CE8" w14:textId="77777777" w:rsidR="00B423C5" w:rsidRDefault="00B423C5" w:rsidP="00E462CD">
      <w:pPr>
        <w:rPr>
          <w:b/>
          <w:bCs/>
          <w:color w:val="00C7C7" w:themeColor="accent5" w:themeTint="BF"/>
        </w:rPr>
      </w:pPr>
    </w:p>
    <w:p w14:paraId="29DCA101" w14:textId="38884953" w:rsidR="00E462CD" w:rsidRPr="00B423C5" w:rsidRDefault="00E462CD" w:rsidP="00E462CD">
      <w:pPr>
        <w:rPr>
          <w:b/>
          <w:bCs/>
          <w:color w:val="4D2379" w:themeColor="accent4"/>
          <w:sz w:val="28"/>
          <w:szCs w:val="28"/>
        </w:rPr>
      </w:pPr>
      <w:r w:rsidRPr="00B423C5">
        <w:rPr>
          <w:b/>
          <w:bCs/>
          <w:color w:val="4D2379" w:themeColor="accent4"/>
          <w:sz w:val="28"/>
          <w:szCs w:val="28"/>
        </w:rPr>
        <w:lastRenderedPageBreak/>
        <w:t>Fonua/Fonua Ola model</w:t>
      </w:r>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p>
    <w:p w14:paraId="1019793C" w14:textId="250B7F6C" w:rsidR="00E462CD" w:rsidRPr="006011ED" w:rsidRDefault="00E462CD" w:rsidP="00103A06">
      <w:r w:rsidRPr="006011ED">
        <w:t>The Fonua model is a Tongan framework (developed by Sione Tu’itahi) which originally encompassed five key dimensions – physical, mental, spiritual, community, and environmental.</w:t>
      </w:r>
      <w:r w:rsidRPr="006011ED">
        <w:fldChar w:fldCharType="begin"/>
      </w:r>
      <w:r w:rsidRPr="006011ED">
        <w:instrText xml:space="preserve"> ADDIN ZOTERO_ITEM CSL_CITATION {"citationID":"a20s50865id","properties":{"formattedCitation":"\\super 188\\nosupersub{}","plainCitation":"188","noteIndex":0},"citationItems":[{"id":14143,"uris":["http://zotero.org/groups/4745233/items/7YXYV4GE"],"itemData":{"id":14143,"type":"document","title":"Fonua Model","author":[{"family":"Tu'itahi","given":"Sione"}],"issued":{"date-parts":[["2009"]]}}}],"schema":"https://github.com/citation-style-language/schema/raw/master/csl-citation.json"} </w:instrText>
      </w:r>
      <w:r w:rsidRPr="006011ED">
        <w:fldChar w:fldCharType="separate"/>
      </w:r>
      <w:r w:rsidRPr="006011ED">
        <w:rPr>
          <w:vertAlign w:val="superscript"/>
        </w:rPr>
        <w:t>188</w:t>
      </w:r>
      <w:r w:rsidRPr="006011ED">
        <w:fldChar w:fldCharType="end"/>
      </w:r>
      <w:r w:rsidRPr="006011ED">
        <w:t xml:space="preserve"> In 2017, the model was revamped to </w:t>
      </w:r>
      <w:r w:rsidRPr="006011ED">
        <w:rPr>
          <w:i/>
          <w:iCs/>
        </w:rPr>
        <w:t>Fonua Ola</w:t>
      </w:r>
      <w:r w:rsidRPr="006011ED">
        <w:t xml:space="preserve">, and now includes six dimensions, see </w:t>
      </w:r>
      <w:r w:rsidRPr="006011ED">
        <w:fldChar w:fldCharType="begin"/>
      </w:r>
      <w:r w:rsidRPr="006011ED">
        <w:instrText xml:space="preserve"> REF _Ref146120755 \h  \* MERGEFORMAT </w:instrText>
      </w:r>
      <w:r w:rsidRPr="006011ED">
        <w:fldChar w:fldCharType="separate"/>
      </w:r>
      <w:r w:rsidR="007F1966" w:rsidRPr="006011ED">
        <w:t xml:space="preserve">Figure </w:t>
      </w:r>
      <w:r w:rsidR="007F1966">
        <w:rPr>
          <w:noProof/>
        </w:rPr>
        <w:t>12</w:t>
      </w:r>
      <w:r w:rsidRPr="006011ED">
        <w:fldChar w:fldCharType="end"/>
      </w:r>
      <w:r w:rsidRPr="006011ED">
        <w:t xml:space="preserve">. The new model includes ecological and cultural aspects. </w:t>
      </w:r>
    </w:p>
    <w:p w14:paraId="3C4CAC6B" w14:textId="77777777" w:rsidR="00E462CD" w:rsidRPr="006011ED" w:rsidRDefault="00E462CD" w:rsidP="00103A06">
      <w:r w:rsidRPr="006011ED">
        <w:rPr>
          <w:shd w:val="clear" w:color="auto" w:fill="FFFFFF"/>
        </w:rPr>
        <w:t>The cyclical representation of the model illustrates the interdependence and connection of the network of life (relationship between dimensions and levels of wellbeing) towards the ultimate purpose of wellbeing.</w:t>
      </w:r>
      <w:r w:rsidRPr="006011ED">
        <w:rPr>
          <w:shd w:val="clear" w:color="auto" w:fill="FFFFFF"/>
        </w:rPr>
        <w:fldChar w:fldCharType="begin"/>
      </w:r>
      <w:r w:rsidRPr="006011ED">
        <w:rPr>
          <w:shd w:val="clear" w:color="auto" w:fill="FFFFFF"/>
        </w:rPr>
        <w:instrText xml:space="preserve"> ADDIN ZOTERO_ITEM CSL_CITATION {"citationID":"F7jNWRhI","properties":{"formattedCitation":"\\super 189\\nosupersub{}","plainCitation":"189","noteIndex":0},"citationItems":[{"id":13591,"uris":["http://zotero.org/groups/4745233/items/FC2MTIA2"],"itemData":{"id":13591,"type":"document","title":"Best practice: \"Fonua\" - a focus on Pacific health","URL":"https://bpac.org.nz/bpj/2010/november/docs/BPJ_32_november2010.pdf","author":[{"literal":"bpac nz"}],"accessed":{"date-parts":[["2022",12,23]]},"issued":{"date-parts":[["2010"]]}}}],"schema":"https://github.com/citation-style-language/schema/raw/master/csl-citation.json"} </w:instrText>
      </w:r>
      <w:r w:rsidRPr="006011ED">
        <w:rPr>
          <w:shd w:val="clear" w:color="auto" w:fill="FFFFFF"/>
        </w:rPr>
        <w:fldChar w:fldCharType="separate"/>
      </w:r>
      <w:r w:rsidRPr="006011ED">
        <w:rPr>
          <w:vertAlign w:val="superscript"/>
        </w:rPr>
        <w:t>189</w:t>
      </w:r>
      <w:r w:rsidRPr="006011ED">
        <w:rPr>
          <w:shd w:val="clear" w:color="auto" w:fill="FFFFFF"/>
        </w:rPr>
        <w:fldChar w:fldCharType="end"/>
      </w:r>
      <w:r w:rsidRPr="006011ED">
        <w:t xml:space="preserve"> </w:t>
      </w:r>
    </w:p>
    <w:p w14:paraId="647F527F" w14:textId="3BE50D37" w:rsidR="00E462CD" w:rsidRPr="006011ED" w:rsidRDefault="00E462CD" w:rsidP="00103A06">
      <w:pPr>
        <w:pStyle w:val="Figure"/>
      </w:pPr>
      <w:bookmarkStart w:id="2588" w:name="_Ref146120755"/>
      <w:bookmarkStart w:id="2589" w:name="_Toc179461361"/>
      <w:r w:rsidRPr="006011ED">
        <w:t xml:space="preserve">Figure </w:t>
      </w:r>
      <w:r w:rsidRPr="006011ED">
        <w:fldChar w:fldCharType="begin"/>
      </w:r>
      <w:r w:rsidRPr="006011ED">
        <w:instrText xml:space="preserve"> SEQ Figure \* ARABIC </w:instrText>
      </w:r>
      <w:r w:rsidRPr="006011ED">
        <w:fldChar w:fldCharType="separate"/>
      </w:r>
      <w:r w:rsidR="007F1966">
        <w:rPr>
          <w:noProof/>
        </w:rPr>
        <w:t>12</w:t>
      </w:r>
      <w:r w:rsidRPr="006011ED">
        <w:fldChar w:fldCharType="end"/>
      </w:r>
      <w:bookmarkEnd w:id="2588"/>
      <w:r w:rsidRPr="006011ED">
        <w:t>. The Fonua Ola model</w:t>
      </w:r>
      <w:bookmarkEnd w:id="2589"/>
    </w:p>
    <w:p w14:paraId="2FA9496E" w14:textId="216361A2" w:rsidR="00A50E2A" w:rsidRDefault="00353FF6" w:rsidP="00125D7A">
      <w:r>
        <w:t xml:space="preserve">  </w:t>
      </w:r>
      <w:r w:rsidR="00136BFB">
        <w:rPr>
          <w:noProof/>
          <w:lang w:val="mi-NZ"/>
        </w:rPr>
        <w:t xml:space="preserve">            </w:t>
      </w:r>
      <w:r w:rsidR="00136BFB">
        <w:rPr>
          <w:noProof/>
          <w:lang w:val="mi-NZ"/>
        </w:rPr>
        <w:drawing>
          <wp:inline distT="0" distB="0" distL="0" distR="0" wp14:anchorId="5E92565D" wp14:editId="2F08133E">
            <wp:extent cx="4432300" cy="4927600"/>
            <wp:effectExtent l="0" t="0" r="6350" b="6350"/>
            <wp:docPr id="1990941647" name="Picture 1990941647" descr="A graphical depiction of Fonua Ola which includes ecological, spiritual, mental, physical, economic, and cultural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941647" name="Picture 1990941647" descr="A graphical depiction of Fonua Ola which includes ecological, spiritual, mental, physical, economic, and cultural components"/>
                    <pic:cNvPicPr/>
                  </pic:nvPicPr>
                  <pic:blipFill>
                    <a:blip r:embed="rId150">
                      <a:extLst>
                        <a:ext uri="{28A0092B-C50C-407E-A947-70E740481C1C}">
                          <a14:useLocalDpi xmlns:a14="http://schemas.microsoft.com/office/drawing/2010/main" val="0"/>
                        </a:ext>
                      </a:extLst>
                    </a:blip>
                    <a:stretch>
                      <a:fillRect/>
                    </a:stretch>
                  </pic:blipFill>
                  <pic:spPr>
                    <a:xfrm>
                      <a:off x="0" y="0"/>
                      <a:ext cx="4432300" cy="4927600"/>
                    </a:xfrm>
                    <a:prstGeom prst="rect">
                      <a:avLst/>
                    </a:prstGeom>
                  </pic:spPr>
                </pic:pic>
              </a:graphicData>
            </a:graphic>
          </wp:inline>
        </w:drawing>
      </w:r>
      <w:r w:rsidR="00136BFB">
        <w:t xml:space="preserve">  </w:t>
      </w:r>
      <w:r>
        <w:t xml:space="preserve">  </w:t>
      </w:r>
    </w:p>
    <w:p w14:paraId="4150BFF7" w14:textId="77777777" w:rsidR="0067637F" w:rsidRPr="008977A6" w:rsidRDefault="0067637F" w:rsidP="00103A06">
      <w:r w:rsidRPr="008977A6">
        <w:t xml:space="preserve">Adapted from “A Latent Profile Analysis of Pacific Health Values”, by Kapeli et al., 2021, </w:t>
      </w:r>
      <w:r w:rsidRPr="008977A6">
        <w:rPr>
          <w:i/>
          <w:iCs/>
        </w:rPr>
        <w:t>The Journal of Pacific Research, 21</w:t>
      </w:r>
      <w:r w:rsidRPr="008977A6">
        <w:t xml:space="preserve">(8), p541. In the public domain. </w:t>
      </w:r>
    </w:p>
    <w:p w14:paraId="404A2B17" w14:textId="77777777" w:rsidR="00C5616E" w:rsidRDefault="00C5616E" w:rsidP="00125D7A"/>
    <w:p w14:paraId="1903CE83" w14:textId="77777777" w:rsidR="009B78F5" w:rsidRPr="009B78F5" w:rsidRDefault="009B78F5" w:rsidP="009B78F5">
      <w:bookmarkStart w:id="2590" w:name="_Ref140060956"/>
      <w:bookmarkStart w:id="2591" w:name="_Ref141797967"/>
      <w:bookmarkStart w:id="2592" w:name="_Toc172095804"/>
      <w:bookmarkStart w:id="2593" w:name="_Toc178780184"/>
      <w:bookmarkStart w:id="2594" w:name="_Toc178838950"/>
      <w:bookmarkStart w:id="2595" w:name="_Toc178839137"/>
      <w:bookmarkStart w:id="2596" w:name="_Toc178839258"/>
      <w:bookmarkStart w:id="2597" w:name="_Toc178839486"/>
      <w:bookmarkStart w:id="2598" w:name="_Toc178841696"/>
      <w:bookmarkStart w:id="2599" w:name="_Toc179198256"/>
      <w:bookmarkStart w:id="2600" w:name="_Toc179198506"/>
      <w:bookmarkStart w:id="2601" w:name="_Toc179198613"/>
      <w:bookmarkStart w:id="2602" w:name="_Toc179198720"/>
      <w:bookmarkStart w:id="2603" w:name="_Toc179446164"/>
      <w:bookmarkStart w:id="2604" w:name="_Toc179447177"/>
      <w:bookmarkStart w:id="2605" w:name="_Toc179448716"/>
      <w:bookmarkStart w:id="2606" w:name="_Toc179448873"/>
      <w:bookmarkStart w:id="2607" w:name="_Toc179449242"/>
      <w:bookmarkStart w:id="2608" w:name="_Toc179452932"/>
      <w:bookmarkStart w:id="2609" w:name="_Toc179461445"/>
      <w:bookmarkStart w:id="2610" w:name="_Toc179461889"/>
      <w:bookmarkStart w:id="2611" w:name="_Toc179531369"/>
      <w:bookmarkStart w:id="2612" w:name="_Toc179536042"/>
      <w:bookmarkStart w:id="2613" w:name="_Toc179537881"/>
      <w:bookmarkStart w:id="2614" w:name="_Toc179537945"/>
      <w:bookmarkStart w:id="2615" w:name="_Toc179538112"/>
      <w:bookmarkStart w:id="2616" w:name="_Toc179538928"/>
      <w:bookmarkStart w:id="2617" w:name="_Toc179539247"/>
      <w:bookmarkStart w:id="2618" w:name="_Toc179539363"/>
      <w:bookmarkStart w:id="2619" w:name="_Toc179539501"/>
      <w:bookmarkStart w:id="2620" w:name="_Toc179539598"/>
      <w:bookmarkStart w:id="2621" w:name="_Toc179539683"/>
      <w:bookmarkStart w:id="2622" w:name="_Toc179539773"/>
      <w:bookmarkStart w:id="2623" w:name="_Toc179540457"/>
    </w:p>
    <w:p w14:paraId="2DC40733" w14:textId="03100D28" w:rsidR="008079DC" w:rsidRPr="009B78F5" w:rsidRDefault="008079DC" w:rsidP="009607E5">
      <w:pPr>
        <w:pStyle w:val="Section4Heading2"/>
      </w:pPr>
      <w:bookmarkStart w:id="2624" w:name="_Toc179541802"/>
      <w:bookmarkStart w:id="2625" w:name="_Toc179542994"/>
      <w:bookmarkStart w:id="2626" w:name="_Toc180571322"/>
      <w:r w:rsidRPr="009B78F5">
        <w:lastRenderedPageBreak/>
        <w:t xml:space="preserve">Appendix C: </w:t>
      </w:r>
      <w:bookmarkStart w:id="2627" w:name="_Toc141790553"/>
      <w:bookmarkEnd w:id="2590"/>
      <w:r w:rsidRPr="009B78F5">
        <w:t xml:space="preserve">Mental health screening </w:t>
      </w:r>
      <w:bookmarkEnd w:id="2627"/>
      <w:r w:rsidRPr="009B78F5">
        <w:t>tools</w:t>
      </w:r>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p>
    <w:p w14:paraId="54550459" w14:textId="77777777" w:rsidR="008079DC" w:rsidRPr="008977A6" w:rsidRDefault="008079DC" w:rsidP="00103A06">
      <w:r w:rsidRPr="008977A6">
        <w:t>This Appendix contains brief information about mental health screening tools. It is helpful to screen for mental health challenges as the associated cognitive impairment can resolve if the underlying challenge is well supported.</w:t>
      </w:r>
      <w:r w:rsidRPr="008977A6">
        <w:fldChar w:fldCharType="begin"/>
      </w:r>
      <w:r w:rsidRPr="008977A6">
        <w:instrText xml:space="preserve"> ADDIN ZOTERO_ITEM CSL_CITATION {"citationID":"a2aah0qi7ui","properties":{"formattedCitation":"\\super 3\\nosupersub{}","plainCitation":"3","noteIndex":0},"citationItems":[{"id":14007,"uris":["http://zotero.org/groups/4745233/items/U3GGYCKU"],"itemData":{"id":14007,"type":"report","event-place":"Richmond, Victoria","language":"en","publisher":"Turning Point","publisher-place":"Richmond, Victoria","source":"Zotero","title":"Managing Cognitive Impairment in AOD Treatment: Practice Guidelines for Healthcare Professionals","URL":"https://www.turningpoint.org.au/treatment/clinicians/Managing-Cognitive-Impairment-in-AOD-Treatment-Guidelines","author":[{"family":"Manning","given":"Victoria"},{"family":"Gooden","given":"James"},{"family":"Cox","given":"Catherine"},{"family":"Whelan","given":"Danielle"},{"family":"Miroz","given":"Katherine"}],"issued":{"date-parts":[["2021"]]}}}],"schema":"https://github.com/citation-style-language/schema/raw/master/csl-citation.json"} </w:instrText>
      </w:r>
      <w:r w:rsidRPr="008977A6">
        <w:fldChar w:fldCharType="separate"/>
      </w:r>
      <w:r w:rsidRPr="008977A6">
        <w:rPr>
          <w:rFonts w:cs="Arial"/>
          <w:vertAlign w:val="superscript"/>
        </w:rPr>
        <w:t>3</w:t>
      </w:r>
      <w:r w:rsidRPr="008977A6">
        <w:fldChar w:fldCharType="end"/>
      </w:r>
      <w:r w:rsidRPr="008977A6">
        <w:t xml:space="preserve"> </w:t>
      </w:r>
    </w:p>
    <w:p w14:paraId="5C94AC7D" w14:textId="77777777" w:rsidR="008079DC" w:rsidRPr="008977A6" w:rsidRDefault="008079DC" w:rsidP="00103A06">
      <w:r w:rsidRPr="008977A6">
        <w:t>A few questions to find out more about mental health challenges include:</w:t>
      </w:r>
      <w:r w:rsidRPr="008977A6">
        <w:fldChar w:fldCharType="begin"/>
      </w:r>
      <w:r w:rsidRPr="008977A6">
        <w:instrText xml:space="preserve"> ADDIN ZOTERO_ITEM CSL_CITATION {"citationID":"8k7LpsIc","properties":{"formattedCitation":"\\super 3\\nosupersub{}","plainCitation":"3","noteIndex":0},"citationItems":[{"id":14007,"uris":["http://zotero.org/groups/4745233/items/U3GGYCKU"],"itemData":{"id":14007,"type":"report","event-place":"Richmond, Victoria","language":"en","publisher":"Turning Point","publisher-place":"Richmond, Victoria","source":"Zotero","title":"Managing Cognitive Impairment in AOD Treatment: Practice Guidelines for Healthcare Professionals","URL":"https://www.turningpoint.org.au/treatment/clinicians/Managing-Cognitive-Impairment-in-AOD-Treatment-Guidelines","author":[{"family":"Manning","given":"Victoria"},{"family":"Gooden","given":"James"},{"family":"Cox","given":"Catherine"},{"family":"Whelan","given":"Danielle"},{"family":"Miroz","given":"Katherine"}],"issued":{"date-parts":[["2021"]]}}}],"schema":"https://github.com/citation-style-language/schema/raw/master/csl-citation.json"} </w:instrText>
      </w:r>
      <w:r w:rsidRPr="008977A6">
        <w:fldChar w:fldCharType="separate"/>
      </w:r>
      <w:r w:rsidRPr="008977A6">
        <w:rPr>
          <w:rFonts w:cs="Arial"/>
          <w:vertAlign w:val="superscript"/>
        </w:rPr>
        <w:t>3</w:t>
      </w:r>
      <w:r w:rsidRPr="008977A6">
        <w:fldChar w:fldCharType="end"/>
      </w:r>
      <w:r w:rsidRPr="008977A6">
        <w:t xml:space="preserve"> </w:t>
      </w:r>
    </w:p>
    <w:p w14:paraId="4EAA0F4D" w14:textId="77777777" w:rsidR="008079DC" w:rsidRPr="008977A6" w:rsidRDefault="008079DC" w:rsidP="00103A06">
      <w:pPr>
        <w:pStyle w:val="Bulletpoint"/>
      </w:pPr>
      <w:r w:rsidRPr="008977A6">
        <w:t xml:space="preserve">have you ever been admitted into psychiatric care/mental health facilities? </w:t>
      </w:r>
    </w:p>
    <w:p w14:paraId="6D19D948" w14:textId="77777777" w:rsidR="008079DC" w:rsidRPr="008977A6" w:rsidRDefault="008079DC" w:rsidP="00103A06">
      <w:pPr>
        <w:pStyle w:val="Bulletpoint"/>
      </w:pPr>
      <w:r w:rsidRPr="008977A6">
        <w:t>have you ever seen a psychiatrist, psychologist, or counsellor for your mental health?</w:t>
      </w:r>
    </w:p>
    <w:p w14:paraId="13B196F8" w14:textId="77777777" w:rsidR="008079DC" w:rsidRPr="008977A6" w:rsidRDefault="008079DC" w:rsidP="00103A06">
      <w:pPr>
        <w:pStyle w:val="Bulletpoint"/>
      </w:pPr>
      <w:r w:rsidRPr="008977A6">
        <w:t>are you currently using any therapeutic support tools and/or medications to manage your mental health?</w:t>
      </w:r>
    </w:p>
    <w:p w14:paraId="1EF96CA8" w14:textId="77777777" w:rsidR="008079DC" w:rsidRPr="008977A6" w:rsidRDefault="008079DC" w:rsidP="00103A06">
      <w:pPr>
        <w:pStyle w:val="Bulletpoint"/>
      </w:pPr>
      <w:r w:rsidRPr="008977A6">
        <w:t>have you experienced hearing voices?</w:t>
      </w:r>
    </w:p>
    <w:p w14:paraId="61CA2439" w14:textId="77777777" w:rsidR="008079DC" w:rsidRPr="008977A6" w:rsidRDefault="008079DC" w:rsidP="00103A06">
      <w:r w:rsidRPr="008977A6">
        <w:t xml:space="preserve">A range of screening tools exist for mental health challenges. These include the Kessler 10 (K10), Modified Mini International Neuropsychiatric Interview (MINI), or PsyCheck. </w:t>
      </w:r>
    </w:p>
    <w:p w14:paraId="22DC8B94" w14:textId="77777777" w:rsidR="008079DC" w:rsidRPr="008977A6" w:rsidRDefault="008079DC" w:rsidP="00103A06">
      <w:r w:rsidRPr="008977A6">
        <w:t>The K10 is commonly used in Aotearoa New Zealand and is a quick, 10 item scale that may indicate more common challenges like depression or anxiety. The K10 can be self-completed or administered by any worker</w:t>
      </w:r>
      <w:r w:rsidRPr="00122447">
        <w:rPr>
          <w:szCs w:val="24"/>
        </w:rPr>
        <w:t xml:space="preserve">. </w:t>
      </w:r>
      <w:hyperlink r:id="rId151" w:history="1">
        <w:r w:rsidRPr="00122447">
          <w:rPr>
            <w:rStyle w:val="Hyperlink"/>
            <w:szCs w:val="24"/>
          </w:rPr>
          <w:t>Information about the tool and scoring can be found on the NZGP website</w:t>
        </w:r>
      </w:hyperlink>
      <w:r w:rsidRPr="00122447">
        <w:rPr>
          <w:szCs w:val="24"/>
        </w:rPr>
        <w:t xml:space="preserve">.  </w:t>
      </w:r>
    </w:p>
    <w:p w14:paraId="01E383B0" w14:textId="77777777" w:rsidR="008079DC" w:rsidRPr="008977A6" w:rsidRDefault="008079DC" w:rsidP="00103A06">
      <w:r w:rsidRPr="008977A6">
        <w:t xml:space="preserve">PsyCheck has been developed specifically for AOD settings. More information on the MINI and PsyCheck tools can be found on pages 19 to 26 of the </w:t>
      </w:r>
      <w:hyperlink r:id="rId152" w:history="1">
        <w:r w:rsidRPr="00122447">
          <w:rPr>
            <w:rStyle w:val="Hyperlink"/>
            <w:szCs w:val="24"/>
          </w:rPr>
          <w:t>Matua Raki screening and assessment resource</w:t>
        </w:r>
      </w:hyperlink>
      <w:r w:rsidRPr="00122447">
        <w:rPr>
          <w:szCs w:val="24"/>
        </w:rPr>
        <w:t>.</w:t>
      </w:r>
    </w:p>
    <w:p w14:paraId="103F9F07" w14:textId="77777777" w:rsidR="008079DC" w:rsidRPr="008977A6" w:rsidRDefault="008079DC" w:rsidP="003308D3">
      <w:pPr>
        <w:spacing w:line="259" w:lineRule="auto"/>
        <w:rPr>
          <w:rFonts w:eastAsiaTheme="majorEastAsia" w:cstheme="majorBidi"/>
          <w:bCs/>
          <w:color w:val="28A1AC" w:themeColor="accent2"/>
          <w:sz w:val="22"/>
        </w:rPr>
      </w:pPr>
      <w:r w:rsidRPr="008977A6">
        <w:rPr>
          <w:sz w:val="22"/>
        </w:rPr>
        <w:br w:type="page"/>
      </w:r>
    </w:p>
    <w:p w14:paraId="3E634989" w14:textId="77777777" w:rsidR="0081061B" w:rsidRPr="009B78F5" w:rsidRDefault="0081061B" w:rsidP="009607E5">
      <w:pPr>
        <w:pStyle w:val="Section4Heading2"/>
      </w:pPr>
      <w:bookmarkStart w:id="2628" w:name="_Ref145685450"/>
      <w:bookmarkStart w:id="2629" w:name="_Toc172095805"/>
      <w:bookmarkStart w:id="2630" w:name="_Toc178780185"/>
      <w:bookmarkStart w:id="2631" w:name="_Toc178838951"/>
      <w:bookmarkStart w:id="2632" w:name="_Toc178839138"/>
      <w:bookmarkStart w:id="2633" w:name="_Toc178839259"/>
      <w:bookmarkStart w:id="2634" w:name="_Toc178839487"/>
      <w:bookmarkStart w:id="2635" w:name="_Toc178841697"/>
      <w:bookmarkStart w:id="2636" w:name="_Toc179198257"/>
      <w:bookmarkStart w:id="2637" w:name="_Toc179198507"/>
      <w:bookmarkStart w:id="2638" w:name="_Toc179198614"/>
      <w:bookmarkStart w:id="2639" w:name="_Toc179198721"/>
      <w:bookmarkStart w:id="2640" w:name="_Toc179446165"/>
      <w:bookmarkStart w:id="2641" w:name="_Toc179447178"/>
      <w:bookmarkStart w:id="2642" w:name="_Toc179448717"/>
      <w:bookmarkStart w:id="2643" w:name="_Toc179448874"/>
      <w:bookmarkStart w:id="2644" w:name="_Toc179449243"/>
      <w:bookmarkStart w:id="2645" w:name="_Toc179452933"/>
      <w:bookmarkStart w:id="2646" w:name="_Toc179461446"/>
      <w:bookmarkStart w:id="2647" w:name="_Toc179461890"/>
      <w:bookmarkStart w:id="2648" w:name="_Toc179531370"/>
      <w:bookmarkStart w:id="2649" w:name="_Toc179536043"/>
      <w:bookmarkStart w:id="2650" w:name="_Toc179537882"/>
      <w:bookmarkStart w:id="2651" w:name="_Toc179537946"/>
      <w:bookmarkStart w:id="2652" w:name="_Toc179538113"/>
      <w:bookmarkStart w:id="2653" w:name="_Toc179538929"/>
      <w:bookmarkStart w:id="2654" w:name="_Toc179539248"/>
      <w:bookmarkStart w:id="2655" w:name="_Toc179539364"/>
      <w:bookmarkStart w:id="2656" w:name="_Toc179539502"/>
      <w:bookmarkStart w:id="2657" w:name="_Toc179539599"/>
      <w:bookmarkStart w:id="2658" w:name="_Toc179539684"/>
      <w:bookmarkStart w:id="2659" w:name="_Toc179539774"/>
      <w:bookmarkStart w:id="2660" w:name="_Toc179540458"/>
      <w:bookmarkStart w:id="2661" w:name="_Toc179541803"/>
      <w:bookmarkStart w:id="2662" w:name="_Toc179542995"/>
      <w:bookmarkStart w:id="2663" w:name="_Toc180571323"/>
      <w:r w:rsidRPr="009B78F5">
        <w:lastRenderedPageBreak/>
        <w:t>Appendix D: Cognitive screening pathway</w:t>
      </w:r>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p>
    <w:p w14:paraId="0208E94F" w14:textId="77777777" w:rsidR="0081061B" w:rsidRPr="008977A6" w:rsidRDefault="0081061B" w:rsidP="00103A06">
      <w:r w:rsidRPr="008977A6">
        <w:t xml:space="preserve">This Appendix contains a diagram covering a screening pathway for cognitive impairment. </w:t>
      </w:r>
    </w:p>
    <w:p w14:paraId="2AEB3BB1" w14:textId="3FFAEA3D" w:rsidR="0081061B" w:rsidRPr="008977A6" w:rsidRDefault="0081061B" w:rsidP="00103A06">
      <w:pPr>
        <w:pStyle w:val="Figure"/>
        <w:rPr>
          <w:color w:val="000000" w:themeColor="text1"/>
        </w:rPr>
      </w:pPr>
      <w:bookmarkStart w:id="2664" w:name="_Toc179461362"/>
      <w:r w:rsidRPr="008977A6">
        <w:t xml:space="preserve">Figure </w:t>
      </w:r>
      <w:r w:rsidRPr="008977A6">
        <w:fldChar w:fldCharType="begin"/>
      </w:r>
      <w:r w:rsidRPr="008977A6">
        <w:instrText xml:space="preserve"> SEQ Figure \* ARABIC </w:instrText>
      </w:r>
      <w:r w:rsidRPr="008977A6">
        <w:fldChar w:fldCharType="separate"/>
      </w:r>
      <w:r w:rsidR="007F1966">
        <w:rPr>
          <w:noProof/>
        </w:rPr>
        <w:t>13</w:t>
      </w:r>
      <w:r w:rsidRPr="008977A6">
        <w:fldChar w:fldCharType="end"/>
      </w:r>
      <w:r w:rsidRPr="008977A6">
        <w:t>. Cognitive screening pathway</w:t>
      </w:r>
      <w:bookmarkEnd w:id="2664"/>
    </w:p>
    <w:p w14:paraId="64DE9822" w14:textId="3FA691C5" w:rsidR="00C5616E" w:rsidRDefault="0081061B" w:rsidP="0081061B">
      <w:r>
        <w:rPr>
          <w:noProof/>
        </w:rPr>
        <w:t xml:space="preserve">           </w:t>
      </w:r>
      <w:r w:rsidR="003308D3">
        <w:rPr>
          <w:noProof/>
        </w:rPr>
        <w:drawing>
          <wp:inline distT="0" distB="0" distL="0" distR="0" wp14:anchorId="74330669" wp14:editId="3635DDD0">
            <wp:extent cx="5102087" cy="4843770"/>
            <wp:effectExtent l="0" t="0" r="3810" b="0"/>
            <wp:docPr id="1287877432" name="Picture 1287877432" descr="A pathway with arrows showing the process for screening and assessment. First, needing to ensure the person is safe and comfortable, looking at existing info, using a screening tool if someone is trained, interpreting info, referring for a full assessment, and developing an integrated suppor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500419" name="Picture 1883500419" descr="A pathway with arrows showing the process for screening and assessment. First, needing to ensure the person is safe and comfortable, looking at existing info, using a screening tool if someone is trained, interpreting info, referring for a full assessment, and developing an integrated support plan"/>
                    <pic:cNvPicPr/>
                  </pic:nvPicPr>
                  <pic:blipFill rotWithShape="1">
                    <a:blip r:embed="rId153" cstate="print">
                      <a:extLst>
                        <a:ext uri="{28A0092B-C50C-407E-A947-70E740481C1C}">
                          <a14:useLocalDpi xmlns:a14="http://schemas.microsoft.com/office/drawing/2010/main" val="0"/>
                        </a:ext>
                      </a:extLst>
                    </a:blip>
                    <a:srcRect/>
                    <a:stretch/>
                  </pic:blipFill>
                  <pic:spPr bwMode="auto">
                    <a:xfrm>
                      <a:off x="0" y="0"/>
                      <a:ext cx="5134526" cy="4874567"/>
                    </a:xfrm>
                    <a:prstGeom prst="rect">
                      <a:avLst/>
                    </a:prstGeom>
                    <a:ln>
                      <a:noFill/>
                    </a:ln>
                    <a:extLst>
                      <a:ext uri="{53640926-AAD7-44D8-BBD7-CCE9431645EC}">
                        <a14:shadowObscured xmlns:a14="http://schemas.microsoft.com/office/drawing/2010/main"/>
                      </a:ext>
                    </a:extLst>
                  </pic:spPr>
                </pic:pic>
              </a:graphicData>
            </a:graphic>
          </wp:inline>
        </w:drawing>
      </w:r>
    </w:p>
    <w:p w14:paraId="47EA27AC" w14:textId="77777777" w:rsidR="00C5616E" w:rsidRDefault="00C5616E" w:rsidP="00BC4D20">
      <w:pPr>
        <w:spacing w:after="120"/>
      </w:pPr>
    </w:p>
    <w:p w14:paraId="30D70D17" w14:textId="77777777" w:rsidR="00C5616E" w:rsidRDefault="00C5616E" w:rsidP="00125D7A"/>
    <w:p w14:paraId="61049954" w14:textId="77777777" w:rsidR="00C5616E" w:rsidRPr="00125D7A" w:rsidRDefault="00C5616E" w:rsidP="00125D7A"/>
    <w:p w14:paraId="46157C30" w14:textId="77777777" w:rsidR="006B229D" w:rsidRDefault="006B229D" w:rsidP="00B02348">
      <w:pPr>
        <w:pStyle w:val="Heading2"/>
        <w:spacing w:before="120"/>
        <w:rPr>
          <w:color w:val="7030A0"/>
        </w:rPr>
      </w:pPr>
      <w:bookmarkStart w:id="2665" w:name="_Ref145685472"/>
      <w:bookmarkStart w:id="2666" w:name="_Toc172095806"/>
      <w:bookmarkStart w:id="2667" w:name="_Toc178780186"/>
      <w:bookmarkStart w:id="2668" w:name="_Toc178838952"/>
      <w:bookmarkStart w:id="2669" w:name="_Toc178839139"/>
      <w:bookmarkStart w:id="2670" w:name="_Toc178839260"/>
      <w:bookmarkStart w:id="2671" w:name="_Toc178839488"/>
      <w:bookmarkStart w:id="2672" w:name="_Toc178841698"/>
      <w:bookmarkStart w:id="2673" w:name="_Toc179198258"/>
      <w:bookmarkStart w:id="2674" w:name="_Toc179198508"/>
      <w:bookmarkStart w:id="2675" w:name="_Toc179198615"/>
      <w:bookmarkStart w:id="2676" w:name="_Toc179198722"/>
      <w:bookmarkStart w:id="2677" w:name="_Toc179446166"/>
      <w:bookmarkStart w:id="2678" w:name="_Toc179447179"/>
      <w:bookmarkStart w:id="2679" w:name="_Toc179448718"/>
      <w:bookmarkStart w:id="2680" w:name="_Toc179448875"/>
      <w:bookmarkStart w:id="2681" w:name="_Toc179449244"/>
      <w:bookmarkStart w:id="2682" w:name="_Toc179452934"/>
      <w:bookmarkStart w:id="2683" w:name="_Toc179461447"/>
      <w:bookmarkStart w:id="2684" w:name="_Toc179461891"/>
      <w:bookmarkStart w:id="2685" w:name="_Toc179531372"/>
      <w:bookmarkStart w:id="2686" w:name="_Toc175317968"/>
      <w:bookmarkStart w:id="2687" w:name="_Toc179465254"/>
      <w:bookmarkStart w:id="2688" w:name="_Toc179467056"/>
      <w:bookmarkStart w:id="2689" w:name="_Toc179467113"/>
      <w:bookmarkStart w:id="2690" w:name="_Toc179467190"/>
      <w:bookmarkStart w:id="2691" w:name="_Toc179467264"/>
      <w:bookmarkStart w:id="2692" w:name="_Toc179467449"/>
      <w:bookmarkStart w:id="2693" w:name="_Toc179467689"/>
      <w:bookmarkStart w:id="2694" w:name="_Toc179468064"/>
      <w:bookmarkStart w:id="2695" w:name="_Toc179468326"/>
      <w:bookmarkStart w:id="2696" w:name="_Toc179468569"/>
      <w:bookmarkStart w:id="2697" w:name="_Toc179483267"/>
      <w:bookmarkStart w:id="2698" w:name="_Toc179486337"/>
      <w:bookmarkStart w:id="2699" w:name="_Toc179487937"/>
      <w:bookmarkStart w:id="2700" w:name="_Toc179489241"/>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p>
    <w:p w14:paraId="07AC5895" w14:textId="77777777" w:rsidR="006B229D" w:rsidRPr="006B229D" w:rsidRDefault="006B229D" w:rsidP="006B229D"/>
    <w:p w14:paraId="2A15EC60" w14:textId="70B7611D" w:rsidR="00FA763A" w:rsidRPr="009B78F5" w:rsidRDefault="00FA763A" w:rsidP="009607E5">
      <w:pPr>
        <w:pStyle w:val="Section4Heading2"/>
      </w:pPr>
      <w:bookmarkStart w:id="2701" w:name="_Toc179536044"/>
      <w:bookmarkStart w:id="2702" w:name="_Toc179537883"/>
      <w:bookmarkStart w:id="2703" w:name="_Toc179537947"/>
      <w:bookmarkStart w:id="2704" w:name="_Toc179538114"/>
      <w:bookmarkStart w:id="2705" w:name="_Toc179538930"/>
      <w:bookmarkStart w:id="2706" w:name="_Toc179539249"/>
      <w:bookmarkStart w:id="2707" w:name="_Toc179539365"/>
      <w:bookmarkStart w:id="2708" w:name="_Toc179539503"/>
      <w:bookmarkStart w:id="2709" w:name="_Toc179539600"/>
      <w:bookmarkStart w:id="2710" w:name="_Toc179539685"/>
      <w:bookmarkStart w:id="2711" w:name="_Toc179539775"/>
      <w:bookmarkStart w:id="2712" w:name="_Toc179540459"/>
      <w:bookmarkStart w:id="2713" w:name="_Toc179541804"/>
      <w:bookmarkStart w:id="2714" w:name="_Toc179542996"/>
      <w:bookmarkStart w:id="2715" w:name="_Toc180571324"/>
      <w:r w:rsidRPr="009B78F5">
        <w:lastRenderedPageBreak/>
        <w:t>Appendix E: Considerations when supporting diverse population groups</w:t>
      </w:r>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p>
    <w:p w14:paraId="636513D4" w14:textId="5890D274" w:rsidR="00122447" w:rsidRPr="00655E09" w:rsidRDefault="00FA763A" w:rsidP="00103A06">
      <w:r w:rsidRPr="00655E09">
        <w:t>This Appendix contains considerations when supporting people from diverse cultures, in contact with the justice system, rainbow communities, older people, younger people, and parents or caregivers.</w:t>
      </w:r>
    </w:p>
    <w:p w14:paraId="4A1D1C0B" w14:textId="77777777" w:rsidR="00FA763A" w:rsidRPr="00B36302" w:rsidRDefault="00FA763A" w:rsidP="00FA763A">
      <w:pPr>
        <w:rPr>
          <w:b/>
          <w:bCs/>
          <w:color w:val="4D2379" w:themeColor="accent4"/>
          <w:sz w:val="28"/>
          <w:szCs w:val="28"/>
        </w:rPr>
      </w:pPr>
      <w:bookmarkStart w:id="2716" w:name="_Toc142655476"/>
      <w:bookmarkStart w:id="2717" w:name="_Toc144657484"/>
      <w:bookmarkStart w:id="2718" w:name="_Toc145670766"/>
      <w:bookmarkStart w:id="2719" w:name="_Toc145854380"/>
      <w:bookmarkStart w:id="2720" w:name="_Toc146024299"/>
      <w:bookmarkStart w:id="2721" w:name="_Toc146624892"/>
      <w:bookmarkStart w:id="2722" w:name="_Toc146714253"/>
      <w:bookmarkStart w:id="2723" w:name="_Toc178780187"/>
      <w:bookmarkStart w:id="2724" w:name="_Toc178838953"/>
      <w:bookmarkStart w:id="2725" w:name="_Toc178839140"/>
      <w:bookmarkStart w:id="2726" w:name="_Toc178839261"/>
      <w:bookmarkStart w:id="2727" w:name="_Toc178839489"/>
      <w:bookmarkStart w:id="2728" w:name="_Toc178841699"/>
      <w:bookmarkStart w:id="2729" w:name="_Toc179198259"/>
      <w:bookmarkStart w:id="2730" w:name="_Toc179198509"/>
      <w:bookmarkStart w:id="2731" w:name="_Toc179198616"/>
      <w:bookmarkStart w:id="2732" w:name="_Toc179198723"/>
      <w:bookmarkStart w:id="2733" w:name="_Toc179446167"/>
      <w:bookmarkStart w:id="2734" w:name="_Toc179447180"/>
      <w:bookmarkStart w:id="2735" w:name="_Toc179448719"/>
      <w:bookmarkStart w:id="2736" w:name="_Toc179448876"/>
      <w:bookmarkStart w:id="2737" w:name="_Toc179449245"/>
      <w:r w:rsidRPr="00B36302">
        <w:rPr>
          <w:b/>
          <w:bCs/>
          <w:color w:val="4D2379" w:themeColor="accent4"/>
          <w:sz w:val="28"/>
          <w:szCs w:val="28"/>
        </w:rPr>
        <w:t>People from diverse cultures</w:t>
      </w:r>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p>
    <w:p w14:paraId="59C9BD98" w14:textId="77777777" w:rsidR="00FA763A" w:rsidRPr="00655E09" w:rsidRDefault="00FA763A" w:rsidP="00103A06">
      <w:r w:rsidRPr="00655E09">
        <w:t>Aotearoa New Zealand is a diverse country. Although you may not know everything about all cultures, challenge your own biases, respect differences, and be flexible and open to learning about others.</w:t>
      </w:r>
      <w:r w:rsidRPr="00655E09">
        <w:fldChar w:fldCharType="begin"/>
      </w:r>
      <w:r w:rsidRPr="00655E09">
        <w:instrText xml:space="preserve"> ADDIN ZOTERO_ITEM CSL_CITATION {"citationID":"a2av2gtcisc","properties":{"formattedCitation":"\\super 190,191\\nosupersub{}","plainCitation":"190,191","noteIndex":0},"citationItems":[{"id":13567,"uris":["http://zotero.org/groups/4745233/items/BYMQ2UNZ"],"itemData":{"id":13567,"type":"document","abstract":"Tātou Tātou has been designed to help learn and understand the Let's get real skill: Working with people experiencing mental health and addiction needs.","language":"en","title":"Tātou tātou: being with people and whānau | A Let's get real resource","title-short":"Tātou tātou","URL":"https://www.tepou.co.nz/resources/tatou-tatou-being-with-people-and-whanau","author":[{"literal":"Te Pou"}],"accessed":{"date-parts":[["2022",12,20]]},"issued":{"date-parts":[["2022"]]}}},{"id":12544,"uris":["http://zotero.org/groups/4745233/items/P92HWVD7"],"itemData":{"id":12544,"type":"article-journal","container-title":"New Zealand Clinical Psychologist","journalAbbreviation":"New Zealand Clinical Psychologist","page":"18-23","source":"ResearchGate","title":"Therapy across cultures: A clinical round table discussion about working with people from cultures other than your own","title-short":"Therapy across cultures","volume":"16","author":[{"family":"Banks","given":"C."},{"family":"Chommanivong","given":"C."},{"family":"Hauraki","given":"J."},{"family":"Kazantzis","given":"N."},{"family":"Stewart","given":"M."},{"family":"Pulu","given":"Taufa"},{"family":"Tse","given":"Samson"}],"issued":{"date-parts":[["2006",1,1]]}}}],"schema":"https://github.com/citation-style-language/schema/raw/master/csl-citation.json"} </w:instrText>
      </w:r>
      <w:r w:rsidRPr="00655E09">
        <w:fldChar w:fldCharType="separate"/>
      </w:r>
      <w:r w:rsidRPr="00655E09">
        <w:rPr>
          <w:vertAlign w:val="superscript"/>
        </w:rPr>
        <w:t>190,191</w:t>
      </w:r>
      <w:r w:rsidRPr="00655E09">
        <w:fldChar w:fldCharType="end"/>
      </w:r>
      <w:r w:rsidRPr="00655E09">
        <w:t xml:space="preserve"> Effective support requires the integration of cultural beliefs and values that empower people to live their best life.</w:t>
      </w:r>
      <w:r w:rsidRPr="00655E09">
        <w:fldChar w:fldCharType="begin"/>
      </w:r>
      <w:r w:rsidRPr="00655E09">
        <w:instrText xml:space="preserve"> ADDIN ZOTERO_ITEM CSL_CITATION {"citationID":"hmV482Vk","properties":{"formattedCitation":"\\super 192\\nosupersub{}","plainCitation":"192","noteIndex":0},"citationItems":[{"id":13373,"uris":["http://zotero.org/groups/4745233/items/8CVN6R6A"],"itemData":{"id":13373,"type":"document","publisher":"Te Ara Poutama Faculty of Māori and Indigenous Development","title":"Engaging kaumātua Maori and Pasifika elders in health intervention programmes in urban Auckland","URL":"http://156.62.60.45/bitstream/handle/10292/14997/LaumatiaPakiD.pdf?sequence=3&amp;isAllowed=y","author":[{"family":"Laumatia-Paki","given":"D"}],"accessed":{"date-parts":[["2022",10,27]]},"issued":{"date-parts":[["2021"]]}}}],"schema":"https://github.com/citation-style-language/schema/raw/master/csl-citation.json"} </w:instrText>
      </w:r>
      <w:r w:rsidRPr="00655E09">
        <w:fldChar w:fldCharType="separate"/>
      </w:r>
      <w:r w:rsidRPr="00655E09">
        <w:rPr>
          <w:vertAlign w:val="superscript"/>
        </w:rPr>
        <w:t>192</w:t>
      </w:r>
      <w:r w:rsidRPr="00655E09">
        <w:fldChar w:fldCharType="end"/>
      </w:r>
      <w:r w:rsidRPr="00655E09">
        <w:t xml:space="preserve"> Some fundamentals to support tāngata whai ora from diverse cultures and build trust include to:</w:t>
      </w:r>
    </w:p>
    <w:p w14:paraId="2B7B43C4" w14:textId="77777777" w:rsidR="00FA763A" w:rsidRPr="00655E09" w:rsidRDefault="00FA763A" w:rsidP="00103A06">
      <w:pPr>
        <w:pStyle w:val="Bulletpoint"/>
      </w:pPr>
      <w:r w:rsidRPr="00655E09">
        <w:t>pronounce names correctly and ask how they want to be addressed (like Dr, Mrs)</w:t>
      </w:r>
    </w:p>
    <w:p w14:paraId="32E37DFC" w14:textId="77777777" w:rsidR="00FA763A" w:rsidRPr="00655E09" w:rsidRDefault="00FA763A" w:rsidP="00103A06">
      <w:pPr>
        <w:pStyle w:val="Bulletpoint"/>
      </w:pPr>
      <w:r w:rsidRPr="00655E09">
        <w:t>take time to establish and build relationships and trust</w:t>
      </w:r>
    </w:p>
    <w:p w14:paraId="5C6506D6" w14:textId="77777777" w:rsidR="00FA763A" w:rsidRPr="00655E09" w:rsidRDefault="00FA763A" w:rsidP="00103A06">
      <w:pPr>
        <w:pStyle w:val="Bulletpoint"/>
      </w:pPr>
      <w:r w:rsidRPr="00655E09">
        <w:t>learn about people’s background, experiences, and beliefs; and be willing to share about yourself to build a reciprocal relationship</w:t>
      </w:r>
    </w:p>
    <w:p w14:paraId="2AC414DD" w14:textId="77777777" w:rsidR="00FA763A" w:rsidRPr="00655E09" w:rsidRDefault="00FA763A" w:rsidP="00103A06">
      <w:pPr>
        <w:pStyle w:val="Bulletpoint"/>
      </w:pPr>
      <w:r w:rsidRPr="00655E09">
        <w:t>if appropriate, clarify how the screening, assessment, and support process may impact their Visa or immigration status</w:t>
      </w:r>
    </w:p>
    <w:p w14:paraId="3F6122F3" w14:textId="77777777" w:rsidR="00FA763A" w:rsidRPr="00655E09" w:rsidRDefault="00FA763A" w:rsidP="00103A06">
      <w:pPr>
        <w:pStyle w:val="Bulletpoint"/>
      </w:pPr>
      <w:r w:rsidRPr="00655E09">
        <w:t>ask what tāngata whai ora and whānau need for their comfort and safety such as their unique cultural practices and ways of engaging</w:t>
      </w:r>
    </w:p>
    <w:p w14:paraId="0C8694C1" w14:textId="77777777" w:rsidR="00FA763A" w:rsidRPr="00655E09" w:rsidRDefault="00FA763A" w:rsidP="00103A06">
      <w:pPr>
        <w:pStyle w:val="Bulletpoint"/>
      </w:pPr>
      <w:r w:rsidRPr="00655E09">
        <w:t>consider cultural understandings and expectations about whānau roles and how whānau take care of each other, and how this impacts whānau</w:t>
      </w:r>
    </w:p>
    <w:p w14:paraId="220566BD" w14:textId="77777777" w:rsidR="00FA763A" w:rsidRPr="00655E09" w:rsidRDefault="00FA763A" w:rsidP="00103A06">
      <w:pPr>
        <w:pStyle w:val="Bulletpoint"/>
      </w:pPr>
      <w:r w:rsidRPr="00655E09">
        <w:t xml:space="preserve">use a conversational or storytelling approach to gathering information, as that may feel less intimidating than a direct question and answer approach </w:t>
      </w:r>
    </w:p>
    <w:p w14:paraId="44432418" w14:textId="77777777" w:rsidR="00FA763A" w:rsidRPr="00655E09" w:rsidRDefault="00FA763A" w:rsidP="00103A06">
      <w:pPr>
        <w:pStyle w:val="Bulletpoint"/>
      </w:pPr>
      <w:r w:rsidRPr="00655E09">
        <w:t>use open-ended rather than leading yes/no questions – in some cultures people may nod or say OK even if that is not what they mean</w:t>
      </w:r>
    </w:p>
    <w:p w14:paraId="5ECC98D7" w14:textId="77777777" w:rsidR="00FA763A" w:rsidRPr="00655E09" w:rsidRDefault="00FA763A" w:rsidP="00103A06">
      <w:pPr>
        <w:pStyle w:val="Bulletpoint"/>
      </w:pPr>
      <w:r w:rsidRPr="00655E09">
        <w:t xml:space="preserve">consider that cultural whānau dynamics may impact how people answer the questions (especially if whānau are in the room). Offer one-on-one sessions alongside whānau sessions as this may give people space needed to talk without guilt </w:t>
      </w:r>
    </w:p>
    <w:p w14:paraId="6A104E10" w14:textId="77777777" w:rsidR="00FA763A" w:rsidRPr="00655E09" w:rsidRDefault="00FA763A" w:rsidP="00103A06">
      <w:pPr>
        <w:pStyle w:val="Bulletpoint"/>
      </w:pPr>
      <w:r w:rsidRPr="00655E09">
        <w:t>ensure physical safety by meeting with a tangata whai ora somewhere convenient, private, quiet, and comfortable for them where possible</w:t>
      </w:r>
    </w:p>
    <w:p w14:paraId="0E8FB37A" w14:textId="77777777" w:rsidR="00FA763A" w:rsidRPr="00655E09" w:rsidRDefault="00FA763A" w:rsidP="00103A06">
      <w:pPr>
        <w:pStyle w:val="Bulletpoint"/>
      </w:pPr>
      <w:r w:rsidRPr="00655E09">
        <w:lastRenderedPageBreak/>
        <w:t>build emotional safety by making sure the tangata whai ora understands who you are and knows you are upholding their rights</w:t>
      </w:r>
    </w:p>
    <w:p w14:paraId="39E505DE" w14:textId="4C047472" w:rsidR="00FA763A" w:rsidRDefault="00FA763A" w:rsidP="00103A06">
      <w:pPr>
        <w:pStyle w:val="Bulletpoint"/>
      </w:pPr>
      <w:r w:rsidRPr="00655E09">
        <w:t>consider different cultural beliefs around decision-making – for example, in some cultures only parents should make decisions for young people, so difficulty making decisions could be a cultural behaviour rather than due to cognitive impairment</w:t>
      </w:r>
      <w:r w:rsidR="00B2112B">
        <w:t>.</w:t>
      </w:r>
    </w:p>
    <w:p w14:paraId="4042658E" w14:textId="77777777" w:rsidR="00B2112B" w:rsidRPr="00655E09" w:rsidRDefault="00B2112B" w:rsidP="00103A06">
      <w:pPr>
        <w:pStyle w:val="Bulletpoint"/>
      </w:pPr>
      <w:r w:rsidRPr="00655E09">
        <w:t xml:space="preserve">provide information in a way that each tangata whai ora can easily access and understand (consider language, literacy, and disability) </w:t>
      </w:r>
    </w:p>
    <w:p w14:paraId="4E3ECAEE" w14:textId="77777777" w:rsidR="00B2112B" w:rsidRPr="00655E09" w:rsidRDefault="00B2112B" w:rsidP="00103A06">
      <w:pPr>
        <w:pStyle w:val="Bulletpoint"/>
      </w:pPr>
      <w:r w:rsidRPr="00655E09">
        <w:t xml:space="preserve">recognise and break down any cultural-specific barriers to accessing and engaging with support for cognitive impairment, </w:t>
      </w:r>
      <w:r w:rsidRPr="00655E09" w:rsidDel="00757ADE">
        <w:t>like whakamā, stigma, shame, ‘saving face’, and language barriers</w:t>
      </w:r>
    </w:p>
    <w:p w14:paraId="59FBFE33" w14:textId="77777777" w:rsidR="00B2112B" w:rsidRPr="00655E09" w:rsidDel="00757ADE" w:rsidRDefault="00B2112B" w:rsidP="00103A06">
      <w:pPr>
        <w:pStyle w:val="Bulletpoint"/>
      </w:pPr>
      <w:r w:rsidRPr="00655E09">
        <w:t xml:space="preserve">take time to find out if extra support is needed for navigating services. </w:t>
      </w:r>
      <w:r w:rsidRPr="00655E09" w:rsidDel="00757ADE">
        <w:t>People may have primarily relied on whānau and communities rather than formal treatment in the</w:t>
      </w:r>
      <w:r w:rsidRPr="00655E09">
        <w:t xml:space="preserve"> </w:t>
      </w:r>
      <w:r w:rsidRPr="00655E09" w:rsidDel="00757ADE">
        <w:t>past</w:t>
      </w:r>
      <w:r w:rsidRPr="00655E09">
        <w:t>. People may also have no prior knowledge of our health system due to moving from overseas. Ensure people are given the time and support needed to understand information and processes. For example, concepts of privacy and consent may be different including how whānau are involved in care and support.</w:t>
      </w:r>
    </w:p>
    <w:p w14:paraId="16A2E95B" w14:textId="77777777" w:rsidR="00122447" w:rsidRDefault="00122447" w:rsidP="00B2112B">
      <w:pPr>
        <w:rPr>
          <w:b/>
          <w:bCs/>
          <w:color w:val="4D2379" w:themeColor="accent4"/>
        </w:rPr>
      </w:pPr>
      <w:bookmarkStart w:id="2738" w:name="_Toc146624893"/>
      <w:bookmarkStart w:id="2739" w:name="_Toc146714254"/>
      <w:bookmarkStart w:id="2740" w:name="_Toc178780188"/>
      <w:bookmarkStart w:id="2741" w:name="_Toc178838954"/>
      <w:bookmarkStart w:id="2742" w:name="_Toc178839141"/>
      <w:bookmarkStart w:id="2743" w:name="_Toc178839262"/>
      <w:bookmarkStart w:id="2744" w:name="_Toc178839490"/>
      <w:bookmarkStart w:id="2745" w:name="_Toc178841700"/>
      <w:bookmarkStart w:id="2746" w:name="_Toc179198260"/>
      <w:bookmarkStart w:id="2747" w:name="_Toc179198510"/>
      <w:bookmarkStart w:id="2748" w:name="_Toc179198617"/>
      <w:bookmarkStart w:id="2749" w:name="_Toc179198724"/>
      <w:bookmarkStart w:id="2750" w:name="_Toc179446168"/>
      <w:bookmarkStart w:id="2751" w:name="_Toc179447181"/>
      <w:bookmarkStart w:id="2752" w:name="_Toc179448720"/>
      <w:bookmarkStart w:id="2753" w:name="_Toc179448877"/>
      <w:bookmarkStart w:id="2754" w:name="_Toc179449246"/>
    </w:p>
    <w:p w14:paraId="3353E064" w14:textId="46E69304" w:rsidR="00B2112B" w:rsidRPr="00B36302" w:rsidRDefault="00B2112B" w:rsidP="00B2112B">
      <w:pPr>
        <w:rPr>
          <w:b/>
          <w:bCs/>
          <w:color w:val="4D2379" w:themeColor="accent4"/>
          <w:sz w:val="28"/>
          <w:szCs w:val="28"/>
        </w:rPr>
      </w:pPr>
      <w:r w:rsidRPr="00B36302">
        <w:rPr>
          <w:b/>
          <w:bCs/>
          <w:color w:val="4D2379" w:themeColor="accent4"/>
          <w:sz w:val="28"/>
          <w:szCs w:val="28"/>
        </w:rPr>
        <w:t>People in contact with the justice or corrections system</w:t>
      </w:r>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p>
    <w:p w14:paraId="33D42B74" w14:textId="77777777" w:rsidR="00B2112B" w:rsidRPr="00B44D32" w:rsidRDefault="00B2112B" w:rsidP="00103A06">
      <w:r w:rsidRPr="00B44D32">
        <w:t>People in contact with the justice or corrections system are at higher risk of cognitive impairment and are more likely to use substances problematically.</w:t>
      </w:r>
      <w:r w:rsidRPr="00B44D32">
        <w:fldChar w:fldCharType="begin"/>
      </w:r>
      <w:r w:rsidRPr="00B44D32">
        <w:instrText xml:space="preserve"> ADDIN ZOTERO_ITEM CSL_CITATION {"citationID":"5JAL5zHj","properties":{"formattedCitation":"\\super 3\\nosupersub{}","plainCitation":"3","noteIndex":0},"citationItems":[{"id":14007,"uris":["http://zotero.org/groups/4745233/items/U3GGYCKU"],"itemData":{"id":14007,"type":"report","event-place":"Richmond, Victoria","language":"en","publisher":"Turning Point","publisher-place":"Richmond, Victoria","source":"Zotero","title":"Managing Cognitive Impairment in AOD Treatment: Practice Guidelines for Healthcare Professionals","URL":"https://www.turningpoint.org.au/treatment/clinicians/Managing-Cognitive-Impairment-in-AOD-Treatment-Guidelines","author":[{"family":"Manning","given":"Victoria"},{"family":"Gooden","given":"James"},{"family":"Cox","given":"Catherine"},{"family":"Whelan","given":"Danielle"},{"family":"Miroz","given":"Katherine"}],"issued":{"date-parts":[["2021"]]}}}],"schema":"https://github.com/citation-style-language/schema/raw/master/csl-citation.json"} </w:instrText>
      </w:r>
      <w:r w:rsidRPr="00B44D32">
        <w:fldChar w:fldCharType="separate"/>
      </w:r>
      <w:r w:rsidRPr="00B44D32">
        <w:rPr>
          <w:rFonts w:cs="Arial"/>
          <w:vertAlign w:val="superscript"/>
        </w:rPr>
        <w:t>3</w:t>
      </w:r>
      <w:r w:rsidRPr="00B44D32">
        <w:fldChar w:fldCharType="end"/>
      </w:r>
      <w:r w:rsidRPr="00B44D32">
        <w:t xml:space="preserve"> Cognitive impairment may be an underrecognised contributing factor to justice contact.</w:t>
      </w:r>
      <w:r w:rsidRPr="00B44D32">
        <w:fldChar w:fldCharType="begin"/>
      </w:r>
      <w:r w:rsidRPr="00B44D32">
        <w:instrText xml:space="preserve"> ADDIN ZOTERO_ITEM CSL_CITATION {"citationID":"UpjAdRXK","properties":{"formattedCitation":"\\super 3\\nosupersub{}","plainCitation":"3","noteIndex":0},"citationItems":[{"id":14007,"uris":["http://zotero.org/groups/4745233/items/U3GGYCKU"],"itemData":{"id":14007,"type":"report","event-place":"Richmond, Victoria","language":"en","publisher":"Turning Point","publisher-place":"Richmond, Victoria","source":"Zotero","title":"Managing Cognitive Impairment in AOD Treatment: Practice Guidelines for Healthcare Professionals","URL":"https://www.turningpoint.org.au/treatment/clinicians/Managing-Cognitive-Impairment-in-AOD-Treatment-Guidelines","author":[{"family":"Manning","given":"Victoria"},{"family":"Gooden","given":"James"},{"family":"Cox","given":"Catherine"},{"family":"Whelan","given":"Danielle"},{"family":"Miroz","given":"Katherine"}],"issued":{"date-parts":[["2021"]]}}}],"schema":"https://github.com/citation-style-language/schema/raw/master/csl-citation.json"} </w:instrText>
      </w:r>
      <w:r w:rsidRPr="00B44D32">
        <w:fldChar w:fldCharType="separate"/>
      </w:r>
      <w:r w:rsidRPr="00B44D32">
        <w:rPr>
          <w:rFonts w:cs="Arial"/>
          <w:vertAlign w:val="superscript"/>
        </w:rPr>
        <w:t>3</w:t>
      </w:r>
      <w:r w:rsidRPr="00B44D32">
        <w:fldChar w:fldCharType="end"/>
      </w:r>
    </w:p>
    <w:p w14:paraId="6D93D3C9" w14:textId="77777777" w:rsidR="00B2112B" w:rsidRPr="00B44D32" w:rsidRDefault="00B2112B" w:rsidP="00103A06">
      <w:r w:rsidRPr="00B44D32">
        <w:t>Māori experiencing problematic substance use are significantly over-represented in the corrections system in Aotearoa New Zealand.</w:t>
      </w:r>
      <w:r w:rsidRPr="00B44D32">
        <w:fldChar w:fldCharType="begin"/>
      </w:r>
      <w:r w:rsidRPr="00B44D32">
        <w:instrText xml:space="preserve"> ADDIN ZOTERO_ITEM CSL_CITATION {"citationID":"affn70dqn6","properties":{"formattedCitation":"\\super 193\\nosupersub{}","plainCitation":"193","noteIndex":0},"citationItems":[{"id":13761,"uris":["http://zotero.org/groups/4745233/items/FXY9MHPT"],"itemData":{"id":13761,"type":"webpage","language":"en-NZ","title":"1.0 Introduction","URL":"https://www.corrections.govt.nz/resources/research/over-representation-of-maori-in-the-criminal-justice-system/1.0-introduction/1.0-introduction","author":[{"literal":"Ara Poutama Aotearoa: Department of Corrections"}],"accessed":{"date-parts":[["2023",7,17]]},"issued":{"date-parts":[["2016",12,5]]}}}],"schema":"https://github.com/citation-style-language/schema/raw/master/csl-citation.json"} </w:instrText>
      </w:r>
      <w:r w:rsidRPr="00B44D32">
        <w:fldChar w:fldCharType="separate"/>
      </w:r>
      <w:r w:rsidRPr="00B44D32">
        <w:rPr>
          <w:rFonts w:cs="Arial"/>
          <w:vertAlign w:val="superscript"/>
        </w:rPr>
        <w:t>193</w:t>
      </w:r>
      <w:r w:rsidRPr="00B44D32">
        <w:fldChar w:fldCharType="end"/>
      </w:r>
      <w:r w:rsidRPr="00B44D32">
        <w:t xml:space="preserve"> In addition, Māori in corrections have a very high rate of TBI</w:t>
      </w:r>
      <w:r w:rsidRPr="00B44D32">
        <w:fldChar w:fldCharType="begin"/>
      </w:r>
      <w:r w:rsidRPr="00B44D32">
        <w:instrText xml:space="preserve"> ADDIN ZOTERO_ITEM CSL_CITATION {"citationID":"a2h909a794r","properties":{"formattedCitation":"\\super 194\\nosupersub{}","plainCitation":"194","noteIndex":0},"citationItems":[{"id":13760,"uris":["http://zotero.org/groups/4745233/items/P7SPFI7J"],"itemData":{"id":13760,"type":"webpage","abstract":"This practice note is intended as advice to frontline staff to help identify and manage the possible effects of traumatic brain injury (TBI) among offenders.","language":"en-NZ","title":"Practice note: Identifying and managing the effects of traumatic brain injury","title-short":"Practice note","URL":"https://www.corrections.govt.nz/resources/research/journal/volume_6_issue_1_july_2018/practice_note_identifying_and_managing_the_effects_of_traumatic_brain_injury","author":[{"literal":"Ara Poutama Aotearoa: Department of Corrections"}],"accessed":{"date-parts":[["2023",7,17]]},"issued":{"date-parts":[["2018",7,23]]}}}],"schema":"https://github.com/citation-style-language/schema/raw/master/csl-citation.json"} </w:instrText>
      </w:r>
      <w:r w:rsidRPr="00B44D32">
        <w:fldChar w:fldCharType="separate"/>
      </w:r>
      <w:r w:rsidRPr="00B44D32">
        <w:rPr>
          <w:rFonts w:cs="Arial"/>
          <w:vertAlign w:val="superscript"/>
        </w:rPr>
        <w:t>194</w:t>
      </w:r>
      <w:r w:rsidRPr="00B44D32">
        <w:fldChar w:fldCharType="end"/>
      </w:r>
      <w:r w:rsidRPr="00B44D32">
        <w:t>, which has often been associated with substance use.</w:t>
      </w:r>
      <w:r w:rsidRPr="00B44D32">
        <w:fldChar w:fldCharType="begin"/>
      </w:r>
      <w:r w:rsidRPr="00B44D32">
        <w:instrText xml:space="preserve"> ADDIN ZOTERO_ITEM CSL_CITATION {"citationID":"a1g92n680ch","properties":{"formattedCitation":"\\super 54\\nosupersub{}","plainCitation":"54","noteIndex":0},"citationItems":[{"id":14216,"uris":["http://zotero.org/groups/4745233/items/866CDPL8"],"itemData":{"id":14216,"type":"report","publisher":"Addiction Technology Transfer Center Network","title":"Traumatic brain injury and substance use disorders: Making the connections","URL":"https://attcnetwork.org/sites/default/files/2021-11/TBI%20%20SUD%20Toolkit%20FINAL%2011.05.2021.pdf","author":[{"family":"Lemsky","given":"Carolyn"}],"collection-editor":[{"family":"Stilen","given":"P"},{"family":"Heitkamp","given":"T"}],"accessed":{"date-parts":[["2022",12,15]]},"issued":{"date-parts":[["2021"]]}}}],"schema":"https://github.com/citation-style-language/schema/raw/master/csl-citation.json"} </w:instrText>
      </w:r>
      <w:r w:rsidRPr="00B44D32">
        <w:fldChar w:fldCharType="separate"/>
      </w:r>
      <w:r w:rsidRPr="00B44D32">
        <w:rPr>
          <w:rFonts w:cs="Arial"/>
          <w:vertAlign w:val="superscript"/>
        </w:rPr>
        <w:t>54</w:t>
      </w:r>
      <w:r w:rsidRPr="00B44D32">
        <w:fldChar w:fldCharType="end"/>
      </w:r>
      <w:r w:rsidRPr="00B44D32">
        <w:t xml:space="preserve"> However, with the exception of special treatment units (like the Karaka Unit or Waikeria Prison), there is very limited screening for cognitive impairment. </w:t>
      </w:r>
    </w:p>
    <w:p w14:paraId="5B30AD45" w14:textId="77777777" w:rsidR="00B2112B" w:rsidRPr="00B44D32" w:rsidRDefault="00B2112B" w:rsidP="00103A06">
      <w:pPr>
        <w:rPr>
          <w:rFonts w:cs="Arial"/>
        </w:rPr>
      </w:pPr>
      <w:r w:rsidRPr="00B44D32">
        <w:t>Tāngata whaikaha (particularly people with an intellectual disability and FASD) are also overrepresented in the justice system.</w:t>
      </w:r>
      <w:r w:rsidRPr="00B44D32">
        <w:fldChar w:fldCharType="begin"/>
      </w:r>
      <w:r w:rsidRPr="00B44D32">
        <w:instrText xml:space="preserve"> ADDIN ZOTERO_ITEM CSL_CITATION {"citationID":"a29ievfvlr6","properties":{"formattedCitation":"\\super 195,196\\nosupersub{}","plainCitation":"195,196","noteIndex":0},"citationItems":[{"id":8687,"uris":["http://zotero.org/groups/4406622/items/Y2TFCAHA"],"itemData":{"id":8687,"type":"article-journal","abstract":"Approaches to the management of people with intellectual disabilities (IDs) vary across jurisdictions. However, the inconsistent development and implementation of official policy has often resulted in a significant over-representation of persons with developmental difficulties in criminal justice systems worldwide. This reality led the New Zealand government in 2003 to introduce dedicated legislation recognising the special needs of offenders with an ID. The article examines the New Zealand legislative response to the challenges presented by this cohort of offenders, in the light of emerging international data of the incidence of, and official responses to, offenders with special needs. In New Zealand, the emerging problem of how to manage intellectually disabled offenders who commit serious crimes, and the legislative response to it, was driven by changes in mental health legislation in the early 1990s that had effectively disenfranchised persons with ID with challenging behaviours from regimes of supervisory care and treatment. The Intellectual Disability (Compulsory Care and Rehabilitation) Act 2003 has provided for a separate regime of compulsory care and rehabilitation that may be accessed either directly as a criminal justice disposition, following a finding of unfitness to plead or legal insanity, or as a result of transfer from the mental health or penal systems. The compulsory care regime has proven effective in addressing the needs of intellectually disabled offenders, increasing numbers of whom are young people, who would have great difficulty coping in a prison environment. The New Zealand experience contrasts with experience in other jurisdictions where offenders with an ID are often over-represented in prison statistics and subject to victimisation and abuse. The article suggests that change is clearly required as a matter of urgency to ensure that offenders with an ID are able to benefit from the positive rights guaranteed under the UN Convention for the Rights of Persons with Disabilities and other rights instruments.","container-title":"The Journal of Criminal Law","DOI":"10.1177/0022018318814360","ISSN":"0022-0183","issue":"1","note":"publisher: SAGE Publications Ltd","page":"55-70","source":"SAGE Journals","title":"Protecting the Interests of Vulnerable Defendants in the Criminal Justice System: The New Zealand Experience","title-short":"Protecting the Interests of Vulnerable Defendants in the Criminal Justice System","volume":"83","author":[{"family":"Brookbanks","given":"Warren"}],"issued":{"date-parts":[["2019",2,1]]}}},{"id":13496,"uris":["http://zotero.org/groups/4745233/items/D4YVY2S8"],"itemData":{"id":13496,"type":"article-journal","container-title":"The New Zealand Medical Journal","ISSN":"1175-8716","issue":"1533","journalAbbreviation":"N Z Med J","language":"eng","note":"PMID: 33927431","page":"118-121","source":"PubMed","title":"Fetal alcohol spectrum disorder and prisoners: the need for research-informed action","title-short":"Fetal alcohol spectrum disorder and prisoners","volume":"134","author":[{"family":"McCormack","given":"Jessica"},{"family":"McGinn","given":"Valerie"},{"family":"Marsh","given":"Samantha"},{"family":"Newcombe","given":"David"},{"family":"Bullen","given":"Chris"},{"family":"Chu","given":"Joanna"}],"issued":{"date-parts":[["2021",4,16]]}}}],"schema":"https://github.com/citation-style-language/schema/raw/master/csl-citation.json"} </w:instrText>
      </w:r>
      <w:r w:rsidRPr="00B44D32">
        <w:fldChar w:fldCharType="separate"/>
      </w:r>
      <w:r w:rsidRPr="00B44D32">
        <w:rPr>
          <w:rFonts w:cs="Arial"/>
          <w:vertAlign w:val="superscript"/>
        </w:rPr>
        <w:t>195,196</w:t>
      </w:r>
      <w:r w:rsidRPr="00B44D32">
        <w:fldChar w:fldCharType="end"/>
      </w:r>
      <w:r w:rsidRPr="00B44D32">
        <w:t xml:space="preserve"> </w:t>
      </w:r>
      <w:r w:rsidRPr="00B44D32">
        <w:rPr>
          <w:rFonts w:cs="Arial"/>
        </w:rPr>
        <w:t xml:space="preserve">Some people with an intellectual disability may be detained under the </w:t>
      </w:r>
      <w:r w:rsidRPr="00B44D32">
        <w:rPr>
          <w:i/>
          <w:iCs/>
        </w:rPr>
        <w:t xml:space="preserve">Intellectual Disability Compulsory Care and Rehabilitation Act. </w:t>
      </w:r>
    </w:p>
    <w:p w14:paraId="75741597" w14:textId="77777777" w:rsidR="00B2112B" w:rsidRPr="00B44D32" w:rsidRDefault="00B2112B" w:rsidP="00103A06">
      <w:pPr>
        <w:pStyle w:val="Bulletpoint"/>
      </w:pPr>
      <w:r w:rsidRPr="00B44D32">
        <w:t>People who are currently or have previously been in contact with the justice or corrections system may not want to talk about these experiences and may disengage from treatment if forced to do so.</w:t>
      </w:r>
      <w:r w:rsidRPr="00B44D32">
        <w:fldChar w:fldCharType="begin"/>
      </w:r>
      <w:r w:rsidRPr="00B44D32">
        <w:instrText xml:space="preserve"> ADDIN ZOTERO_ITEM CSL_CITATION {"citationID":"ans9p64v6g","properties":{"formattedCitation":"\\super 3\\nosupersub{}","plainCitation":"3","noteIndex":0},"citationItems":[{"id":14007,"uris":["http://zotero.org/groups/4745233/items/U3GGYCKU"],"itemData":{"id":14007,"type":"report","event-place":"Richmond, Victoria","language":"en","publisher":"Turning Point","publisher-place":"Richmond, Victoria","source":"Zotero","title":"Managing Cognitive Impairment in AOD Treatment: Practice Guidelines for Healthcare Professionals","URL":"https://www.turningpoint.org.au/treatment/clinicians/Managing-Cognitive-Impairment-in-AOD-Treatment-Guidelines","author":[{"family":"Manning","given":"Victoria"},{"family":"Gooden","given":"James"},{"family":"Cox","given":"Catherine"},{"family":"Whelan","given":"Danielle"},{"family":"Miroz","given":"Katherine"}],"issued":{"date-parts":[["2021"]]}}}],"schema":"https://github.com/citation-style-language/schema/raw/master/csl-citation.json"} </w:instrText>
      </w:r>
      <w:r w:rsidRPr="00B44D32">
        <w:fldChar w:fldCharType="separate"/>
      </w:r>
      <w:r w:rsidRPr="00B44D32">
        <w:rPr>
          <w:vertAlign w:val="superscript"/>
        </w:rPr>
        <w:t>3</w:t>
      </w:r>
      <w:r w:rsidRPr="00B44D32">
        <w:fldChar w:fldCharType="end"/>
      </w:r>
      <w:r w:rsidRPr="00B44D32">
        <w:t xml:space="preserve"> </w:t>
      </w:r>
    </w:p>
    <w:p w14:paraId="016D46C8" w14:textId="77777777" w:rsidR="00B2112B" w:rsidRPr="00B44D32" w:rsidRDefault="00B2112B" w:rsidP="00103A06">
      <w:pPr>
        <w:pStyle w:val="Bulletpoint"/>
      </w:pPr>
      <w:r w:rsidRPr="00B44D32">
        <w:lastRenderedPageBreak/>
        <w:t>People may have learned strategies to survive within a corrections environment that may not be helpful in other settings.</w:t>
      </w:r>
      <w:r w:rsidRPr="00B44D32">
        <w:fldChar w:fldCharType="begin"/>
      </w:r>
      <w:r w:rsidRPr="00B44D32">
        <w:instrText xml:space="preserve"> ADDIN ZOTERO_ITEM CSL_CITATION {"citationID":"a1mh9au8qrb","properties":{"formattedCitation":"\\super 140\\nosupersub{}","plainCitation":"140","noteIndex":0},"citationItems":[{"id":13912,"uris":["http://zotero.org/groups/4745233/items/3C2IB5YZ"],"itemData":{"id":13912,"type":"document","title":"Complex needs capable: A practice resource for drug and alcohol services","URL":"https://nada.org.au/wp-content/uploads/2021/01/complex_needs_capable_web_120813.pdf","author":[{"literal":"NADA"}],"accessed":{"date-parts":[["2023",6,26]]},"issued":{"date-parts":[["2013"]]}}}],"schema":"https://github.com/citation-style-language/schema/raw/master/csl-citation.json"} </w:instrText>
      </w:r>
      <w:r w:rsidRPr="00B44D32">
        <w:fldChar w:fldCharType="separate"/>
      </w:r>
      <w:r w:rsidRPr="00B44D32">
        <w:rPr>
          <w:vertAlign w:val="superscript"/>
        </w:rPr>
        <w:t>140</w:t>
      </w:r>
      <w:r w:rsidRPr="00B44D32">
        <w:fldChar w:fldCharType="end"/>
      </w:r>
      <w:r w:rsidRPr="00B44D32">
        <w:t xml:space="preserve"> For example, people may find it safer to withhold emotions, personal information, or not participate in group settings. Let the person know you want to support them to feel safe and give them time to adjust. Ask them what they need to feel safe.</w:t>
      </w:r>
      <w:r w:rsidRPr="00B44D32">
        <w:fldChar w:fldCharType="begin"/>
      </w:r>
      <w:r w:rsidRPr="00B44D32">
        <w:instrText xml:space="preserve"> ADDIN ZOTERO_ITEM CSL_CITATION {"citationID":"a2910dv6fcj","properties":{"formattedCitation":"\\super 140\\nosupersub{}","plainCitation":"140","noteIndex":0},"citationItems":[{"id":13912,"uris":["http://zotero.org/groups/4745233/items/3C2IB5YZ"],"itemData":{"id":13912,"type":"document","title":"Complex needs capable: A practice resource for drug and alcohol services","URL":"https://nada.org.au/wp-content/uploads/2021/01/complex_needs_capable_web_120813.pdf","author":[{"literal":"NADA"}],"accessed":{"date-parts":[["2023",6,26]]},"issued":{"date-parts":[["2013"]]}}}],"schema":"https://github.com/citation-style-language/schema/raw/master/csl-citation.json"} </w:instrText>
      </w:r>
      <w:r w:rsidRPr="00B44D32">
        <w:fldChar w:fldCharType="separate"/>
      </w:r>
      <w:r w:rsidRPr="00B44D32">
        <w:rPr>
          <w:vertAlign w:val="superscript"/>
        </w:rPr>
        <w:t>140</w:t>
      </w:r>
      <w:r w:rsidRPr="00B44D32">
        <w:fldChar w:fldCharType="end"/>
      </w:r>
      <w:r w:rsidRPr="00B44D32">
        <w:t xml:space="preserve"> </w:t>
      </w:r>
    </w:p>
    <w:p w14:paraId="5841231F" w14:textId="77777777" w:rsidR="00B2112B" w:rsidRPr="00B44D32" w:rsidRDefault="00B2112B" w:rsidP="00103A06">
      <w:pPr>
        <w:pStyle w:val="Bulletpoint"/>
      </w:pPr>
      <w:r w:rsidRPr="00B44D32">
        <w:t>Lack of safety or needing time to adjust can be misinterpreted as lack of motivation. Give people time to adjust to new/different rules or expectations.</w:t>
      </w:r>
      <w:r w:rsidRPr="00B44D32">
        <w:fldChar w:fldCharType="begin"/>
      </w:r>
      <w:r w:rsidRPr="00B44D32">
        <w:instrText xml:space="preserve"> ADDIN ZOTERO_ITEM CSL_CITATION {"citationID":"a2m99f347d5","properties":{"formattedCitation":"\\super 140\\nosupersub{}","plainCitation":"140","noteIndex":0},"citationItems":[{"id":13912,"uris":["http://zotero.org/groups/4745233/items/3C2IB5YZ"],"itemData":{"id":13912,"type":"document","title":"Complex needs capable: A practice resource for drug and alcohol services","URL":"https://nada.org.au/wp-content/uploads/2021/01/complex_needs_capable_web_120813.pdf","author":[{"literal":"NADA"}],"accessed":{"date-parts":[["2023",6,26]]},"issued":{"date-parts":[["2013"]]}}}],"schema":"https://github.com/citation-style-language/schema/raw/master/csl-citation.json"} </w:instrText>
      </w:r>
      <w:r w:rsidRPr="00B44D32">
        <w:fldChar w:fldCharType="separate"/>
      </w:r>
      <w:r w:rsidRPr="00B44D32">
        <w:rPr>
          <w:vertAlign w:val="superscript"/>
        </w:rPr>
        <w:t>140</w:t>
      </w:r>
      <w:r w:rsidRPr="00B44D32">
        <w:fldChar w:fldCharType="end"/>
      </w:r>
      <w:r w:rsidRPr="00B44D32">
        <w:t xml:space="preserve"> </w:t>
      </w:r>
    </w:p>
    <w:p w14:paraId="55ED4C81" w14:textId="77777777" w:rsidR="00B2112B" w:rsidRPr="00B44D32" w:rsidRDefault="00B2112B" w:rsidP="00103A06">
      <w:pPr>
        <w:pStyle w:val="Bulletpoint"/>
      </w:pPr>
      <w:r w:rsidRPr="00B44D32">
        <w:t>To help with engagement, focus on a person’s ability to live day-to-day, including independent living and supporting eventual return to work or activities they enjoy, including contribution to their whānau or collectives.</w:t>
      </w:r>
      <w:r w:rsidRPr="00B44D32">
        <w:fldChar w:fldCharType="begin"/>
      </w:r>
      <w:r w:rsidRPr="00B44D32">
        <w:instrText xml:space="preserve"> ADDIN ZOTERO_ITEM CSL_CITATION {"citationID":"7aUoPcM0","properties":{"formattedCitation":"\\super 3\\nosupersub{}","plainCitation":"3","noteIndex":0},"citationItems":[{"id":14007,"uris":["http://zotero.org/groups/4745233/items/U3GGYCKU"],"itemData":{"id":14007,"type":"report","event-place":"Richmond, Victoria","language":"en","publisher":"Turning Point","publisher-place":"Richmond, Victoria","source":"Zotero","title":"Managing Cognitive Impairment in AOD Treatment: Practice Guidelines for Healthcare Professionals","URL":"https://www.turningpoint.org.au/treatment/clinicians/Managing-Cognitive-Impairment-in-AOD-Treatment-Guidelines","author":[{"family":"Manning","given":"Victoria"},{"family":"Gooden","given":"James"},{"family":"Cox","given":"Catherine"},{"family":"Whelan","given":"Danielle"},{"family":"Miroz","given":"Katherine"}],"issued":{"date-parts":[["2021"]]}}}],"schema":"https://github.com/citation-style-language/schema/raw/master/csl-citation.json"} </w:instrText>
      </w:r>
      <w:r w:rsidRPr="00B44D32">
        <w:fldChar w:fldCharType="separate"/>
      </w:r>
      <w:r w:rsidRPr="00B44D32">
        <w:rPr>
          <w:vertAlign w:val="superscript"/>
        </w:rPr>
        <w:t>3</w:t>
      </w:r>
      <w:r w:rsidRPr="00B44D32">
        <w:fldChar w:fldCharType="end"/>
      </w:r>
      <w:r w:rsidRPr="00B44D32">
        <w:t xml:space="preserve"> </w:t>
      </w:r>
      <w:bookmarkStart w:id="2755" w:name="_Toc142655478"/>
      <w:bookmarkStart w:id="2756" w:name="_Toc144657486"/>
      <w:bookmarkStart w:id="2757" w:name="_Toc145670768"/>
      <w:bookmarkStart w:id="2758" w:name="_Toc145854382"/>
      <w:bookmarkStart w:id="2759" w:name="_Toc146024301"/>
    </w:p>
    <w:p w14:paraId="7F35817D" w14:textId="411974C9" w:rsidR="003F64B5" w:rsidRDefault="003F64B5" w:rsidP="00B2112B">
      <w:pPr>
        <w:rPr>
          <w:b/>
          <w:bCs/>
          <w:color w:val="00C7C7" w:themeColor="accent5" w:themeTint="BF"/>
        </w:rPr>
      </w:pPr>
      <w:bookmarkStart w:id="2760" w:name="_Toc146624894"/>
      <w:bookmarkStart w:id="2761" w:name="_Toc146714255"/>
      <w:bookmarkStart w:id="2762" w:name="_Toc178780189"/>
      <w:bookmarkStart w:id="2763" w:name="_Toc178838955"/>
      <w:bookmarkStart w:id="2764" w:name="_Toc178839142"/>
      <w:bookmarkStart w:id="2765" w:name="_Toc178839263"/>
      <w:bookmarkStart w:id="2766" w:name="_Toc178839491"/>
      <w:bookmarkStart w:id="2767" w:name="_Toc178841701"/>
      <w:bookmarkStart w:id="2768" w:name="_Toc179198261"/>
      <w:bookmarkStart w:id="2769" w:name="_Toc179198511"/>
      <w:bookmarkStart w:id="2770" w:name="_Toc179198618"/>
      <w:bookmarkStart w:id="2771" w:name="_Toc179198725"/>
      <w:bookmarkStart w:id="2772" w:name="_Toc179446169"/>
      <w:bookmarkStart w:id="2773" w:name="_Toc179447182"/>
      <w:bookmarkStart w:id="2774" w:name="_Toc179448721"/>
      <w:bookmarkStart w:id="2775" w:name="_Toc179448878"/>
      <w:bookmarkStart w:id="2776" w:name="_Toc179449247"/>
    </w:p>
    <w:p w14:paraId="0B9CD9EB" w14:textId="3B747EE9" w:rsidR="00B2112B" w:rsidRPr="00B36302" w:rsidRDefault="00B2112B" w:rsidP="00B2112B">
      <w:pPr>
        <w:rPr>
          <w:b/>
          <w:bCs/>
          <w:color w:val="4D2379" w:themeColor="accent4"/>
          <w:sz w:val="28"/>
          <w:szCs w:val="28"/>
        </w:rPr>
      </w:pPr>
      <w:r w:rsidRPr="00B36302">
        <w:rPr>
          <w:b/>
          <w:bCs/>
          <w:color w:val="4D2379" w:themeColor="accent4"/>
          <w:sz w:val="28"/>
          <w:szCs w:val="28"/>
        </w:rPr>
        <w:t>Rainbow communities</w:t>
      </w:r>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p>
    <w:p w14:paraId="0E98E86D" w14:textId="77777777" w:rsidR="00EB37CE" w:rsidRPr="00494820" w:rsidRDefault="00EB37CE" w:rsidP="00103A06">
      <w:r w:rsidRPr="00494820">
        <w:t>People in rainbow communities are at higher risk of cognitive impairment which may be due to experiences like discrimination and trauma.</w:t>
      </w:r>
      <w:r w:rsidRPr="00494820">
        <w:fldChar w:fldCharType="begin"/>
      </w:r>
      <w:r w:rsidRPr="00494820">
        <w:instrText xml:space="preserve"> ADDIN ZOTERO_ITEM CSL_CITATION {"citationID":"a1217urhh64","properties":{"formattedCitation":"\\super 10,16\\nosupersub{}","plainCitation":"10,16","noteIndex":0},"citationItems":[{"id":12595,"uris":["http://zotero.org/groups/4745233/items/LMDM6QCN"],"itemData":{"id":12595,"type":"report","language":"en","publisher":"La Trobe University","source":"Zotero","title":"The everyday experiences of lesbian, gay, bisexual, transgender and intersex (LGBTI) people living with disability","author":[{"family":"Leonard","given":"William"},{"family":"Mann","given":"Dr Rosemary"}],"issued":{"date-parts":[["2018"]]}}},{"id":12598,"uris":["http://zotero.org/groups/4745233/items/5WDTACK2"],"itemData":{"id":12598,"type":"article-journal","abstract":"Dementia, a global health priority, poses a disproportionately high risk to lesbian, gay, bisexual and trans plus (LGBT+)/gender and sexuality diverse people. Despite this, little research has explored the lived experience of LGBT+ people with dementia or their care partners. This scoping review aims to understand what the literature reveals about their experiences, the ways in which their lives have been investigated, to inform future research, policy and practice. Using an established scoping review methodology, we identified seven papers that reported empirical research on the lived experience of LGBT+ people with dementia and their care partners. Only a single study reported on in two of the papers included people who were trans. This in itself reveals how rarely LGBT+ people are asked to speak about how dementia has shaped their lives in academic research. Our reflexive thematic analysis indicates that LGBT+ people with dementia and their care partners endure overlapping forms of disadvantage. This results in heightened experiences of fear and discrimination, lack of services and compounded social isolation. Importantly, while dementia was embodied as interference and loss by LGBT+ people, it was their gender and sexuality differences that provided solace, even in the face of disadvantage. Importantly, people’s relationships with LGBT+ identities were framed as fundamental for safety, resilience and wellbeing, rather than a complicating or confounding factor in living with dementia.","container-title":"Ageing and Society","DOI":"10.1017/S0144686X22000538","ISSN":"0144-686X, 1469-1779","journalAbbreviation":"Ageing and Society","language":"en","page":"1-24","source":"DOI.org (Crossref)","title":"Investigating the lived experience of LGBT+ people with dementia and their care partners: a scoping review","title-short":"Investigating the lived experience of LGBT+ people with dementia and their care partners","author":[{"family":"Smith","given":"Louisa"},{"family":"Chesher","given":"Isabelle"},{"family":"Fredriksen-Goldsen","given":"Karen"},{"family":"Ward","given":"Richard"},{"family":"Phillipson","given":"Lyn"},{"family":"Newman","given":"Christy E."},{"family":"Delhomme","given":"Felix"}],"issued":{"date-parts":[["2022",5,30]]}}}],"schema":"https://github.com/citation-style-language/schema/raw/master/csl-citation.json"} </w:instrText>
      </w:r>
      <w:r w:rsidRPr="00494820">
        <w:fldChar w:fldCharType="separate"/>
      </w:r>
      <w:r w:rsidRPr="00494820">
        <w:rPr>
          <w:rFonts w:cs="Arial"/>
          <w:vertAlign w:val="superscript"/>
        </w:rPr>
        <w:t>10,16</w:t>
      </w:r>
      <w:r w:rsidRPr="00494820">
        <w:fldChar w:fldCharType="end"/>
      </w:r>
      <w:r w:rsidRPr="00494820">
        <w:t xml:space="preserve"> For takatāpui Māori, there is a lack of specific evidence on the prevalence of cognitive impairment. However, this group may be at higher risk due to higher rates of substance use, trauma, mental health challenges and exposure to a range of social factors such as stigma, racism, and violence.</w:t>
      </w:r>
      <w:r w:rsidRPr="00494820">
        <w:fldChar w:fldCharType="begin"/>
      </w:r>
      <w:r w:rsidRPr="00494820">
        <w:instrText xml:space="preserve"> ADDIN ZOTERO_ITEM CSL_CITATION {"citationID":"a9hi6pm9no","properties":{"formattedCitation":"\\super 197\\nosupersub{}","plainCitation":"197","noteIndex":0},"citationItems":[{"id":13759,"uris":["http://zotero.org/groups/4745233/items/C9522AS3"],"itemData":{"id":13759,"type":"article-journal","abstract":"Little is known in Aotearoa New Zealand about experiences of homelessness amongst Takatāpui/LGBTIQ+ identifying people, despite growing international literature regarding LGBTIQ+ homelessness. Using data from semi-structured interviews with eight people who identified as Takatāpui/LGBTIQ+ and had experienced homelessness, this paper explores their experiences prior to becoming homeless. These experiences are placed into the categories of: the pervasiveness of instability (especially in regards to family relationships, finances, and housing), having to grow up fast due to social and material conditions, experiences of looking for housing in stressed markets, and systems failures that resulted in a lack of autonomy. These results show that instability and systems failures are key contributors to Takatāpui/LGBTIQ+ people becoming homeless in Aotearoa New Zealand.","container-title":"PLoS ONE","DOI":"10.1371/journal.pone.0259799","ISSN":"1932-6203","issue":"12","journalAbbreviation":"PLoS One","note":"PMID: 34928948\nPMCID: PMC8687556","page":"e0259799","source":"PubMed Central","title":"“You’re so powerless”: Takatāpui/LGBTIQ+ people’s experiences before becoming homeless in Aotearoa New Zealand","title-short":"“You’re so powerless”","volume":"16","author":[{"family":"Fraser","given":"Brodie"},{"family":"Chisholm","given":"Elinor"},{"family":"Pierse","given":"Nevil"}],"issued":{"date-parts":[["2021",12,20]]}}}],"schema":"https://github.com/citation-style-language/schema/raw/master/csl-citation.json"} </w:instrText>
      </w:r>
      <w:r w:rsidRPr="00494820">
        <w:fldChar w:fldCharType="separate"/>
      </w:r>
      <w:r w:rsidRPr="00494820">
        <w:rPr>
          <w:rFonts w:cs="Arial"/>
          <w:vertAlign w:val="superscript"/>
        </w:rPr>
        <w:t>197</w:t>
      </w:r>
      <w:r w:rsidRPr="00494820">
        <w:fldChar w:fldCharType="end"/>
      </w:r>
      <w:r w:rsidRPr="00494820">
        <w:t xml:space="preserve"> A trauma-informed approach is needed, ideally involving kaimahi from the rainbow community where possible.</w:t>
      </w:r>
    </w:p>
    <w:p w14:paraId="2C92C92F" w14:textId="77777777" w:rsidR="007B43A1" w:rsidRPr="00494820" w:rsidRDefault="007B43A1" w:rsidP="00103A06">
      <w:pPr>
        <w:pStyle w:val="Bulletpoint"/>
      </w:pPr>
      <w:r w:rsidRPr="00494820">
        <w:t>When communicating with people from rainbow communities, use gender neutral language such as partner and parent.</w:t>
      </w:r>
      <w:r w:rsidRPr="00494820">
        <w:fldChar w:fldCharType="begin"/>
      </w:r>
      <w:r w:rsidRPr="00494820">
        <w:instrText xml:space="preserve"> ADDIN ZOTERO_ITEM CSL_CITATION {"citationID":"ald4vocbab","properties":{"formattedCitation":"\\super 198\\nosupersub{}","plainCitation":"198","noteIndex":0},"citationItems":[{"id":5579,"uris":["http://zotero.org/groups/2824487/items/ANVTIEE5"],"itemData":{"id":5579,"type":"document","abstract":"Who is this guide for? This guide is for anyone who provides mental health support in Aotearoa, including (but not limited to) counsellors, psychologists, psychiatrists, psychotherapists, tohunga (Māori healers), social…","publisher":"Youth Wellbeing Study and RainbowYOUTH","title":"Supporting Aotearoa’s rainbow people: A practical guide for mental health professionals","title-short":"Supporting Aotearoa’s rainbow people","URL":"https://communityresearch.org.nz/research/supporting-aotearoas-rainbow-people-a-practical-guide-for-mental-health-professionals/","author":[{"family":"Fraser","given":"G"}],"accessed":{"date-parts":[["2021",8,1]]},"issued":{"date-parts":[["2019"]]}}}],"schema":"https://github.com/citation-style-language/schema/raw/master/csl-citation.json"} </w:instrText>
      </w:r>
      <w:r w:rsidRPr="00494820">
        <w:fldChar w:fldCharType="separate"/>
      </w:r>
      <w:r w:rsidRPr="00494820">
        <w:rPr>
          <w:rFonts w:cs="Arial"/>
          <w:vertAlign w:val="superscript"/>
        </w:rPr>
        <w:t>198</w:t>
      </w:r>
      <w:r w:rsidRPr="00494820">
        <w:fldChar w:fldCharType="end"/>
      </w:r>
    </w:p>
    <w:p w14:paraId="163CD948" w14:textId="77777777" w:rsidR="007B43A1" w:rsidRPr="00494820" w:rsidRDefault="007B43A1" w:rsidP="00103A06">
      <w:pPr>
        <w:pStyle w:val="Bulletpoint"/>
      </w:pPr>
      <w:r w:rsidRPr="00494820">
        <w:t>Share your pronouns and ask for the person’s pronouns. Gender identity can’t be assumed from how someone looks.</w:t>
      </w:r>
      <w:r w:rsidRPr="00494820">
        <w:fldChar w:fldCharType="begin"/>
      </w:r>
      <w:r w:rsidRPr="00494820">
        <w:instrText xml:space="preserve"> ADDIN ZOTERO_ITEM CSL_CITATION {"citationID":"8UOspNtK","properties":{"formattedCitation":"\\super 198\\nosupersub{}","plainCitation":"198","noteIndex":0},"citationItems":[{"id":5579,"uris":["http://zotero.org/groups/2824487/items/ANVTIEE5"],"itemData":{"id":5579,"type":"document","abstract":"Who is this guide for? This guide is for anyone who provides mental health support in Aotearoa, including (but not limited to) counsellors, psychologists, psychiatrists, psychotherapists, tohunga (Māori healers), social…","publisher":"Youth Wellbeing Study and RainbowYOUTH","title":"Supporting Aotearoa’s rainbow people: A practical guide for mental health professionals","title-short":"Supporting Aotearoa’s rainbow people","URL":"https://communityresearch.org.nz/research/supporting-aotearoas-rainbow-people-a-practical-guide-for-mental-health-professionals/","author":[{"family":"Fraser","given":"G"}],"accessed":{"date-parts":[["2021",8,1]]},"issued":{"date-parts":[["2019"]]}}}],"schema":"https://github.com/citation-style-language/schema/raw/master/csl-citation.json"} </w:instrText>
      </w:r>
      <w:r w:rsidRPr="00494820">
        <w:fldChar w:fldCharType="separate"/>
      </w:r>
      <w:r w:rsidRPr="00494820">
        <w:rPr>
          <w:rFonts w:cs="Arial"/>
          <w:vertAlign w:val="superscript"/>
        </w:rPr>
        <w:t>198</w:t>
      </w:r>
      <w:r w:rsidRPr="00494820">
        <w:fldChar w:fldCharType="end"/>
      </w:r>
    </w:p>
    <w:p w14:paraId="37686464" w14:textId="77777777" w:rsidR="007B43A1" w:rsidRPr="00494820" w:rsidRDefault="007B43A1" w:rsidP="00103A06">
      <w:pPr>
        <w:pStyle w:val="Bulletpoint"/>
      </w:pPr>
      <w:r w:rsidRPr="00494820">
        <w:t>Check if people have different ways they would like to be referred to in private versus public situations (like one-on-one sessions versus a group session).</w:t>
      </w:r>
    </w:p>
    <w:p w14:paraId="3AE023E0" w14:textId="77777777" w:rsidR="007B43A1" w:rsidRPr="00494820" w:rsidRDefault="007B43A1" w:rsidP="00103A06">
      <w:pPr>
        <w:pStyle w:val="Bulletpoint"/>
      </w:pPr>
      <w:r w:rsidRPr="00494820">
        <w:t>Have resources tailored to rainbow communities to show inclusivity.</w:t>
      </w:r>
    </w:p>
    <w:p w14:paraId="43CD1028" w14:textId="77777777" w:rsidR="007B43A1" w:rsidRPr="00494820" w:rsidRDefault="007B43A1" w:rsidP="00103A06">
      <w:pPr>
        <w:pStyle w:val="Bulletpoint"/>
      </w:pPr>
      <w:r w:rsidRPr="00494820">
        <w:t xml:space="preserve">Kaupapa whānau are often significant support networks for rainbow identifying people. Treat kaupapa whānau with the same respect as whakapapa whānau. </w:t>
      </w:r>
    </w:p>
    <w:p w14:paraId="41CA250D" w14:textId="77777777" w:rsidR="00122447" w:rsidRDefault="00122447" w:rsidP="0025055B">
      <w:pPr>
        <w:rPr>
          <w:b/>
          <w:bCs/>
          <w:color w:val="4D2379" w:themeColor="accent4"/>
        </w:rPr>
      </w:pPr>
      <w:bookmarkStart w:id="2777" w:name="_Toc146624895"/>
      <w:bookmarkStart w:id="2778" w:name="_Toc146714256"/>
      <w:bookmarkStart w:id="2779" w:name="_Toc178780190"/>
      <w:bookmarkStart w:id="2780" w:name="_Toc178838956"/>
      <w:bookmarkStart w:id="2781" w:name="_Toc178839143"/>
      <w:bookmarkStart w:id="2782" w:name="_Toc178839264"/>
      <w:bookmarkStart w:id="2783" w:name="_Toc178839492"/>
      <w:bookmarkStart w:id="2784" w:name="_Toc178841702"/>
      <w:bookmarkStart w:id="2785" w:name="_Toc179198262"/>
      <w:bookmarkStart w:id="2786" w:name="_Toc179198512"/>
      <w:bookmarkStart w:id="2787" w:name="_Toc179198619"/>
      <w:bookmarkStart w:id="2788" w:name="_Toc179198726"/>
      <w:bookmarkStart w:id="2789" w:name="_Toc179446170"/>
      <w:bookmarkStart w:id="2790" w:name="_Toc179447183"/>
      <w:bookmarkStart w:id="2791" w:name="_Toc179448722"/>
      <w:bookmarkStart w:id="2792" w:name="_Toc179448879"/>
      <w:bookmarkStart w:id="2793" w:name="_Toc179449248"/>
    </w:p>
    <w:p w14:paraId="6DC115BD" w14:textId="77777777" w:rsidR="00B36302" w:rsidRDefault="00B36302" w:rsidP="0025055B">
      <w:pPr>
        <w:rPr>
          <w:b/>
          <w:bCs/>
          <w:color w:val="4D2379" w:themeColor="accent4"/>
        </w:rPr>
      </w:pPr>
    </w:p>
    <w:p w14:paraId="7FFFC0EC" w14:textId="77777777" w:rsidR="00B36302" w:rsidRDefault="00B36302" w:rsidP="0025055B">
      <w:pPr>
        <w:rPr>
          <w:b/>
          <w:bCs/>
          <w:color w:val="4D2379" w:themeColor="accent4"/>
        </w:rPr>
      </w:pPr>
    </w:p>
    <w:p w14:paraId="1D1797D0" w14:textId="302620EE" w:rsidR="0025055B" w:rsidRPr="00B36302" w:rsidRDefault="0025055B" w:rsidP="0025055B">
      <w:pPr>
        <w:rPr>
          <w:b/>
          <w:bCs/>
          <w:color w:val="4D2379" w:themeColor="accent4"/>
          <w:sz w:val="28"/>
          <w:szCs w:val="28"/>
        </w:rPr>
      </w:pPr>
      <w:r w:rsidRPr="00B36302">
        <w:rPr>
          <w:b/>
          <w:bCs/>
          <w:color w:val="4D2379" w:themeColor="accent4"/>
          <w:sz w:val="28"/>
          <w:szCs w:val="28"/>
        </w:rPr>
        <w:lastRenderedPageBreak/>
        <w:t>Sex and gender differences from substance use</w:t>
      </w:r>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p>
    <w:p w14:paraId="2D27C08F" w14:textId="77777777" w:rsidR="0025055B" w:rsidRPr="00494820" w:rsidRDefault="0025055B" w:rsidP="00103A06">
      <w:pPr>
        <w:pStyle w:val="Bulletpoint"/>
      </w:pPr>
      <w:r w:rsidRPr="00494820">
        <w:t>Females tend to experience health related problems from alcohol earlier than males, even for similar amounts of use.</w:t>
      </w:r>
      <w:r w:rsidRPr="00494820">
        <w:fldChar w:fldCharType="begin"/>
      </w:r>
      <w:r w:rsidRPr="00494820">
        <w:instrText xml:space="preserve"> ADDIN ZOTERO_ITEM CSL_CITATION {"citationID":"aiugsdj6n1","properties":{"formattedCitation":"\\super 45\\nosupersub{}","plainCitation":"45","noteIndex":0},"citationItems":[{"id":14237,"uris":["http://zotero.org/groups/4745233/items/9GMG6ARW"],"itemData":{"id":14237,"type":"article-journal","abstract":"Alcohol use and misuse is increasing among women. Although the prevalence of drinking remains higher in men than women, the gender gap is narrowing. This narrative review focuses on the cognitive sequelae of alcohol consumption in women. Studies of acute alcohol effects on cognition indicate that women typically perform worse than men on tasks requiring divided attention, memory, and decision-making. Beneficial effects of moderate alcohol consumption on cognition have been reported; however, a number of studies have cautioned that other factors may be driving that association. Although chronic heavy drinking affects working memory, visuospatial abilities, balance, emotional processing, and social cognition in women and men, sex differences mark the severity and specific profile of functional deficits. The accelerated or compressed progression of alcohol-related problems and their consequences observed in women relative to men, referred to as “telescoping,” highlights sex differences in the pharmacokinetics, pharmacodynamics, cognitive, and psychological consequences of alcohol. Brain volume deficits affecting multiple systems, including frontolimbic and frontocerebellar networks, contribute to impairment. Taken together, sex-related differences highlight the complexity of this chronic disease in women and underscore the relevance of examining the roles of age, drinking patterns, duration of abstinence, medical history, and psychiatric comorbidities in defining and understanding alcohol-related cognitive impairment.","container-title":"Alcohol Research : Current Reviews","DOI":"10.35946/arcr.v40.2.03","ISSN":"2168-3492","issue":"2","journalAbbreviation":"Alcohol Res","note":"PMID: 32923307\nPMCID: PMC7473713","page":"03","source":"PubMed Central","title":"Alcohol’s unique effects on cognition in women: A 2020 (re)view to envision future research and treatment","title-short":"Alcohol’s Unique Effects on Cognition in Women","volume":"40","author":[{"family":"Fama","given":"Rosemary"},{"family":"Le Berre","given":"Anne-Pascale"},{"family":"Sullivan","given":"Edith V."}],"issued":{"date-parts":[["2020",9,10]]}}}],"schema":"https://github.com/citation-style-language/schema/raw/master/csl-citation.json"} </w:instrText>
      </w:r>
      <w:r w:rsidRPr="00494820">
        <w:fldChar w:fldCharType="separate"/>
      </w:r>
      <w:r w:rsidRPr="00494820">
        <w:rPr>
          <w:rFonts w:cs="Arial"/>
          <w:vertAlign w:val="superscript"/>
        </w:rPr>
        <w:t>45</w:t>
      </w:r>
      <w:r w:rsidRPr="00494820">
        <w:fldChar w:fldCharType="end"/>
      </w:r>
      <w:r w:rsidRPr="00494820">
        <w:t xml:space="preserve"> Females also show different patterns and severity of cognitive impairment from alcohol.</w:t>
      </w:r>
      <w:r w:rsidRPr="00494820">
        <w:fldChar w:fldCharType="begin"/>
      </w:r>
      <w:r w:rsidRPr="00494820">
        <w:instrText xml:space="preserve"> ADDIN ZOTERO_ITEM CSL_CITATION {"citationID":"a19eb6t58up","properties":{"formattedCitation":"\\super 45\\nosupersub{}","plainCitation":"45","noteIndex":0},"citationItems":[{"id":14237,"uris":["http://zotero.org/groups/4745233/items/9GMG6ARW"],"itemData":{"id":14237,"type":"article-journal","abstract":"Alcohol use and misuse is increasing among women. Although the prevalence of drinking remains higher in men than women, the gender gap is narrowing. This narrative review focuses on the cognitive sequelae of alcohol consumption in women. Studies of acute alcohol effects on cognition indicate that women typically perform worse than men on tasks requiring divided attention, memory, and decision-making. Beneficial effects of moderate alcohol consumption on cognition have been reported; however, a number of studies have cautioned that other factors may be driving that association. Although chronic heavy drinking affects working memory, visuospatial abilities, balance, emotional processing, and social cognition in women and men, sex differences mark the severity and specific profile of functional deficits. The accelerated or compressed progression of alcohol-related problems and their consequences observed in women relative to men, referred to as “telescoping,” highlights sex differences in the pharmacokinetics, pharmacodynamics, cognitive, and psychological consequences of alcohol. Brain volume deficits affecting multiple systems, including frontolimbic and frontocerebellar networks, contribute to impairment. Taken together, sex-related differences highlight the complexity of this chronic disease in women and underscore the relevance of examining the roles of age, drinking patterns, duration of abstinence, medical history, and psychiatric comorbidities in defining and understanding alcohol-related cognitive impairment.","container-title":"Alcohol Research : Current Reviews","DOI":"10.35946/arcr.v40.2.03","ISSN":"2168-3492","issue":"2","journalAbbreviation":"Alcohol Res","note":"PMID: 32923307\nPMCID: PMC7473713","page":"03","source":"PubMed Central","title":"Alcohol’s unique effects on cognition in women: A 2020 (re)view to envision future research and treatment","title-short":"Alcohol’s Unique Effects on Cognition in Women","volume":"40","author":[{"family":"Fama","given":"Rosemary"},{"family":"Le Berre","given":"Anne-Pascale"},{"family":"Sullivan","given":"Edith V."}],"issued":{"date-parts":[["2020",9,10]]}}}],"schema":"https://github.com/citation-style-language/schema/raw/master/csl-citation.json"} </w:instrText>
      </w:r>
      <w:r w:rsidRPr="00494820">
        <w:fldChar w:fldCharType="separate"/>
      </w:r>
      <w:r w:rsidRPr="00494820">
        <w:rPr>
          <w:rFonts w:cs="Arial"/>
          <w:vertAlign w:val="superscript"/>
        </w:rPr>
        <w:t>45</w:t>
      </w:r>
      <w:r w:rsidRPr="00494820">
        <w:fldChar w:fldCharType="end"/>
      </w:r>
      <w:r w:rsidRPr="00494820">
        <w:t xml:space="preserve"> </w:t>
      </w:r>
    </w:p>
    <w:p w14:paraId="6912F80D" w14:textId="77777777" w:rsidR="0025055B" w:rsidRPr="00494820" w:rsidRDefault="0025055B" w:rsidP="00103A06">
      <w:pPr>
        <w:pStyle w:val="Bulletpoint"/>
      </w:pPr>
      <w:r w:rsidRPr="00494820">
        <w:t>The effects from other substances can also differ. For example, adolescent females may have greater risk of brain structural abnormalities than adolescent males from regular cannabis use.</w:t>
      </w:r>
      <w:r w:rsidRPr="00494820">
        <w:fldChar w:fldCharType="begin"/>
      </w:r>
      <w:r w:rsidRPr="00494820">
        <w:instrText xml:space="preserve"> ADDIN ZOTERO_ITEM CSL_CITATION {"citationID":"ahmv1lfqjb","properties":{"formattedCitation":"\\super 199\\nosupersub{}","plainCitation":"199","noteIndex":0},"citationItems":[{"id":14193,"uris":["http://zotero.org/groups/4745233/items/6U94Z3UT"],"itemData":{"id":14193,"type":"webpage","abstract":"Men are more likely than women to use almost all types of illicit drugs,13 and illicit drug use is more likely to result in emergency department visits or overdose deaths for men than for women. \"Illicit\" refers to use of illegal drugs, including marijuana (according to federal law) and misuse of prescription drugs.","container-title":"National Institute on Drug Abuse","language":"en","title":"Sex and gender differences in substance use","URL":"https://nida.nih.gov/publications/research-reports/substance-use-in-women/sex-gender-differences-in-substance-use","author":[{"literal":"National Institute on Drug Abuse"}],"accessed":{"date-parts":[["2023",7,19]]},"issued":{"date-parts":[["2020"]]}}}],"schema":"https://github.com/citation-style-language/schema/raw/master/csl-citation.json"} </w:instrText>
      </w:r>
      <w:r w:rsidRPr="00494820">
        <w:fldChar w:fldCharType="separate"/>
      </w:r>
      <w:r w:rsidRPr="00494820">
        <w:rPr>
          <w:rFonts w:cs="Arial"/>
          <w:vertAlign w:val="superscript"/>
        </w:rPr>
        <w:t>199</w:t>
      </w:r>
      <w:r w:rsidRPr="00494820">
        <w:fldChar w:fldCharType="end"/>
      </w:r>
      <w:r w:rsidRPr="00494820">
        <w:t xml:space="preserve"> For stimulant use, females may be more susceptible to their reinforcing (rewarding) effects.</w:t>
      </w:r>
      <w:r w:rsidRPr="00494820">
        <w:fldChar w:fldCharType="begin"/>
      </w:r>
      <w:r w:rsidRPr="00494820">
        <w:instrText xml:space="preserve"> ADDIN ZOTERO_ITEM CSL_CITATION {"citationID":"a2nesm5b26i","properties":{"formattedCitation":"\\super 199\\nosupersub{}","plainCitation":"199","noteIndex":0},"citationItems":[{"id":14193,"uris":["http://zotero.org/groups/4745233/items/6U94Z3UT"],"itemData":{"id":14193,"type":"webpage","abstract":"Men are more likely than women to use almost all types of illicit drugs,13 and illicit drug use is more likely to result in emergency department visits or overdose deaths for men than for women. \"Illicit\" refers to use of illegal drugs, including marijuana (according to federal law) and misuse of prescription drugs.","container-title":"National Institute on Drug Abuse","language":"en","title":"Sex and gender differences in substance use","URL":"https://nida.nih.gov/publications/research-reports/substance-use-in-women/sex-gender-differences-in-substance-use","author":[{"literal":"National Institute on Drug Abuse"}],"accessed":{"date-parts":[["2023",7,19]]},"issued":{"date-parts":[["2020"]]}}}],"schema":"https://github.com/citation-style-language/schema/raw/master/csl-citation.json"} </w:instrText>
      </w:r>
      <w:r w:rsidRPr="00494820">
        <w:fldChar w:fldCharType="separate"/>
      </w:r>
      <w:r w:rsidRPr="00494820">
        <w:rPr>
          <w:rFonts w:cs="Arial"/>
          <w:vertAlign w:val="superscript"/>
        </w:rPr>
        <w:t>199</w:t>
      </w:r>
      <w:r w:rsidRPr="00494820">
        <w:fldChar w:fldCharType="end"/>
      </w:r>
    </w:p>
    <w:p w14:paraId="1F8B093D" w14:textId="77777777" w:rsidR="00122447" w:rsidRDefault="00122447" w:rsidP="00C91E12">
      <w:pPr>
        <w:spacing w:after="160" w:line="259" w:lineRule="auto"/>
        <w:rPr>
          <w:b/>
          <w:bCs/>
          <w:color w:val="4D2379" w:themeColor="accent4"/>
        </w:rPr>
      </w:pPr>
    </w:p>
    <w:p w14:paraId="4BFE099E" w14:textId="02FC2E5B" w:rsidR="00C91E12" w:rsidRPr="00B36302" w:rsidRDefault="00C91E12" w:rsidP="00C91E12">
      <w:pPr>
        <w:spacing w:after="160" w:line="259" w:lineRule="auto"/>
        <w:rPr>
          <w:rFonts w:eastAsiaTheme="majorEastAsia" w:cstheme="majorBidi"/>
          <w:b/>
          <w:bCs/>
          <w:color w:val="4D2379" w:themeColor="accent4"/>
          <w:sz w:val="28"/>
          <w:szCs w:val="28"/>
        </w:rPr>
      </w:pPr>
      <w:r w:rsidRPr="00B36302">
        <w:rPr>
          <w:b/>
          <w:bCs/>
          <w:color w:val="4D2379" w:themeColor="accent4"/>
          <w:sz w:val="28"/>
          <w:szCs w:val="28"/>
        </w:rPr>
        <w:t>Older people</w:t>
      </w:r>
    </w:p>
    <w:p w14:paraId="6BC3C15F" w14:textId="77777777" w:rsidR="00C91E12" w:rsidRPr="00494820" w:rsidRDefault="00C91E12" w:rsidP="00103A06">
      <w:r w:rsidRPr="00494820">
        <w:t>Older people are more likely to experience cognitive impairment due to conditions of ageing like dementia. For older Māori, the Māori Assessment of Neuropsychological Abilities (MANA) tool has been developed to screen for cognitive impairment.</w:t>
      </w:r>
      <w:r w:rsidRPr="00494820">
        <w:fldChar w:fldCharType="begin"/>
      </w:r>
      <w:r w:rsidRPr="00494820">
        <w:instrText xml:space="preserve"> ADDIN ZOTERO_ITEM CSL_CITATION {"citationID":"abbdp0sjos","properties":{"formattedCitation":"\\super 200\\nosupersub{}","plainCitation":"200","noteIndex":0},"citationItems":[{"id":13177,"uris":["http://zotero.org/groups/4745233/items/QCXL75ME"],"itemData":{"id":13177,"type":"article-journal","abstract":"Background In New Zealand (NZ) in 2013, 5.4% of Māori (the Indigenous people of NZ) were over the age of 65 years and in the last decade the number of Māori kaumātua (elderly) living beyond the age of 80 years has more than doubled. This increase is likely to be accompanied by increases in the prevalence of dementia for Māori. In 2011, 1,928 Māori were estimated to have dementia and is expected to increase to 4,493 by 2026, although numbers are likely to be much higher because many with dementia remain undiagnosed. Cognitive screening and assessment tools commonly used in the diagnosis of dementia in NZ have not been validated on Māori despite these tools having poor specificity and sensitivity when applied to people from culturally and linguistically diverse backgrounds. Cultural bias in cognitive testing has been well established in the international literature and reiterated in studies conducted with Māori. The authors therefore developed the Māori Assessment of Neuropsychological Abilities (MANA) to address this disparity. Method Two hundred and fifty kaumātua representing all the major Māori tribes were interviewed in focus-group settings about their understandings and experiences of dementia. A team, comprised of Māori and non-Māori specialists in dementia, neuropsychology, and biostatistics in collaboration with Māori health researchers, Māori elders, and Māori dementia health workers, identified information from the data that paired with those domains commonly assessed for dementia in NZ. This data was then applied to develop a dementia screening tool for Māori consisting of a cognitive, functional and wellbeing interview schedule. We are conducting a Pilot study, N=40 in 2020 to test item content and relevance, scoring criteria, adequacy of floor and ceiling effects, clarity of instructions, and administration procedures. Receiver-operating characteristic (ROC) curve analysis will also be used to determine the predictive accuracy of the assessment tools and to identify the best cut- off points for detecting cognitive and functional impairments. Result We will present preliminary results of the pilot study. Conclusion We hypothesise that a culturally validated and appropriate screening tool will provide improved accuracy in the diagnosis of dementia in Māori.","container-title":"Alzheimer's &amp; Dementia","DOI":"10.1002/alz.040110","ISSN":"1552-5279","issue":"S7","language":"en","note":"_eprint: https://onlinelibrary.wiley.com/doi/pdf/10.1002/alz.040110","page":"e040110","source":"Wiley Online Library","title":"Māori Assessment of Neuropsychological Abilities (MANA): A cognitive, functional and wellbeing screening tool for dementia in older Māori","title-short":"Māori Assessment of Neuropsychological Abilities (MANA)","volume":"16","author":[{"family":"Dudley","given":"Makarena Diana"}],"issued":{"date-parts":[["2020"]]}}}],"schema":"https://github.com/citation-style-language/schema/raw/master/csl-citation.json"} </w:instrText>
      </w:r>
      <w:r w:rsidRPr="00494820">
        <w:fldChar w:fldCharType="separate"/>
      </w:r>
      <w:r w:rsidRPr="00494820">
        <w:rPr>
          <w:rFonts w:cs="Arial"/>
          <w:vertAlign w:val="superscript"/>
        </w:rPr>
        <w:t>200</w:t>
      </w:r>
      <w:r w:rsidRPr="00494820">
        <w:fldChar w:fldCharType="end"/>
      </w:r>
      <w:r w:rsidRPr="00494820">
        <w:t xml:space="preserve"> Conditions such as mate wareware or dementia may develop earlier in Māori.</w:t>
      </w:r>
      <w:r w:rsidRPr="00494820">
        <w:fldChar w:fldCharType="begin"/>
      </w:r>
      <w:r w:rsidRPr="00494820">
        <w:instrText xml:space="preserve"> ADDIN ZOTERO_ITEM CSL_CITATION {"citationID":"a26d2stb7p","properties":{"formattedCitation":"\\super 6,22\\nosupersub{}","plainCitation":"6,22","noteIndex":0},"citationItems":[{"id":12771,"uris":["http://zotero.org/groups/4745233/items/PRJHJHS3"],"itemData":{"id":12771,"type":"article-journal","abstract":"Objectives There are no national dementia epidemiological studies using New Zealand (NZ) data. NZ routinely collects health-care data within the Integrated Data Infrastructure (IDI). The study objectives were to 1) investigate late-onset dementia estimates using the IDI between 2012-2015 and compare these with 2) published estimates, and 3) variations between North and South Islands and ethnicity. Methods A population-based, retrospective cohort design was applied to routinely collected de-identified health/administrative IDI data. Dementia was defined by ICD-10-AM dementia codes or anti-dementia drugs. Results Approximately 2% of those aged ≥60 years had dementia, lower than published estimates. Dementia was higher in North Island; in 80- to 89-year-olds; among the Māori population when age-standardised, and 9% of all dementia cases had &gt;1 dementia sub-type. Conclusions To our knowledge, this is the first study ascertaining dementia estimates using NZ’s whole-of-population IDI data. Estimates were lower than existing NZ estimates, for several reasons. Further work is required, including expanding IDI data sets, to develop future estimates that better reflect NZ’s diverse population.","container-title":"Australasian Journal on Ageing","DOI":"10.1111/ajag.12790","ISSN":"1741-6612","issue":"3","language":"en","note":"_eprint: https://onlinelibrary.wiley.com/doi/pdf/10.1111/ajag.12790","page":"297-304","source":"Wiley Online Library","title":"Prevalence and geographical variation of dementia in New Zealand from 2012 to 2015: Brief report utilising routinely collected data within the Integrated Data Infrastructure","title-short":"Prevalence and geographical variation of dementia in New Zealand from 2012 to 2015","volume":"39","author":[{"family":"Walesby","given":"Katherine Elizabeth"},{"family":"Exeter","given":"Daniel John"},{"family":"Gibb","given":"Sheree"},{"family":"Wood","given":"Philip Clive"},{"family":"Starr","given":"John Michael"},{"family":"Russ","given":"Tom Charles"}],"issued":{"date-parts":[["2020"]]}}},{"id":13111,"uris":["http://zotero.org/groups/4745233/items/BPEACPEA"],"itemData":{"id":13111,"type":"article-journal","abstract":"Objective Ethnicity may affect presentation to clinical services in people with dementia; however, no studies have examined this in Māori or Pacific peoples in New Zealand (NZ). Our objective was to examine the routinely collected clinical data from a memory assessment service in South Auckland to examine the presentation of dementia in the major NZ ethnic groups. Methods A total of 360 patients presenting to a memory service with a new diagnosis of dementia were included in this study. Demographic data (age, sex, and ethnicity) and dementia sub-type and severity were analyzed. Results There were 142 NZ European (mean age: 79.2, SD 7.4), 43 Māori (mean age: 70.2, SD 7.6), 126 Pacific (mean age: 74.3, SD 7.6), and 49 other ethnicities (mean age: 78.0, SD 8.5) presenting with a new diagnosis of dementia. After adjustment for gender and dementia subtype, Māori and Pacific patients were 8.5 and 5.3 years younger than NZ European patients (P &lt; 0.0001). Pacific peoples tended to present with more advanced dementia (OR = 1.63, 95% CI: 0.98–2.70, P = 0.06) after adjustment for age and gender. There was little difference in the subtypes of dementia between ethnic groups. Conclusions Māori and Pacific peoples with dementia presented to an NZ memory service at a younger age than NZ Europeans, and Pacific peoples presented with more advanced dementia. A population-based epidemiological study is critical to determine whether Māori and Pacific peoples have indeed a higher risk of developing dementia at a younger age.","container-title":"International Journal of Geriatric Psychiatry","DOI":"10.1002/gps.4898","ISSN":"1099-1166","issue":"8","language":"en","note":"_eprint: https://onlinelibrary.wiley.com/doi/pdf/10.1002/gps.4898","page":"1098-1104","source":"Wiley Online Library","title":"Do community-dwelling Māori and Pacific peoples present with dementia at a younger age and at a later stage compared with NZ Europeans?","volume":"33","author":[{"family":"Cullum","given":"Sarah"},{"family":"Mullin","given":"Katherine"},{"family":"Zeng","given":"Irene"},{"family":"Yates","given":"Susan"},{"family":"Payman","given":"Vahid"},{"family":"Fisher","given":"Mark"},{"family":"Cheung","given":"Gary"}],"issued":{"date-parts":[["2018"]]}}}],"schema":"https://github.com/citation-style-language/schema/raw/master/csl-citation.json"} </w:instrText>
      </w:r>
      <w:r w:rsidRPr="00494820">
        <w:fldChar w:fldCharType="separate"/>
      </w:r>
      <w:r w:rsidRPr="00494820">
        <w:rPr>
          <w:rFonts w:cs="Arial"/>
          <w:vertAlign w:val="superscript"/>
        </w:rPr>
        <w:t>6,22</w:t>
      </w:r>
      <w:r w:rsidRPr="00494820">
        <w:fldChar w:fldCharType="end"/>
      </w:r>
      <w:r w:rsidRPr="00494820">
        <w:t xml:space="preserve"> The MANA tool was specifically developed to address the cultural needs of older Māori with cognitive impairment.</w:t>
      </w:r>
      <w:r w:rsidRPr="00494820">
        <w:rPr>
          <w:rStyle w:val="FootnoteReference"/>
          <w:sz w:val="22"/>
        </w:rPr>
        <w:footnoteReference w:id="10"/>
      </w:r>
      <w:r w:rsidRPr="00494820">
        <w:t xml:space="preserve"> </w:t>
      </w:r>
    </w:p>
    <w:p w14:paraId="4FDE4495" w14:textId="77777777" w:rsidR="00C91E12" w:rsidRPr="00494820" w:rsidRDefault="00C91E12" w:rsidP="00103A06">
      <w:pPr>
        <w:rPr>
          <w:lang w:eastAsia="ko-KR"/>
        </w:rPr>
      </w:pPr>
      <w:r w:rsidRPr="00494820">
        <w:t>Older people are more likely to experience greater cognitive impairment with lower levels of alcohol use.</w:t>
      </w:r>
      <w:r w:rsidRPr="00494820">
        <w:fldChar w:fldCharType="begin"/>
      </w:r>
      <w:r w:rsidRPr="00494820">
        <w:instrText xml:space="preserve"> ADDIN ZOTERO_ITEM CSL_CITATION {"citationID":"a1ho332qdjm","properties":{"formattedCitation":"\\super 3\\nosupersub{}","plainCitation":"3","noteIndex":0},"citationItems":[{"id":14007,"uris":["http://zotero.org/groups/4745233/items/U3GGYCKU"],"itemData":{"id":14007,"type":"report","event-place":"Richmond, Victoria","language":"en","publisher":"Turning Point","publisher-place":"Richmond, Victoria","source":"Zotero","title":"Managing Cognitive Impairment in AOD Treatment: Practice Guidelines for Healthcare Professionals","URL":"https://www.turningpoint.org.au/treatment/clinicians/Managing-Cognitive-Impairment-in-AOD-Treatment-Guidelines","author":[{"family":"Manning","given":"Victoria"},{"family":"Gooden","given":"James"},{"family":"Cox","given":"Catherine"},{"family":"Whelan","given":"Danielle"},{"family":"Miroz","given":"Katherine"}],"issued":{"date-parts":[["2021"]]}}}],"schema":"https://github.com/citation-style-language/schema/raw/master/csl-citation.json"} </w:instrText>
      </w:r>
      <w:r w:rsidRPr="00494820">
        <w:fldChar w:fldCharType="separate"/>
      </w:r>
      <w:r w:rsidRPr="00494820">
        <w:rPr>
          <w:rFonts w:cs="Arial"/>
          <w:vertAlign w:val="superscript"/>
        </w:rPr>
        <w:t>3</w:t>
      </w:r>
      <w:r w:rsidRPr="00494820">
        <w:fldChar w:fldCharType="end"/>
      </w:r>
      <w:r w:rsidRPr="00494820">
        <w:t xml:space="preserve"> There is an increased risk of overdose among older people due to age related changes in how alcohol and substances are processed.</w:t>
      </w:r>
      <w:r w:rsidRPr="00494820">
        <w:fldChar w:fldCharType="begin"/>
      </w:r>
      <w:r w:rsidRPr="00494820">
        <w:instrText xml:space="preserve"> ADDIN ZOTERO_ITEM CSL_CITATION {"citationID":"a1gg94fgbnm","properties":{"formattedCitation":"\\super 201\\nosupersub{}","plainCitation":"201","noteIndex":0},"citationItems":[{"id":14192,"uris":["http://zotero.org/groups/4745233/items/T69GPQ74"],"itemData":{"id":14192,"type":"book","abstract":"At least 5.6 million to 8 million--nearly one in five--older adults in America have one or more mental health and substance use conditions, which present unique challenges for their care. With the number of adults age 65 and older projected to soar from 40.3 million in 2010 to 72.1 million by 2030, the aging of America holds profound consequences for the nation. For decades, policymakers have been warned that the nation's health care workforce is ill-equipped to care for a rapidly growing and increasingly diverse population. In the specific disciplines of mental health and substance use, there have been similar warnings about serious workforce shortages, insufficient workforce diversity, and lack of basic competence and core knowledge in key areas. Following its 2008 report highlighting the urgency of expanding and strengthening the geriatric health care workforce, the IOM was asked by the Department of Health and Human Services to undertake a complementary study on the geriatric mental health and substance use workforce. The Mental Healt</w:instrText>
      </w:r>
      <w:r w:rsidRPr="00494820">
        <w:rPr>
          <w:lang w:eastAsia="ko-KR"/>
        </w:rPr>
        <w:instrText xml:space="preserve">h and Substance Use Workforce for Older Adults: In Whose Hands? assesses the needs of this population and the workforce that serves it. The breadth and magnitude of inadequate workforce training and personnel shortages have grown to such proportions, says the committee, that no single approach, nor a few isolated changes in disparate federal agencies or programs, can adequately address the issue. Overcoming these challenges will require focused and coordinated action by all.","call-number":"NBK201410","event-place":"Washington (DC)","ISBN":"978-0-309-25665-0","language":"eng","license":"Copyright 2012 by the National Academy of Sciences. All rights reserved.","note":"PMID: 24851291","publisher":"National Academies Press (US)","publisher-place":"Washington (DC)","source":"PubMed","title":"The mental health and substance use workforce for older adults: In whose hands?","title-short":"The Mental Health and Substance Use Workforce for Older Adults","URL":"http://www.ncbi.nlm.nih.gov/books/NBK201410/","author":[{"literal":"Committee on the Mental Health Workforce for Geriatric Populations"},{"literal":"Board on Health Care Services"},{"literal":"Institute of Medicine"}],"editor":[{"family":"Eden","given":"Jill"},{"family":"Maslow","given":"Katie"},{"family":"Le","given":"Mai"},{"family":"Blazer","given":"Dan"}],"accessed":{"date-parts":[["2023",1,13]]},"issued":{"date-parts":[["2012"]]}}}],"schema":"https://github.com/citation-style-language/schema/raw/master/csl-citation.json"} </w:instrText>
      </w:r>
      <w:r w:rsidRPr="00494820">
        <w:fldChar w:fldCharType="separate"/>
      </w:r>
      <w:r w:rsidRPr="00494820">
        <w:rPr>
          <w:rFonts w:cs="Arial"/>
          <w:vertAlign w:val="superscript"/>
          <w:lang w:eastAsia="ko-KR"/>
        </w:rPr>
        <w:t>201</w:t>
      </w:r>
      <w:r w:rsidRPr="00494820">
        <w:fldChar w:fldCharType="end"/>
      </w:r>
    </w:p>
    <w:p w14:paraId="1CF9F7B3" w14:textId="77777777" w:rsidR="00C91E12" w:rsidRPr="00494820" w:rsidRDefault="00C91E12" w:rsidP="00103A06">
      <w:r w:rsidRPr="00494820">
        <w:rPr>
          <w:lang w:eastAsia="ko-KR"/>
        </w:rPr>
        <w:t>When communicating use a slower pace, speak louder, and adapt for age-related impairments.</w:t>
      </w:r>
      <w:r w:rsidRPr="00494820">
        <w:fldChar w:fldCharType="begin"/>
      </w:r>
      <w:r w:rsidRPr="00494820">
        <w:rPr>
          <w:lang w:eastAsia="ko-KR"/>
        </w:rPr>
        <w:instrText xml:space="preserve"> ADDIN ZOTERO_ITEM CSL_CITATION {"citationID":"aoiauikqus","properties":{"formattedCitation":"\\super 202\\nosupersub{}","plainCitation":"202","noteIndex":0},"citationItems":[{"id":14191</w:instrText>
      </w:r>
      <w:r w:rsidRPr="00494820">
        <w:instrText xml:space="preserve">,"uris":["http://zotero.org/groups/4745233/items/AUIYSTAV"],"itemData":{"id":14191,"type":"document","title":"Substance abuse in older adults: A hidden problem.","URL":"https://www.buffalo.edu/content/dam/www/ria/PDFs/ES16ElderlySubAbuse.pdf","author":[{"literal":"University of Buffalo: Research Institute on Addictions"}],"accessed":{"date-parts":[["2022",10,28]]},"issued":{"date-parts":[["2015"]]}}}],"schema":"https://github.com/citation-style-language/schema/raw/master/csl-citation.json"} </w:instrText>
      </w:r>
      <w:r w:rsidRPr="00494820">
        <w:fldChar w:fldCharType="separate"/>
      </w:r>
      <w:r w:rsidRPr="00494820">
        <w:rPr>
          <w:rFonts w:cs="Arial"/>
          <w:vertAlign w:val="superscript"/>
        </w:rPr>
        <w:t>202</w:t>
      </w:r>
      <w:r w:rsidRPr="00494820">
        <w:fldChar w:fldCharType="end"/>
      </w:r>
      <w:r w:rsidRPr="00494820">
        <w:t xml:space="preserve"> </w:t>
      </w:r>
    </w:p>
    <w:p w14:paraId="00881FEA" w14:textId="77777777" w:rsidR="00C80164" w:rsidRPr="00494820" w:rsidRDefault="00C80164" w:rsidP="00103A06">
      <w:pPr>
        <w:pStyle w:val="Bulletpoint"/>
      </w:pPr>
      <w:r w:rsidRPr="00494820">
        <w:t xml:space="preserve">Respect and acknowledge people’s seniority and expertise gained through life experiences. </w:t>
      </w:r>
    </w:p>
    <w:p w14:paraId="013CF667" w14:textId="77777777" w:rsidR="00C80164" w:rsidRPr="00494820" w:rsidRDefault="00C80164" w:rsidP="00103A06">
      <w:pPr>
        <w:pStyle w:val="Bulletpoint"/>
      </w:pPr>
      <w:r w:rsidRPr="00494820">
        <w:t xml:space="preserve">Conditions of ageing (like dementia) may make speaking their language difficult, check what support they need to understand information. </w:t>
      </w:r>
    </w:p>
    <w:p w14:paraId="1AC58F35" w14:textId="77777777" w:rsidR="00C80164" w:rsidRPr="00494820" w:rsidRDefault="00C80164" w:rsidP="00103A06">
      <w:pPr>
        <w:pStyle w:val="Bulletpoint"/>
      </w:pPr>
      <w:r w:rsidRPr="00494820">
        <w:t>Link older people with grief services if needed as older people may have limited whānau for support.</w:t>
      </w:r>
      <w:r w:rsidRPr="00494820">
        <w:fldChar w:fldCharType="begin"/>
      </w:r>
      <w:r w:rsidRPr="00494820">
        <w:instrText xml:space="preserve"> ADDIN ZOTERO_ITEM CSL_CITATION {"citationID":"a2cqtg38np4","properties":{"formattedCitation":"\\super 202\\nosupersub{}","plainCitation":"202","noteIndex":0},"citationItems":[{"id":14191,"uris":["http://zotero.org/groups/4745233/items/AUIYSTAV"],"itemData":{"id":14191,"type":"document","title":"Substance abuse in older adults: A hidden problem.","URL":"https://www.buffalo.edu/content/dam/www/ria/PDFs/ES16ElderlySubAbuse.pdf","author":[{"literal":"University of Buffalo: Research Institute on Addictions"}],"accessed":{"date-parts":[["2022",10,28]]},"issued":{"date-parts":[["2015"]]}}}],"schema":"https://github.com/citation-style-language/schema/raw/master/csl-citation.json"} </w:instrText>
      </w:r>
      <w:r w:rsidRPr="00494820">
        <w:fldChar w:fldCharType="separate"/>
      </w:r>
      <w:r w:rsidRPr="00494820">
        <w:rPr>
          <w:rFonts w:cs="Arial"/>
          <w:vertAlign w:val="superscript"/>
        </w:rPr>
        <w:t>202</w:t>
      </w:r>
      <w:r w:rsidRPr="00494820">
        <w:fldChar w:fldCharType="end"/>
      </w:r>
    </w:p>
    <w:p w14:paraId="2813B5AA" w14:textId="77777777" w:rsidR="00C80164" w:rsidRPr="00494820" w:rsidRDefault="00C80164" w:rsidP="00103A06">
      <w:pPr>
        <w:pStyle w:val="Bulletpoint"/>
      </w:pPr>
      <w:r w:rsidRPr="00494820">
        <w:t>Check for a history of falls. Older people are more likely to be taking multiple medications and/or have multiple medical conditions that can compound cognitive impairment (falls can be a side effect).</w:t>
      </w:r>
      <w:r w:rsidRPr="00494820">
        <w:fldChar w:fldCharType="begin"/>
      </w:r>
      <w:r w:rsidRPr="00494820">
        <w:instrText xml:space="preserve"> ADDIN ZOTERO_ITEM CSL_CITATION {"citationID":"a24jqcmc1m5","properties":{"formattedCitation":"\\super 203\\nosupersub{}","plainCitation":"203","noteIndex":0},"citationItems":[{"id":14190,"uris":["http://zotero.org/groups/4745233/items/7MIK3IDX"],"itemData":{"id":14190,"type":"article-journal","container-title":"Mayo Clinic Proceedings","DOI":"10.1016/j.mayocp.2020.06.012","ISSN":"0025-6196, 1942-5546","issue":"1","journalAbbreviation":"Mayo Clinic Proceedings","language":"English","note":"publisher: Elsevier\nPMID: 33413822","page":"242-256","source":"www.mayoclinicproceedings.org","title":"Polypharmacy management in older patients","volume":"96","author":[{"family":"Hoel","given":"Robert William"},{"family":"Connolly","given":"Ryan M. Giddings"},{"family":"Takahashi","given":"Paul Y."}],"issued":{"date-parts":[["2021",1,1]]}}}],"schema":"https://github.com/citation-style-language/schema/raw/master/csl-citation.json"} </w:instrText>
      </w:r>
      <w:r w:rsidRPr="00494820">
        <w:fldChar w:fldCharType="separate"/>
      </w:r>
      <w:r w:rsidRPr="00494820">
        <w:rPr>
          <w:rFonts w:cs="Arial"/>
          <w:vertAlign w:val="superscript"/>
        </w:rPr>
        <w:t>203</w:t>
      </w:r>
      <w:r w:rsidRPr="00494820">
        <w:fldChar w:fldCharType="end"/>
      </w:r>
      <w:r w:rsidRPr="00494820">
        <w:t xml:space="preserve"> A history of falls can be associated with TBI.</w:t>
      </w:r>
      <w:r w:rsidRPr="00494820">
        <w:fldChar w:fldCharType="begin"/>
      </w:r>
      <w:r w:rsidRPr="00494820">
        <w:instrText xml:space="preserve"> ADDIN ZOTERO_ITEM CSL_CITATION {"citationID":"a84g2rrprk","properties":{"formattedCitation":"\\super 43\\nosupersub{}","plainCitation":"43","noteIndex":0},"citationItems":[{"id":14238,"uris":["http://zotero.org/groups/4745233/items/CXK4BTGU"],"itemData":{"id":14238,"type":"article-journal","abstract":"Clinicians should use a systematic approach to evaluating patients presenting with a concern for cognitive impairment. This approach includes interviewing a knowledgeable informant and performing a thorough mental status examination in order to determine the presence of functional impairments and the domains of cognition that are impaired. The results of this interview and examination determine the next steps of the diagnostic work-up. The pattern of cognitive impairment shapes the differential diagnosis. Treatment should address symptoms, and environmental, psychological, and behavioral interventions are essential.","container-title":"The Medical Clinics of North America","DOI":"10.1016/j.mcna.2020.06.007","ISSN":"0025-7125","issue":"5","journalAbbreviation":"Med Clin North Am","note":"PMID: 32773047\nPMCID: PMC7416715","page":"807-825","source":"PubMed Central","title":"Cognitive impairment evaluation and management","volume":"104","author":[{"family":"McCollum","given":"Lauren"},{"family":"Karlawish","given":"Jason"}],"issued":{"date-parts":[["2020",9]]}}}],"schema":"https://github.com/citation-style-language/schema/raw/master/csl-citation.json"} </w:instrText>
      </w:r>
      <w:r w:rsidRPr="00494820">
        <w:fldChar w:fldCharType="separate"/>
      </w:r>
      <w:r w:rsidRPr="00494820">
        <w:rPr>
          <w:rFonts w:cs="Arial"/>
          <w:vertAlign w:val="superscript"/>
        </w:rPr>
        <w:t>43</w:t>
      </w:r>
      <w:r w:rsidRPr="00494820">
        <w:fldChar w:fldCharType="end"/>
      </w:r>
      <w:r w:rsidRPr="00494820">
        <w:t xml:space="preserve"> People who are older at the time of a TBI tend to have worse outcomes.</w:t>
      </w:r>
      <w:r w:rsidRPr="00494820">
        <w:fldChar w:fldCharType="begin"/>
      </w:r>
      <w:r w:rsidRPr="00494820">
        <w:instrText xml:space="preserve"> ADDIN ZOTERO_ITEM CSL_CITATION {"citationID":"a235k7o0ju4","properties":{"formattedCitation":"\\super 3\\nosupersub{}","plainCitation":"3","noteIndex":0},"citationItems":[{"id":14007,"uris":["http://zotero.org/groups/4745233/items/U3GGYCKU"],"itemData":{"id":14007,"type":"report","event-place":"Richmond, Victoria","language":"en","publisher":"Turning Point","publisher-place":"Richmond, Victoria","source":"Zotero","title":"Managing Cognitive Impairment in AOD Treatment: Practice Guidelines for Healthcare Professionals","URL":"https://www.turningpoint.org.au/treatment/clinicians/Managing-Cognitive-Impairment-in-AOD-Treatment-Guidelines","author":[{"family":"Manning","given":"Victoria"},{"family":"Gooden","given":"James"},{"family":"Cox","given":"Catherine"},{"family":"Whelan","given":"Danielle"},{"family":"Miroz","given":"Katherine"}],"issued":{"date-parts":[["2021"]]}}}],"schema":"https://github.com/citation-style-language/schema/raw/master/csl-citation.json"} </w:instrText>
      </w:r>
      <w:r w:rsidRPr="00494820">
        <w:fldChar w:fldCharType="separate"/>
      </w:r>
      <w:r w:rsidRPr="00494820">
        <w:rPr>
          <w:rFonts w:cs="Arial"/>
          <w:vertAlign w:val="superscript"/>
        </w:rPr>
        <w:t>3</w:t>
      </w:r>
      <w:r w:rsidRPr="00494820">
        <w:fldChar w:fldCharType="end"/>
      </w:r>
    </w:p>
    <w:p w14:paraId="172CF7F1" w14:textId="77777777" w:rsidR="00C80164" w:rsidRPr="00494820" w:rsidRDefault="00C80164" w:rsidP="00103A06">
      <w:pPr>
        <w:pStyle w:val="Bulletpoint"/>
      </w:pPr>
      <w:r w:rsidRPr="00494820">
        <w:lastRenderedPageBreak/>
        <w:t>Ask about eating habits and any related difficulties such as difficulty swallowing. There is a higher risk of malnutrition among older people which can impact cognitive function.</w:t>
      </w:r>
      <w:r w:rsidRPr="00494820">
        <w:fldChar w:fldCharType="begin"/>
      </w:r>
      <w:r w:rsidRPr="00494820">
        <w:instrText xml:space="preserve"> ADDIN ZOTERO_ITEM CSL_CITATION {"citationID":"a2n76tkn752","properties":{"formattedCitation":"\\super 146,204\\nosupersub{}","plainCitation":"146,204","noteIndex":0},"citationItems":[{"id":13460,"uris":["http://zotero.org/groups/4745233/items/JYU2JVVJ"],"itemData":{"id":13460,"type":"article-journal","abstract":"Background/Aims\nWe developed and validated the Mini-Addenbrooke's Cognitive Examination (M-ACE) in dementia patients. Comparisons were also made with the Mini Mental State Examination (MMSE).\n\nMethod\nThe M-ACE was developed using Mokken scaling analysis in 117 dementia patients [behavioural variant frontotemporal dementia (bvFTD), n = 25; primary progressive aphasia (PPA), n = 49; Alzheimer's disease (AD), n = 34; corticobasal syndrome (CBS), n = 9] and validated in an independent sample of 164 dementia patients (bvFTD, n = 23; PPA, n = 82; AD, n = 38; CBS, n = 21) and 78 controls, who also completed the MMSE.\n\nResults\nThe M-ACE consists of 5 items with a maximum score of 30. Two cut-offs were identified: (1) ≤25/30 has both high sensitivity and specificity, and (2) ≤21/30 is almost certainly a score to have come from a dementia patient regardless of the clinical setting. The M-ACE is more sensitive than the MMSE and is less likely to have ceiling effects.\n\nConclusion\nThe M-ACE is a brief and sensitive cognitive screening tool for dementia. Two cut-offs (25 or 21) are recommended.","container-title":"Dementia and Geriatric Cognitive Disorders","DOI":"10.1159/000366040","ISSN":"1420-8008","issue":"1-2","journalAbbreviation":"Dement Geriatr Cogn Disord","note":"PMID: 25227877\nPMCID: PMC4774042","page":"1-11","source":"PubMed Central","title":"The Mini-Addenbrooke's Cognitive Examination: A New Assessment Tool for Dementia","title-short":"The Mini-Addenbrooke's Cognitive Examination","volume":"39","author":[{"family":"Hsieh","given":"Sharpley"},{"family":"McGrory","given":"Sarah"},{"family":"Leslie","given":"Felicity"},{"family":"Dawson","given":"Kate"},{"family":"Ahmed","given":"Samrah"},{"family":"Butler","given":"Chris R."},{"family":"Rowe","given":"James B."},{"family":"Mioshi","given":"Eneida"},{"family":"Hodges","given":"John R."}],"issued":{"date-parts":[["2015",1]]}}},{"id":14189,"uris":["http://zotero.org/groups/4745233/items/SWDNKQC9"],"itemData":{"id":14189,"type":"article-journal","abstract":"Objective\nTo investigate the characteristics of cognitive deficits in patients with post-stroke dysphagia, and to analyze the relationships between cognitive dysfunction and severity of dysphagia in supratentorial stroke.\n\nMethods\nA total of 55 patients with first-ever supratentorial lesion stroke were enrolled retrospectively, within 3 months of onset. We rated dysphagia from 0 (normal) to 4 (severe) using the dysphagia severity scale (DSS) through clinical examinations and videofluoroscopic swallowing studies (VFSS). The subjects were classified either as non-dysphagic (scale 0) or dysphagic (scale 1 to 4). We compared general characteristics, stroke severity and the functional scores of the two groups. We then performed comprehensive cognitive function tests and investigated the differences in cognitive performance between the two groups, and analyzed the correlation between cognitive test scores, DSS, and parameters of oral and pharyngeal phase.\n\nResults\nFugl-Meyer motor assessment, the Berg Balance Scale, and the Korean version of the Modified Barthel Index showed significant differences between the two groups. Cognitive test scores for the dysphagia group were significantly lower than the non-dysphagia group. Significant correlations were shown between dysphagia severity and certain cognitive subtest scores: visual span backward (p=0.039), trail making tests A (p=0.042) and B (p=0.002), and Raven progressive matrices (p=0.002). The presence of dysphagia was also significantly correlated with cognitive subtests, in particular for visual attention and executive attention (odds ratio [OR]=1.009; 95% confidence interval [CI], 1.002–1.016; p=0.017). Parameters of premature loss were also significantly correlated with the same subtests (OR=1.009; 95% CI, 1.002–1.016; p=0.017).\n\nConclusion\nOur results suggest that cognitive function is associated with the presence and severity of post-stroke dysphagia. Above all, visual attention and executive functions may have meaningful influence on the oral phase of swallowing in stroke patients with supratentorial lesions.","container-title":"Annals of Rehabilitation Medicine","DOI":"10.5535/arm.2017.41.4.564","ISSN":"2234-0645","issue":"4","journalAbbreviation":"Ann Rehabil Med","note":"PMID: 28971040\nPMCID: PMC5608663","page":"564-572","source":"PubMed Central","title":"Relationship between cognitive function and dysphagia after stroke","volume":"41","author":[{"family":"Jo","given":"Soo Yung"},{"family":"Hwang","given":"Jeong-Won"},{"family":"Pyun","given":"Sung-Bom"}],"issued":{"date-parts":[["2017",8]]}}}],"schema":"https://github.com/citation-style-language/schema/raw/master/csl-citation.json"} </w:instrText>
      </w:r>
      <w:r w:rsidRPr="00494820">
        <w:fldChar w:fldCharType="separate"/>
      </w:r>
      <w:r w:rsidRPr="00494820">
        <w:rPr>
          <w:rFonts w:cs="Arial"/>
          <w:vertAlign w:val="superscript"/>
        </w:rPr>
        <w:t>146,204</w:t>
      </w:r>
      <w:r w:rsidRPr="00494820">
        <w:fldChar w:fldCharType="end"/>
      </w:r>
    </w:p>
    <w:p w14:paraId="333084B9" w14:textId="77777777" w:rsidR="00C80164" w:rsidRPr="00494820" w:rsidRDefault="00C80164" w:rsidP="00103A06">
      <w:pPr>
        <w:pStyle w:val="Bulletpoint"/>
      </w:pPr>
      <w:r w:rsidRPr="00494820">
        <w:t>Teach cognitive rehabilitation and remediation which can improve activities of daily living in mild cognitive impairment and early stage dementia.</w:t>
      </w:r>
      <w:r w:rsidRPr="00494820">
        <w:fldChar w:fldCharType="begin"/>
      </w:r>
      <w:r w:rsidRPr="00494820">
        <w:instrText xml:space="preserve"> ADDIN ZOTERO_ITEM CSL_CITATION {"citationID":"a2dslh7s8j3","properties":{"formattedCitation":"\\super 205\\nosupersub{}","plainCitation":"205","noteIndex":0},"citationItems":[{"id":12740,"uris":["http://zotero.org/groups/4745233/items/YC3D87C2"],"itemData":{"id":12740,"type":"article-journal","abstract":"Instrumental activities of daily living are essential for ageing well and independent living. Little is known about the effectiveness of cognitive remediation on instrumental activities of daily living performance for individuals with mild cognitive impairment or early-stage dementia. The objective of this study was to evaluate the immediate and long-term carryover effects of cognitive remediation on improving or maintaining instrumental activities of daily living performance in older adults with mild cognitive impairment and early-stage dementia.","container-title":"Systematic Reviews","DOI":"10.1186/s13643-022-02032-0","ISSN":"2046-4053","issue":"1","journalAbbreviation":"Systematic Reviews","page":"156","source":"BioMed Central","title":"Efficacy of cognitive remediation on activities of daily living in individuals with mild cognitive impairment or early-stage dementia: a systematic review and meta-analysis","title-short":"Efficacy of cognitive remediation on activities of daily living in individuals with mild cognitive impairment or early-stage dementia","volume":"11","author":[{"family":"Tulliani","given":"Nikki"},{"family":"Bissett","given":"Michelle"},{"family":"Fahey","given":"Paul"},{"family":"Bye","given":"Rosalind"},{"family":"Liu","given":"Karen P. Y."}],"issued":{"date-parts":[["2022",8,2]]}}}],"schema":"https://github.com/citation-style-language/schema/raw/master/csl-citation.json"} </w:instrText>
      </w:r>
      <w:r w:rsidRPr="00494820">
        <w:fldChar w:fldCharType="separate"/>
      </w:r>
      <w:r w:rsidRPr="00494820">
        <w:rPr>
          <w:rFonts w:cs="Arial"/>
          <w:vertAlign w:val="superscript"/>
        </w:rPr>
        <w:t>205</w:t>
      </w:r>
      <w:r w:rsidRPr="00494820">
        <w:fldChar w:fldCharType="end"/>
      </w:r>
    </w:p>
    <w:p w14:paraId="676076D2" w14:textId="77777777" w:rsidR="00C80164" w:rsidRPr="00494820" w:rsidRDefault="00C80164" w:rsidP="00103A06">
      <w:pPr>
        <w:pStyle w:val="Bulletpoint"/>
      </w:pPr>
      <w:r w:rsidRPr="00494820">
        <w:t>Encourage physical and social/community activity as it is associated with better cognitive functioning.</w:t>
      </w:r>
      <w:r w:rsidRPr="00494820">
        <w:fldChar w:fldCharType="begin"/>
      </w:r>
      <w:r w:rsidRPr="00494820">
        <w:instrText xml:space="preserve"> ADDIN ZOTERO_ITEM CSL_CITATION {"citationID":"a2jk6j9t11d","properties":{"formattedCitation":"\\super 206\\nosupersub{}","plainCitation":"206","noteIndex":0},"citationItems":[{"id":14188,"uris":["http://zotero.org/groups/4745233/items/8TP6L3BY"],"itemData":{"id":14188,"type":"article-journal","abstract":"The prevalence of alcohol use disorder (AUD) among older adults in the United States is rising, but remains underdiagnosed, underreported, and inadequately managed. This review highlights the medical, social, and cultural factors of AUD in older adults and provides guidelines for its screening, evaluation, and management.","container-title":"Current Geriatrics Reports","DOI":"10.1007/s13670-021-00359-5","ISSN":"2196-7865","issue":"3","journalAbbreviation":"Curr Geri Rep","language":"en","page":"82-90","source":"Springer Link","title":"Evaluation and management of alcohol use disorder among older adults","volume":"10","author":[{"family":"Joshi","given":"Pallavi"},{"family":"Duong","given":"Karen T."},{"family":"Trevisan","given":"Louis A."},{"family":"Wilkins","given":"Kirsten M."}],"issued":{"date-parts":[["2021",9,1]]}}}],"schema":"https://github.com/citation-style-language/schema/raw/master/csl-citation.json"} </w:instrText>
      </w:r>
      <w:r w:rsidRPr="00494820">
        <w:fldChar w:fldCharType="separate"/>
      </w:r>
      <w:r w:rsidRPr="00494820">
        <w:rPr>
          <w:rFonts w:cs="Arial"/>
          <w:vertAlign w:val="superscript"/>
        </w:rPr>
        <w:t>206</w:t>
      </w:r>
      <w:r w:rsidRPr="00494820">
        <w:fldChar w:fldCharType="end"/>
      </w:r>
    </w:p>
    <w:p w14:paraId="7ABB5507" w14:textId="77777777" w:rsidR="00C80164" w:rsidRPr="00494820" w:rsidRDefault="00C80164" w:rsidP="00103A06">
      <w:pPr>
        <w:pStyle w:val="Bulletpoint"/>
      </w:pPr>
      <w:r w:rsidRPr="00494820">
        <w:t>Consider usual or normal cognitive changes with age rather than assuming all changes are due to a specific condition.</w:t>
      </w:r>
      <w:r w:rsidRPr="00494820">
        <w:fldChar w:fldCharType="begin"/>
      </w:r>
      <w:r w:rsidRPr="00494820">
        <w:instrText xml:space="preserve"> ADDIN ZOTERO_ITEM CSL_CITATION {"citationID":"ahmt827cbu","properties":{"formattedCitation":"\\super 207\\nosupersub{}","plainCitation":"207","noteIndex":0},"citationItems":[{"id":14186,"uris":["http://zotero.org/groups/4745233/items/WTTP6BMH"],"itemData":{"id":14186,"type":"article-journal","container-title":"Clinics in geriatric medicine","DOI":"10.1016/j.cger.2013.07.002","ISSN":"0749-0690","issue":"4","journalAbbreviation":"Clin Geriatr Med","note":"PMID: 24094294\nPMCID: PMC4015335","page":"737-752","source":"PubMed Central","title":"Normal cognitive aging","volume":"29","author":[{"family":"Harada","given":"Caroline N."},{"family":"Natelson Love","given":"Marissa C."},{"family":"Triebel","given":"Kristen"}],"issued":{"date-parts":[["2013",11]]}}}],"schema":"https://github.com/citation-style-language/schema/raw/master/csl-citation.json"} </w:instrText>
      </w:r>
      <w:r w:rsidRPr="00494820">
        <w:fldChar w:fldCharType="separate"/>
      </w:r>
      <w:r w:rsidRPr="00494820">
        <w:rPr>
          <w:rFonts w:cs="Arial"/>
          <w:vertAlign w:val="superscript"/>
        </w:rPr>
        <w:t>207</w:t>
      </w:r>
      <w:r w:rsidRPr="00494820">
        <w:fldChar w:fldCharType="end"/>
      </w:r>
      <w:r w:rsidRPr="00494820">
        <w:t xml:space="preserve"> </w:t>
      </w:r>
    </w:p>
    <w:p w14:paraId="7FB9E3ED" w14:textId="77777777" w:rsidR="00C80164" w:rsidRPr="00494820" w:rsidRDefault="00C80164" w:rsidP="00103A06">
      <w:pPr>
        <w:pStyle w:val="Bulletpoint"/>
      </w:pPr>
      <w:r w:rsidRPr="00494820">
        <w:t>If available, link people to services that are specific to older people.</w:t>
      </w:r>
    </w:p>
    <w:p w14:paraId="1969FB01" w14:textId="77777777" w:rsidR="00C80164" w:rsidRDefault="00C80164" w:rsidP="00C80164">
      <w:pPr>
        <w:spacing w:after="160" w:line="259" w:lineRule="auto"/>
        <w:rPr>
          <w:color w:val="000000" w:themeColor="text1"/>
          <w:sz w:val="22"/>
        </w:rPr>
      </w:pPr>
      <w:bookmarkStart w:id="2794" w:name="_Toc142655481"/>
      <w:bookmarkStart w:id="2795" w:name="_Toc144657489"/>
      <w:bookmarkStart w:id="2796" w:name="_Toc145670771"/>
      <w:bookmarkStart w:id="2797" w:name="_Toc145854385"/>
      <w:bookmarkStart w:id="2798" w:name="_Toc146024304"/>
      <w:bookmarkStart w:id="2799" w:name="_Toc146624897"/>
      <w:bookmarkStart w:id="2800" w:name="_Toc146714258"/>
    </w:p>
    <w:p w14:paraId="11CF0B3D" w14:textId="77777777" w:rsidR="00C80164" w:rsidRPr="00B36302" w:rsidRDefault="00C80164" w:rsidP="00C80164">
      <w:pPr>
        <w:spacing w:after="160" w:line="259" w:lineRule="auto"/>
        <w:rPr>
          <w:rFonts w:eastAsiaTheme="majorEastAsia" w:cstheme="majorBidi"/>
          <w:b/>
          <w:bCs/>
          <w:color w:val="4D2379" w:themeColor="accent4"/>
          <w:sz w:val="28"/>
          <w:szCs w:val="28"/>
        </w:rPr>
      </w:pPr>
      <w:r w:rsidRPr="00B36302">
        <w:rPr>
          <w:b/>
          <w:bCs/>
          <w:color w:val="4D2379" w:themeColor="accent4"/>
          <w:sz w:val="28"/>
          <w:szCs w:val="28"/>
        </w:rPr>
        <w:t>Younger people</w:t>
      </w:r>
      <w:bookmarkEnd w:id="2794"/>
      <w:bookmarkEnd w:id="2795"/>
      <w:bookmarkEnd w:id="2796"/>
      <w:bookmarkEnd w:id="2797"/>
      <w:bookmarkEnd w:id="2798"/>
      <w:bookmarkEnd w:id="2799"/>
      <w:bookmarkEnd w:id="2800"/>
      <w:r w:rsidRPr="00B36302">
        <w:rPr>
          <w:b/>
          <w:bCs/>
          <w:color w:val="4D2379" w:themeColor="accent4"/>
          <w:sz w:val="28"/>
          <w:szCs w:val="28"/>
        </w:rPr>
        <w:t xml:space="preserve"> </w:t>
      </w:r>
    </w:p>
    <w:p w14:paraId="4EEEEDA3" w14:textId="77777777" w:rsidR="00C80164" w:rsidRPr="00494820" w:rsidRDefault="00C80164" w:rsidP="00103A06">
      <w:r w:rsidRPr="00494820">
        <w:t>Young people are at higher risk of cognitive impairment from substance use due to the developing brain. Substance use during adolescence can have more significant and long-term impacts.</w:t>
      </w:r>
      <w:r w:rsidRPr="00494820">
        <w:fldChar w:fldCharType="begin"/>
      </w:r>
      <w:r w:rsidRPr="00494820">
        <w:instrText xml:space="preserve"> ADDIN ZOTERO_ITEM CSL_CITATION {"citationID":"an4sjtk34r","properties":{"formattedCitation":"\\super 44\\nosupersub{}","plainCitation":"44","noteIndex":0},"citationItems":[{"id":5807,"uris":["http://zotero.org/groups/2824487/items/7TQ486YX"],"itemData":{"id":5807,"type":"article-journal","abstract":"Adolescence is a unique period in neurodevelopment. Alcohol and marijuana use are common. Recent research has indicated that adolescent substance users show abnormalities on measures of brain functioning, which is linked to changes in neurocognition over time. Abnormalities have been seen in brain structure volume, white matter quality, and activation to cognitive tasks, even in youth with as little as 1–2 years of heavy drinking and consumption levels of 20 drinks per month, especially if &gt;4–5 drinks are consumed on a single occasion. Heavy marijuana users show some subtle anomalies too, but generally not the same degree of divergence from demographically similar non-using adolescents. This article reviews the extant literature on neurocognition, brain structure, and brain function in adolescent substance users with an emphasis on the most commonly used substances, and in the context of ongoing neuromaturational processes. Methodological and treatment implications are provided.","container-title":"Clinical EEG and neuroscience : official journal of the EEG and Clinical Neuroscience Society (ENCS)","ISSN":"1550-0594","issue":"1","journalAbbreviation":"Clin EEG Neurosci","note":"PMID: 19278130\nPMCID: PMC2827693","page":"31-38","source":"PubMed Central","title":"The Influence of Substance Use on Adolescent Brain Development","volume":"40","author":[{"family":"Squeglia","given":"L. M."},{"family":"Jacobus","given":"J."},{"family":"Tapert","given":"S. F."}],"issued":{"date-parts":[["2009",1]]}}}],"schema":"https://github.com/citation-style-language/schema/raw/master/csl-citation.json"} </w:instrText>
      </w:r>
      <w:r w:rsidRPr="00494820">
        <w:fldChar w:fldCharType="separate"/>
      </w:r>
      <w:r w:rsidRPr="00494820">
        <w:rPr>
          <w:rFonts w:cs="Arial"/>
          <w:vertAlign w:val="superscript"/>
        </w:rPr>
        <w:t>44</w:t>
      </w:r>
      <w:r w:rsidRPr="00494820">
        <w:fldChar w:fldCharType="end"/>
      </w:r>
      <w:r w:rsidRPr="00494820">
        <w:t xml:space="preserve"> </w:t>
      </w:r>
    </w:p>
    <w:p w14:paraId="3F1F752F" w14:textId="77777777" w:rsidR="00C80164" w:rsidRPr="00494820" w:rsidRDefault="00C80164" w:rsidP="00103A06">
      <w:r w:rsidRPr="00494820">
        <w:t>Higher risk youth in particular are those that have experienced homelessness or are in contact with the justice system.</w:t>
      </w:r>
      <w:r w:rsidRPr="00494820">
        <w:fldChar w:fldCharType="begin"/>
      </w:r>
      <w:r w:rsidRPr="00494820">
        <w:instrText xml:space="preserve"> ADDIN ZOTERO_ITEM CSL_CITATION {"citationID":"a12mc797r3n","properties":{"formattedCitation":"\\super 3,5,21,208\\nosupersub{}","plainCitation":"3,5,21,208","noteIndex":0},"citationItems":[{"id":14241,"uris":["http://zotero.org/groups/4745233/items/85YD6GBN"],"itemData":{"id":14241,"type":"article-journal","abstract":"Objective: Homeless and marginally housed youth are particularly vulnerable members of society, and are known to experience numerous health problems, including psychiatric illness, substance use, and viral infection. Despite the presence of these risk factors for cognitive compromise, there is limited research on the cognitive functioning of homeless and marginally housed youth. The present study examines the degree and pattern of cognitive impairment and associations with key risk factors in a sample of marginally housed young adults.Method: Participants (N = 101) aged 20–29 years old were recruited from single-room occupancy hotels, and underwent cognitive, psychiatric, neurological, and serological assessments.Results: Forty percent of participants were identified as mildly cognitively impaired across multiple domains, and 16% were moderately-severely impaired. Deficits in memory and attention were most prevalent, while impairments in inhibitory control/processing speed and cognitive flexibility were also present but tended to be less severe. Developmental and historical factors (premorbid intellectual functioning, neurological soft signs, earlier exposure to and longer duration of homelessness or marginal housing), as well as current health risks (stimulant dependence and hepatitis C exposure), were associated with cognitive impairment.Conclusions: The strikingly high rate of cognitive impairment in marginally housed young adults represents a major public health concern and is likely to pose a significant barrier to treatment and rehabilitation. These results suggest that the pathway to cognitive impairment involves both developmental vulnerability and modifiable risk factors. This study highlights the need for early interventions that address cognitive impairment and risk factors in marginalized young people.","container-title":"Frontiers in Public Health","ISSN":"2296-2565","source":"Frontiers","title":"Cognitive impairment in marginally housed youth: Prevalence and risk factors","title-short":"Cognitive Impairment in Marginally Housed Youth","URL":"https://www.frontiersin.org/articles/10.3389/fpubh.2019.00270","volume":"7","author":[{"family":"Waclawik","given":"Kristina"},{"family":"Jones","given":"Andrea A."},{"family":"Barbic","given":"Skye P."},{"family":"Gicas","given":"Kristina M."},{"family":"O'Connor","given":"Tiffany A."},{"family":"Smith","given":"Geoffrey N."},{"family":"Leonova","given":"Olga"},{"family":"Mathias","given":"Steve"},{"family":"Barr","given":"Alasdair M."},{"family":"Procyshyn","given":"Ric M."},{"family":"Lang","given":"Donna J."},{"family":"Woodward","given":"Melissa L."},{"family":"MacEwan","given":"G. William"},{"family":"Panenka","given":"William J."},{"family":"Yamamoto","given":"Aiko"},{"family":"Honer","given":"William G."},{"family":"Thornton","given":"Allen E."}],"accessed":{"date-parts":[["2022",9,28]]},"issued":{"date-parts":[["2019"]]}}},{"id":13156,"uris":["http://zotero.org/groups/4745233/items/6665C8E5"],"itemData":{"id":13156,"type":"article-journal","container-title":"Journal of Adolescence","DOI":"10.1016/j.adolescence.2019.02.011","language":"en","note":"DOI: 10.1016/j.adolescence.2019.02.011","page":"64-69","title":"Examining patterns of cognitive impairment among homeless and precariously housed urban youth","volume":"72","author":[{"family":"Barone","given":"Carmelina"},{"family":"Yamamoto","given":"Aiko"},{"family":"Richardson","given":"Chris G"},{"family":"Zivanovic","given":"Rebecca"},{"family":"Lin","given":"Daniel"},{"family":"Mathias","given":"Steve"}],"issued":{"date-parts":[["2019"]]}}},{"id":13583,"uris":["http://zotero.org/groups/4745233/items/JWP22RQ3"],"itemData":{"id":13583,"type":"document","language":"en","publisher":"Office of the Prime Minister's Chief Science Advisor","source":"Zotero","title":"What were they thinking? A discussion paper on brain and behaviour in relation to the justice system in New Zealand","author":[{"family":"Lambie","given":"Dr Ian"}],"issued":{"date-parts":[["2020"]]}}},{"id":14007,"uris":["http://zotero.org/groups/4745233/items/U3GGYCKU"],"itemData":{"id":14007,"type":"report","event-place":"Richmond, Victoria","language":"en","publisher":"Turning Point","publisher-place":"Richmond, Victoria","source":"Zotero","title":"Managing Cognitive Impairment in AOD Treatment: Practice Guidelines for Healthcare Professionals","URL":"https://www.turningpoint.org.au/treatment/clinicians/Managing-Cognitive-Impairment-in-AOD-Treatment-Guidelines","author":[{"family":"Manning","given":"Victoria"},{"family":"Gooden","given":"James"},{"family":"Cox","given":"Catherine"},{"family":"Whelan","given":"Danielle"},{"family":"Miroz","given":"Katherine"}],"issued":{"date-parts":[["2021"]]}}}],"schema":"https://github.com/citation-style-language/schema/raw/master/csl-citation.json"} </w:instrText>
      </w:r>
      <w:r w:rsidRPr="00494820">
        <w:fldChar w:fldCharType="separate"/>
      </w:r>
      <w:r w:rsidRPr="00494820">
        <w:rPr>
          <w:rFonts w:cs="Arial"/>
          <w:vertAlign w:val="superscript"/>
        </w:rPr>
        <w:t>3,5,21,208</w:t>
      </w:r>
      <w:r w:rsidRPr="00494820">
        <w:fldChar w:fldCharType="end"/>
      </w:r>
      <w:r w:rsidRPr="00494820">
        <w:t xml:space="preserve"> Rainbow communities are more likely to have experienced trauma, with young rainbow people at highest risk.</w:t>
      </w:r>
      <w:r w:rsidRPr="00494820">
        <w:fldChar w:fldCharType="begin"/>
      </w:r>
      <w:r w:rsidRPr="00494820">
        <w:instrText xml:space="preserve"> ADDIN ZOTERO_ITEM CSL_CITATION {"citationID":"a2inqie0ko3","properties":{"formattedCitation":"\\super 26,126\\nosupersub{}","plainCitation":"26,126","noteIndex":0},"citationItems":[{"id":7462,"uris":["http://zotero.org/groups/4370511/items/TFYREHNR"],"itemData":{"id":7462,"type":"document","abstract":"Weaving together knowledge for wellbeing helps you recognise, understand and respond in a trauma-informed way for people with mental health and addiction needs","language":"en","title":"Weaving together knowledge for wellbeing | Trauma informed approaches","URL":"https://www.tepou.co.nz/resources/weaving-together-knowledge-for-wellbeing-trauma-informed-approaches","author":[{"literal":"Te Pou"}],"accessed":{"date-parts":[["2021",7,15]]},"issued":{"date-parts":[["2021"]]}}},{"id":12592,"uris":["http://zotero.org/groups/4745233/items/A7GZXMYR"],"itemData":{"id":12592,"type":"report","title":"The health and wellbeing of takatāpui and rainbow young people who have been involved with Oranga Tamariki","URL":"https://static1.squarespace.com/static/5bdbb75ccef37259122e59aa/t/62f0493ef40d2b16900c5dde/1659914561676/Takat%C4%81pui+and+Rainbow+young+people+involved+with+Oranga+Tamariki_Youth19_.pdf","author":[{"literal":"The Youth19 Research Group"}],"accessed":{"date-parts":[["2023",2,3]]},"issued":{"date-parts":[["2022"]]}},"label":"page"}],"schema":"https://github.com/citation-style-language/schema/raw/master/csl-citation.json"} </w:instrText>
      </w:r>
      <w:r w:rsidRPr="00494820">
        <w:fldChar w:fldCharType="separate"/>
      </w:r>
      <w:r w:rsidRPr="00494820">
        <w:rPr>
          <w:rFonts w:cs="Arial"/>
          <w:vertAlign w:val="superscript"/>
        </w:rPr>
        <w:t>26,126</w:t>
      </w:r>
      <w:r w:rsidRPr="00494820">
        <w:fldChar w:fldCharType="end"/>
      </w:r>
      <w:r w:rsidRPr="00494820">
        <w:t xml:space="preserve"> Young people in contact with the justice system may be more likely to experience a range of learning difficulties.</w:t>
      </w:r>
      <w:r w:rsidRPr="00494820">
        <w:fldChar w:fldCharType="begin"/>
      </w:r>
      <w:r w:rsidRPr="00494820">
        <w:instrText xml:space="preserve"> ADDIN ZOTERO_ITEM CSL_CITATION {"citationID":"a1jgnr29m6d","properties":{"formattedCitation":"\\super 3\\nosupersub{}","plainCitation":"3","noteIndex":0},"citationItems":[{"id":14007,"uris":["http://zotero.org/groups/4745233/items/U3GGYCKU"],"itemData":{"id":14007,"type":"report","event-place":"Richmond, Victoria","language":"en","publisher":"Turning Point","publisher-place":"Richmond, Victoria","source":"Zotero","title":"Managing Cognitive Impairment in AOD Treatment: Practice Guidelines for Healthcare Professionals","URL":"https://www.turningpoint.org.au/treatment/clinicians/Managing-Cognitive-Impairment-in-AOD-Treatment-Guidelines","author":[{"family":"Manning","given":"Victoria"},{"family":"Gooden","given":"James"},{"family":"Cox","given":"Catherine"},{"family":"Whelan","given":"Danielle"},{"family":"Miroz","given":"Katherine"}],"issued":{"date-parts":[["2021"]]}}}],"schema":"https://github.com/citation-style-language/schema/raw/master/csl-citation.json"} </w:instrText>
      </w:r>
      <w:r w:rsidRPr="00494820">
        <w:fldChar w:fldCharType="separate"/>
      </w:r>
      <w:r w:rsidRPr="00494820">
        <w:rPr>
          <w:rFonts w:cs="Arial"/>
          <w:vertAlign w:val="superscript"/>
        </w:rPr>
        <w:t>3</w:t>
      </w:r>
      <w:r w:rsidRPr="00494820">
        <w:fldChar w:fldCharType="end"/>
      </w:r>
    </w:p>
    <w:p w14:paraId="34DF664A" w14:textId="77777777" w:rsidR="00C80164" w:rsidRPr="00494820" w:rsidRDefault="00C80164" w:rsidP="00103A06">
      <w:r w:rsidRPr="00494820">
        <w:t>A TBI during childhood or adolescence may impact brain development (and TBI is more common among Māori children and adolescents compared to non-Māori).</w:t>
      </w:r>
      <w:r w:rsidRPr="00494820">
        <w:fldChar w:fldCharType="begin"/>
      </w:r>
      <w:r w:rsidRPr="00494820">
        <w:instrText xml:space="preserve"> ADDIN ZOTERO_ITEM CSL_CITATION {"citationID":"at11b3hju0","properties":{"formattedCitation":"\\super 54,209\\nosupersub{}","plainCitation":"54,209","noteIndex":0},"citationItems":[{"id":14216,"uris":["http://zotero.org/groups/4745233/items/866CDPL8"],"itemData":{"id":14216,"type":"report","publisher":"Addiction Technology Transfer Center Network","title":"Traumatic brain injury and substance use disorders: Making the connections","URL":"https://attcnetwork.org/sites/default/files/2021-11/TBI%20%20SUD%20Toolkit%20FINAL%2011.05.2021.pdf","author":[{"family":"Lemsky","given":"Carolyn"}],"collection-editor":[{"family":"Stilen","given":"P"},{"family":"Heitkamp","given":"T"}],"accessed":{"date-parts":[["2022",12,15]]},"issued":{"date-parts":[["2021"]]}}},{"id":13585,"uris":["http://zotero.org/groups/4745233/items/B57AXGSZ"],"itemData":{"id":13585,"type":"thesis","language":"en","publisher":"Massey University","source":"Zotero","title":"Tuku iho, he tapu te upoko = From our ancestors, the head is sacred : Indigenous theory building and therapeutic framework development for Māori children and adolescents with traumatic brain injury : a thesis presented in partial fulfilment of the requirements for the degree of Doctor of Philosophy in Public Health, Massey University, Wellington, New Zealand","author":[{"family":"Elder","given":"Hinemoa"}],"issued":{"date-parts":[["2012"]]}}}],"schema":"https://github.com/citation-style-language/schema/raw/master/csl-citation.json"} </w:instrText>
      </w:r>
      <w:r w:rsidRPr="00494820">
        <w:fldChar w:fldCharType="separate"/>
      </w:r>
      <w:r w:rsidRPr="00494820">
        <w:rPr>
          <w:rFonts w:cs="Arial"/>
          <w:vertAlign w:val="superscript"/>
        </w:rPr>
        <w:t>54,209</w:t>
      </w:r>
      <w:r w:rsidRPr="00494820">
        <w:fldChar w:fldCharType="end"/>
      </w:r>
      <w:r w:rsidRPr="00494820">
        <w:t xml:space="preserve"> </w:t>
      </w:r>
      <w:r w:rsidRPr="00494820">
        <w:rPr>
          <w:rFonts w:cs="Arial"/>
        </w:rPr>
        <w:t>People who started using cannabis when young, or who use regularly (daily or almost daily) during adolescence can have more significant and lasting impacts on cognitive function.</w:t>
      </w:r>
      <w:r w:rsidRPr="00494820">
        <w:rPr>
          <w:rFonts w:cs="Arial"/>
        </w:rPr>
        <w:fldChar w:fldCharType="begin"/>
      </w:r>
      <w:r w:rsidRPr="00494820">
        <w:rPr>
          <w:rFonts w:cs="Arial"/>
        </w:rPr>
        <w:instrText xml:space="preserve"> ADDIN ZOTERO_ITEM CSL_CITATION {"citationID":"a103cf0u7om","properties":{"formattedCitation":"\\super 3,101\\nosupersub{}","plainCitation":"3,101","noteIndex":0},"citationItems":[{"id":14223,"uris":["http://zotero.org/groups/4745233/items/XAS4DCHB"],"itemData":{"id":14223,"type":"article-journal","abstract":"In recent years, several jurisdictions have revised their regulation policy toward both medical and recreational use of cannabis. These changes have elicited concerns regarding how legalization impacts academic achievement and work performance. This review evaluates the acute and long-term (residual) association between cannabis use and cognitive functioning that underlies poor academic and work performance. Relative to other reviews, this article focuses on cross-over randomized controlled trials and prospective designs given that they allow to test the impairing effects of cannabis exposure at the within-subject level. Acute cannabis cognitive effects are discussed separately for known confounding factors such as levels of delta-9-tetrahydrocannabinol (Δ9-THC), Δ9-THC:cannabidiol ratio, previous cannabis use and, comorbidity with psychosis-spectrum disorders. The cognitive residual effects of cannabis are detailed in relation to duration of abstinence, frequency of use, comorbidity with psychosis-spectrum disorders, types of cognitive domains assessed, and age of cannabis use initiation. Moreover, considering the fact that adequate longitudinal studies can make inferences about causality between cannabis use and impaired cognitive functioning when disentangling between-subject from within-subject variation, proofs for the three main non-mutually exclusive hypotheses about this relationship will be presented: i) the cognitive vulnerability hypothesis as part of the more general common antecedent hypothesis, ii) the concurrent cannabis impairing hypothesis, and iii) the neurotoxic hypothesis of cannabis. Current research provides evidence for mild to moderate acute cannabis effects on episodic and working memory, processing speed, and executive functions. Mild residual impairing effects were also observed in these exact same cognitive domains, suggesting that adverse effects following cannabis intoxication persist at least days or weeks following cannabis abstinence. Relative to adult-onset, adolescent-onset cannabis use seems to explain the dose-response relationship and is associated with longer lasting residual effects even in mild users (","container-title":"Frontiers in Psychiatry","ISSN":"1664-0640","source":"Frontiers","title":"Cannabis and cognitive functioning: From acute to residual effects, from randomized controlled trials to prospective designs","title-short":"Cannabis and Cognitive Functioning","URL":"https://www.frontiersin.org/articles/10.3389/fpsyt.2021.596601","volume":"12","author":[{"family":"Bourque","given":"Josiane"},{"family":"Potvin","given":"Stéphane"}],"accessed":{"date-parts":[["2022",10,5]]},"issued":{"date-parts":[["2021"]]}}},{"id":14007,"uris":["http://zotero.org/groups/4745233/items/U3GGYCKU"],"itemData":{"id":14007,"type":"report","event-place":"Richmond, Victoria","language":"en","publisher":"Turning Point","publisher-place":"Richmond, Victoria","source":"Zotero","title":"Managing Cognitive Impairment in AOD Treatment: Practice Guidelines for Healthcare Professionals","URL":"https://www.turningpoint.org.au/treatment/clinicians/Managing-Cognitive-Impairment-in-AOD-Treatment-Guidelines","author":[{"family":"Manning","given":"Victoria"},{"family":"Gooden","given":"James"},{"family":"Cox","given":"Catherine"},{"family":"Whelan","given":"Danielle"},{"family":"Miroz","given":"Katherine"}],"issued":{"date-parts":[["2021"]]}}}],"schema":"https://github.com/citation-style-language/schema/raw/master/csl-citation.json"} </w:instrText>
      </w:r>
      <w:r w:rsidRPr="00494820">
        <w:rPr>
          <w:rFonts w:cs="Arial"/>
        </w:rPr>
        <w:fldChar w:fldCharType="separate"/>
      </w:r>
      <w:r w:rsidRPr="00494820">
        <w:rPr>
          <w:rFonts w:cs="Arial"/>
          <w:vertAlign w:val="superscript"/>
        </w:rPr>
        <w:t>3,101</w:t>
      </w:r>
      <w:r w:rsidRPr="00494820">
        <w:rPr>
          <w:rFonts w:cs="Arial"/>
        </w:rPr>
        <w:fldChar w:fldCharType="end"/>
      </w:r>
    </w:p>
    <w:p w14:paraId="7963F308" w14:textId="77777777" w:rsidR="00C80164" w:rsidRPr="00494820" w:rsidRDefault="00C80164" w:rsidP="00103A06">
      <w:pPr>
        <w:pStyle w:val="Bulletpoint"/>
      </w:pPr>
      <w:r w:rsidRPr="00494820">
        <w:t>While whakawhanaungatanga is important for everyone, it is particularly important for young people.</w:t>
      </w:r>
      <w:r w:rsidRPr="00494820">
        <w:fldChar w:fldCharType="begin"/>
      </w:r>
      <w:r w:rsidRPr="00494820">
        <w:instrText xml:space="preserve"> ADDIN ZOTERO_ITEM CSL_CITATION {"citationID":"a2p6d2asdpi","properties":{"formattedCitation":"\\super 210\\nosupersub{}","plainCitation":"210","noteIndex":0},"citationItems":[{"id":12655,"uris":["http://zotero.org/groups/4745233/items/Z6ZHTBLV"],"itemData":{"id":12655,"type":"article-journal","abstract":"Whanaungatanga (nurturing of relationships) is at the heart of wellbeing for rangatahi (Māori youth), yet little research has considered how rangatahi understand and experience whanaungatanga. Furthermore, policy makers, organisations and practitioners have had limited guidance to reflect on whanaungatanga with young Māori in ways that support rangatahi wellbeing and aspirations. As part of a broader photo-elicitation project on whanaungatanga with young Māori, we describe Te Tapatoru, a model of whanaungatanga based on the experiences and insights of 51 rangatahi. Using a Māori critical realist approach, we demarcated rangatahi descriptions of whanaungatanga into three interconnected areas. The first component, ko wai, a reciprocal connection, emphasised the importance of a reciprocal connection with people (or more than people). The second component, he wā pai, a genuine time/place, spoke to how contexts, time and places provided the space for meaningful connections to take root and flourish. The final component, he kaupapa pai, a genuine kaupapa (activity, process) considered how rangatahi desired connection which responded to their desires and aspirations. This approach harnesses rangatahi potential by creating reciprocal and invigorating supportive environments based on rangatahi aspirations and insights. Policy and practice recommendations are made which centre this rangatahi informed approach to whanaungatanga.","container-title":"Kōtuitui: New Zealand Journal of Social Sciences Online","DOI":"10.1080/1177083X.2022.2109492","ISSN":"null","issue":"0","note":"publisher: Routledge\n_eprint: https://doi.org/10.1080/1177083X.2022.2109492","page":"1-24","source":"Taylor and Francis+NEJM","title":"Te Tapatoru: a model of whanaungatanga to support rangatahi wellbeing","title-short":"Te Tapatoru","volume":"0","author":[{"family":"Hamley","given":"Logan"},{"family":"Le Grice","given":"Jade"},{"family":"Greaves","given":"Lara"},{"family":"Groot","given":"Shiloh"},{"family":"Lindsay Latimer","given":"Cinnamon"},{"family":"Renfrew","given":"Larissa"},{"family":"Parkinson","given":"Hineatua"},{"family":"Gillon","given":"Ashlea"},{"family":"Clark","given":"Terryann C."}],"issued":{"date-parts":[["2022",8,10]]}}}],"schema":"https://github.com/citation-style-language/schema/raw/master/csl-citation.json"} </w:instrText>
      </w:r>
      <w:r w:rsidRPr="00494820">
        <w:fldChar w:fldCharType="separate"/>
      </w:r>
      <w:r w:rsidRPr="00494820">
        <w:rPr>
          <w:rFonts w:cs="Arial"/>
          <w:vertAlign w:val="superscript"/>
        </w:rPr>
        <w:t>210</w:t>
      </w:r>
      <w:r w:rsidRPr="00494820">
        <w:fldChar w:fldCharType="end"/>
      </w:r>
      <w:r w:rsidRPr="00494820">
        <w:t xml:space="preserve"> Refer to </w:t>
      </w:r>
      <w:r w:rsidRPr="00494820">
        <w:rPr>
          <w:i/>
          <w:iCs/>
        </w:rPr>
        <w:t>Te Tapatoru: A Model of Whanaungatanga to Support Rangatahi Wellbeing</w:t>
      </w:r>
      <w:r w:rsidRPr="00494820">
        <w:t xml:space="preserve"> for a model that can be used with </w:t>
      </w:r>
      <w:r w:rsidRPr="00494820">
        <w:rPr>
          <w:rFonts w:cs="Arial"/>
        </w:rPr>
        <w:t>Māori rangatahi (youth).</w:t>
      </w:r>
      <w:r w:rsidRPr="00494820">
        <w:fldChar w:fldCharType="begin"/>
      </w:r>
      <w:r w:rsidRPr="00494820">
        <w:instrText xml:space="preserve"> ADDIN ZOTERO_ITEM CSL_CITATION {"citationID":"78uwUInZ","properties":{"formattedCitation":"\\super 210\\nosupersub{}","plainCitation":"210","noteIndex":0},"citationItems":[{"id":12655,"uris":["http://zotero.org/groups/4745233/items/Z6ZHTBLV"],"itemData":{"id":12655,"type":"article-journal","abstract":"Whanaungatanga (nurturing of relationships) is at the heart of wellbeing for rangatahi (Māori youth), yet little research has considered how rangatahi understand and experience whanaungatanga. Furthermore, policy makers, organisations and practitioners have had limited guidance to reflect on whanaungatanga with young Māori in ways that support rangatahi wellbeing and aspirations. As part of a broader photo-elicitation project on whanaungatanga with young Māori, we describe Te Tapatoru, a model of whanaungatanga based on the experiences and insights of 51 rangatahi. Using a Māori critical realist approach, we demarcated rangatahi descriptions of whanaungatanga into three interconnected areas. The first component, ko wai, a reciprocal connection, emphasised the importance of a reciprocal connection with people (or more than people). The second component, he wā pai, a genuine time/place, spoke to how contexts, time and places provided the space for meaningful connections to take root and flourish. The final component, he kaupapa pai, a genuine kaupapa (activity, process) considered how rangatahi desired connection which responded to their desires and aspirations. This approach harnesses rangatahi potential by creating reciprocal and invigorating supportive environments based on rangatahi aspirations and insights. Policy and practice recommendations are made which centre this rangatahi informed approach to whanaungatanga.","container-title":"Kōtuitui: New Zealand Journal of Social Sciences Online","DOI":"10.1080/1177083X.2022.2109492","ISSN":"null","issue":"0","note":"publisher: Routledge\n_eprint: https://doi.org/10.1080/1177083X.2022.2109492","page":"1-24","source":"Taylor and Francis+NEJM","title":"Te Tapatoru: a model of whanaungatanga to support rangatahi wellbeing","title-short":"Te Tapatoru","volume":"0","author":[{"family":"Hamley","given":"Logan"},{"family":"Le Grice","given":"Jade"},{"family":"Greaves","given":"Lara"},{"family":"Groot","given":"Shiloh"},{"family":"Lindsay Latimer","given":"Cinnamon"},{"family":"Renfrew","given":"Larissa"},{"family":"Parkinson","given":"Hineatua"},{"family":"Gillon","given":"Ashlea"},{"family":"Clark","given":"Terryann C."}],"issued":{"date-parts":[["2022",8,10]]}}}],"schema":"https://github.com/citation-style-language/schema/raw/master/csl-citation.json"} </w:instrText>
      </w:r>
      <w:r w:rsidRPr="00494820">
        <w:fldChar w:fldCharType="separate"/>
      </w:r>
      <w:r w:rsidRPr="00494820">
        <w:rPr>
          <w:rFonts w:cs="Arial"/>
          <w:vertAlign w:val="superscript"/>
        </w:rPr>
        <w:t>210</w:t>
      </w:r>
      <w:r w:rsidRPr="00494820">
        <w:fldChar w:fldCharType="end"/>
      </w:r>
      <w:r w:rsidRPr="00494820">
        <w:rPr>
          <w:rFonts w:cs="Arial"/>
        </w:rPr>
        <w:t xml:space="preserve"> </w:t>
      </w:r>
    </w:p>
    <w:p w14:paraId="0A6F650F" w14:textId="77777777" w:rsidR="00C80164" w:rsidRPr="00494820" w:rsidRDefault="00C80164" w:rsidP="00103A06">
      <w:pPr>
        <w:pStyle w:val="Bulletpoint"/>
      </w:pPr>
      <w:r w:rsidRPr="00494820">
        <w:t>Young people may need extra support or adaptations to treatment to enhance engagement.</w:t>
      </w:r>
      <w:r w:rsidRPr="00494820">
        <w:fldChar w:fldCharType="begin"/>
      </w:r>
      <w:r w:rsidRPr="00494820">
        <w:instrText xml:space="preserve"> ADDIN ZOTERO_ITEM CSL_CITATION {"citationID":"a25fvr6btra","properties":{"formattedCitation":"\\super 211\\nosupersub{}","plainCitation":"211","noteIndex":0},"citationItems":[{"id":13602,"uris":["http://zotero.org/groups/4745233/items/WHXTQI37"],"itemData":{"id":13602,"type":"article-journal","abstract":"Completion of addiction treatment is one of the most consistent factors associated with a favorable treatment outcome. Unfortunately, it is more common for a patient to drop-out of addiction treatment than to complete the treatment. To prevent drop-out, risk factors must be identiﬁed. This box-score review focuses on studies investigating the risk factors associated with drop-out from addiction treatment published in peer-reviewed journals from 1992 to 2013. A total of 122 studies involving 199,331 participants met the inclusion criteria. Contrary to recommendations from previous reviews, 91% of the included studies focused primarily on enduring patient factors, mainly demographics. The most consistent risk factors across the different study designs, samples, and measurement methods were cognitive deﬁcits, low treatment alliance, personality disorder, and younger age. With the exception of younger age, none of the demographic factors emerged as consistent risk factors. Further research on the relationship between simple demographic factors and drop-out risk is of limited value. However, little is known about the potential risk factors related to treatment programs and to the treatment processes. Based on the review, clinical recommendations include assessing cognitive functioning and personality disorders at baseline and continuous monitoring of treatment alliance.","container-title":"Clinical Psychology Review","DOI":"10.1016/j.cpr.2013.07.007","ISSN":"02727358","issue":"8","journalAbbreviation":"Clinical Psychology Review","language":"en","page":"1010-1024","source":"DOI.org (Crossref)","title":"Drop-out from addiction treatment: A systematic review of risk factors","title-short":"Drop-out from addiction treatment","volume":"33","author":[{"family":"Brorson","given":"Hanne H."},{"family":"Ajo Arnevik","given":"Espen"},{"family":"Rand-Hendriksen","given":"Kim"},{"family":"Duckert","given":"Fanny"}],"issued":{"date-parts":[["2013",12]]}}}],"schema":"https://github.com/citation-style-language/schema/raw/master/csl-citation.json"} </w:instrText>
      </w:r>
      <w:r w:rsidRPr="00494820">
        <w:fldChar w:fldCharType="separate"/>
      </w:r>
      <w:r w:rsidRPr="00494820">
        <w:rPr>
          <w:rFonts w:cs="Arial"/>
          <w:vertAlign w:val="superscript"/>
        </w:rPr>
        <w:t>211</w:t>
      </w:r>
      <w:r w:rsidRPr="00494820">
        <w:fldChar w:fldCharType="end"/>
      </w:r>
      <w:r w:rsidRPr="00494820">
        <w:t xml:space="preserve"> This includes specific tailored support for Māori and Pasifika peoples who have a younger age profile.</w:t>
      </w:r>
      <w:r w:rsidRPr="00494820">
        <w:fldChar w:fldCharType="begin"/>
      </w:r>
      <w:r w:rsidRPr="00494820">
        <w:instrText xml:space="preserve"> ADDIN ZOTERO_ITEM CSL_CITATION {"citationID":"a11317q46o8","properties":{"formattedCitation":"\\super 118,212\\nosupersub{}","plainCitation":"118,212","noteIndex":0},"citationItems":[{"id":13576,"uris":["http://zotero.org/groups/4745233/items/WXNQMNC6"],"itemData":{"id":13576,"type":"webpage","abstract":"The Māori population is younger overall than the non-Māori population; 33.7% of Māori were aged less than 15 years, compared with only 18.0% of non-Māori.","container-title":"Ministry of Health NZ","language":"en","title":"Age structure","URL":"https://www.health.govt.nz/our-work/populations/maori-health/tatau-kahukura-maori-health-statistics/tatauranga-taupori-demographics/age-structure","author":[{"literal":"Ministry of Health"}],"accessed":{"date-parts":[["2023",1,10]]},"issued":{"date-parts":[["2018"]]}}},{"id":13577,"uris":["http://zotero.org/groups/4745233/items/N53XRSL2"],"itemData":{"id":13577,"type":"report","title":"Yavu: Foundations of Pacific engagement","URL":"https://www.mpp.govt.nz/assets/Resources/Yavu-Booklet.pdf","author":[{"literal":"Ministry of Pacific Peoples"}],"accessed":{"date-parts":[["2023",1,10]]},"issued":{"date-parts":[["2022"]]}}}],"schema":"https://github.com/citation-style-language/schema/raw/master/csl-citation.json"} </w:instrText>
      </w:r>
      <w:r w:rsidRPr="00494820">
        <w:fldChar w:fldCharType="separate"/>
      </w:r>
      <w:r w:rsidRPr="00494820">
        <w:rPr>
          <w:rFonts w:cs="Arial"/>
          <w:vertAlign w:val="superscript"/>
        </w:rPr>
        <w:t>118,212</w:t>
      </w:r>
      <w:r w:rsidRPr="00494820">
        <w:fldChar w:fldCharType="end"/>
      </w:r>
      <w:r w:rsidRPr="00494820">
        <w:t xml:space="preserve"> </w:t>
      </w:r>
    </w:p>
    <w:p w14:paraId="0130642F" w14:textId="77777777" w:rsidR="0063262F" w:rsidRPr="00494820" w:rsidRDefault="0063262F" w:rsidP="00103A06">
      <w:pPr>
        <w:pStyle w:val="Bulletpoint"/>
      </w:pPr>
      <w:r w:rsidRPr="00494820">
        <w:t>Consider a young person’s developmental stage when screening for cognitive impairment. Continuing brain development can affect functions like decision making.</w:t>
      </w:r>
      <w:r w:rsidRPr="00494820">
        <w:fldChar w:fldCharType="begin"/>
      </w:r>
      <w:r w:rsidRPr="00494820">
        <w:instrText xml:space="preserve"> ADDIN ZOTERO_ITEM CSL_CITATION {"citationID":"anm7peo9jd","properties":{"formattedCitation":"\\super 213\\nosupersub{}","plainCitation":"213","noteIndex":0},"citationItems":[{"id":14185,"uris":["http://zotero.org/groups/4745233/items/7A2BWAIS"],"itemData":{"id":14185,"type":"report","event-place":"Wellington","publisher-place":"Wellington","title":"Bridging the gap: Young people and substance use","URL":"https://www.tepou.co.nz/resources/bridging-the-gap-young-people-and-substance-use","author":[{"literal":"Matua Raki"}],"issued":{"date-parts":[["2017"]]}}}],"schema":"https://github.com/citation-style-language/schema/raw/master/csl-citation.json"} </w:instrText>
      </w:r>
      <w:r w:rsidRPr="00494820">
        <w:fldChar w:fldCharType="separate"/>
      </w:r>
      <w:r w:rsidRPr="00494820">
        <w:rPr>
          <w:rFonts w:cs="Arial"/>
          <w:vertAlign w:val="superscript"/>
        </w:rPr>
        <w:t>213</w:t>
      </w:r>
      <w:r w:rsidRPr="00494820">
        <w:fldChar w:fldCharType="end"/>
      </w:r>
      <w:r w:rsidRPr="00494820">
        <w:t xml:space="preserve"> </w:t>
      </w:r>
    </w:p>
    <w:p w14:paraId="387FFDA5" w14:textId="77777777" w:rsidR="0063262F" w:rsidRPr="00494820" w:rsidRDefault="0063262F" w:rsidP="00103A06">
      <w:pPr>
        <w:pStyle w:val="Bulletpoint"/>
      </w:pPr>
      <w:r w:rsidRPr="00494820">
        <w:lastRenderedPageBreak/>
        <w:t>Reassure young people that their information is confidential and that you are not judging them on the information they share or the results of their screening.</w:t>
      </w:r>
      <w:r w:rsidRPr="00494820">
        <w:fldChar w:fldCharType="begin"/>
      </w:r>
      <w:r w:rsidRPr="00494820">
        <w:instrText xml:space="preserve"> ADDIN ZOTERO_ITEM CSL_CITATION {"citationID":"a1jb1og6de","properties":{"formattedCitation":"\\super 213\\nosupersub{}","plainCitation":"213","noteIndex":0},"citationItems":[{"id":14185,"uris":["http://zotero.org/groups/4745233/items/7A2BWAIS"],"itemData":{"id":14185,"type":"report","event-place":"Wellington","publisher-place":"Wellington","title":"Bridging the gap: Young people and substance use","URL":"https://www.tepou.co.nz/resources/bridging-the-gap-young-people-and-substance-use","author":[{"literal":"Matua Raki"}],"issued":{"date-parts":[["2017"]]}}}],"schema":"https://github.com/citation-style-language/schema/raw/master/csl-citation.json"} </w:instrText>
      </w:r>
      <w:r w:rsidRPr="00494820">
        <w:fldChar w:fldCharType="separate"/>
      </w:r>
      <w:r w:rsidRPr="00494820">
        <w:rPr>
          <w:rFonts w:cs="Arial"/>
          <w:vertAlign w:val="superscript"/>
        </w:rPr>
        <w:t>213</w:t>
      </w:r>
      <w:r w:rsidRPr="00494820">
        <w:fldChar w:fldCharType="end"/>
      </w:r>
      <w:r w:rsidRPr="00494820">
        <w:t xml:space="preserve"> </w:t>
      </w:r>
    </w:p>
    <w:p w14:paraId="213280FB" w14:textId="77777777" w:rsidR="0063262F" w:rsidRPr="00494820" w:rsidRDefault="0063262F" w:rsidP="00103A06">
      <w:pPr>
        <w:pStyle w:val="Bulletpoint"/>
      </w:pPr>
      <w:r w:rsidRPr="00494820">
        <w:t>Consider the need to balance relationship dynamics with parents when involving whānau, especially for adolescents who might be experiencing changes in these relationships.</w:t>
      </w:r>
    </w:p>
    <w:p w14:paraId="298ADA8D" w14:textId="77777777" w:rsidR="0063262F" w:rsidRPr="00494820" w:rsidRDefault="0063262F" w:rsidP="00103A06">
      <w:pPr>
        <w:pStyle w:val="Bulletpoint"/>
      </w:pPr>
      <w:r w:rsidRPr="00494820">
        <w:t>Link people to services specifically for younger people where available.</w:t>
      </w:r>
      <w:bookmarkStart w:id="2801" w:name="_Toc137542928"/>
      <w:bookmarkStart w:id="2802" w:name="_Toc137630752"/>
      <w:bookmarkStart w:id="2803" w:name="_Toc138939515"/>
      <w:bookmarkStart w:id="2804" w:name="_Toc142655482"/>
      <w:bookmarkStart w:id="2805" w:name="_Toc144657490"/>
      <w:bookmarkStart w:id="2806" w:name="_Toc145670772"/>
      <w:bookmarkStart w:id="2807" w:name="_Toc145854386"/>
      <w:bookmarkStart w:id="2808" w:name="_Toc146024305"/>
    </w:p>
    <w:p w14:paraId="4C1168D1" w14:textId="77777777" w:rsidR="006B229D" w:rsidRDefault="006B229D" w:rsidP="0063262F">
      <w:pPr>
        <w:rPr>
          <w:b/>
          <w:bCs/>
          <w:color w:val="00C7C7" w:themeColor="accent5" w:themeTint="BF"/>
        </w:rPr>
      </w:pPr>
      <w:bookmarkStart w:id="2809" w:name="_Toc146624898"/>
      <w:bookmarkStart w:id="2810" w:name="_Toc146714259"/>
      <w:bookmarkStart w:id="2811" w:name="_Toc178780191"/>
      <w:bookmarkStart w:id="2812" w:name="_Toc178838957"/>
      <w:bookmarkStart w:id="2813" w:name="_Toc178839144"/>
      <w:bookmarkStart w:id="2814" w:name="_Toc178839265"/>
      <w:bookmarkStart w:id="2815" w:name="_Toc178839493"/>
      <w:bookmarkStart w:id="2816" w:name="_Toc178841703"/>
      <w:bookmarkStart w:id="2817" w:name="_Toc179198263"/>
      <w:bookmarkStart w:id="2818" w:name="_Toc179198513"/>
      <w:bookmarkStart w:id="2819" w:name="_Toc179198620"/>
      <w:bookmarkStart w:id="2820" w:name="_Toc179198727"/>
      <w:bookmarkStart w:id="2821" w:name="_Toc179446171"/>
      <w:bookmarkStart w:id="2822" w:name="_Toc179447184"/>
      <w:bookmarkStart w:id="2823" w:name="_Toc179448723"/>
      <w:bookmarkStart w:id="2824" w:name="_Toc179448880"/>
      <w:bookmarkStart w:id="2825" w:name="_Toc179449249"/>
    </w:p>
    <w:p w14:paraId="4EEF23FF" w14:textId="60B2F297" w:rsidR="0063262F" w:rsidRPr="00B36302" w:rsidRDefault="0063262F" w:rsidP="0063262F">
      <w:pPr>
        <w:rPr>
          <w:rFonts w:eastAsiaTheme="minorEastAsia"/>
          <w:b/>
          <w:bCs/>
          <w:color w:val="4D2379" w:themeColor="accent4"/>
          <w:sz w:val="28"/>
          <w:szCs w:val="28"/>
        </w:rPr>
      </w:pPr>
      <w:r w:rsidRPr="00B36302">
        <w:rPr>
          <w:b/>
          <w:bCs/>
          <w:color w:val="4D2379" w:themeColor="accent4"/>
          <w:sz w:val="28"/>
          <w:szCs w:val="28"/>
        </w:rPr>
        <w:t>Parents</w:t>
      </w:r>
      <w:bookmarkEnd w:id="2801"/>
      <w:bookmarkEnd w:id="2802"/>
      <w:bookmarkEnd w:id="2803"/>
      <w:r w:rsidRPr="00B36302">
        <w:rPr>
          <w:b/>
          <w:bCs/>
          <w:color w:val="4D2379" w:themeColor="accent4"/>
          <w:sz w:val="28"/>
          <w:szCs w:val="28"/>
        </w:rPr>
        <w:t xml:space="preserve"> and caregivers</w:t>
      </w:r>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p>
    <w:p w14:paraId="4744C022" w14:textId="77777777" w:rsidR="0063262F" w:rsidRPr="00494820" w:rsidRDefault="0063262F" w:rsidP="00103A06">
      <w:pPr>
        <w:pStyle w:val="Bulletpoint"/>
      </w:pPr>
      <w:r w:rsidRPr="00494820">
        <w:t>Check if people experience challenges with caregiving responsibilities and need specific support.</w:t>
      </w:r>
    </w:p>
    <w:p w14:paraId="338BB1AB" w14:textId="77777777" w:rsidR="0063262F" w:rsidRDefault="0063262F" w:rsidP="00103A06">
      <w:pPr>
        <w:pStyle w:val="Bulletpoint"/>
      </w:pPr>
      <w:r w:rsidRPr="00494820">
        <w:t xml:space="preserve">If children are accompanying parents, they can sometimes become bored and restless during processes like cognitive screening. This can be distracting for parents and affect screening results. Check if parents need specific childcare support to engage in the screening process. </w:t>
      </w:r>
    </w:p>
    <w:p w14:paraId="46B71297" w14:textId="11B51844" w:rsidR="00A11D60" w:rsidRDefault="0063262F" w:rsidP="00B36302">
      <w:pPr>
        <w:pStyle w:val="Bulletpoint"/>
        <w:sectPr w:rsidR="00A11D60" w:rsidSect="00763B8E">
          <w:headerReference w:type="default" r:id="rId154"/>
          <w:footerReference w:type="default" r:id="rId155"/>
          <w:headerReference w:type="first" r:id="rId156"/>
          <w:footerReference w:type="first" r:id="rId157"/>
          <w:pgSz w:w="11906" w:h="16838" w:code="9"/>
          <w:pgMar w:top="680" w:right="1134" w:bottom="1134" w:left="1134" w:header="1304" w:footer="454" w:gutter="0"/>
          <w:cols w:space="708"/>
          <w:titlePg/>
          <w:docGrid w:linePitch="360"/>
        </w:sectPr>
      </w:pPr>
      <w:r w:rsidRPr="00B423C5">
        <w:rPr>
          <w:bCs/>
        </w:rPr>
        <w:t xml:space="preserve">Children may need specific support for their own wellbeing as part of the wider whānau. The </w:t>
      </w:r>
      <w:hyperlink r:id="rId158" w:history="1">
        <w:r w:rsidRPr="00B423C5">
          <w:rPr>
            <w:rStyle w:val="Hyperlink"/>
            <w:rFonts w:cs="Arial"/>
            <w:szCs w:val="24"/>
          </w:rPr>
          <w:t>Supporting Parents Healthy Children</w:t>
        </w:r>
      </w:hyperlink>
      <w:r w:rsidRPr="00B423C5">
        <w:t xml:space="preserve"> </w:t>
      </w:r>
      <w:r w:rsidRPr="00B423C5">
        <w:rPr>
          <w:bCs/>
        </w:rPr>
        <w:t>guideline outlines how to provide support to parents and children in mental health and addiction services.</w:t>
      </w:r>
      <w:r w:rsidRPr="00B423C5">
        <w:rPr>
          <w:bCs/>
        </w:rPr>
        <w:fldChar w:fldCharType="begin"/>
      </w:r>
      <w:r w:rsidRPr="00B423C5">
        <w:rPr>
          <w:bCs/>
        </w:rPr>
        <w:instrText xml:space="preserve"> ADDIN ZOTERO_ITEM CSL_CITATION {"citationID":"a1eii2p4tpi","properties":{"formattedCitation":"\\super 53\\nosupersub{}","plainCitation":"53","noteIndex":0},"citationItems":[{"id":12584,"uris":["http://zotero.org/groups/4745233/items/TM35CBLL"],"itemData":{"id":12584,"type":"report","event-place":"Wellington","language":"en","publisher":"Ministry of Health","publisher-place":"Wellington","source":"Zotero","title":"Supporting Parents Healthy children","author":[{"family":"Ministry of Health","given":""}],"issued":{"date-parts":[["2015"]]}}}],"schema":"https://github.com/citation-style-language/schema/raw/master/csl-citation.json"} </w:instrText>
      </w:r>
      <w:r w:rsidRPr="00B423C5">
        <w:rPr>
          <w:bCs/>
        </w:rPr>
        <w:fldChar w:fldCharType="separate"/>
      </w:r>
      <w:r w:rsidRPr="00B423C5">
        <w:rPr>
          <w:bCs/>
          <w:vertAlign w:val="superscript"/>
        </w:rPr>
        <w:t>53</w:t>
      </w:r>
      <w:r w:rsidRPr="00B423C5">
        <w:rPr>
          <w:bCs/>
        </w:rPr>
        <w:fldChar w:fldCharType="end"/>
      </w:r>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p>
    <w:p w14:paraId="1F6F37E7" w14:textId="3943A97A" w:rsidR="00B36302" w:rsidRPr="006D68B1" w:rsidRDefault="00B36302" w:rsidP="006D68B1">
      <w:pPr>
        <w:pStyle w:val="Heading1"/>
      </w:pPr>
      <w:bookmarkStart w:id="2826" w:name="_Toc179542997"/>
      <w:bookmarkStart w:id="2827" w:name="_Toc180571325"/>
      <w:bookmarkStart w:id="2828" w:name="_Toc179537884"/>
      <w:bookmarkStart w:id="2829" w:name="_Toc179537948"/>
      <w:bookmarkStart w:id="2830" w:name="_Toc179538115"/>
      <w:bookmarkStart w:id="2831" w:name="_Toc179538931"/>
      <w:bookmarkStart w:id="2832" w:name="_Toc179539250"/>
      <w:bookmarkStart w:id="2833" w:name="_Toc179539366"/>
      <w:bookmarkStart w:id="2834" w:name="_Toc179539504"/>
      <w:bookmarkStart w:id="2835" w:name="_Toc179539601"/>
      <w:bookmarkStart w:id="2836" w:name="_Toc179539686"/>
      <w:bookmarkStart w:id="2837" w:name="_Toc179539776"/>
      <w:bookmarkStart w:id="2838" w:name="_Toc179540460"/>
      <w:bookmarkStart w:id="2839" w:name="_Toc179541805"/>
      <w:bookmarkStart w:id="2840" w:name="_Toc179461404"/>
      <w:bookmarkStart w:id="2841" w:name="_Toc179461849"/>
      <w:bookmarkStart w:id="2842" w:name="_Toc175317936"/>
      <w:r w:rsidRPr="006D68B1">
        <w:lastRenderedPageBreak/>
        <w:t>References</w:t>
      </w:r>
      <w:bookmarkEnd w:id="2826"/>
      <w:bookmarkEnd w:id="2827"/>
      <w:r w:rsidRPr="006D68B1">
        <w:t xml:space="preserve"> </w:t>
      </w:r>
      <w:bookmarkEnd w:id="2828"/>
      <w:bookmarkEnd w:id="2829"/>
      <w:bookmarkEnd w:id="2830"/>
      <w:bookmarkEnd w:id="2831"/>
      <w:bookmarkEnd w:id="2832"/>
      <w:bookmarkEnd w:id="2833"/>
      <w:bookmarkEnd w:id="2834"/>
      <w:bookmarkEnd w:id="2835"/>
      <w:bookmarkEnd w:id="2836"/>
      <w:bookmarkEnd w:id="2837"/>
      <w:bookmarkEnd w:id="2838"/>
      <w:bookmarkEnd w:id="2839"/>
      <w:r w:rsidRPr="006D68B1">
        <w:t xml:space="preserve"> </w:t>
      </w:r>
      <w:bookmarkEnd w:id="2840"/>
      <w:bookmarkEnd w:id="2841"/>
      <w:r w:rsidRPr="006D68B1">
        <w:t xml:space="preserve"> </w:t>
      </w:r>
      <w:bookmarkEnd w:id="2842"/>
    </w:p>
    <w:p w14:paraId="51910B23" w14:textId="1AB643A1" w:rsidR="00A37881" w:rsidRPr="00727126" w:rsidRDefault="00B36302" w:rsidP="00103A06">
      <w:pPr>
        <w:rPr>
          <w:bCs/>
          <w:lang w:val="en-US"/>
        </w:rPr>
      </w:pPr>
      <w:r w:rsidRPr="0033257A">
        <w:rPr>
          <w:lang w:val="fr-FR"/>
        </w:rPr>
        <w:t xml:space="preserve">1. Bruijnen, C. J. W. H., Dijkstra, B. A. G., Walvoort, S. J. W., Markus, W., VanDerNagel, J. E. L., Kessels, R. P. C., &amp; DE Jong, C. A. J. (2019). </w:t>
      </w:r>
      <w:r w:rsidRPr="0033257A">
        <w:rPr>
          <w:lang w:val="en-US"/>
        </w:rPr>
        <w:t xml:space="preserve">Prevalence of cognitive impairment in patients with substance use disorder. </w:t>
      </w:r>
      <w:r w:rsidRPr="0033257A">
        <w:rPr>
          <w:i/>
          <w:iCs/>
          <w:lang w:val="en-US"/>
        </w:rPr>
        <w:t>Drug and Alcohol Review</w:t>
      </w:r>
      <w:r w:rsidRPr="0033257A">
        <w:rPr>
          <w:lang w:val="en-US"/>
        </w:rPr>
        <w:t xml:space="preserve">, </w:t>
      </w:r>
      <w:r w:rsidRPr="0033257A">
        <w:rPr>
          <w:i/>
          <w:iCs/>
          <w:lang w:val="en-US"/>
        </w:rPr>
        <w:t>38</w:t>
      </w:r>
      <w:r w:rsidRPr="0033257A">
        <w:rPr>
          <w:lang w:val="en-US"/>
        </w:rPr>
        <w:t xml:space="preserve">(4), 435–442. </w:t>
      </w:r>
      <w:r w:rsidRPr="00727126">
        <w:rPr>
          <w:bCs/>
          <w:lang w:val="en-US"/>
        </w:rPr>
        <w:t>https://doi.org/10.1111/dar.12922</w:t>
      </w:r>
    </w:p>
    <w:p w14:paraId="7B2A05FA" w14:textId="77777777" w:rsidR="00A37881" w:rsidRPr="0033257A" w:rsidRDefault="00A37881" w:rsidP="00103A06">
      <w:r w:rsidRPr="0033257A">
        <w:t xml:space="preserve">2. Ko, K. Y., Ridley, N., Bryce, S. D., Allott, K., Smith, A., &amp; Kamminga, J. (2022). Screening tools for cognitive impairment in adults with substance use disorders: A systematic review. </w:t>
      </w:r>
      <w:r w:rsidRPr="0033257A">
        <w:rPr>
          <w:i/>
          <w:iCs/>
        </w:rPr>
        <w:t>Journal of the International Neuropsychological Society</w:t>
      </w:r>
      <w:r w:rsidRPr="0033257A">
        <w:t>, 1–24. https://doi.org/10.1017/S135561772100103X</w:t>
      </w:r>
    </w:p>
    <w:p w14:paraId="16343212" w14:textId="77777777" w:rsidR="00A37881" w:rsidRPr="0033257A" w:rsidRDefault="00A37881" w:rsidP="00103A06">
      <w:r w:rsidRPr="0033257A">
        <w:t xml:space="preserve">3. Manning, V., Gooden, J., Cox, C., Whelan, D., &amp; Miroz, K. (2021). </w:t>
      </w:r>
      <w:r w:rsidRPr="0033257A">
        <w:rPr>
          <w:i/>
          <w:iCs/>
        </w:rPr>
        <w:t>Managing cognitive impairment in AOD treatment: Practice guidelines for healthcare professionals</w:t>
      </w:r>
      <w:r w:rsidRPr="0033257A">
        <w:t>. Turning Point. https://www.turningpoint.org.au/treatment/clinicians/Managing-Cognitive-Impairment-in-AOD-Treatment-Guidelines</w:t>
      </w:r>
    </w:p>
    <w:p w14:paraId="6B71A5E4" w14:textId="77777777" w:rsidR="00A37881" w:rsidRPr="0033257A" w:rsidRDefault="00A37881" w:rsidP="00103A06">
      <w:r w:rsidRPr="0033257A">
        <w:t xml:space="preserve">4. United Nations. (2006). </w:t>
      </w:r>
      <w:r w:rsidRPr="0033257A">
        <w:rPr>
          <w:i/>
          <w:iCs/>
        </w:rPr>
        <w:t>Convention on the Rights of Persons with Disabilities</w:t>
      </w:r>
      <w:r w:rsidRPr="0033257A">
        <w:t>. https://www.ohchr.org/en/instruments-mechanisms/instruments/convention-rights-persons-disabilities</w:t>
      </w:r>
    </w:p>
    <w:p w14:paraId="01F6155E" w14:textId="77777777" w:rsidR="00A37881" w:rsidRPr="0033257A" w:rsidRDefault="00A37881" w:rsidP="00103A06">
      <w:r w:rsidRPr="0033257A">
        <w:t xml:space="preserve">5. Barone, C., Yamamoto, A., Richardson, C. G., Zivanovic, R., Lin, D., &amp; Mathias, S. (2019). Examining patterns of cognitive impairment among homeless and precariously housed urban youth. </w:t>
      </w:r>
      <w:r w:rsidRPr="0033257A">
        <w:rPr>
          <w:i/>
          <w:iCs/>
        </w:rPr>
        <w:t>Journal of Adolescence</w:t>
      </w:r>
      <w:r w:rsidRPr="0033257A">
        <w:t xml:space="preserve">, </w:t>
      </w:r>
      <w:r w:rsidRPr="0033257A">
        <w:rPr>
          <w:i/>
          <w:iCs/>
        </w:rPr>
        <w:t>72</w:t>
      </w:r>
      <w:r w:rsidRPr="0033257A">
        <w:t>, 64–69. https://doi.org/10.1016/j.adolescence.2019.02.011</w:t>
      </w:r>
    </w:p>
    <w:p w14:paraId="589E5C3D" w14:textId="77777777" w:rsidR="00A37881" w:rsidRPr="0033257A" w:rsidRDefault="00A37881" w:rsidP="00103A06">
      <w:r w:rsidRPr="0033257A">
        <w:t xml:space="preserve">6. Cullum, S., Mullin, K., Zeng, I., Yates, S., Payman, V., Fisher, M., &amp; Cheung, G. (2018). Do community-dwelling Māori and Pacific peoples present with dementia at a younger age and at a later stage compared with NZ Europeans? </w:t>
      </w:r>
      <w:r w:rsidRPr="0033257A">
        <w:rPr>
          <w:i/>
          <w:iCs/>
        </w:rPr>
        <w:t>International Journal of Geriatric Psychiatry</w:t>
      </w:r>
      <w:r w:rsidRPr="0033257A">
        <w:t xml:space="preserve">, </w:t>
      </w:r>
      <w:r w:rsidRPr="0033257A">
        <w:rPr>
          <w:i/>
          <w:iCs/>
        </w:rPr>
        <w:t>33</w:t>
      </w:r>
      <w:r w:rsidRPr="0033257A">
        <w:t>(8), 1098–1104. https://doi.org/10.1002/gps.4898</w:t>
      </w:r>
    </w:p>
    <w:p w14:paraId="4E4566A1" w14:textId="77777777" w:rsidR="00A37881" w:rsidRPr="0033257A" w:rsidRDefault="00A37881" w:rsidP="00103A06">
      <w:r w:rsidRPr="0033257A">
        <w:t xml:space="preserve">7. Didden, R., VanDerNagel, J., Delforterie, M., &amp; van Duijvenbode, N. (2020). Substance use disorders in people with intellectual disability. </w:t>
      </w:r>
      <w:r w:rsidRPr="0033257A">
        <w:rPr>
          <w:i/>
          <w:iCs/>
        </w:rPr>
        <w:t>Current Opinion in Psychiatry</w:t>
      </w:r>
      <w:r w:rsidRPr="0033257A">
        <w:t xml:space="preserve">, </w:t>
      </w:r>
      <w:r w:rsidRPr="0033257A">
        <w:rPr>
          <w:i/>
          <w:iCs/>
        </w:rPr>
        <w:t>33</w:t>
      </w:r>
      <w:r w:rsidRPr="0033257A">
        <w:t>(2), 124. https://doi.org/10.1097/YCO.0000000000000569</w:t>
      </w:r>
    </w:p>
    <w:p w14:paraId="577F107E" w14:textId="77777777" w:rsidR="00A37881" w:rsidRPr="0033257A" w:rsidRDefault="00A37881" w:rsidP="00103A06">
      <w:r w:rsidRPr="0033257A">
        <w:t xml:space="preserve">8. Indig, D., Gear, C., &amp; Wilhelm, K. (2016). </w:t>
      </w:r>
      <w:r w:rsidRPr="0033257A">
        <w:rPr>
          <w:i/>
          <w:iCs/>
        </w:rPr>
        <w:t>Comorbid substance use disorders and mental health disorders among New Zealand prisoners</w:t>
      </w:r>
      <w:r w:rsidRPr="0033257A">
        <w:t>. https://www.corrections.govt.nz/__data/assets/pdf_file/0013/13603/Comorbid_substance_use_disorders_and_mental_health_disorders_among_NZ_prisoners_June_2016_final.pdf</w:t>
      </w:r>
    </w:p>
    <w:p w14:paraId="40A8A217" w14:textId="77777777" w:rsidR="00A37881" w:rsidRPr="0033257A" w:rsidRDefault="00A37881" w:rsidP="00103A06">
      <w:r w:rsidRPr="0033257A">
        <w:t xml:space="preserve">9. Kerse, N., Lapsley, H., Moyes, S., &amp; Mules, R. (2017). </w:t>
      </w:r>
      <w:r w:rsidRPr="0033257A">
        <w:rPr>
          <w:i/>
          <w:iCs/>
        </w:rPr>
        <w:t>Intervals of care need: Need for care and support in advanced age: LiLACS NZ</w:t>
      </w:r>
      <w:r w:rsidRPr="0033257A">
        <w:t>. School of Population Health, The University of Auckland.</w:t>
      </w:r>
    </w:p>
    <w:p w14:paraId="205F30E9" w14:textId="77777777" w:rsidR="00A37881" w:rsidRPr="0033257A" w:rsidRDefault="00A37881" w:rsidP="00103A06">
      <w:r w:rsidRPr="0033257A">
        <w:lastRenderedPageBreak/>
        <w:t xml:space="preserve">10. Leonard, W., &amp; Mann, D. R. (2018). </w:t>
      </w:r>
      <w:r w:rsidRPr="0033257A">
        <w:rPr>
          <w:i/>
          <w:iCs/>
        </w:rPr>
        <w:t>The everyday experiences of lesbian, gay, bisexual, transgender and intersex (LGBTI) people living with disability</w:t>
      </w:r>
      <w:r w:rsidRPr="0033257A">
        <w:t>. La Trobe University.</w:t>
      </w:r>
    </w:p>
    <w:p w14:paraId="7EE42B57" w14:textId="77777777" w:rsidR="00A37881" w:rsidRPr="0033257A" w:rsidRDefault="00A37881" w:rsidP="00103A06">
      <w:r w:rsidRPr="0033257A">
        <w:t xml:space="preserve">11. Maruschak, L. M., Statistician, B., &amp; Bronson, J. (2021). </w:t>
      </w:r>
      <w:r w:rsidRPr="0033257A">
        <w:rPr>
          <w:i/>
          <w:iCs/>
        </w:rPr>
        <w:t>Disabilities Reported by Prisoners</w:t>
      </w:r>
      <w:r w:rsidRPr="0033257A">
        <w:t>. https://bjs.ojp.gov/content/pub/pdf/drpspi16st.pdf</w:t>
      </w:r>
    </w:p>
    <w:p w14:paraId="125F9A80" w14:textId="77777777" w:rsidR="00A37881" w:rsidRPr="0033257A" w:rsidRDefault="00A37881" w:rsidP="00103A06">
      <w:r w:rsidRPr="0033257A">
        <w:t xml:space="preserve">12. McIntyre, R., Cha, D., Soczynska, J., Woldeyohannes, H., Gallaugher, L., Kudlow, P., Alsuwaidan, M., &amp; Baskaran, A. (2013). Cognitive deficits and functional outcomes in major depressive disorder: Determinants, substrates, and treatment interventions. </w:t>
      </w:r>
      <w:r w:rsidRPr="0033257A">
        <w:rPr>
          <w:i/>
          <w:iCs/>
        </w:rPr>
        <w:t>Depression and Anxiety</w:t>
      </w:r>
      <w:r w:rsidRPr="0033257A">
        <w:t xml:space="preserve">, </w:t>
      </w:r>
      <w:r w:rsidRPr="0033257A">
        <w:rPr>
          <w:i/>
          <w:iCs/>
        </w:rPr>
        <w:t>30</w:t>
      </w:r>
      <w:r w:rsidRPr="0033257A">
        <w:t>. https://doi.org/10.1002/da.22063</w:t>
      </w:r>
    </w:p>
    <w:p w14:paraId="22E1413C" w14:textId="77777777" w:rsidR="00274EB1" w:rsidRPr="0033257A" w:rsidRDefault="00A37881" w:rsidP="00103A06">
      <w:pPr>
        <w:rPr>
          <w:lang w:val="en-US"/>
        </w:rPr>
      </w:pPr>
      <w:r w:rsidRPr="0033257A">
        <w:t>13. McVilly, K., McCarthy, M., Day, A., Birgden, A., &amp; Malvaso, C. (2022). Identifying and responding to young people with cognitive disability and neurodiversity in Australian and Aotearoa</w:t>
      </w:r>
      <w:r w:rsidR="00274EB1">
        <w:t xml:space="preserve"> </w:t>
      </w:r>
      <w:r w:rsidR="00274EB1" w:rsidRPr="0033257A">
        <w:fldChar w:fldCharType="begin"/>
      </w:r>
      <w:r w:rsidR="00274EB1" w:rsidRPr="0033257A">
        <w:rPr>
          <w:lang w:val="fr-FR"/>
        </w:rPr>
        <w:instrText xml:space="preserve"> ADDIN ZOTERO_BIBL {"uncited":[],"omitted":[],"custom":[]} CSL_BIBLIOGRAPHY </w:instrText>
      </w:r>
      <w:r w:rsidR="00274EB1" w:rsidRPr="0033257A">
        <w:fldChar w:fldCharType="separate"/>
      </w:r>
      <w:r w:rsidR="00274EB1" w:rsidRPr="0033257A">
        <w:rPr>
          <w:lang w:val="fr-FR"/>
        </w:rPr>
        <w:t xml:space="preserve">1. Bruijnen, C. J. W. H., Dijkstra, B. A. G., Walvoort, S. J. W., Markus, W., VanDerNagel, J. E. L., Kessels, R. P. C., &amp; DE Jong, C. A. J. (2019). </w:t>
      </w:r>
      <w:r w:rsidR="00274EB1" w:rsidRPr="0033257A">
        <w:rPr>
          <w:lang w:val="en-US"/>
        </w:rPr>
        <w:t xml:space="preserve">Prevalence of cognitive impairment in patients with substance use disorder. </w:t>
      </w:r>
      <w:r w:rsidR="00274EB1" w:rsidRPr="0033257A">
        <w:rPr>
          <w:i/>
          <w:iCs/>
          <w:lang w:val="en-US"/>
        </w:rPr>
        <w:t>Drug and Alcohol Review</w:t>
      </w:r>
      <w:r w:rsidR="00274EB1" w:rsidRPr="0033257A">
        <w:rPr>
          <w:lang w:val="en-US"/>
        </w:rPr>
        <w:t xml:space="preserve">, </w:t>
      </w:r>
      <w:r w:rsidR="00274EB1" w:rsidRPr="0033257A">
        <w:rPr>
          <w:i/>
          <w:iCs/>
          <w:lang w:val="en-US"/>
        </w:rPr>
        <w:t>38</w:t>
      </w:r>
      <w:r w:rsidR="00274EB1" w:rsidRPr="0033257A">
        <w:rPr>
          <w:lang w:val="en-US"/>
        </w:rPr>
        <w:t>(4), 435–442. https://doi.org/10.1111/dar.12922</w:t>
      </w:r>
    </w:p>
    <w:p w14:paraId="3690552B" w14:textId="77777777" w:rsidR="00274EB1" w:rsidRPr="0033257A" w:rsidRDefault="00274EB1" w:rsidP="00103A06">
      <w:r w:rsidRPr="0033257A">
        <w:t xml:space="preserve">2. Ko, K. Y., Ridley, N., Bryce, S. D., Allott, K., Smith, A., &amp; Kamminga, J. (2022). Screening tools for cognitive impairment in adults with substance use disorders: A systematic review. </w:t>
      </w:r>
      <w:r w:rsidRPr="0033257A">
        <w:rPr>
          <w:i/>
          <w:iCs/>
        </w:rPr>
        <w:t>Journal of the International Neuropsychological Society</w:t>
      </w:r>
      <w:r w:rsidRPr="0033257A">
        <w:t>, 1–24. https://doi.org/10.1017/S135561772100103X</w:t>
      </w:r>
    </w:p>
    <w:p w14:paraId="5A201934" w14:textId="77777777" w:rsidR="00274EB1" w:rsidRPr="0033257A" w:rsidRDefault="00274EB1" w:rsidP="00103A06">
      <w:r w:rsidRPr="0033257A">
        <w:t xml:space="preserve">3. Manning, V., Gooden, J., Cox, C., Whelan, D., &amp; Miroz, K. (2021). </w:t>
      </w:r>
      <w:r w:rsidRPr="0033257A">
        <w:rPr>
          <w:i/>
          <w:iCs/>
        </w:rPr>
        <w:t>Managing cognitive impairment in AOD treatment: Practice guidelines for healthcare professionals</w:t>
      </w:r>
      <w:r w:rsidRPr="0033257A">
        <w:t>. Turning Point. https://www.turningpoint.org.au/treatment/clinicians/Managing-Cognitive-Impairment-in-AOD-Treatment-Guidelines</w:t>
      </w:r>
    </w:p>
    <w:p w14:paraId="1C73BDC7" w14:textId="77777777" w:rsidR="00274EB1" w:rsidRPr="0033257A" w:rsidRDefault="00274EB1" w:rsidP="00103A06">
      <w:r w:rsidRPr="0033257A">
        <w:t xml:space="preserve">4. United Nations. (2006). </w:t>
      </w:r>
      <w:r w:rsidRPr="0033257A">
        <w:rPr>
          <w:i/>
          <w:iCs/>
        </w:rPr>
        <w:t>Convention on the Rights of Persons with Disabilities</w:t>
      </w:r>
      <w:r w:rsidRPr="0033257A">
        <w:t>. https://www.ohchr.org/en/instruments-mechanisms/instruments/convention-rights-persons-disabilities</w:t>
      </w:r>
    </w:p>
    <w:p w14:paraId="1F4445A0" w14:textId="77777777" w:rsidR="00274EB1" w:rsidRPr="0033257A" w:rsidRDefault="00274EB1" w:rsidP="00103A06">
      <w:r w:rsidRPr="0033257A">
        <w:t xml:space="preserve">5. Barone, C., Yamamoto, A., Richardson, C. G., Zivanovic, R., Lin, D., &amp; Mathias, S. (2019). Examining patterns of cognitive impairment among homeless and precariously housed urban youth. </w:t>
      </w:r>
      <w:r w:rsidRPr="0033257A">
        <w:rPr>
          <w:i/>
          <w:iCs/>
        </w:rPr>
        <w:t>Journal of Adolescence</w:t>
      </w:r>
      <w:r w:rsidRPr="0033257A">
        <w:t xml:space="preserve">, </w:t>
      </w:r>
      <w:r w:rsidRPr="0033257A">
        <w:rPr>
          <w:i/>
          <w:iCs/>
        </w:rPr>
        <w:t>72</w:t>
      </w:r>
      <w:r w:rsidRPr="0033257A">
        <w:t>, 64–69. https://doi.org/10.1016/j.adolescence.2019.02.011</w:t>
      </w:r>
    </w:p>
    <w:p w14:paraId="192FC5CC" w14:textId="77777777" w:rsidR="00274EB1" w:rsidRPr="0033257A" w:rsidRDefault="00274EB1" w:rsidP="00103A06">
      <w:r w:rsidRPr="0033257A">
        <w:t xml:space="preserve">6. Cullum, S., Mullin, K., Zeng, I., Yates, S., Payman, V., Fisher, M., &amp; Cheung, G. (2018). Do community-dwelling Māori and Pacific peoples present with dementia at a younger age and at a later stage compared with NZ Europeans? </w:t>
      </w:r>
      <w:r w:rsidRPr="0033257A">
        <w:rPr>
          <w:i/>
          <w:iCs/>
        </w:rPr>
        <w:t>International Journal of Geriatric Psychiatry</w:t>
      </w:r>
      <w:r w:rsidRPr="0033257A">
        <w:t xml:space="preserve">, </w:t>
      </w:r>
      <w:r w:rsidRPr="0033257A">
        <w:rPr>
          <w:i/>
          <w:iCs/>
        </w:rPr>
        <w:t>33</w:t>
      </w:r>
      <w:r w:rsidRPr="0033257A">
        <w:t>(8), 1098–1104. https://doi.org/10.1002/gps.4898</w:t>
      </w:r>
    </w:p>
    <w:p w14:paraId="58C3DF33" w14:textId="77777777" w:rsidR="00274EB1" w:rsidRPr="0033257A" w:rsidRDefault="00274EB1" w:rsidP="00103A06">
      <w:r w:rsidRPr="0033257A">
        <w:lastRenderedPageBreak/>
        <w:t xml:space="preserve">7. Didden, R., VanDerNagel, J., Delforterie, M., &amp; van Duijvenbode, N. (2020). Substance use disorders in people with intellectual disability. </w:t>
      </w:r>
      <w:r w:rsidRPr="0033257A">
        <w:rPr>
          <w:i/>
          <w:iCs/>
        </w:rPr>
        <w:t>Current Opinion in Psychiatry</w:t>
      </w:r>
      <w:r w:rsidRPr="0033257A">
        <w:t xml:space="preserve">, </w:t>
      </w:r>
      <w:r w:rsidRPr="0033257A">
        <w:rPr>
          <w:i/>
          <w:iCs/>
        </w:rPr>
        <w:t>33</w:t>
      </w:r>
      <w:r w:rsidRPr="0033257A">
        <w:t>(2), 124. https://doi.org/10.1097/YCO.0000000000000569</w:t>
      </w:r>
    </w:p>
    <w:p w14:paraId="6D569B4A" w14:textId="77777777" w:rsidR="00274EB1" w:rsidRPr="0033257A" w:rsidRDefault="00274EB1" w:rsidP="00103A06">
      <w:r w:rsidRPr="0033257A">
        <w:t xml:space="preserve">8. Indig, D., Gear, C., &amp; Wilhelm, K. (2016). </w:t>
      </w:r>
      <w:r w:rsidRPr="0033257A">
        <w:rPr>
          <w:i/>
          <w:iCs/>
        </w:rPr>
        <w:t>Comorbid substance use disorders and mental health disorders among New Zealand prisoners</w:t>
      </w:r>
      <w:r w:rsidRPr="0033257A">
        <w:t>. https://www.corrections.govt.nz/__data/assets/pdf_file/0013/13603/Comorbid_substance_use_disorders_and_mental_health_disorders_among_NZ_prisoners_June_2016_final.pdf</w:t>
      </w:r>
    </w:p>
    <w:p w14:paraId="2E905813" w14:textId="77777777" w:rsidR="00274EB1" w:rsidRPr="0033257A" w:rsidRDefault="00274EB1" w:rsidP="00103A06">
      <w:r w:rsidRPr="0033257A">
        <w:t xml:space="preserve">9. Kerse, N., Lapsley, H., Moyes, S., &amp; Mules, R. (2017). </w:t>
      </w:r>
      <w:r w:rsidRPr="0033257A">
        <w:rPr>
          <w:i/>
          <w:iCs/>
        </w:rPr>
        <w:t>Intervals of care need: Need for care and support in advanced age: LiLACS NZ</w:t>
      </w:r>
      <w:r w:rsidRPr="0033257A">
        <w:t>. School of Population Health, The University of Auckland.</w:t>
      </w:r>
    </w:p>
    <w:p w14:paraId="728FA3D8" w14:textId="77777777" w:rsidR="00274EB1" w:rsidRPr="0033257A" w:rsidRDefault="00274EB1" w:rsidP="00103A06">
      <w:r w:rsidRPr="0033257A">
        <w:t xml:space="preserve">10. Leonard, W., &amp; Mann, D. R. (2018). </w:t>
      </w:r>
      <w:r w:rsidRPr="0033257A">
        <w:rPr>
          <w:i/>
          <w:iCs/>
        </w:rPr>
        <w:t>The everyday experiences of lesbian, gay, bisexual, transgender and intersex (LGBTI) people living with disability</w:t>
      </w:r>
      <w:r w:rsidRPr="0033257A">
        <w:t>. La Trobe University.</w:t>
      </w:r>
    </w:p>
    <w:p w14:paraId="0B8D9899" w14:textId="77777777" w:rsidR="00274EB1" w:rsidRPr="0033257A" w:rsidRDefault="00274EB1" w:rsidP="00103A06">
      <w:r w:rsidRPr="0033257A">
        <w:t xml:space="preserve">11. Maruschak, L. M., Statistician, B., &amp; Bronson, J. (2021). </w:t>
      </w:r>
      <w:r w:rsidRPr="0033257A">
        <w:rPr>
          <w:i/>
          <w:iCs/>
        </w:rPr>
        <w:t>Disabilities Reported by Prisoners</w:t>
      </w:r>
      <w:r w:rsidRPr="0033257A">
        <w:t>. https://bjs.ojp.gov/content/pub/pdf/drpspi16st.pdf</w:t>
      </w:r>
    </w:p>
    <w:p w14:paraId="5223D443" w14:textId="77777777" w:rsidR="00274EB1" w:rsidRPr="0033257A" w:rsidRDefault="00274EB1" w:rsidP="00103A06">
      <w:r w:rsidRPr="0033257A">
        <w:t xml:space="preserve">12. McIntyre, R., Cha, D., Soczynska, J., Woldeyohannes, H., Gallaugher, L., Kudlow, P., Alsuwaidan, M., &amp; Baskaran, A. (2013). Cognitive deficits and functional outcomes in major depressive disorder: Determinants, substrates, and treatment interventions. </w:t>
      </w:r>
      <w:r w:rsidRPr="0033257A">
        <w:rPr>
          <w:i/>
          <w:iCs/>
        </w:rPr>
        <w:t>Depression and Anxiety</w:t>
      </w:r>
      <w:r w:rsidRPr="0033257A">
        <w:t xml:space="preserve">, </w:t>
      </w:r>
      <w:r w:rsidRPr="0033257A">
        <w:rPr>
          <w:i/>
          <w:iCs/>
        </w:rPr>
        <w:t>30</w:t>
      </w:r>
      <w:r w:rsidRPr="0033257A">
        <w:t>. https://doi.org/10.1002/da.22063</w:t>
      </w:r>
    </w:p>
    <w:p w14:paraId="4392EE66" w14:textId="77777777" w:rsidR="00274EB1" w:rsidRPr="0033257A" w:rsidRDefault="00274EB1" w:rsidP="00103A06">
      <w:r w:rsidRPr="0033257A">
        <w:t xml:space="preserve">13. McVilly, K., McCarthy, M., Day, A., Birgden, A., &amp; Malvaso, C. (2022). Identifying and responding to young people with cognitive disability and neurodiversity in Australian and Aotearoa New Zealand youth justice systems. </w:t>
      </w:r>
      <w:r w:rsidRPr="0033257A">
        <w:rPr>
          <w:i/>
          <w:iCs/>
        </w:rPr>
        <w:t>Psychiatry, Psychology and Law</w:t>
      </w:r>
      <w:r w:rsidRPr="0033257A">
        <w:t xml:space="preserve">, </w:t>
      </w:r>
      <w:r w:rsidRPr="0033257A">
        <w:rPr>
          <w:i/>
          <w:iCs/>
        </w:rPr>
        <w:t>0</w:t>
      </w:r>
      <w:r w:rsidRPr="0033257A">
        <w:t>(0), 1–23. https://doi.org/10.1080/13218719.2022.2124548</w:t>
      </w:r>
    </w:p>
    <w:p w14:paraId="76D093A5" w14:textId="77777777" w:rsidR="00274EB1" w:rsidRPr="0033257A" w:rsidRDefault="00274EB1" w:rsidP="00103A06">
      <w:r w:rsidRPr="0033257A">
        <w:t xml:space="preserve">14. Oakley Browne, M. A., Wells, J. E., &amp; Scott, K. M. (2006). </w:t>
      </w:r>
      <w:r w:rsidRPr="0033257A">
        <w:rPr>
          <w:i/>
          <w:iCs/>
        </w:rPr>
        <w:t>Te Rau Hinengaro: The New Zealand Mental Health Survey</w:t>
      </w:r>
      <w:r w:rsidRPr="0033257A">
        <w:t>. Ministry of Health. https://www.health.govt.nz/system/files/documents/publications/mental-health-survey.pdf</w:t>
      </w:r>
    </w:p>
    <w:p w14:paraId="3ABD23EB" w14:textId="77777777" w:rsidR="00274EB1" w:rsidRPr="0033257A" w:rsidRDefault="00274EB1" w:rsidP="00103A06">
      <w:r w:rsidRPr="0033257A">
        <w:t xml:space="preserve">15. Racine, L., Johnson, L., &amp; Fowler-Kerry, S. (2021). An integrative review of empirical literature on indigenous cognitive impairment and dementia. </w:t>
      </w:r>
      <w:r w:rsidRPr="0033257A">
        <w:rPr>
          <w:i/>
          <w:iCs/>
        </w:rPr>
        <w:t>Journal of Advanced Nursing</w:t>
      </w:r>
      <w:r w:rsidRPr="0033257A">
        <w:t xml:space="preserve">, </w:t>
      </w:r>
      <w:r w:rsidRPr="0033257A">
        <w:rPr>
          <w:i/>
          <w:iCs/>
        </w:rPr>
        <w:t>77</w:t>
      </w:r>
      <w:r w:rsidRPr="0033257A">
        <w:t>(3), 1155–1171. https://doi.org/10.1111/jan.14665</w:t>
      </w:r>
    </w:p>
    <w:p w14:paraId="0517B555" w14:textId="77777777" w:rsidR="00274EB1" w:rsidRPr="0033257A" w:rsidRDefault="00274EB1" w:rsidP="00103A06">
      <w:r w:rsidRPr="0033257A">
        <w:t xml:space="preserve">16. Smith, L., Chesher, I., Fredriksen-Goldsen, K., Ward, R., Phillipson, L., Newman, C. E., &amp; Delhomme, F. (2022). Investigating the lived experience of LGBT+ people with dementia and their care partners: A scoping review. </w:t>
      </w:r>
      <w:r w:rsidRPr="0033257A">
        <w:rPr>
          <w:i/>
          <w:iCs/>
        </w:rPr>
        <w:t>Ageing and Society</w:t>
      </w:r>
      <w:r w:rsidRPr="0033257A">
        <w:t>, 1–24. https://doi.org/10.1017/S0144686X22000538</w:t>
      </w:r>
    </w:p>
    <w:p w14:paraId="799431E0" w14:textId="77777777" w:rsidR="00274EB1" w:rsidRPr="0033257A" w:rsidRDefault="00274EB1" w:rsidP="00103A06">
      <w:r w:rsidRPr="0033257A">
        <w:lastRenderedPageBreak/>
        <w:t xml:space="preserve">17. Stewart, L. A., Wilton, G., &amp; Sapers, J. (2016). Offenders with cognitive deficits in a Canadian prison population: Prevalence, profile, and outcomes. </w:t>
      </w:r>
      <w:r w:rsidRPr="0033257A">
        <w:rPr>
          <w:i/>
          <w:iCs/>
        </w:rPr>
        <w:t>International Journal of Law and Psychiatry</w:t>
      </w:r>
      <w:r w:rsidRPr="0033257A">
        <w:t xml:space="preserve">, </w:t>
      </w:r>
      <w:r w:rsidRPr="0033257A">
        <w:rPr>
          <w:i/>
          <w:iCs/>
        </w:rPr>
        <w:t>44</w:t>
      </w:r>
      <w:r w:rsidRPr="0033257A">
        <w:t>, 7–14. https://doi.org/10.1016/j.ijlp.2015.08.026</w:t>
      </w:r>
    </w:p>
    <w:p w14:paraId="454A60D3" w14:textId="77777777" w:rsidR="00274EB1" w:rsidRPr="0033257A" w:rsidRDefault="00274EB1" w:rsidP="00103A06">
      <w:r w:rsidRPr="0033257A">
        <w:t xml:space="preserve">18. Stone, B., Dowling, S., &amp; Cameron, A. (2019). Cognitive impairment and homelessness: A scoping review. </w:t>
      </w:r>
      <w:r w:rsidRPr="0033257A">
        <w:rPr>
          <w:i/>
          <w:iCs/>
        </w:rPr>
        <w:t>Health &amp; Social Care in the Community</w:t>
      </w:r>
      <w:r w:rsidRPr="0033257A">
        <w:t xml:space="preserve">, </w:t>
      </w:r>
      <w:r w:rsidRPr="0033257A">
        <w:rPr>
          <w:i/>
          <w:iCs/>
        </w:rPr>
        <w:t>27</w:t>
      </w:r>
      <w:r w:rsidRPr="0033257A">
        <w:t>(4), e125–e142. https://doi.org/10.1111/hsc.12682</w:t>
      </w:r>
    </w:p>
    <w:p w14:paraId="517161A2" w14:textId="77777777" w:rsidR="00274EB1" w:rsidRPr="0033257A" w:rsidRDefault="00274EB1" w:rsidP="00103A06">
      <w:r w:rsidRPr="0033257A">
        <w:t xml:space="preserve">19. Teh, R., Kerse, N., Kepa, M., Doughty, R. N., Moyes, S., Wiles, J., Wham, C., Hayman, K., Wilkinson, T., Connolly, M., Mace, C., &amp; Dyall, L. (2014). Self-rated health, health-related behaviours and medical conditions of Māori and non-Māori in advanced age: LiLACS NZ. </w:t>
      </w:r>
      <w:r w:rsidRPr="0033257A">
        <w:rPr>
          <w:i/>
          <w:iCs/>
        </w:rPr>
        <w:t>New Zealand Medical Journal</w:t>
      </w:r>
      <w:r w:rsidRPr="0033257A">
        <w:t xml:space="preserve">, </w:t>
      </w:r>
      <w:r w:rsidRPr="0033257A">
        <w:rPr>
          <w:i/>
          <w:iCs/>
        </w:rPr>
        <w:t>127</w:t>
      </w:r>
      <w:r w:rsidRPr="0033257A">
        <w:t>(1397), 18.</w:t>
      </w:r>
    </w:p>
    <w:p w14:paraId="05BB5BAC" w14:textId="77777777" w:rsidR="00274EB1" w:rsidRPr="0033257A" w:rsidRDefault="00274EB1" w:rsidP="00103A06">
      <w:r w:rsidRPr="0033257A">
        <w:t xml:space="preserve">20. Tripathi, A., Kar, S. K., &amp; Shukla, R. (2018). Cognitive deficits in schizophrenia: Understanding the biological correlates and remediation strategies. </w:t>
      </w:r>
      <w:r w:rsidRPr="0033257A">
        <w:rPr>
          <w:i/>
          <w:iCs/>
        </w:rPr>
        <w:t>Clinical Psychopharmacology and Neuroscience</w:t>
      </w:r>
      <w:r w:rsidRPr="0033257A">
        <w:t xml:space="preserve">, </w:t>
      </w:r>
      <w:r w:rsidRPr="0033257A">
        <w:rPr>
          <w:i/>
          <w:iCs/>
        </w:rPr>
        <w:t>16</w:t>
      </w:r>
      <w:r w:rsidRPr="0033257A">
        <w:t>(1), 7–17. https://doi.org/10.9758/cpn.2018.16.1.7</w:t>
      </w:r>
    </w:p>
    <w:p w14:paraId="7FB88476" w14:textId="77777777" w:rsidR="00274EB1" w:rsidRPr="0033257A" w:rsidRDefault="00274EB1" w:rsidP="00103A06">
      <w:r w:rsidRPr="0033257A">
        <w:t xml:space="preserve">21. Waclawik, K., Jones, A. A., Barbic, S. P., Gicas, K. M., O’Connor, T. A., Smith, G. N., Leonova, O., Mathias, S., Barr, A. M., Procyshyn, R. M., Lang, D. J., Woodward, M. L., MacEwan, G. W., Panenka, W. J., Yamamoto, A., Honer, W. G., &amp; Thornton, A. E. (2019). Cognitive impairment in marginally housed youth: Prevalence and risk factors. </w:t>
      </w:r>
      <w:r w:rsidRPr="0033257A">
        <w:rPr>
          <w:i/>
          <w:iCs/>
        </w:rPr>
        <w:t>Frontiers in Public Health</w:t>
      </w:r>
      <w:r w:rsidRPr="0033257A">
        <w:t xml:space="preserve">, </w:t>
      </w:r>
      <w:r w:rsidRPr="0033257A">
        <w:rPr>
          <w:i/>
          <w:iCs/>
        </w:rPr>
        <w:t>7</w:t>
      </w:r>
      <w:r w:rsidRPr="0033257A">
        <w:t>. https://www.frontiersin.org/articles/10.3389/fpubh.2019.00270</w:t>
      </w:r>
    </w:p>
    <w:p w14:paraId="64BE9ECC" w14:textId="77777777" w:rsidR="00274EB1" w:rsidRPr="0033257A" w:rsidRDefault="00274EB1" w:rsidP="00103A06">
      <w:r w:rsidRPr="0033257A">
        <w:t xml:space="preserve">22. Walesby, K. E., Exeter, D. J., Gibb, S., Wood, P. C., Starr, J. M., &amp; Russ, T. C. (2020). Prevalence and geographical variation of dementia in New Zealand from 2012 to 2015: Brief report utilising routinely collected data within the Integrated Data Infrastructure. </w:t>
      </w:r>
      <w:r w:rsidRPr="0033257A">
        <w:rPr>
          <w:i/>
          <w:iCs/>
        </w:rPr>
        <w:t>Australasian Journal on Ageing</w:t>
      </w:r>
      <w:r w:rsidRPr="0033257A">
        <w:t xml:space="preserve">, </w:t>
      </w:r>
      <w:r w:rsidRPr="0033257A">
        <w:rPr>
          <w:i/>
          <w:iCs/>
        </w:rPr>
        <w:t>39</w:t>
      </w:r>
      <w:r w:rsidRPr="0033257A">
        <w:t>(3), 297–304. https://doi.org/10.1111/ajag.12790</w:t>
      </w:r>
    </w:p>
    <w:p w14:paraId="7FDEE2BB" w14:textId="77777777" w:rsidR="00274EB1" w:rsidRPr="0033257A" w:rsidRDefault="00274EB1" w:rsidP="00103A06">
      <w:r w:rsidRPr="0033257A">
        <w:t xml:space="preserve">23. Gould, F., Clarke, J., Heim, C., Harvey, P. D., Majer, M., &amp; Nemeroff, C. B. (2012). The effects of child abuse and neglect on cognitive functioning in adulthood. </w:t>
      </w:r>
      <w:r w:rsidRPr="0033257A">
        <w:rPr>
          <w:i/>
          <w:iCs/>
        </w:rPr>
        <w:t>Journal of Psychiatric Research</w:t>
      </w:r>
      <w:r w:rsidRPr="0033257A">
        <w:t xml:space="preserve">, </w:t>
      </w:r>
      <w:r w:rsidRPr="0033257A">
        <w:rPr>
          <w:i/>
          <w:iCs/>
        </w:rPr>
        <w:t>46</w:t>
      </w:r>
      <w:r w:rsidRPr="0033257A">
        <w:t>(4), 500–506. https://doi.org/10.1016/j.jpsychires.2012.01.005</w:t>
      </w:r>
    </w:p>
    <w:p w14:paraId="24AD0BFB" w14:textId="77777777" w:rsidR="00274EB1" w:rsidRPr="0033257A" w:rsidRDefault="00274EB1" w:rsidP="00103A06">
      <w:r w:rsidRPr="0033257A">
        <w:t xml:space="preserve">24. Petkus, A. J., Lenze, E. J., Butters, M. A., Twamley, E. W., &amp; Wetherell, J. L. (2018). Childhood trauma is associated with poorer cognitive performance in older adults. </w:t>
      </w:r>
      <w:r w:rsidRPr="0033257A">
        <w:rPr>
          <w:i/>
          <w:iCs/>
        </w:rPr>
        <w:t>The Journal of Clinical Psychiatry</w:t>
      </w:r>
      <w:r w:rsidRPr="0033257A">
        <w:t xml:space="preserve">, </w:t>
      </w:r>
      <w:r w:rsidRPr="0033257A">
        <w:rPr>
          <w:i/>
          <w:iCs/>
        </w:rPr>
        <w:t>79</w:t>
      </w:r>
      <w:r w:rsidRPr="0033257A">
        <w:t>(1), 16m11021. https://doi.org/10.4088/JCP.16m11021</w:t>
      </w:r>
    </w:p>
    <w:p w14:paraId="1DB17354" w14:textId="77777777" w:rsidR="00274EB1" w:rsidRPr="0033257A" w:rsidRDefault="00274EB1" w:rsidP="00103A06">
      <w:pPr>
        <w:rPr>
          <w:lang w:val="en-US"/>
        </w:rPr>
      </w:pPr>
      <w:r w:rsidRPr="0033257A">
        <w:rPr>
          <w:lang w:val="fr-FR"/>
        </w:rPr>
        <w:t xml:space="preserve">25. Ritchie, K., Jaussent, I., Stewart, R., Dupuy, A.-M., Courtet, P., Malafosse, A., &amp; Ancelin, M.-L. (2011). </w:t>
      </w:r>
      <w:r w:rsidRPr="0033257A">
        <w:rPr>
          <w:lang w:val="en-US"/>
        </w:rPr>
        <w:t xml:space="preserve">Adverse childhood environment and late-life cognitive functioning. </w:t>
      </w:r>
      <w:r w:rsidRPr="0033257A">
        <w:rPr>
          <w:i/>
          <w:iCs/>
          <w:lang w:val="en-US"/>
        </w:rPr>
        <w:t>International Journal of Geriatric Psychiatry</w:t>
      </w:r>
      <w:r w:rsidRPr="0033257A">
        <w:rPr>
          <w:lang w:val="en-US"/>
        </w:rPr>
        <w:t xml:space="preserve">, </w:t>
      </w:r>
      <w:r w:rsidRPr="0033257A">
        <w:rPr>
          <w:i/>
          <w:iCs/>
          <w:lang w:val="en-US"/>
        </w:rPr>
        <w:t>26</w:t>
      </w:r>
      <w:r w:rsidRPr="0033257A">
        <w:rPr>
          <w:lang w:val="en-US"/>
        </w:rPr>
        <w:t>(5), 503–510. https://doi.org/10.1002/gps.2553</w:t>
      </w:r>
    </w:p>
    <w:p w14:paraId="3BA21A82" w14:textId="77777777" w:rsidR="00274EB1" w:rsidRPr="0033257A" w:rsidRDefault="00274EB1" w:rsidP="00103A06">
      <w:r w:rsidRPr="0033257A">
        <w:lastRenderedPageBreak/>
        <w:t xml:space="preserve">26. Te Pou. (2021). </w:t>
      </w:r>
      <w:r w:rsidRPr="0033257A">
        <w:rPr>
          <w:i/>
          <w:iCs/>
        </w:rPr>
        <w:t>Weaving together knowledge for wellbeing | Trauma informed approaches</w:t>
      </w:r>
      <w:r w:rsidRPr="0033257A">
        <w:t>. https://www.tepou.co.nz/resources/weaving-together-knowledge-for-wellbeing-trauma-informed-approaches</w:t>
      </w:r>
    </w:p>
    <w:p w14:paraId="54DFC185" w14:textId="77777777" w:rsidR="00274EB1" w:rsidRPr="0033257A" w:rsidRDefault="00274EB1" w:rsidP="00103A06">
      <w:r w:rsidRPr="0033257A">
        <w:t xml:space="preserve">27. Te Pou. (2023). </w:t>
      </w:r>
      <w:r w:rsidRPr="0033257A">
        <w:rPr>
          <w:i/>
          <w:iCs/>
        </w:rPr>
        <w:t>Whakaohooho manawa ora – inspiring hope. Identifying cognitive strengths and supporting cognitive challenges for tāngata whai ora in addiction settings: Literature review, March 2023</w:t>
      </w:r>
      <w:r w:rsidRPr="0033257A">
        <w:t>.</w:t>
      </w:r>
    </w:p>
    <w:p w14:paraId="270FF26B" w14:textId="77777777" w:rsidR="00274EB1" w:rsidRPr="0033257A" w:rsidRDefault="00274EB1" w:rsidP="00103A06">
      <w:r w:rsidRPr="0033257A">
        <w:t xml:space="preserve">28. Manatū Hauora Ministry of Health. (2020). </w:t>
      </w:r>
      <w:r w:rsidRPr="0033257A">
        <w:rPr>
          <w:i/>
          <w:iCs/>
        </w:rPr>
        <w:t>He Korowai Oranga</w:t>
      </w:r>
      <w:r w:rsidRPr="0033257A">
        <w:t>. https://www.health.govt.nz/our-work/populations/maori-health/he-korowai-oranga</w:t>
      </w:r>
    </w:p>
    <w:p w14:paraId="29D3CA50" w14:textId="77777777" w:rsidR="00274EB1" w:rsidRPr="0033257A" w:rsidRDefault="00274EB1" w:rsidP="00103A06">
      <w:r w:rsidRPr="0033257A">
        <w:t xml:space="preserve">29. Manatū Hauora Ministry of Health. (2020). </w:t>
      </w:r>
      <w:r w:rsidRPr="0033257A">
        <w:rPr>
          <w:i/>
          <w:iCs/>
        </w:rPr>
        <w:t>Whakamaua: Māori Health Action Plan 2020-2025</w:t>
      </w:r>
      <w:r w:rsidRPr="0033257A">
        <w:t>. https://www.health.govt.nz/publication/whakamaua-maori-health-action-plan-2020-2025</w:t>
      </w:r>
    </w:p>
    <w:p w14:paraId="3D0537EE" w14:textId="77777777" w:rsidR="00274EB1" w:rsidRPr="0033257A" w:rsidRDefault="00274EB1" w:rsidP="00103A06">
      <w:r w:rsidRPr="0033257A">
        <w:t xml:space="preserve">30. Cheung, G., To, E., Rivera-Rodriguez, C., Ma’u, E., Chan, A. H. Y., Ryan, B., &amp; Cullum, S. (2022). Dementia prevalence estimation among the main ethnic groups in New Zealand: A population-based descriptive study of routinely collected health data. </w:t>
      </w:r>
      <w:r w:rsidRPr="0033257A">
        <w:rPr>
          <w:i/>
          <w:iCs/>
        </w:rPr>
        <w:t>BMJ Open</w:t>
      </w:r>
      <w:r w:rsidRPr="0033257A">
        <w:t xml:space="preserve">, </w:t>
      </w:r>
      <w:r w:rsidRPr="0033257A">
        <w:rPr>
          <w:i/>
          <w:iCs/>
        </w:rPr>
        <w:t>12</w:t>
      </w:r>
      <w:r w:rsidRPr="0033257A">
        <w:t>(9), e062304. https://doi.org/10.1136/bmjopen-2022-062304</w:t>
      </w:r>
    </w:p>
    <w:p w14:paraId="0C3F6946" w14:textId="77777777" w:rsidR="00274EB1" w:rsidRPr="0033257A" w:rsidRDefault="00274EB1" w:rsidP="00103A06">
      <w:r w:rsidRPr="0033257A">
        <w:t xml:space="preserve">31. Walker, K. (2019). </w:t>
      </w:r>
      <w:r w:rsidRPr="0033257A">
        <w:rPr>
          <w:i/>
          <w:iCs/>
        </w:rPr>
        <w:t>Issues of tobacco, alcohol and other substance abuse for Māori</w:t>
      </w:r>
      <w:r w:rsidRPr="0033257A">
        <w:t>. Ministry of Justice. https://forms.justice.govt.nz/search/Documents/WT/wt_DOC_155808738/Wai%202575%2C%20B030.pdf</w:t>
      </w:r>
    </w:p>
    <w:p w14:paraId="77B664AA" w14:textId="77777777" w:rsidR="00274EB1" w:rsidRPr="0033257A" w:rsidRDefault="00274EB1" w:rsidP="00103A06">
      <w:r w:rsidRPr="0033257A">
        <w:t xml:space="preserve">32. Te Pou, &amp; Ministry of Health. (2021). </w:t>
      </w:r>
      <w:r w:rsidRPr="0033257A">
        <w:rPr>
          <w:i/>
          <w:iCs/>
        </w:rPr>
        <w:t>Let’s get real: Real skills for working with people and whānau with mental health and addiction needs</w:t>
      </w:r>
      <w:r w:rsidRPr="0033257A">
        <w:t>. https://d2ew8vb2gktr0m.cloudfront.net/files/resources/TP-201216-Lets-get-real-framework-book-redesign-and-reprint_4_high-res.pdf</w:t>
      </w:r>
    </w:p>
    <w:p w14:paraId="2B40BD7A" w14:textId="77777777" w:rsidR="00274EB1" w:rsidRPr="0033257A" w:rsidRDefault="00274EB1" w:rsidP="00103A06">
      <w:r w:rsidRPr="0033257A">
        <w:t xml:space="preserve">33. dapaanz. (2011). </w:t>
      </w:r>
      <w:r w:rsidRPr="0033257A">
        <w:rPr>
          <w:i/>
          <w:iCs/>
        </w:rPr>
        <w:t>Addiction Intervention Competency Framework</w:t>
      </w:r>
      <w:r w:rsidRPr="0033257A">
        <w:t>. https://dapaanz.org.nz/wp-content/uploads/dapaanz_addiction_intervention_competency_framework.pdf</w:t>
      </w:r>
    </w:p>
    <w:p w14:paraId="6DB1C490" w14:textId="77777777" w:rsidR="00274EB1" w:rsidRPr="0033257A" w:rsidRDefault="00274EB1" w:rsidP="00103A06">
      <w:r w:rsidRPr="0033257A">
        <w:t xml:space="preserve">34. Durie, M. (1994). </w:t>
      </w:r>
      <w:r w:rsidRPr="0033257A">
        <w:rPr>
          <w:i/>
          <w:iCs/>
        </w:rPr>
        <w:t>Whai ora: Māori Health Development</w:t>
      </w:r>
      <w:r w:rsidRPr="0033257A">
        <w:t>. Oxford University Press. https://www.wheelers.co.nz/books/9780195584035-whai ora-maori-health-development/</w:t>
      </w:r>
    </w:p>
    <w:p w14:paraId="57CEC0F2" w14:textId="77777777" w:rsidR="00274EB1" w:rsidRPr="0033257A" w:rsidRDefault="00274EB1" w:rsidP="00103A06">
      <w:r w:rsidRPr="0033257A">
        <w:t xml:space="preserve">35. Dudley, M., Menzies, O., Elder, H., Nathan, L., Garrett, N., &amp; Wilson, D. (2019). Mate wareware: Understanding ‘dementia’ from a Māori perspective. </w:t>
      </w:r>
      <w:r w:rsidRPr="0033257A">
        <w:rPr>
          <w:i/>
          <w:iCs/>
        </w:rPr>
        <w:t>New Zealand Medical Journal</w:t>
      </w:r>
      <w:r w:rsidRPr="0033257A">
        <w:t xml:space="preserve">, </w:t>
      </w:r>
      <w:r w:rsidRPr="0033257A">
        <w:rPr>
          <w:i/>
          <w:iCs/>
        </w:rPr>
        <w:t>132</w:t>
      </w:r>
      <w:r w:rsidRPr="0033257A">
        <w:t>(1503), 9.</w:t>
      </w:r>
    </w:p>
    <w:p w14:paraId="31CCEED7" w14:textId="77777777" w:rsidR="00274EB1" w:rsidRPr="0033257A" w:rsidRDefault="00274EB1" w:rsidP="00103A06">
      <w:r w:rsidRPr="0033257A">
        <w:t xml:space="preserve">36. Elder, H., Czuba, K., Kersten, P., Caracuel, A., &amp; McPherson, K. (2017). Te Waka Kuaka, Rasch analysis of a cultural assessment tool in traumatic brain injury in Māori. </w:t>
      </w:r>
      <w:r w:rsidRPr="0033257A">
        <w:rPr>
          <w:i/>
          <w:iCs/>
        </w:rPr>
        <w:t>F1000Research</w:t>
      </w:r>
      <w:r w:rsidRPr="0033257A">
        <w:t xml:space="preserve">, </w:t>
      </w:r>
      <w:r w:rsidRPr="0033257A">
        <w:rPr>
          <w:i/>
          <w:iCs/>
        </w:rPr>
        <w:t>6</w:t>
      </w:r>
      <w:r w:rsidRPr="0033257A">
        <w:t>, 1034. https://doi.org/10.12688/f1000research.11500.1</w:t>
      </w:r>
    </w:p>
    <w:p w14:paraId="1DF3694D" w14:textId="77777777" w:rsidR="00274EB1" w:rsidRPr="0033257A" w:rsidRDefault="00274EB1" w:rsidP="00103A06">
      <w:pPr>
        <w:rPr>
          <w:lang w:val="pt-BR"/>
        </w:rPr>
      </w:pPr>
      <w:r w:rsidRPr="0033257A">
        <w:rPr>
          <w:lang w:val="en-US"/>
        </w:rPr>
        <w:lastRenderedPageBreak/>
        <w:t xml:space="preserve">37. Opai, K. (2017). </w:t>
      </w:r>
      <w:r w:rsidRPr="0033257A">
        <w:rPr>
          <w:i/>
          <w:iCs/>
          <w:lang w:val="en-US"/>
        </w:rPr>
        <w:t>Te Reo Hāpai: The language of enrichment</w:t>
      </w:r>
      <w:r w:rsidRPr="0033257A">
        <w:rPr>
          <w:lang w:val="en-US"/>
        </w:rPr>
        <w:t xml:space="preserve">. </w:t>
      </w:r>
      <w:r w:rsidRPr="0033257A">
        <w:rPr>
          <w:lang w:val="pt-BR"/>
        </w:rPr>
        <w:t>Te Pou o te Whakaaro Nui. https://www.tereohapai.nz/Browse/Terms/mi-NZ</w:t>
      </w:r>
    </w:p>
    <w:p w14:paraId="1E1B757C" w14:textId="77777777" w:rsidR="00274EB1" w:rsidRPr="0033257A" w:rsidRDefault="00274EB1" w:rsidP="00103A06">
      <w:pPr>
        <w:rPr>
          <w:lang w:val="fr-FR"/>
        </w:rPr>
      </w:pPr>
      <w:r w:rsidRPr="0033257A">
        <w:rPr>
          <w:lang w:val="fr-FR"/>
        </w:rPr>
        <w:t>38. Te Aka Māori Dictionary. (2023). https://www.maoridictionary.co.nz/</w:t>
      </w:r>
    </w:p>
    <w:p w14:paraId="1E76C69A" w14:textId="77777777" w:rsidR="00274EB1" w:rsidRPr="0033257A" w:rsidRDefault="00274EB1" w:rsidP="00103A06">
      <w:r w:rsidRPr="0033257A">
        <w:t xml:space="preserve">39. Minister of Health. (2023). </w:t>
      </w:r>
      <w:r w:rsidRPr="0033257A">
        <w:rPr>
          <w:i/>
          <w:iCs/>
        </w:rPr>
        <w:t>Te Mana Ola: The Pacific Health Strategy</w:t>
      </w:r>
      <w:r w:rsidRPr="0033257A">
        <w:t>. Ministry of Health. https://www.health.govt.nz/new-zealand-health-system/pae-ora-healthy-futures-all-new-zealanders/pae-ora-strategies/te-mana-ola-pacific-health-strategy</w:t>
      </w:r>
    </w:p>
    <w:p w14:paraId="4DADD065" w14:textId="77777777" w:rsidR="00274EB1" w:rsidRPr="0033257A" w:rsidRDefault="00274EB1" w:rsidP="00103A06">
      <w:r w:rsidRPr="0033257A">
        <w:t xml:space="preserve">40. Falaefa, M. (2020). </w:t>
      </w:r>
      <w:r w:rsidRPr="0033257A">
        <w:rPr>
          <w:i/>
          <w:iCs/>
        </w:rPr>
        <w:t>Core elements of Pacific primary mental health and addiction service provision</w:t>
      </w:r>
      <w:r w:rsidRPr="0033257A">
        <w:t>. https://www.health.govt.nz/system/files/documents/pages/core_elements_of_pacific_primary_mental_health_and_addicion_service_provision.pdf</w:t>
      </w:r>
    </w:p>
    <w:p w14:paraId="2020935A" w14:textId="77777777" w:rsidR="00274EB1" w:rsidRPr="0033257A" w:rsidRDefault="00274EB1" w:rsidP="00103A06">
      <w:r w:rsidRPr="0033257A">
        <w:t xml:space="preserve">41. Asian Family Services. (2023). </w:t>
      </w:r>
      <w:r w:rsidRPr="0033257A">
        <w:rPr>
          <w:i/>
          <w:iCs/>
        </w:rPr>
        <w:t>Asian peoples understanding of cognitive impairment</w:t>
      </w:r>
      <w:r w:rsidRPr="0033257A">
        <w:t xml:space="preserve"> [Personal communication].</w:t>
      </w:r>
    </w:p>
    <w:p w14:paraId="1CC1A350" w14:textId="77777777" w:rsidR="00274EB1" w:rsidRPr="0033257A" w:rsidRDefault="00274EB1" w:rsidP="00103A06">
      <w:r w:rsidRPr="0033257A">
        <w:t xml:space="preserve">42. American Psychiatric Association. (2013). DSM-5. In </w:t>
      </w:r>
      <w:r w:rsidRPr="0033257A">
        <w:rPr>
          <w:i/>
          <w:iCs/>
        </w:rPr>
        <w:t>Diagnostic and Statistical Manual of Mental Disorders 5th edition</w:t>
      </w:r>
      <w:r w:rsidRPr="0033257A">
        <w:t xml:space="preserve">. </w:t>
      </w:r>
    </w:p>
    <w:p w14:paraId="4BA2EFB4" w14:textId="77777777" w:rsidR="00274EB1" w:rsidRPr="0033257A" w:rsidRDefault="00274EB1" w:rsidP="00103A06">
      <w:r w:rsidRPr="0033257A">
        <w:t xml:space="preserve">43. McCollum, L., &amp; Karlawish, J. (2020). Cognitive impairment evaluation and management. </w:t>
      </w:r>
      <w:r w:rsidRPr="0033257A">
        <w:rPr>
          <w:i/>
          <w:iCs/>
        </w:rPr>
        <w:t>The Medical Clinics of North America</w:t>
      </w:r>
      <w:r w:rsidRPr="0033257A">
        <w:t xml:space="preserve">, </w:t>
      </w:r>
      <w:r w:rsidRPr="0033257A">
        <w:rPr>
          <w:i/>
          <w:iCs/>
        </w:rPr>
        <w:t>104</w:t>
      </w:r>
      <w:r w:rsidRPr="0033257A">
        <w:t>(5), 807–825. https://doi.org/10.1016/j.mcna.2020.06.007</w:t>
      </w:r>
    </w:p>
    <w:p w14:paraId="44D2BCB5" w14:textId="77777777" w:rsidR="00274EB1" w:rsidRPr="0033257A" w:rsidRDefault="00274EB1" w:rsidP="00103A06">
      <w:pPr>
        <w:rPr>
          <w:lang w:val="fr-FR"/>
        </w:rPr>
      </w:pPr>
      <w:r w:rsidRPr="0033257A">
        <w:rPr>
          <w:lang w:val="en-US"/>
        </w:rPr>
        <w:t xml:space="preserve">44. Squeglia, L. M., Jacobus, J., &amp; Tapert, S. F. (2009). The influence of substance use on adolescent brain development. </w:t>
      </w:r>
      <w:r w:rsidRPr="0033257A">
        <w:rPr>
          <w:i/>
          <w:iCs/>
          <w:lang w:val="fr-FR"/>
        </w:rPr>
        <w:t>Clinical EEG and Neuroscience</w:t>
      </w:r>
      <w:r w:rsidRPr="0033257A">
        <w:rPr>
          <w:lang w:val="fr-FR"/>
        </w:rPr>
        <w:t xml:space="preserve">, </w:t>
      </w:r>
      <w:r w:rsidRPr="0033257A">
        <w:rPr>
          <w:i/>
          <w:iCs/>
          <w:lang w:val="fr-FR"/>
        </w:rPr>
        <w:t>40</w:t>
      </w:r>
      <w:r w:rsidRPr="0033257A">
        <w:rPr>
          <w:lang w:val="fr-FR"/>
        </w:rPr>
        <w:t>(1), 31–38.</w:t>
      </w:r>
    </w:p>
    <w:p w14:paraId="639E504E" w14:textId="77777777" w:rsidR="00274EB1" w:rsidRPr="0033257A" w:rsidRDefault="00274EB1" w:rsidP="00103A06">
      <w:r w:rsidRPr="0033257A">
        <w:rPr>
          <w:lang w:val="fr-FR"/>
        </w:rPr>
        <w:t xml:space="preserve">45. Fama, R., Le Berre, A.-P., &amp; Sullivan, E. V. (2020). </w:t>
      </w:r>
      <w:r w:rsidRPr="0033257A">
        <w:t xml:space="preserve">Alcohol’s unique effects on cognition in women: A 2020 (re)view to envision future research and treatment. </w:t>
      </w:r>
      <w:r w:rsidRPr="0033257A">
        <w:rPr>
          <w:i/>
          <w:iCs/>
        </w:rPr>
        <w:t>Alcohol Research: Current Reviews</w:t>
      </w:r>
      <w:r w:rsidRPr="0033257A">
        <w:t xml:space="preserve">, </w:t>
      </w:r>
      <w:r w:rsidRPr="0033257A">
        <w:rPr>
          <w:i/>
          <w:iCs/>
        </w:rPr>
        <w:t>40</w:t>
      </w:r>
      <w:r w:rsidRPr="0033257A">
        <w:t>(2), 03. https://doi.org/10.35946/arcr.v40.2.03</w:t>
      </w:r>
    </w:p>
    <w:p w14:paraId="4B7BB766" w14:textId="77777777" w:rsidR="00274EB1" w:rsidRPr="0033257A" w:rsidRDefault="00274EB1" w:rsidP="00103A06">
      <w:r w:rsidRPr="0033257A">
        <w:t>46. Bronnick, K., Ehrt, U., Emre, M., De Deyn, P. P., Wesnes, K., Tekin, S., &amp; Aarsland, D. (2006). Attentional deficits affect activities of daily living in dementia</w:t>
      </w:r>
      <w:r w:rsidRPr="0033257A">
        <w:rPr>
          <w:rFonts w:ascii="Cambria Math" w:hAnsi="Cambria Math" w:cs="Cambria Math"/>
        </w:rPr>
        <w:t>‐</w:t>
      </w:r>
      <w:r w:rsidRPr="0033257A">
        <w:t xml:space="preserve">associated with Parkinson’s disease. </w:t>
      </w:r>
      <w:r w:rsidRPr="0033257A">
        <w:rPr>
          <w:i/>
          <w:iCs/>
        </w:rPr>
        <w:t>Journal of Neurology, Neurosurgery, and Psychiatry</w:t>
      </w:r>
      <w:r w:rsidRPr="0033257A">
        <w:t xml:space="preserve">, </w:t>
      </w:r>
      <w:r w:rsidRPr="0033257A">
        <w:rPr>
          <w:i/>
          <w:iCs/>
        </w:rPr>
        <w:t>77</w:t>
      </w:r>
      <w:r w:rsidRPr="0033257A">
        <w:t>(10), 1136–1142. https://doi.org/10.1136/jnnp.2006.093146</w:t>
      </w:r>
    </w:p>
    <w:p w14:paraId="64378F95" w14:textId="77777777" w:rsidR="00274EB1" w:rsidRPr="0033257A" w:rsidRDefault="00274EB1" w:rsidP="00103A06">
      <w:r w:rsidRPr="0033257A">
        <w:t xml:space="preserve">47. Beer, J., Kronenberger, W. G., &amp; Pisoni, D. B. (2011). Executive function in everyday life: Implications for young cochlear implant users. </w:t>
      </w:r>
      <w:r w:rsidRPr="0033257A">
        <w:rPr>
          <w:i/>
          <w:iCs/>
        </w:rPr>
        <w:t>Cochlear Implants International</w:t>
      </w:r>
      <w:r w:rsidRPr="0033257A">
        <w:t xml:space="preserve">, </w:t>
      </w:r>
      <w:r w:rsidRPr="0033257A">
        <w:rPr>
          <w:i/>
          <w:iCs/>
        </w:rPr>
        <w:t>12</w:t>
      </w:r>
      <w:r w:rsidRPr="0033257A">
        <w:t>(Suppl 1), S89–S91. https://doi.org/10.1179/146701011X13001035752570</w:t>
      </w:r>
    </w:p>
    <w:p w14:paraId="428C2491" w14:textId="77777777" w:rsidR="00274EB1" w:rsidRPr="0033257A" w:rsidRDefault="00274EB1" w:rsidP="00103A06">
      <w:r w:rsidRPr="0033257A">
        <w:t xml:space="preserve">48. Parikh, P. K., Troyer, A. K., Maione, A. M., &amp; Murphy, K. J. (2016). The impact of memory change on daily life in normal aging and mild cognitive impairment. </w:t>
      </w:r>
      <w:r w:rsidRPr="0033257A">
        <w:rPr>
          <w:i/>
          <w:iCs/>
        </w:rPr>
        <w:t>The Gerontologist</w:t>
      </w:r>
      <w:r w:rsidRPr="0033257A">
        <w:t xml:space="preserve">, </w:t>
      </w:r>
      <w:r w:rsidRPr="0033257A">
        <w:rPr>
          <w:i/>
          <w:iCs/>
        </w:rPr>
        <w:t>56</w:t>
      </w:r>
      <w:r w:rsidRPr="0033257A">
        <w:t>(5), 877–885. https://doi.org/10.1093/geront/gnv030</w:t>
      </w:r>
    </w:p>
    <w:p w14:paraId="15639590" w14:textId="77777777" w:rsidR="00274EB1" w:rsidRPr="0033257A" w:rsidRDefault="00274EB1" w:rsidP="00103A06">
      <w:r w:rsidRPr="0033257A">
        <w:lastRenderedPageBreak/>
        <w:t xml:space="preserve">49. Pitts, M., Mangle, L., &amp; Asherson, P. (2015). Impairments, diagnosis and treatments associated with Attention-Deficit/Hyperactivity Disorder (ADHD) in UK adults: Results from the lifetime impairment survey. </w:t>
      </w:r>
      <w:r w:rsidRPr="0033257A">
        <w:rPr>
          <w:i/>
          <w:iCs/>
        </w:rPr>
        <w:t>Archives of Psychiatric Nursing</w:t>
      </w:r>
      <w:r w:rsidRPr="0033257A">
        <w:t xml:space="preserve">, </w:t>
      </w:r>
      <w:r w:rsidRPr="0033257A">
        <w:rPr>
          <w:i/>
          <w:iCs/>
        </w:rPr>
        <w:t>29</w:t>
      </w:r>
      <w:r w:rsidRPr="0033257A">
        <w:t>(1), 56–63. https://doi.org/10.1016/j.apnu.2014.10.001</w:t>
      </w:r>
    </w:p>
    <w:p w14:paraId="286D6259" w14:textId="77777777" w:rsidR="00274EB1" w:rsidRPr="0033257A" w:rsidRDefault="00274EB1" w:rsidP="00103A06">
      <w:r w:rsidRPr="0033257A">
        <w:t xml:space="preserve">50. Huizenga, J., Scheffelaar, A., Fruijtier, A., Wilken, J. P., Bleijenberg, N., &amp; Van Regenmortel, T. (2022). Everyday experiences of people living with mild cognitive impairment or dementia: A scoping review. </w:t>
      </w:r>
      <w:r w:rsidRPr="0033257A">
        <w:rPr>
          <w:i/>
          <w:iCs/>
        </w:rPr>
        <w:t>International Journal of Environmental Research and Public Health</w:t>
      </w:r>
      <w:r w:rsidRPr="0033257A">
        <w:t xml:space="preserve">, </w:t>
      </w:r>
      <w:r w:rsidRPr="0033257A">
        <w:rPr>
          <w:i/>
          <w:iCs/>
        </w:rPr>
        <w:t>19</w:t>
      </w:r>
      <w:r w:rsidRPr="0033257A">
        <w:t>(17). https://doi.org/10.3390/ijerph191710828</w:t>
      </w:r>
    </w:p>
    <w:p w14:paraId="0762AA2E" w14:textId="77777777" w:rsidR="00274EB1" w:rsidRPr="0033257A" w:rsidRDefault="00274EB1" w:rsidP="00103A06">
      <w:r w:rsidRPr="0033257A">
        <w:t xml:space="preserve">51. Wilson, L., Horton, L., Kunzmann, K., Sahakian, B. J., Newcombe, V. F., Stamatakis, E. A., Steinbuechel, N. von, Cunitz, K., Covic, A., Maas, A., Praag, D. V., &amp; Menon, D. (2021). Understanding the relationship between cognitive performance and function in daily life after traumatic brain injury. </w:t>
      </w:r>
      <w:r w:rsidRPr="0033257A">
        <w:rPr>
          <w:i/>
          <w:iCs/>
        </w:rPr>
        <w:t>Journal of Neurology, Neurosurgery &amp; Psychiatry</w:t>
      </w:r>
      <w:r w:rsidRPr="0033257A">
        <w:t xml:space="preserve">, </w:t>
      </w:r>
      <w:r w:rsidRPr="0033257A">
        <w:rPr>
          <w:i/>
          <w:iCs/>
        </w:rPr>
        <w:t>92</w:t>
      </w:r>
      <w:r w:rsidRPr="0033257A">
        <w:t>(4), 407–417. https://doi.org/10.1136/jnnp-2020-324492</w:t>
      </w:r>
    </w:p>
    <w:p w14:paraId="6F2762E0" w14:textId="77777777" w:rsidR="00274EB1" w:rsidRPr="0033257A" w:rsidRDefault="00274EB1" w:rsidP="00103A06">
      <w:r w:rsidRPr="0033257A">
        <w:t xml:space="preserve">52. Headway the brain injury association. (n.d.). </w:t>
      </w:r>
      <w:r w:rsidRPr="0033257A">
        <w:rPr>
          <w:i/>
          <w:iCs/>
        </w:rPr>
        <w:t>Physical effects of brain injury</w:t>
      </w:r>
      <w:r w:rsidRPr="0033257A">
        <w:t>. Retrieved January 18, 2023, from https://www.headway.org.uk/about-brain-injury/individuals/effects-of-brain-injury/physical-effects/</w:t>
      </w:r>
    </w:p>
    <w:p w14:paraId="5509261B" w14:textId="77777777" w:rsidR="00274EB1" w:rsidRPr="0033257A" w:rsidRDefault="00274EB1" w:rsidP="00103A06">
      <w:r w:rsidRPr="0033257A">
        <w:t xml:space="preserve">53. Ministry of Health. (2015). </w:t>
      </w:r>
      <w:r w:rsidRPr="0033257A">
        <w:rPr>
          <w:i/>
          <w:iCs/>
        </w:rPr>
        <w:t>Supporting Parents Healthy children</w:t>
      </w:r>
      <w:r w:rsidRPr="0033257A">
        <w:t>. https://www.health.govt.nz/system/files/documents/publications/supporting-parents-healthy-children-sep15.docx</w:t>
      </w:r>
    </w:p>
    <w:p w14:paraId="5B07C807" w14:textId="77777777" w:rsidR="00274EB1" w:rsidRPr="0033257A" w:rsidRDefault="00274EB1" w:rsidP="00103A06">
      <w:r w:rsidRPr="0033257A">
        <w:t xml:space="preserve">54. Lemsky, C. (2021). </w:t>
      </w:r>
      <w:r w:rsidRPr="0033257A">
        <w:rPr>
          <w:i/>
          <w:iCs/>
        </w:rPr>
        <w:t>Traumatic brain injury and substance use disorders: Making the connections</w:t>
      </w:r>
      <w:r w:rsidRPr="0033257A">
        <w:t>. Addiction Technology Transfer Center Network. https://attcnetwork.org/sites/default/files/2021-11/TBI%20%20SUD%20Toolkit%20FINAL%2011.05.2021.pdf</w:t>
      </w:r>
    </w:p>
    <w:p w14:paraId="549195CD" w14:textId="77777777" w:rsidR="00274EB1" w:rsidRPr="0033257A" w:rsidRDefault="00274EB1" w:rsidP="00103A06">
      <w:r w:rsidRPr="0033257A">
        <w:t xml:space="preserve">55. FASD-CAN. (n.d.). </w:t>
      </w:r>
      <w:r w:rsidRPr="0033257A">
        <w:rPr>
          <w:i/>
          <w:iCs/>
        </w:rPr>
        <w:t>Understanding FASD</w:t>
      </w:r>
      <w:r w:rsidRPr="0033257A">
        <w:t>. Retrieved January 18, 2023, from https://www.fasd-can.org.nz/understanding_fasd</w:t>
      </w:r>
    </w:p>
    <w:p w14:paraId="702CAA78" w14:textId="77777777" w:rsidR="00274EB1" w:rsidRPr="0033257A" w:rsidRDefault="00274EB1" w:rsidP="00103A06">
      <w:r w:rsidRPr="0033257A">
        <w:t xml:space="preserve">56. Autism NZ. (n.d.). </w:t>
      </w:r>
      <w:r w:rsidRPr="0033257A">
        <w:rPr>
          <w:i/>
          <w:iCs/>
        </w:rPr>
        <w:t>Traits and characteristics Archive—Autism NZ</w:t>
      </w:r>
      <w:r w:rsidRPr="0033257A">
        <w:t>. Retrieved January 16, 2023, from https://autismnz.org.nz/traits-and-character/</w:t>
      </w:r>
    </w:p>
    <w:p w14:paraId="7C94A4FE" w14:textId="77777777" w:rsidR="00274EB1" w:rsidRPr="0033257A" w:rsidRDefault="00274EB1" w:rsidP="00103A06">
      <w:r w:rsidRPr="0033257A">
        <w:t xml:space="preserve">57. ADHD New Zealand. (n.d.). </w:t>
      </w:r>
      <w:r w:rsidRPr="0033257A">
        <w:rPr>
          <w:i/>
          <w:iCs/>
        </w:rPr>
        <w:t>What is ADHD | ADHD NZ</w:t>
      </w:r>
      <w:r w:rsidRPr="0033257A">
        <w:t>. Retrieved January 15, 2023, from https://www.adhd.org.nz/what-is-adhd.html</w:t>
      </w:r>
    </w:p>
    <w:p w14:paraId="6D8A9796" w14:textId="77777777" w:rsidR="00274EB1" w:rsidRPr="0033257A" w:rsidRDefault="00274EB1" w:rsidP="00103A06">
      <w:r w:rsidRPr="0033257A">
        <w:t xml:space="preserve">58. Boat, T. F., Wu, J. T., Disorders, C. to E. the S. S. I. D. P. for C. with M., Populations, B. on the H. of S., Board on Children, Y., Medicine, I. of, Education, D. of B. and S. S. and, &amp; The National Academies of Sciences, E. (2015). Clinical characteristics of intellectual disabilities. In </w:t>
      </w:r>
      <w:r w:rsidRPr="0033257A">
        <w:rPr>
          <w:i/>
          <w:iCs/>
        </w:rPr>
        <w:t>Mental Disorders and Disabilities Among Low-Income Children</w:t>
      </w:r>
      <w:r w:rsidRPr="0033257A">
        <w:t>. National Academies Press (US). https://www.ncbi.nlm.nih.gov/books/NBK332877/</w:t>
      </w:r>
    </w:p>
    <w:p w14:paraId="78E6444F" w14:textId="77777777" w:rsidR="00274EB1" w:rsidRPr="0033257A" w:rsidRDefault="00274EB1" w:rsidP="00103A06">
      <w:r w:rsidRPr="0033257A">
        <w:lastRenderedPageBreak/>
        <w:t xml:space="preserve">59. ihc New Zealand. (n.d.). </w:t>
      </w:r>
      <w:r w:rsidRPr="0033257A">
        <w:rPr>
          <w:i/>
          <w:iCs/>
        </w:rPr>
        <w:t>What is an intellectual disability?</w:t>
      </w:r>
      <w:r w:rsidRPr="0033257A">
        <w:t xml:space="preserve"> Retrieved January 31, 2023, from https://ihc.org.nz/what-intellectual-disability</w:t>
      </w:r>
    </w:p>
    <w:p w14:paraId="34D77D6A" w14:textId="77777777" w:rsidR="00274EB1" w:rsidRPr="0033257A" w:rsidRDefault="00274EB1" w:rsidP="00103A06">
      <w:r w:rsidRPr="0033257A">
        <w:t xml:space="preserve">60. HIVgov. (2023). </w:t>
      </w:r>
      <w:r w:rsidRPr="0033257A">
        <w:rPr>
          <w:i/>
          <w:iCs/>
        </w:rPr>
        <w:t>What Are HIV and AIDS?</w:t>
      </w:r>
      <w:r w:rsidRPr="0033257A">
        <w:t xml:space="preserve"> HIV.Gov. https://www.hiv.gov/hiv-basics/overview/about-hiv-and-aids/what-are-hiv-and-aids</w:t>
      </w:r>
    </w:p>
    <w:p w14:paraId="49F328F1" w14:textId="77777777" w:rsidR="00274EB1" w:rsidRPr="0033257A" w:rsidRDefault="00274EB1" w:rsidP="00103A06">
      <w:r w:rsidRPr="0033257A">
        <w:t xml:space="preserve">61. CDC. (2021). </w:t>
      </w:r>
      <w:r w:rsidRPr="0033257A">
        <w:rPr>
          <w:i/>
          <w:iCs/>
        </w:rPr>
        <w:t>Hepatitis C.</w:t>
      </w:r>
      <w:r w:rsidRPr="0033257A">
        <w:t xml:space="preserve"> https://www.cdc.gov/hepatitis/hcv/index.htm</w:t>
      </w:r>
    </w:p>
    <w:p w14:paraId="107692CD" w14:textId="77777777" w:rsidR="00274EB1" w:rsidRPr="0033257A" w:rsidRDefault="00274EB1" w:rsidP="00103A06">
      <w:r w:rsidRPr="0033257A">
        <w:t xml:space="preserve">62. Lacerte, M., Shapshak, A. H., &amp; Mesfin, F. B. (2022). Hypoxic brain injury. In </w:t>
      </w:r>
      <w:r w:rsidRPr="0033257A">
        <w:rPr>
          <w:i/>
          <w:iCs/>
        </w:rPr>
        <w:t>StatPearls [Internet]</w:t>
      </w:r>
      <w:r w:rsidRPr="0033257A">
        <w:t>. StatPearls Publishing. https://www.ncbi.nlm.nih.gov/books/NBK537310/</w:t>
      </w:r>
    </w:p>
    <w:p w14:paraId="2FEA6F82" w14:textId="77777777" w:rsidR="00274EB1" w:rsidRPr="0033257A" w:rsidRDefault="00274EB1" w:rsidP="00103A06">
      <w:r w:rsidRPr="0033257A">
        <w:t xml:space="preserve">63. Stroke Foundation NZ. (n.d.). </w:t>
      </w:r>
      <w:r w:rsidRPr="0033257A">
        <w:rPr>
          <w:i/>
          <w:iCs/>
        </w:rPr>
        <w:t>Facts and FAQs</w:t>
      </w:r>
      <w:r w:rsidRPr="0033257A">
        <w:t>. Retrieved January 18, 2023, from https://www.stroke.org.nz/facts-and-faqs</w:t>
      </w:r>
    </w:p>
    <w:p w14:paraId="4FC48812" w14:textId="77777777" w:rsidR="00274EB1" w:rsidRPr="0033257A" w:rsidRDefault="00274EB1" w:rsidP="00103A06">
      <w:r w:rsidRPr="0033257A">
        <w:t xml:space="preserve">64. Brain Injury New Zealand &amp; ACC. (2018). </w:t>
      </w:r>
      <w:r w:rsidRPr="0033257A">
        <w:rPr>
          <w:i/>
          <w:iCs/>
        </w:rPr>
        <w:t>What is brain injury?</w:t>
      </w:r>
      <w:r w:rsidRPr="0033257A">
        <w:t xml:space="preserve"> https://www.brain-injury.nz/wp-content/uploads/2018/05/2345-02-What-is-Brain-injury-Online.pdf</w:t>
      </w:r>
    </w:p>
    <w:p w14:paraId="41A4FD12" w14:textId="77777777" w:rsidR="00274EB1" w:rsidRPr="0033257A" w:rsidRDefault="00274EB1" w:rsidP="00103A06">
      <w:r w:rsidRPr="0033257A">
        <w:t xml:space="preserve">65. Alzheimer’s Society. (n.d.). </w:t>
      </w:r>
      <w:r w:rsidRPr="0033257A">
        <w:rPr>
          <w:i/>
          <w:iCs/>
        </w:rPr>
        <w:t>What causes young-onset dementia?</w:t>
      </w:r>
      <w:r w:rsidRPr="0033257A">
        <w:t>. Retrieved January 18, 2023, from https://www.alzheimers.org.uk/about-dementia/types-dementia/what-causes-young-onset-dementia</w:t>
      </w:r>
    </w:p>
    <w:p w14:paraId="718D6FE8" w14:textId="77777777" w:rsidR="00274EB1" w:rsidRPr="0033257A" w:rsidRDefault="00274EB1" w:rsidP="00103A06">
      <w:r w:rsidRPr="0033257A">
        <w:t xml:space="preserve">66. Sachdeva, A., Chandra, M., Choudhary, M., Dayal, P., &amp; Anand, K. S. (2016). Alcohol-related dementia and neurocognitive impairment: A review study. </w:t>
      </w:r>
      <w:r w:rsidRPr="0033257A">
        <w:rPr>
          <w:i/>
          <w:iCs/>
        </w:rPr>
        <w:t>International Journal of High Risk Behaviors &amp; Addiction</w:t>
      </w:r>
      <w:r w:rsidRPr="0033257A">
        <w:t xml:space="preserve">, </w:t>
      </w:r>
      <w:r w:rsidRPr="0033257A">
        <w:rPr>
          <w:i/>
          <w:iCs/>
        </w:rPr>
        <w:t>5</w:t>
      </w:r>
      <w:r w:rsidRPr="0033257A">
        <w:t>(3), e27976. https://doi.org/10.5812/ijhrba.27976</w:t>
      </w:r>
    </w:p>
    <w:p w14:paraId="5A0B055A" w14:textId="77777777" w:rsidR="00274EB1" w:rsidRPr="0033257A" w:rsidRDefault="00274EB1" w:rsidP="00103A06">
      <w:r w:rsidRPr="0033257A">
        <w:t xml:space="preserve">67. Kim, E. J., Bahk, Y.-C., Oh, H., Lee, W.-H., Lee, J.-S., &amp; Choi, K.-H. (2018). Current status of cognitive remediation for psychiatric disorders: A review. </w:t>
      </w:r>
      <w:r w:rsidRPr="0033257A">
        <w:rPr>
          <w:i/>
          <w:iCs/>
        </w:rPr>
        <w:t>Frontiers in Psychiatry</w:t>
      </w:r>
      <w:r w:rsidRPr="0033257A">
        <w:t xml:space="preserve">, </w:t>
      </w:r>
      <w:r w:rsidRPr="0033257A">
        <w:rPr>
          <w:i/>
          <w:iCs/>
        </w:rPr>
        <w:t>9</w:t>
      </w:r>
      <w:r w:rsidRPr="0033257A">
        <w:t>, 461. https://doi.org/10.3389/fpsyt.2018.00461</w:t>
      </w:r>
    </w:p>
    <w:p w14:paraId="73D92116" w14:textId="77777777" w:rsidR="00274EB1" w:rsidRPr="0033257A" w:rsidRDefault="00274EB1" w:rsidP="00103A06">
      <w:r w:rsidRPr="0033257A">
        <w:t xml:space="preserve">68. Kake, T. R., Garrett, N., &amp; Te Aonui, M. (2016). Cognitive neuropsychological functioning in New Zealand Māori diagnosed with schizophrenia. </w:t>
      </w:r>
      <w:r w:rsidRPr="0033257A">
        <w:rPr>
          <w:i/>
          <w:iCs/>
        </w:rPr>
        <w:t>Australian &amp; New Zealand Journal of Psychiatry</w:t>
      </w:r>
      <w:r w:rsidRPr="0033257A">
        <w:t xml:space="preserve">, </w:t>
      </w:r>
      <w:r w:rsidRPr="0033257A">
        <w:rPr>
          <w:i/>
          <w:iCs/>
        </w:rPr>
        <w:t>50</w:t>
      </w:r>
      <w:r w:rsidRPr="0033257A">
        <w:t>(6), 566–576. https://doi.org/10.1177/0004867415607986</w:t>
      </w:r>
    </w:p>
    <w:p w14:paraId="6BD74F90" w14:textId="77777777" w:rsidR="00274EB1" w:rsidRPr="0033257A" w:rsidRDefault="00274EB1" w:rsidP="00103A06">
      <w:r w:rsidRPr="0033257A">
        <w:t xml:space="preserve">69. Douglas, K. M., Porter, R. J., &amp; Young, A. H. (2020). Cognition in mood disorders. </w:t>
      </w:r>
      <w:r w:rsidRPr="0033257A">
        <w:rPr>
          <w:i/>
          <w:iCs/>
        </w:rPr>
        <w:t>BJPsych Open</w:t>
      </w:r>
      <w:r w:rsidRPr="0033257A">
        <w:t xml:space="preserve">, </w:t>
      </w:r>
      <w:r w:rsidRPr="0033257A">
        <w:rPr>
          <w:i/>
          <w:iCs/>
        </w:rPr>
        <w:t>7</w:t>
      </w:r>
      <w:r w:rsidRPr="0033257A">
        <w:t>(1), e16. https://doi.org/10.1192/bjo.2020.149</w:t>
      </w:r>
    </w:p>
    <w:p w14:paraId="3E1429D8" w14:textId="77777777" w:rsidR="00274EB1" w:rsidRPr="0033257A" w:rsidRDefault="00274EB1" w:rsidP="00103A06">
      <w:r w:rsidRPr="0033257A">
        <w:t xml:space="preserve">70. Rock, P., Roiser, J., Riedel, W., &amp; Blackwell, A. (2013). Cognitive impairment in depression: A systematic review and meta-analysis. </w:t>
      </w:r>
      <w:r w:rsidRPr="0033257A">
        <w:rPr>
          <w:i/>
          <w:iCs/>
        </w:rPr>
        <w:t>Psychological Medicine</w:t>
      </w:r>
      <w:r w:rsidRPr="0033257A">
        <w:t xml:space="preserve">, </w:t>
      </w:r>
      <w:r w:rsidRPr="0033257A">
        <w:rPr>
          <w:i/>
          <w:iCs/>
        </w:rPr>
        <w:t>44</w:t>
      </w:r>
      <w:r w:rsidRPr="0033257A">
        <w:t>, 1–12. https://doi.org/10.1017/S0033291713002535</w:t>
      </w:r>
    </w:p>
    <w:p w14:paraId="269617EA" w14:textId="77777777" w:rsidR="00274EB1" w:rsidRPr="0033257A" w:rsidRDefault="00274EB1" w:rsidP="00103A06">
      <w:r w:rsidRPr="0033257A">
        <w:t xml:space="preserve">71. Anda, R. (2018). </w:t>
      </w:r>
      <w:r w:rsidRPr="0033257A">
        <w:rPr>
          <w:i/>
          <w:iCs/>
        </w:rPr>
        <w:t>The role of adverse childhood experiences in substance misuse and related behavioral health problems</w:t>
      </w:r>
      <w:r w:rsidRPr="0033257A">
        <w:t>. SAMHSA Center for the Application of Prevention Technologies.</w:t>
      </w:r>
    </w:p>
    <w:p w14:paraId="67203AAE" w14:textId="77777777" w:rsidR="00274EB1" w:rsidRPr="0033257A" w:rsidRDefault="00274EB1" w:rsidP="00103A06">
      <w:r w:rsidRPr="0033257A">
        <w:lastRenderedPageBreak/>
        <w:t xml:space="preserve">72. Ballard, C., &amp; Lang, I. (2018). Alcohol and dementia: A complex relationship with potential for dementia prevention. </w:t>
      </w:r>
      <w:r w:rsidRPr="0033257A">
        <w:rPr>
          <w:i/>
          <w:iCs/>
        </w:rPr>
        <w:t>The Lancet Public Health</w:t>
      </w:r>
      <w:r w:rsidRPr="0033257A">
        <w:t xml:space="preserve">, </w:t>
      </w:r>
      <w:r w:rsidRPr="0033257A">
        <w:rPr>
          <w:i/>
          <w:iCs/>
        </w:rPr>
        <w:t>3</w:t>
      </w:r>
      <w:r w:rsidRPr="0033257A">
        <w:t>(3), e103–e104. https://doi.org/10.1016/S2468-2667(18)30031-8</w:t>
      </w:r>
    </w:p>
    <w:p w14:paraId="5A781AC6" w14:textId="77777777" w:rsidR="00274EB1" w:rsidRPr="0033257A" w:rsidRDefault="00274EB1" w:rsidP="00103A06">
      <w:r w:rsidRPr="0033257A">
        <w:t xml:space="preserve">73. Fonseca, A. C., &amp; Ferro, J. M. (2013). Drug abuse and stroke. </w:t>
      </w:r>
      <w:r w:rsidRPr="0033257A">
        <w:rPr>
          <w:i/>
          <w:iCs/>
        </w:rPr>
        <w:t>Current Neurology and Neuroscience Reports</w:t>
      </w:r>
      <w:r w:rsidRPr="0033257A">
        <w:t xml:space="preserve">, </w:t>
      </w:r>
      <w:r w:rsidRPr="0033257A">
        <w:rPr>
          <w:i/>
          <w:iCs/>
        </w:rPr>
        <w:t>13</w:t>
      </w:r>
      <w:r w:rsidRPr="0033257A">
        <w:t>(2), 325. https://doi.org/10.1007/s11910-012-0325-0</w:t>
      </w:r>
    </w:p>
    <w:p w14:paraId="4CA7F78B" w14:textId="77777777" w:rsidR="00274EB1" w:rsidRPr="0033257A" w:rsidRDefault="00274EB1" w:rsidP="00103A06">
      <w:r w:rsidRPr="0033257A">
        <w:t xml:space="preserve">74. McHugo, G. J., Krassenbaum, S., Donley, S., Corrigan, J. D., Bogner, J., &amp; Drake, R. E. (2017). The prevalence of traumatic brain injury among people with co-occurring mental health and substance use disorders. </w:t>
      </w:r>
      <w:r w:rsidRPr="0033257A">
        <w:rPr>
          <w:i/>
          <w:iCs/>
        </w:rPr>
        <w:t>Journal of Head Trauma Rehabilitation</w:t>
      </w:r>
      <w:r w:rsidRPr="0033257A">
        <w:t xml:space="preserve">, </w:t>
      </w:r>
      <w:r w:rsidRPr="0033257A">
        <w:rPr>
          <w:i/>
          <w:iCs/>
        </w:rPr>
        <w:t>32</w:t>
      </w:r>
      <w:r w:rsidRPr="0033257A">
        <w:t>(3), E65–E74. https://doi.org/10.1097/HTR.0000000000000249</w:t>
      </w:r>
    </w:p>
    <w:p w14:paraId="62D072A0" w14:textId="77777777" w:rsidR="00274EB1" w:rsidRPr="0033257A" w:rsidRDefault="00274EB1" w:rsidP="00103A06">
      <w:r w:rsidRPr="0033257A">
        <w:t xml:space="preserve">75. Palm, A., Vataja, R., Talaslahti, T., Ginters, M., Kautiainen, H., Elonheimo, H., Suvisaari, J., Lindberg, N., &amp; Koponen, H. (2022). Incidence and mortality of alcohol-related dementia and Wernicke-Korsakoff syndrome: A nationwide register study. </w:t>
      </w:r>
      <w:r w:rsidRPr="0033257A">
        <w:rPr>
          <w:i/>
          <w:iCs/>
        </w:rPr>
        <w:t>International Journal of Geriatric Psychiatry</w:t>
      </w:r>
      <w:r w:rsidRPr="0033257A">
        <w:t xml:space="preserve">, </w:t>
      </w:r>
      <w:r w:rsidRPr="0033257A">
        <w:rPr>
          <w:i/>
          <w:iCs/>
        </w:rPr>
        <w:t>37</w:t>
      </w:r>
      <w:r w:rsidRPr="0033257A">
        <w:t>(8). https://doi.org/10.1002/gps.5775</w:t>
      </w:r>
    </w:p>
    <w:p w14:paraId="71CA49E0" w14:textId="77777777" w:rsidR="00274EB1" w:rsidRPr="0033257A" w:rsidRDefault="00274EB1" w:rsidP="00103A06">
      <w:r w:rsidRPr="0033257A">
        <w:t xml:space="preserve">76. Popova, S., Lange, S., Shield, K., Mihic, A., Chudley, A. E., Mukherjee, R. A. S., Bekmuradov, D., &amp; Rehm, J. (2016). Comorbidity of fetal alcohol spectrum disorder: A systematic review and meta-analysis. </w:t>
      </w:r>
      <w:r w:rsidRPr="0033257A">
        <w:rPr>
          <w:i/>
          <w:iCs/>
        </w:rPr>
        <w:t>The Lancet</w:t>
      </w:r>
      <w:r w:rsidRPr="0033257A">
        <w:t xml:space="preserve">, </w:t>
      </w:r>
      <w:r w:rsidRPr="0033257A">
        <w:rPr>
          <w:i/>
          <w:iCs/>
        </w:rPr>
        <w:t>387</w:t>
      </w:r>
      <w:r w:rsidRPr="0033257A">
        <w:t>(10022), 978–987. https://doi.org/10.1016/S0140-6736(15)01345-8</w:t>
      </w:r>
    </w:p>
    <w:p w14:paraId="788109D6" w14:textId="77777777" w:rsidR="00274EB1" w:rsidRPr="0033257A" w:rsidRDefault="00274EB1" w:rsidP="00103A06">
      <w:r w:rsidRPr="0033257A">
        <w:t xml:space="preserve">77. Sabia, S., Fayosse, A., Dumurgier, J., Dugravot, A., Akbaraly, T., Britton, A., Kivimäki, M., &amp; Singh-Manoux, A. (2018). Alcohol consumption and risk of dementia: 23 year follow-up of Whitehall II cohort study. </w:t>
      </w:r>
      <w:r w:rsidRPr="0033257A">
        <w:rPr>
          <w:i/>
          <w:iCs/>
        </w:rPr>
        <w:t>BMJ</w:t>
      </w:r>
      <w:r w:rsidRPr="0033257A">
        <w:t xml:space="preserve">, </w:t>
      </w:r>
      <w:r w:rsidRPr="0033257A">
        <w:rPr>
          <w:i/>
          <w:iCs/>
        </w:rPr>
        <w:t>362</w:t>
      </w:r>
      <w:r w:rsidRPr="0033257A">
        <w:t>, k2927. https://doi.org/10.1136/bmj.k2927</w:t>
      </w:r>
    </w:p>
    <w:p w14:paraId="09635380" w14:textId="77777777" w:rsidR="00274EB1" w:rsidRPr="0033257A" w:rsidRDefault="00274EB1" w:rsidP="00103A06">
      <w:r w:rsidRPr="0033257A">
        <w:t xml:space="preserve">78. Schwarzinger, M., Pollock, B. G., Hasan, O. S. M., Dufouil, C., Rehm, J., Baillot, S., Guibert, Q., Planchet, F., &amp; Luchini, S. (2018). Contribution of alcohol use disorders to the burden of dementia in France 2008–13: A nationwide retrospective cohort study. </w:t>
      </w:r>
      <w:r w:rsidRPr="0033257A">
        <w:rPr>
          <w:i/>
          <w:iCs/>
        </w:rPr>
        <w:t>The Lancet Public Health</w:t>
      </w:r>
      <w:r w:rsidRPr="0033257A">
        <w:t xml:space="preserve">, </w:t>
      </w:r>
      <w:r w:rsidRPr="0033257A">
        <w:rPr>
          <w:i/>
          <w:iCs/>
        </w:rPr>
        <w:t>3</w:t>
      </w:r>
      <w:r w:rsidRPr="0033257A">
        <w:t>(3), e124–e132. https://doi.org/10.1016/S2468-2667(18)30022-7</w:t>
      </w:r>
    </w:p>
    <w:p w14:paraId="4287199C" w14:textId="77777777" w:rsidR="00274EB1" w:rsidRPr="0033257A" w:rsidRDefault="00274EB1" w:rsidP="00103A06">
      <w:r w:rsidRPr="0033257A">
        <w:t xml:space="preserve">79. Ståhlberg, O., Anckarsäter, H., &amp; Nilsson, T. (2010). Mental health problems in youths committed to juvenile institutions: Prevalence and treatment needs. </w:t>
      </w:r>
      <w:r w:rsidRPr="0033257A">
        <w:rPr>
          <w:i/>
          <w:iCs/>
        </w:rPr>
        <w:t>European Child &amp; Adolescent Psychiatry</w:t>
      </w:r>
      <w:r w:rsidRPr="0033257A">
        <w:t xml:space="preserve">, </w:t>
      </w:r>
      <w:r w:rsidRPr="0033257A">
        <w:rPr>
          <w:i/>
          <w:iCs/>
        </w:rPr>
        <w:t>19</w:t>
      </w:r>
      <w:r w:rsidRPr="0033257A">
        <w:t>(12), 893-903. https://doi.org/10.1007/s00787-010-0137-1</w:t>
      </w:r>
    </w:p>
    <w:p w14:paraId="53EE53C8" w14:textId="77777777" w:rsidR="00274EB1" w:rsidRPr="0033257A" w:rsidRDefault="00274EB1" w:rsidP="00103A06">
      <w:r w:rsidRPr="0033257A">
        <w:t xml:space="preserve">80. van Duijvenbode, N., &amp; VanDerNagel, J. E. L. (2019). A systematic review of substance use (disorder) in individuals with mild to borderline intellectual disability. </w:t>
      </w:r>
      <w:r w:rsidRPr="0033257A">
        <w:rPr>
          <w:i/>
          <w:iCs/>
        </w:rPr>
        <w:t>European Addiction Research</w:t>
      </w:r>
      <w:r w:rsidRPr="0033257A">
        <w:t xml:space="preserve">, </w:t>
      </w:r>
      <w:r w:rsidRPr="0033257A">
        <w:rPr>
          <w:i/>
          <w:iCs/>
        </w:rPr>
        <w:t>25</w:t>
      </w:r>
      <w:r w:rsidRPr="0033257A">
        <w:t>(6), 263–282. https://doi.org/10.1159/000501679</w:t>
      </w:r>
    </w:p>
    <w:p w14:paraId="7910FEE3" w14:textId="77777777" w:rsidR="00274EB1" w:rsidRPr="0033257A" w:rsidRDefault="00274EB1" w:rsidP="00103A06">
      <w:r w:rsidRPr="0033257A">
        <w:t xml:space="preserve">81. van Emmerik-van Oortmerssen, K., van de Glind, G., van den Brink, W., Crunelle, C. L., Swets, M., &amp; Schoevers, R. A. (2018). Prevalence of attention-deficit hyperactivity disorder in substance use disorder patients: A meta-analysis and meta-regression analysis. In </w:t>
      </w:r>
      <w:r w:rsidRPr="0033257A">
        <w:rPr>
          <w:i/>
          <w:iCs/>
        </w:rPr>
        <w:t xml:space="preserve">ADHD &amp; Addiction: Prevalence, diagnostic assessment and treatment of </w:t>
      </w:r>
      <w:r w:rsidRPr="0033257A">
        <w:rPr>
          <w:i/>
          <w:iCs/>
        </w:rPr>
        <w:lastRenderedPageBreak/>
        <w:t>ADHD in substance use disorder patients</w:t>
      </w:r>
      <w:r w:rsidRPr="0033257A">
        <w:t xml:space="preserve"> (Vol. 122, pp. 11–19). Rijksuniversiteit Groningen. https://pure.rug.nl/ws/portalfiles/portal/61244159/Chapter_3.pdf</w:t>
      </w:r>
    </w:p>
    <w:p w14:paraId="1C0F4580" w14:textId="77777777" w:rsidR="00274EB1" w:rsidRPr="0033257A" w:rsidRDefault="00274EB1" w:rsidP="00103A06">
      <w:r w:rsidRPr="0033257A">
        <w:t xml:space="preserve">82. Walker, R., Cole, J. E., Logan, T. K., &amp; Corrigan, J. D. (2007). Screening substance abuse treatment clients for traumatic brain injury: Prevalence and characteristics. </w:t>
      </w:r>
      <w:r w:rsidRPr="0033257A">
        <w:rPr>
          <w:i/>
          <w:iCs/>
        </w:rPr>
        <w:t>The Journal of Head Trauma Rehabilitation</w:t>
      </w:r>
      <w:r w:rsidRPr="0033257A">
        <w:t xml:space="preserve">, </w:t>
      </w:r>
      <w:r w:rsidRPr="0033257A">
        <w:rPr>
          <w:i/>
          <w:iCs/>
        </w:rPr>
        <w:t>22</w:t>
      </w:r>
      <w:r w:rsidRPr="0033257A">
        <w:t>(6), 360–367. https://doi.org/10.1097/01.HTR.0000300231.90619.50</w:t>
      </w:r>
    </w:p>
    <w:p w14:paraId="10E9FCDF" w14:textId="77777777" w:rsidR="00274EB1" w:rsidRPr="0033257A" w:rsidRDefault="00274EB1" w:rsidP="00103A06">
      <w:r w:rsidRPr="0033257A">
        <w:rPr>
          <w:lang w:val="fr-FR"/>
        </w:rPr>
        <w:t xml:space="preserve">83. Wang, Y., Du, Y., Li, J., &amp; Qiu, C. (2019). </w:t>
      </w:r>
      <w:r w:rsidRPr="0033257A">
        <w:t xml:space="preserve">Lifespan intellectual factors, genetic susceptibility, and cognitive phenotypes in aging: Implications for interventions. </w:t>
      </w:r>
      <w:r w:rsidRPr="0033257A">
        <w:rPr>
          <w:i/>
          <w:iCs/>
        </w:rPr>
        <w:t>Frontiers in Aging Neuroscience</w:t>
      </w:r>
      <w:r w:rsidRPr="0033257A">
        <w:t xml:space="preserve">, </w:t>
      </w:r>
      <w:r w:rsidRPr="0033257A">
        <w:rPr>
          <w:i/>
          <w:iCs/>
        </w:rPr>
        <w:t>11</w:t>
      </w:r>
      <w:r w:rsidRPr="0033257A">
        <w:t>(129). https://doi.org/10.3389/fnagi.2019.00129</w:t>
      </w:r>
    </w:p>
    <w:p w14:paraId="7B96A16B" w14:textId="77777777" w:rsidR="00274EB1" w:rsidRPr="0033257A" w:rsidRDefault="00274EB1" w:rsidP="00103A06">
      <w:r w:rsidRPr="0033257A">
        <w:t xml:space="preserve">84. World Health Organization. (n.d.). </w:t>
      </w:r>
      <w:r w:rsidRPr="0033257A">
        <w:rPr>
          <w:i/>
          <w:iCs/>
        </w:rPr>
        <w:t>People who inject drugs</w:t>
      </w:r>
      <w:r w:rsidRPr="0033257A">
        <w:t>. Retrieved October 12, 2022, from https://www.who.int/teams/global-hiv-hepatitis-and-stis-programmes/populations/people-who-inject-drugs</w:t>
      </w:r>
    </w:p>
    <w:p w14:paraId="5CBB7EBB" w14:textId="77777777" w:rsidR="00274EB1" w:rsidRPr="0033257A" w:rsidRDefault="00274EB1" w:rsidP="00103A06">
      <w:r w:rsidRPr="0033257A">
        <w:t xml:space="preserve">85. Shinohara, M., &amp; Yamada, M. (2016). Drug-induced cognitive impairment. </w:t>
      </w:r>
      <w:r w:rsidRPr="0033257A">
        <w:rPr>
          <w:i/>
          <w:iCs/>
        </w:rPr>
        <w:t>Brain and Nerve</w:t>
      </w:r>
      <w:r w:rsidRPr="0033257A">
        <w:t xml:space="preserve">, </w:t>
      </w:r>
      <w:r w:rsidRPr="0033257A">
        <w:rPr>
          <w:i/>
          <w:iCs/>
        </w:rPr>
        <w:t>68</w:t>
      </w:r>
      <w:r w:rsidRPr="0033257A">
        <w:t>(4), 421–428. https://doi.org/10.11477/mf.1416200415</w:t>
      </w:r>
    </w:p>
    <w:p w14:paraId="1FF9A553" w14:textId="77777777" w:rsidR="00274EB1" w:rsidRPr="0033257A" w:rsidRDefault="00274EB1" w:rsidP="00103A06">
      <w:r w:rsidRPr="0033257A">
        <w:t xml:space="preserve">86. Birnie, M. T., Claydon, M. D. B., Troy, O., Flynn, B. P., Yoshimura, M., Kershaw, Y. M., Zhao, Z., Demski-Allen, R. C. R., Barker, G. R. I., Warburton, E. C., Bortolotto, Z. A., Lightman, S. L., &amp; Conway-Campbell, B. L. (2023). Circadian regulation of hippocampal function is disrupted with corticosteroid treatment. </w:t>
      </w:r>
      <w:r w:rsidRPr="0033257A">
        <w:rPr>
          <w:i/>
          <w:iCs/>
        </w:rPr>
        <w:t>Proceedings of the National Academy of Sciences</w:t>
      </w:r>
      <w:r w:rsidRPr="0033257A">
        <w:t xml:space="preserve">, </w:t>
      </w:r>
      <w:r w:rsidRPr="0033257A">
        <w:rPr>
          <w:i/>
          <w:iCs/>
        </w:rPr>
        <w:t>120</w:t>
      </w:r>
      <w:r w:rsidRPr="0033257A">
        <w:t>(15), e2211996120. https://doi.org/10.1073/pnas.2211996120</w:t>
      </w:r>
    </w:p>
    <w:p w14:paraId="47482F61" w14:textId="77777777" w:rsidR="00274EB1" w:rsidRPr="0033257A" w:rsidRDefault="00274EB1" w:rsidP="00103A06">
      <w:r w:rsidRPr="0033257A">
        <w:t xml:space="preserve">87. Belanoff, J. K., Gross, K., Yager, A., &amp; Schatzberg, A. F. (2001). Corticosteroids and cognition. </w:t>
      </w:r>
      <w:r w:rsidRPr="0033257A">
        <w:rPr>
          <w:i/>
          <w:iCs/>
        </w:rPr>
        <w:t>Journal of Psychiatric Research</w:t>
      </w:r>
      <w:r w:rsidRPr="0033257A">
        <w:t xml:space="preserve">, </w:t>
      </w:r>
      <w:r w:rsidRPr="0033257A">
        <w:rPr>
          <w:i/>
          <w:iCs/>
        </w:rPr>
        <w:t>35</w:t>
      </w:r>
      <w:r w:rsidRPr="0033257A">
        <w:t>(3), 127–145. https://doi.org/10.1016/s0022-3956(01)00018-8</w:t>
      </w:r>
    </w:p>
    <w:p w14:paraId="374E67FE" w14:textId="77777777" w:rsidR="00274EB1" w:rsidRPr="0033257A" w:rsidRDefault="00274EB1" w:rsidP="00103A06">
      <w:r w:rsidRPr="0033257A">
        <w:t xml:space="preserve">88. Marvanova, M. (2016). Drug-induced cognitive impairment: Effect of cardiovascular agents. </w:t>
      </w:r>
      <w:r w:rsidRPr="0033257A">
        <w:rPr>
          <w:i/>
          <w:iCs/>
        </w:rPr>
        <w:t>The Mental Health Clinician</w:t>
      </w:r>
      <w:r w:rsidRPr="0033257A">
        <w:t xml:space="preserve">, </w:t>
      </w:r>
      <w:r w:rsidRPr="0033257A">
        <w:rPr>
          <w:i/>
          <w:iCs/>
        </w:rPr>
        <w:t>6</w:t>
      </w:r>
      <w:r w:rsidRPr="0033257A">
        <w:t>(4), 201–206. https://doi.org/10.9740/mhc.2016.07.201</w:t>
      </w:r>
    </w:p>
    <w:p w14:paraId="55F84740" w14:textId="77777777" w:rsidR="00274EB1" w:rsidRPr="0033257A" w:rsidRDefault="00274EB1" w:rsidP="00103A06">
      <w:r w:rsidRPr="0033257A">
        <w:t xml:space="preserve">89. Neelamegam, M., Zgibor, J., Chen, H., O’rourke, K., Bakour, C., Rajaram, L., &amp; Anstey, K. J. (2021). The effect of opioids on the cognitive function of older adults: Results from the Personality and Total Health Through Life study. </w:t>
      </w:r>
      <w:r w:rsidRPr="0033257A">
        <w:rPr>
          <w:i/>
          <w:iCs/>
        </w:rPr>
        <w:t>Age and Ageing</w:t>
      </w:r>
      <w:r w:rsidRPr="0033257A">
        <w:t xml:space="preserve">, </w:t>
      </w:r>
      <w:r w:rsidRPr="0033257A">
        <w:rPr>
          <w:i/>
          <w:iCs/>
        </w:rPr>
        <w:t>50</w:t>
      </w:r>
      <w:r w:rsidRPr="0033257A">
        <w:t>(5), 1699–1708. https://doi.org/10.1093/ageing/afab048</w:t>
      </w:r>
    </w:p>
    <w:p w14:paraId="30D24322" w14:textId="77777777" w:rsidR="00274EB1" w:rsidRPr="0033257A" w:rsidRDefault="00274EB1" w:rsidP="00103A06">
      <w:r w:rsidRPr="0033257A">
        <w:t xml:space="preserve">90. Pask, S., Dell’Olio, M., Murtagh, F. E. M., &amp; Boland, J. W. (2020). The effects of opioids on cognition in older adults with cancer and chronic noncancer pain: A systematic review. </w:t>
      </w:r>
      <w:r w:rsidRPr="0033257A">
        <w:rPr>
          <w:i/>
          <w:iCs/>
        </w:rPr>
        <w:t>Journal of Pain and Symptom Management</w:t>
      </w:r>
      <w:r w:rsidRPr="0033257A">
        <w:t xml:space="preserve">, </w:t>
      </w:r>
      <w:r w:rsidRPr="0033257A">
        <w:rPr>
          <w:i/>
          <w:iCs/>
        </w:rPr>
        <w:t>59</w:t>
      </w:r>
      <w:r w:rsidRPr="0033257A">
        <w:t>(4), 871-893.e1. https://doi.org/10.1016/j.jpainsymman.2019.10.022</w:t>
      </w:r>
    </w:p>
    <w:p w14:paraId="0D6643E0" w14:textId="77777777" w:rsidR="00274EB1" w:rsidRPr="0033257A" w:rsidRDefault="00274EB1" w:rsidP="00103A06">
      <w:r w:rsidRPr="0033257A">
        <w:lastRenderedPageBreak/>
        <w:t xml:space="preserve">91. Eddy, C. M., Rickards, H. E., &amp; Cavanna, A. E. (2011). The cognitive impact of antiepileptic drugs. </w:t>
      </w:r>
      <w:r w:rsidRPr="0033257A">
        <w:rPr>
          <w:i/>
          <w:iCs/>
        </w:rPr>
        <w:t>Therapeutic Advances in Neurological Disorders</w:t>
      </w:r>
      <w:r w:rsidRPr="0033257A">
        <w:t xml:space="preserve">, </w:t>
      </w:r>
      <w:r w:rsidRPr="0033257A">
        <w:rPr>
          <w:i/>
          <w:iCs/>
        </w:rPr>
        <w:t>4</w:t>
      </w:r>
      <w:r w:rsidRPr="0033257A">
        <w:t>(6), 385–407. https://doi.org/10.1177/1756285611417920</w:t>
      </w:r>
    </w:p>
    <w:p w14:paraId="274697A8" w14:textId="77777777" w:rsidR="00274EB1" w:rsidRPr="0033257A" w:rsidRDefault="00274EB1" w:rsidP="00103A06">
      <w:r w:rsidRPr="0033257A">
        <w:t xml:space="preserve">92. Carrière, I., Norton, J., Farré, A., Wyart, M., Tzourio, C., Noize, P., Pérès, K., Fourrier-Réglat, A., Ritchie, K., &amp; Ancelin, M. L. (2017). Antidepressant use and cognitive decline in community-dwelling elderly people – The Three-City Cohort. </w:t>
      </w:r>
      <w:r w:rsidRPr="0033257A">
        <w:rPr>
          <w:i/>
          <w:iCs/>
        </w:rPr>
        <w:t>BMC Medicine</w:t>
      </w:r>
      <w:r w:rsidRPr="0033257A">
        <w:t xml:space="preserve">, </w:t>
      </w:r>
      <w:r w:rsidRPr="0033257A">
        <w:rPr>
          <w:i/>
          <w:iCs/>
        </w:rPr>
        <w:t>15</w:t>
      </w:r>
      <w:r w:rsidRPr="0033257A">
        <w:t>, 81. https://doi.org/10.1186/s12916-017-0847-z</w:t>
      </w:r>
    </w:p>
    <w:p w14:paraId="5A34D31C" w14:textId="77777777" w:rsidR="00274EB1" w:rsidRPr="0033257A" w:rsidRDefault="00274EB1" w:rsidP="00103A06">
      <w:r w:rsidRPr="0033257A">
        <w:t xml:space="preserve">93. Podewils, L. J., &amp; Lyketsos, C. G. (2002). Tricyclic antidepressants and cognitive decline. </w:t>
      </w:r>
      <w:r w:rsidRPr="0033257A">
        <w:rPr>
          <w:i/>
          <w:iCs/>
        </w:rPr>
        <w:t>Psychosomatics</w:t>
      </w:r>
      <w:r w:rsidRPr="0033257A">
        <w:t xml:space="preserve">, </w:t>
      </w:r>
      <w:r w:rsidRPr="0033257A">
        <w:rPr>
          <w:i/>
          <w:iCs/>
        </w:rPr>
        <w:t>43</w:t>
      </w:r>
      <w:r w:rsidRPr="0033257A">
        <w:t>(1), 31–35. https://doi.org/10.1176/appi.psy.43.1.31</w:t>
      </w:r>
    </w:p>
    <w:p w14:paraId="3793B329" w14:textId="77777777" w:rsidR="00274EB1" w:rsidRPr="0033257A" w:rsidRDefault="00274EB1" w:rsidP="00103A06">
      <w:r w:rsidRPr="0033257A">
        <w:t xml:space="preserve">94. Berry, J., Shores, E. A., Nardo, T., Sedwell, A., Lunn, J., Marceau, E. M., Wesseling, A., Zucco, M., Sugden-Lingard, S., Borchard, T., &amp; Batchelor, J. (2022). Brief executive-function assessment tool: A new cognitive impairment screening tool for alcohol and other drug services. </w:t>
      </w:r>
      <w:r w:rsidRPr="0033257A">
        <w:rPr>
          <w:i/>
          <w:iCs/>
        </w:rPr>
        <w:t>Applied Neuropsychology. Adult</w:t>
      </w:r>
      <w:r w:rsidRPr="0033257A">
        <w:t xml:space="preserve">, </w:t>
      </w:r>
      <w:r w:rsidRPr="0033257A">
        <w:rPr>
          <w:i/>
          <w:iCs/>
        </w:rPr>
        <w:t>29</w:t>
      </w:r>
      <w:r w:rsidRPr="0033257A">
        <w:t>(6), 1511–1521. https://doi.org/10.1080/23279095.2021.1895791</w:t>
      </w:r>
    </w:p>
    <w:p w14:paraId="384D0B81" w14:textId="77777777" w:rsidR="00274EB1" w:rsidRPr="0033257A" w:rsidRDefault="00274EB1" w:rsidP="00103A06">
      <w:r w:rsidRPr="0033257A">
        <w:t xml:space="preserve">95. Ramey, T., &amp; Regier, P. S. (2019). Cognitive impairment in substance use disorders. </w:t>
      </w:r>
      <w:r w:rsidRPr="0033257A">
        <w:rPr>
          <w:i/>
          <w:iCs/>
        </w:rPr>
        <w:t>CNS Spectrums</w:t>
      </w:r>
      <w:r w:rsidRPr="0033257A">
        <w:t xml:space="preserve">, </w:t>
      </w:r>
      <w:r w:rsidRPr="0033257A">
        <w:rPr>
          <w:i/>
          <w:iCs/>
        </w:rPr>
        <w:t>24</w:t>
      </w:r>
      <w:r w:rsidRPr="0033257A">
        <w:t>(1), 102–113. https://doi.org/10.1017/S1092852918001426</w:t>
      </w:r>
    </w:p>
    <w:p w14:paraId="7EBF2502" w14:textId="77777777" w:rsidR="00274EB1" w:rsidRPr="0033257A" w:rsidRDefault="00274EB1" w:rsidP="00103A06">
      <w:r w:rsidRPr="0033257A">
        <w:t xml:space="preserve">96. Verdejo-Garcia, A., Lorenzetti, V., Manning, V., Piercy, H., Bruno, R., Hester, R., Pennington, D., Tolomeo, S., Arunogiri, S., Bates, M. E., Bowden-Jones, H., Campanella, S., Daughters, S. B., Kouimtsidis, C., Lubman, D. I., Meyerhoff, D. J., Ralph, A., Rezapour, T., Tavakoli, H., … Ekhtiari, H. (2019). A roadmap for integrating neuroscience into addiction treatment: A consensus of the Neuroscience Interest Group of the International Society of Addiction Medicine. </w:t>
      </w:r>
      <w:r w:rsidRPr="0033257A">
        <w:rPr>
          <w:i/>
          <w:iCs/>
        </w:rPr>
        <w:t>Frontiers in Psychiatry</w:t>
      </w:r>
      <w:r w:rsidRPr="0033257A">
        <w:t xml:space="preserve">, </w:t>
      </w:r>
      <w:r w:rsidRPr="0033257A">
        <w:rPr>
          <w:i/>
          <w:iCs/>
        </w:rPr>
        <w:t>10</w:t>
      </w:r>
      <w:r w:rsidRPr="0033257A">
        <w:t>. https://www.frontiersin.org/articles/10.3389/fpsyt.2019.00877</w:t>
      </w:r>
    </w:p>
    <w:p w14:paraId="05FBB311" w14:textId="77777777" w:rsidR="00274EB1" w:rsidRPr="0033257A" w:rsidRDefault="00274EB1" w:rsidP="00103A06">
      <w:r w:rsidRPr="0033257A">
        <w:t xml:space="preserve">97. Messina, Z., Hays Shapshak, A., &amp; Mills, R. (2022). Anoxic Encephalopathy. In </w:t>
      </w:r>
      <w:r w:rsidRPr="0033257A">
        <w:rPr>
          <w:i/>
          <w:iCs/>
        </w:rPr>
        <w:t>StatPearls</w:t>
      </w:r>
      <w:r w:rsidRPr="0033257A">
        <w:t>. StatPearls Publishing. http://www.ncbi.nlm.nih.gov/books/NBK539833/</w:t>
      </w:r>
    </w:p>
    <w:p w14:paraId="24115809" w14:textId="77777777" w:rsidR="00274EB1" w:rsidRPr="0033257A" w:rsidRDefault="00274EB1" w:rsidP="00103A06">
      <w:r w:rsidRPr="0033257A">
        <w:t xml:space="preserve">98. Winstanley, E. L., Mahoney, J. J., Castillo, F., &amp; Comer, S. D. (2021). Neurocognitive impairments and brain abnormalities resulting from opioid-related overdoses: A systematic review. </w:t>
      </w:r>
      <w:r w:rsidRPr="0033257A">
        <w:rPr>
          <w:i/>
          <w:iCs/>
        </w:rPr>
        <w:t>Drug and Alcohol Dependence</w:t>
      </w:r>
      <w:r w:rsidRPr="0033257A">
        <w:t xml:space="preserve">, </w:t>
      </w:r>
      <w:r w:rsidRPr="0033257A">
        <w:rPr>
          <w:i/>
          <w:iCs/>
        </w:rPr>
        <w:t>226</w:t>
      </w:r>
      <w:r w:rsidRPr="0033257A">
        <w:t>, 108838. https://doi.org/10.1016/j.drugalcdep.2021.108838</w:t>
      </w:r>
    </w:p>
    <w:p w14:paraId="486B2856" w14:textId="77777777" w:rsidR="00274EB1" w:rsidRPr="0033257A" w:rsidRDefault="00274EB1" w:rsidP="00103A06">
      <w:r w:rsidRPr="0033257A">
        <w:t xml:space="preserve">99. Meyerhoff, D. J. (2017). Functionally relevant brain alterations in polysubstance users: Differences to monosubstance users, study challenges, and implications for treatment. In </w:t>
      </w:r>
      <w:r w:rsidRPr="0033257A">
        <w:rPr>
          <w:i/>
          <w:iCs/>
        </w:rPr>
        <w:t>Addictive substances and neurological disease: Alcohol, tobacco, caffeine, and drugs of abuse in everyday lifestyles</w:t>
      </w:r>
      <w:r w:rsidRPr="0033257A">
        <w:t xml:space="preserve"> (pp. 217–237). Elsevier Academic Press. https://doi.org/10.1016/B978-0-12-805373-7.00021-9</w:t>
      </w:r>
    </w:p>
    <w:p w14:paraId="51F747A1" w14:textId="77777777" w:rsidR="00274EB1" w:rsidRPr="0033257A" w:rsidRDefault="00274EB1" w:rsidP="00103A06">
      <w:pPr>
        <w:rPr>
          <w:lang w:val="fr-FR"/>
        </w:rPr>
      </w:pPr>
      <w:r w:rsidRPr="0033257A">
        <w:lastRenderedPageBreak/>
        <w:t xml:space="preserve">100. Griswold, M. G., Fullman, N., Hawley, C., Arian, N., Zimsen, S. R. M., Tymeson, H. D., Venkateswaran, V., Tapp, A. D., Forouzanfar, M. H., Salama, J. S., Abate, K. H., Abate, D., Abay, S. M., Abbafati, C., Abdulkader, R. S., Abebe, Z., Aboyans, V., Abrar, M. M., Acharya, P., … Gakidou, E. (2018). Alcohol use and burden for 195 countries and territories, 1990–2016: A systematic analysis for the Global Burden of Disease Study 2016. </w:t>
      </w:r>
      <w:r w:rsidRPr="0033257A">
        <w:rPr>
          <w:i/>
          <w:iCs/>
          <w:lang w:val="fr-FR"/>
        </w:rPr>
        <w:t>The Lancet</w:t>
      </w:r>
      <w:r w:rsidRPr="0033257A">
        <w:rPr>
          <w:lang w:val="fr-FR"/>
        </w:rPr>
        <w:t xml:space="preserve">, </w:t>
      </w:r>
      <w:r w:rsidRPr="0033257A">
        <w:rPr>
          <w:i/>
          <w:iCs/>
          <w:lang w:val="fr-FR"/>
        </w:rPr>
        <w:t>392</w:t>
      </w:r>
      <w:r w:rsidRPr="0033257A">
        <w:rPr>
          <w:lang w:val="fr-FR"/>
        </w:rPr>
        <w:t>(10152), 1015–1035. https://doi.org/10.1016/S0140-6736(18)31310-2</w:t>
      </w:r>
    </w:p>
    <w:p w14:paraId="1683C3E8" w14:textId="77777777" w:rsidR="00274EB1" w:rsidRPr="0033257A" w:rsidRDefault="00274EB1" w:rsidP="00103A06">
      <w:r w:rsidRPr="0033257A">
        <w:rPr>
          <w:lang w:val="fr-FR"/>
        </w:rPr>
        <w:t xml:space="preserve">101. Bourque, J., &amp; Potvin, S. (2021). </w:t>
      </w:r>
      <w:r w:rsidRPr="0033257A">
        <w:t xml:space="preserve">Cannabis and cognitive functioning: From acute to residual effects, from randomized controlled trials to prospective designs. </w:t>
      </w:r>
      <w:r w:rsidRPr="0033257A">
        <w:rPr>
          <w:i/>
          <w:iCs/>
        </w:rPr>
        <w:t>Frontiers in Psychiatry</w:t>
      </w:r>
      <w:r w:rsidRPr="0033257A">
        <w:t xml:space="preserve">, </w:t>
      </w:r>
      <w:r w:rsidRPr="0033257A">
        <w:rPr>
          <w:i/>
          <w:iCs/>
        </w:rPr>
        <w:t>12</w:t>
      </w:r>
      <w:r w:rsidRPr="0033257A">
        <w:t>. https://www.frontiersin.org/articles/10.3389/fpsyt.2021.596601</w:t>
      </w:r>
    </w:p>
    <w:p w14:paraId="57FF5BA5" w14:textId="77777777" w:rsidR="00274EB1" w:rsidRPr="0033257A" w:rsidRDefault="00274EB1" w:rsidP="00103A06">
      <w:r w:rsidRPr="0033257A">
        <w:t xml:space="preserve">102. Griffiths, P. (2018). </w:t>
      </w:r>
      <w:r w:rsidRPr="0033257A">
        <w:rPr>
          <w:i/>
          <w:iCs/>
        </w:rPr>
        <w:t>Opioid substitution therapy: Effects on cognitive and psychomotor function</w:t>
      </w:r>
      <w:r w:rsidRPr="0033257A">
        <w:t>. New Zealand Research Review. https://www.researchreview.co.nz/getmedia/db558a04-678c-43f1-90a6-99e6392cff2c/Educational-Series-OST-and-Cognitive-Function.pdf.aspx?ext=.pdf</w:t>
      </w:r>
    </w:p>
    <w:p w14:paraId="7A6BA3E7" w14:textId="77777777" w:rsidR="00274EB1" w:rsidRPr="0033257A" w:rsidRDefault="00274EB1" w:rsidP="00103A06">
      <w:r w:rsidRPr="0033257A">
        <w:t xml:space="preserve">103. Crowe, S. F., &amp; Stranks, E. K. (2018). The residual medium and long-term cognitive effects of Benzodiazepine use: An updated meta-analysis. </w:t>
      </w:r>
      <w:r w:rsidRPr="0033257A">
        <w:rPr>
          <w:i/>
          <w:iCs/>
        </w:rPr>
        <w:t>Archives of Clinical Neuropsychology</w:t>
      </w:r>
      <w:r w:rsidRPr="0033257A">
        <w:t xml:space="preserve">, </w:t>
      </w:r>
      <w:r w:rsidRPr="0033257A">
        <w:rPr>
          <w:i/>
          <w:iCs/>
        </w:rPr>
        <w:t>33</w:t>
      </w:r>
      <w:r w:rsidRPr="0033257A">
        <w:t>(7), 901–911. https://doi.org/10.1093/arclin/acx120</w:t>
      </w:r>
    </w:p>
    <w:p w14:paraId="0E7BC264" w14:textId="77777777" w:rsidR="00274EB1" w:rsidRPr="0033257A" w:rsidRDefault="00274EB1" w:rsidP="00103A06">
      <w:r w:rsidRPr="0033257A">
        <w:t xml:space="preserve">104. Nader, D., &amp; Gowing, L. (2020). Is long-term Benzodiazepine use a risk factor for cognitive decline? Results of a systematic review. </w:t>
      </w:r>
      <w:r w:rsidRPr="0033257A">
        <w:rPr>
          <w:i/>
          <w:iCs/>
        </w:rPr>
        <w:t>Journal of Addiction</w:t>
      </w:r>
      <w:r w:rsidRPr="0033257A">
        <w:t xml:space="preserve">, </w:t>
      </w:r>
      <w:r w:rsidRPr="0033257A">
        <w:rPr>
          <w:i/>
          <w:iCs/>
        </w:rPr>
        <w:t>2020</w:t>
      </w:r>
      <w:r w:rsidRPr="0033257A">
        <w:t>, e1569456. https://doi.org/10.1155/2020/1569456</w:t>
      </w:r>
    </w:p>
    <w:p w14:paraId="3CDD3857" w14:textId="77777777" w:rsidR="00274EB1" w:rsidRPr="0033257A" w:rsidRDefault="00274EB1" w:rsidP="00103A06">
      <w:r w:rsidRPr="0033257A">
        <w:t xml:space="preserve">105. NZ Drug Foundation. (n.d.). </w:t>
      </w:r>
      <w:r w:rsidRPr="0033257A">
        <w:rPr>
          <w:i/>
          <w:iCs/>
        </w:rPr>
        <w:t>Drug Index</w:t>
      </w:r>
      <w:r w:rsidRPr="0033257A">
        <w:t>. Retrieved December 21, 2022, from https://www.drugfoundation.org.nz/info/drug-index/</w:t>
      </w:r>
    </w:p>
    <w:p w14:paraId="0DC73C6C" w14:textId="77777777" w:rsidR="00274EB1" w:rsidRPr="0033257A" w:rsidRDefault="00274EB1" w:rsidP="00103A06">
      <w:r w:rsidRPr="0033257A">
        <w:t xml:space="preserve">106. Fuentes, J. J., Fonseca, F., Elices, M., Farré, M., &amp; Torrens, M. (2020). Therapeutic use of LSD in psychiatry: A systematic review of randomized-controlled clinical trials. </w:t>
      </w:r>
      <w:r w:rsidRPr="0033257A">
        <w:rPr>
          <w:i/>
          <w:iCs/>
        </w:rPr>
        <w:t>Frontiers in Psychiatry</w:t>
      </w:r>
      <w:r w:rsidRPr="0033257A">
        <w:t xml:space="preserve">, </w:t>
      </w:r>
      <w:r w:rsidRPr="0033257A">
        <w:rPr>
          <w:i/>
          <w:iCs/>
        </w:rPr>
        <w:t>10</w:t>
      </w:r>
      <w:r w:rsidRPr="0033257A">
        <w:t>. https://www.frontiersin.org/articles/10.3389/fpsyt.2019.00943</w:t>
      </w:r>
    </w:p>
    <w:p w14:paraId="2F65B468" w14:textId="77777777" w:rsidR="00274EB1" w:rsidRPr="0033257A" w:rsidRDefault="00274EB1" w:rsidP="00103A06">
      <w:r w:rsidRPr="0033257A">
        <w:t xml:space="preserve">107. National Institute on Drug Abuse. (2015). </w:t>
      </w:r>
      <w:r w:rsidRPr="0033257A">
        <w:rPr>
          <w:i/>
          <w:iCs/>
        </w:rPr>
        <w:t>How do hallucinogens (LSD, Psilocybin, Peyote, DMT, and Ayahuasca) affect the brain and body?</w:t>
      </w:r>
      <w:r w:rsidRPr="0033257A">
        <w:t xml:space="preserve"> National Institute on Drug Abuse. https://nida.nih.gov/publications/research-reports/hallucinogens-dissociative-drugs/how-do-hallucinogens-lsd-psilocybin-peyote-dmt-ayahuasca-affect-brain-body</w:t>
      </w:r>
    </w:p>
    <w:p w14:paraId="6BC6C3F5" w14:textId="77777777" w:rsidR="00274EB1" w:rsidRPr="0033257A" w:rsidRDefault="00274EB1" w:rsidP="00103A06">
      <w:r w:rsidRPr="0033257A">
        <w:t xml:space="preserve">108. Laidlaw, M. A. S., Poropat, A. E., Ball, A., &amp; Mielke, H. W. (2017). Exposure to lead in petrol and increased incidence of dementia. </w:t>
      </w:r>
      <w:r w:rsidRPr="0033257A">
        <w:rPr>
          <w:i/>
          <w:iCs/>
        </w:rPr>
        <w:t>The Lancet</w:t>
      </w:r>
      <w:r w:rsidRPr="0033257A">
        <w:t xml:space="preserve">, </w:t>
      </w:r>
      <w:r w:rsidRPr="0033257A">
        <w:rPr>
          <w:i/>
          <w:iCs/>
        </w:rPr>
        <w:t>389</w:t>
      </w:r>
      <w:r w:rsidRPr="0033257A">
        <w:t>(10087), 2371–2372. https://doi.org/10.1016/S0140-6736(17)31466-6</w:t>
      </w:r>
    </w:p>
    <w:p w14:paraId="43588776" w14:textId="77777777" w:rsidR="00274EB1" w:rsidRPr="0033257A" w:rsidRDefault="00274EB1" w:rsidP="00103A06">
      <w:r w:rsidRPr="0033257A">
        <w:t xml:space="preserve">109. Campos, M., Serebrisky, D., &amp; Castaldelli-Maia, J. (2016). Smoking and cognition. </w:t>
      </w:r>
      <w:r w:rsidRPr="0033257A">
        <w:rPr>
          <w:i/>
          <w:iCs/>
        </w:rPr>
        <w:t>Current Drug Abuse Reviews</w:t>
      </w:r>
      <w:r w:rsidRPr="0033257A">
        <w:t xml:space="preserve">, </w:t>
      </w:r>
      <w:r w:rsidRPr="0033257A">
        <w:rPr>
          <w:i/>
          <w:iCs/>
        </w:rPr>
        <w:t>09</w:t>
      </w:r>
      <w:r w:rsidRPr="0033257A">
        <w:t>, 1–1. https://doi.org/10.2174/1874473709666160803101633</w:t>
      </w:r>
    </w:p>
    <w:p w14:paraId="3651A4A4" w14:textId="77777777" w:rsidR="00274EB1" w:rsidRPr="0033257A" w:rsidRDefault="00274EB1" w:rsidP="00103A06">
      <w:r w:rsidRPr="0033257A">
        <w:lastRenderedPageBreak/>
        <w:t xml:space="preserve">110. Ko, K. Y., Ridley, N., Bryce, S. D., Allott, K., Smith, A., &amp; Kamminga, J. (2022). Screening tools for cognitive impairment in adults with substance use disorders: A systematic review. </w:t>
      </w:r>
      <w:r w:rsidRPr="0033257A">
        <w:rPr>
          <w:i/>
          <w:iCs/>
        </w:rPr>
        <w:t>Journal of the International Neuropsychological Society</w:t>
      </w:r>
      <w:r w:rsidRPr="0033257A">
        <w:t xml:space="preserve">, </w:t>
      </w:r>
      <w:r w:rsidRPr="0033257A">
        <w:rPr>
          <w:i/>
          <w:iCs/>
        </w:rPr>
        <w:t>28</w:t>
      </w:r>
      <w:r w:rsidRPr="0033257A">
        <w:t>(7), 756–779. https://doi.org/10.1017/S135561772100103X</w:t>
      </w:r>
    </w:p>
    <w:p w14:paraId="7525FB32" w14:textId="77777777" w:rsidR="00274EB1" w:rsidRPr="0033257A" w:rsidRDefault="00274EB1" w:rsidP="00103A06">
      <w:r w:rsidRPr="0033257A">
        <w:t xml:space="preserve">111. Pitama, S., Huria, T., &amp; Lacey, C. (2014). Improving Maori health through clinical assessment: Waikare o te Waka o Meihana. </w:t>
      </w:r>
      <w:r w:rsidRPr="0033257A">
        <w:rPr>
          <w:i/>
          <w:iCs/>
        </w:rPr>
        <w:t>The New Zealand Medical Journal</w:t>
      </w:r>
      <w:r w:rsidRPr="0033257A">
        <w:t xml:space="preserve">, </w:t>
      </w:r>
      <w:r w:rsidRPr="0033257A">
        <w:rPr>
          <w:i/>
          <w:iCs/>
        </w:rPr>
        <w:t>127</w:t>
      </w:r>
      <w:r w:rsidRPr="0033257A">
        <w:t>(1393), 107–119.</w:t>
      </w:r>
    </w:p>
    <w:p w14:paraId="4D22A247" w14:textId="77777777" w:rsidR="00274EB1" w:rsidRPr="0033257A" w:rsidRDefault="00274EB1" w:rsidP="00103A06">
      <w:r w:rsidRPr="0033257A">
        <w:t xml:space="preserve">112. Graham, R., &amp; Masters-Awatere, B. (2020). Experiences of Māori of Aotearoa New Zealand’s public health system: A systematic review of two decades of published qualitative research. </w:t>
      </w:r>
      <w:r w:rsidRPr="0033257A">
        <w:rPr>
          <w:i/>
          <w:iCs/>
        </w:rPr>
        <w:t>Australian and New Zealand Journal of Public Health</w:t>
      </w:r>
      <w:r w:rsidRPr="0033257A">
        <w:t xml:space="preserve">, </w:t>
      </w:r>
      <w:r w:rsidRPr="0033257A">
        <w:rPr>
          <w:i/>
          <w:iCs/>
        </w:rPr>
        <w:t>44</w:t>
      </w:r>
      <w:r w:rsidRPr="0033257A">
        <w:t>(3), 193–200. https://doi.org/10.1111/1753-6405.12971</w:t>
      </w:r>
    </w:p>
    <w:p w14:paraId="44B85409" w14:textId="77777777" w:rsidR="00274EB1" w:rsidRPr="0033257A" w:rsidRDefault="00274EB1" w:rsidP="00103A06">
      <w:r w:rsidRPr="0033257A">
        <w:t xml:space="preserve">113. Talamaivao, N., Harris, R., Cormack, D., Paine, S.-J., &amp; King, P. (2020). Racism and health in Aotearoa New Zealand: A systematic review of quantitative studies. </w:t>
      </w:r>
      <w:r w:rsidRPr="0033257A">
        <w:rPr>
          <w:i/>
          <w:iCs/>
        </w:rPr>
        <w:t>The New Zealand Medical Journal</w:t>
      </w:r>
      <w:r w:rsidRPr="0033257A">
        <w:t xml:space="preserve">, </w:t>
      </w:r>
      <w:r w:rsidRPr="0033257A">
        <w:rPr>
          <w:i/>
          <w:iCs/>
        </w:rPr>
        <w:t>133</w:t>
      </w:r>
      <w:r w:rsidRPr="0033257A">
        <w:t>(1521), 55–68.</w:t>
      </w:r>
    </w:p>
    <w:p w14:paraId="6E7CB9BB" w14:textId="77777777" w:rsidR="00274EB1" w:rsidRPr="0033257A" w:rsidRDefault="00274EB1" w:rsidP="00103A06">
      <w:r w:rsidRPr="0033257A">
        <w:t xml:space="preserve">114. McLachlan, A., Wirihana, R., &amp; Huriwai, T. (2017). Whai tikanga: The application of a culturally relevant value centred approach. </w:t>
      </w:r>
      <w:r w:rsidRPr="0033257A">
        <w:rPr>
          <w:i/>
          <w:iCs/>
        </w:rPr>
        <w:t>New Zealand Journal of Psychology</w:t>
      </w:r>
      <w:r w:rsidRPr="0033257A">
        <w:t xml:space="preserve">, </w:t>
      </w:r>
      <w:r w:rsidRPr="0033257A">
        <w:rPr>
          <w:i/>
          <w:iCs/>
        </w:rPr>
        <w:t>46</w:t>
      </w:r>
      <w:r w:rsidRPr="0033257A">
        <w:t>(3), 46–54.</w:t>
      </w:r>
    </w:p>
    <w:p w14:paraId="41EE1A51" w14:textId="77777777" w:rsidR="00274EB1" w:rsidRPr="0033257A" w:rsidRDefault="00274EB1" w:rsidP="00103A06">
      <w:r w:rsidRPr="0033257A">
        <w:t xml:space="preserve">115. Pitama, S. G., Bennett, S. T., Waitoki, W., Haitana, T. N., Valentine, H., Pahiina, J., Taylor, J. E., Tassell-Matamua, N., Rowe, L., Beckert, L., Palmer, S. C., Huria, T. M., Lacey, C. J., &amp; McLachlan, A. (2017). A proposed hauora Māori clinical guide for psychologists: Using the hui process and meihana model in clinical assessment and formulation. </w:t>
      </w:r>
      <w:r w:rsidRPr="0033257A">
        <w:rPr>
          <w:i/>
          <w:iCs/>
        </w:rPr>
        <w:t>New Zealand Journal of Psychology</w:t>
      </w:r>
      <w:r w:rsidRPr="0033257A">
        <w:t xml:space="preserve">, </w:t>
      </w:r>
      <w:r w:rsidRPr="0033257A">
        <w:rPr>
          <w:i/>
          <w:iCs/>
        </w:rPr>
        <w:t>46</w:t>
      </w:r>
      <w:r w:rsidRPr="0033257A">
        <w:t>(3), 7–19.</w:t>
      </w:r>
    </w:p>
    <w:p w14:paraId="6674781B" w14:textId="77777777" w:rsidR="00274EB1" w:rsidRPr="0033257A" w:rsidRDefault="00274EB1" w:rsidP="00103A06">
      <w:r w:rsidRPr="0033257A">
        <w:t xml:space="preserve">116. Elder, H., &amp; Kersten, P. (2015). Whakawhiti Kōrero, a method for the development of a cultural assessment tool, Te Waka Kuaka, in Māori traumatic brain injury. </w:t>
      </w:r>
      <w:r w:rsidRPr="0033257A">
        <w:rPr>
          <w:i/>
          <w:iCs/>
        </w:rPr>
        <w:t>Behavioural Neurology</w:t>
      </w:r>
      <w:r w:rsidRPr="0033257A">
        <w:t xml:space="preserve">, </w:t>
      </w:r>
      <w:r w:rsidRPr="0033257A">
        <w:rPr>
          <w:i/>
          <w:iCs/>
        </w:rPr>
        <w:t>2015</w:t>
      </w:r>
      <w:r w:rsidRPr="0033257A">
        <w:t>, e137402. https://doi.org/10.1155/2015/137402</w:t>
      </w:r>
    </w:p>
    <w:p w14:paraId="1D30861E" w14:textId="77777777" w:rsidR="00274EB1" w:rsidRPr="0033257A" w:rsidRDefault="00274EB1" w:rsidP="00103A06">
      <w:r w:rsidRPr="0033257A">
        <w:t xml:space="preserve">117. Health Quality &amp; Safety Commission New Zealand. (2021). </w:t>
      </w:r>
      <w:r w:rsidRPr="0033257A">
        <w:rPr>
          <w:i/>
          <w:iCs/>
        </w:rPr>
        <w:t>Bula Sautu – A window on quality 2021: Pacific health in the year of COVID-19</w:t>
      </w:r>
      <w:r w:rsidRPr="0033257A">
        <w:t>. https://www.hqsc.govt.nz/assets/Our-data/Publications-resources/BulaSautu_WEB.pdf</w:t>
      </w:r>
    </w:p>
    <w:p w14:paraId="6995EC5C" w14:textId="77777777" w:rsidR="00274EB1" w:rsidRPr="0033257A" w:rsidRDefault="00274EB1" w:rsidP="00103A06">
      <w:r w:rsidRPr="0033257A">
        <w:t xml:space="preserve">118. Ministry of Pacific Peoples. (2022). </w:t>
      </w:r>
      <w:r w:rsidRPr="0033257A">
        <w:rPr>
          <w:i/>
          <w:iCs/>
        </w:rPr>
        <w:t>Yavu: Foundations of Pacific engagement</w:t>
      </w:r>
      <w:r w:rsidRPr="0033257A">
        <w:t>. https://www.mpp.govt.nz/assets/Resources/Yavu-Booklet.pdf</w:t>
      </w:r>
    </w:p>
    <w:p w14:paraId="37997FDB" w14:textId="77777777" w:rsidR="00274EB1" w:rsidRPr="0033257A" w:rsidRDefault="00274EB1" w:rsidP="00103A06">
      <w:r w:rsidRPr="0033257A">
        <w:t xml:space="preserve">119. Manuela, S., &amp; Sibley, C. (2012). The Pacific Identity and Wellbeing Scale (PIWBS): A culturally-appropriate self-report measure for Pacific peoples in New Zealand. </w:t>
      </w:r>
      <w:r w:rsidRPr="0033257A">
        <w:rPr>
          <w:i/>
          <w:iCs/>
        </w:rPr>
        <w:t>Social Indicators Research</w:t>
      </w:r>
      <w:r w:rsidRPr="0033257A">
        <w:t xml:space="preserve">, </w:t>
      </w:r>
      <w:r w:rsidRPr="0033257A">
        <w:rPr>
          <w:i/>
          <w:iCs/>
        </w:rPr>
        <w:t>112</w:t>
      </w:r>
      <w:r w:rsidRPr="0033257A">
        <w:t>. https://doi.org/10.1007/s11205-012-0041-9</w:t>
      </w:r>
    </w:p>
    <w:p w14:paraId="16CAC6C2" w14:textId="77777777" w:rsidR="00274EB1" w:rsidRPr="0033257A" w:rsidRDefault="00274EB1" w:rsidP="00103A06">
      <w:r w:rsidRPr="0033257A">
        <w:t xml:space="preserve">120. New Zealand Law Society. (2020, January 23). </w:t>
      </w:r>
      <w:r w:rsidRPr="0033257A">
        <w:rPr>
          <w:i/>
          <w:iCs/>
        </w:rPr>
        <w:t>Powers of attorney</w:t>
      </w:r>
      <w:r w:rsidRPr="0033257A">
        <w:t>. https://www.lawsociety.org.nz/for-the-public/common-legal-issues/powers-of-attorney/</w:t>
      </w:r>
    </w:p>
    <w:p w14:paraId="7C37BDEA" w14:textId="77777777" w:rsidR="00274EB1" w:rsidRPr="0033257A" w:rsidRDefault="00274EB1" w:rsidP="00103A06">
      <w:r w:rsidRPr="0033257A">
        <w:lastRenderedPageBreak/>
        <w:t xml:space="preserve">121. Moustafa, A. A., Parkes, D., Fitzgerald, L., Underhill, D., Garami, J., Levy-Gigi, E., Stramecki, F., Valikhani, A., Frydecka, D., &amp; Misiak, B. (2021). The relationship between childhood trauma, early-life stress, and alcohol and drug use, abuse, and addiction: An integrative review. </w:t>
      </w:r>
      <w:r w:rsidRPr="0033257A">
        <w:rPr>
          <w:i/>
          <w:iCs/>
        </w:rPr>
        <w:t>Current Psychology</w:t>
      </w:r>
      <w:r w:rsidRPr="0033257A">
        <w:t xml:space="preserve">, </w:t>
      </w:r>
      <w:r w:rsidRPr="0033257A">
        <w:rPr>
          <w:i/>
          <w:iCs/>
        </w:rPr>
        <w:t>40</w:t>
      </w:r>
      <w:r w:rsidRPr="0033257A">
        <w:t>(2), 579–584. https://doi.org/10.1007/s12144-018-9973-9</w:t>
      </w:r>
    </w:p>
    <w:p w14:paraId="017DB81E" w14:textId="77777777" w:rsidR="00274EB1" w:rsidRPr="0033257A" w:rsidRDefault="00274EB1" w:rsidP="00103A06">
      <w:r w:rsidRPr="0033257A">
        <w:t xml:space="preserve">122. McNally, P., Taggart, L., &amp; Shevlin, M. (2021). Trauma experiences of people with an intellectual disability and their implications: A scoping review. </w:t>
      </w:r>
      <w:r w:rsidRPr="0033257A">
        <w:rPr>
          <w:i/>
          <w:iCs/>
        </w:rPr>
        <w:t>Journal of Applied Research in Intellectual Disabilities</w:t>
      </w:r>
      <w:r w:rsidRPr="0033257A">
        <w:t xml:space="preserve">, </w:t>
      </w:r>
      <w:r w:rsidRPr="0033257A">
        <w:rPr>
          <w:i/>
          <w:iCs/>
        </w:rPr>
        <w:t>34</w:t>
      </w:r>
      <w:r w:rsidRPr="0033257A">
        <w:t>(4), 927–949. https://doi.org/10.1111/jar.12872</w:t>
      </w:r>
    </w:p>
    <w:p w14:paraId="4F0CFEFC" w14:textId="77777777" w:rsidR="00274EB1" w:rsidRPr="0033257A" w:rsidRDefault="00274EB1" w:rsidP="00103A06">
      <w:r w:rsidRPr="0033257A">
        <w:t xml:space="preserve">123. Rich, A. J., DiGregorio, N., &amp; Strassle, C. (2021). Trauma-informed care in the context of intellectual and developmental disability services: Perceptions of service providers. </w:t>
      </w:r>
      <w:r w:rsidRPr="0033257A">
        <w:rPr>
          <w:i/>
          <w:iCs/>
        </w:rPr>
        <w:t>Journal of Intellectual Disabilities: JOID</w:t>
      </w:r>
      <w:r w:rsidRPr="0033257A">
        <w:t xml:space="preserve">, </w:t>
      </w:r>
      <w:r w:rsidRPr="0033257A">
        <w:rPr>
          <w:i/>
          <w:iCs/>
        </w:rPr>
        <w:t>25</w:t>
      </w:r>
      <w:r w:rsidRPr="0033257A">
        <w:t>(4), 603–618. https://doi.org/10.1177/1744629520918086</w:t>
      </w:r>
    </w:p>
    <w:p w14:paraId="409EEA35" w14:textId="77777777" w:rsidR="00274EB1" w:rsidRPr="0033257A" w:rsidRDefault="00274EB1" w:rsidP="00103A06">
      <w:r w:rsidRPr="0033257A">
        <w:t xml:space="preserve">124. Pihama, L., Cameron, N., &amp; Te Nana, R. (2019). </w:t>
      </w:r>
      <w:r w:rsidRPr="0033257A">
        <w:rPr>
          <w:i/>
          <w:iCs/>
        </w:rPr>
        <w:t>Historical trauma and whānau violence</w:t>
      </w:r>
      <w:r w:rsidRPr="0033257A">
        <w:t>. New Zealand Family Violence Clearinghouse. https://nzfvc.org.nz/issues-paper-15-historical-trauma</w:t>
      </w:r>
    </w:p>
    <w:p w14:paraId="2B8BBE55" w14:textId="77777777" w:rsidR="00274EB1" w:rsidRPr="0033257A" w:rsidRDefault="00274EB1" w:rsidP="00103A06">
      <w:r w:rsidRPr="0033257A">
        <w:rPr>
          <w:lang w:val="pt-BR"/>
        </w:rPr>
        <w:t xml:space="preserve">125. Thom, R. R. M., &amp; Grimes, A. (2022). </w:t>
      </w:r>
      <w:r w:rsidRPr="0033257A">
        <w:t xml:space="preserve">Land loss and the intergenerational transmission of wellbeing: The experience of iwi in Aotearoa New Zealand. </w:t>
      </w:r>
      <w:r w:rsidRPr="0033257A">
        <w:rPr>
          <w:i/>
          <w:iCs/>
        </w:rPr>
        <w:t>Social Science &amp; Medicine</w:t>
      </w:r>
      <w:r w:rsidRPr="0033257A">
        <w:t xml:space="preserve">, </w:t>
      </w:r>
      <w:r w:rsidRPr="0033257A">
        <w:rPr>
          <w:i/>
          <w:iCs/>
        </w:rPr>
        <w:t>296</w:t>
      </w:r>
      <w:r w:rsidRPr="0033257A">
        <w:t>, 114804. https://doi.org/10.1016/j.socscimed.2022.114804</w:t>
      </w:r>
    </w:p>
    <w:p w14:paraId="2B119CDF" w14:textId="77777777" w:rsidR="00274EB1" w:rsidRPr="0033257A" w:rsidRDefault="00274EB1" w:rsidP="00103A06">
      <w:r w:rsidRPr="0033257A">
        <w:t xml:space="preserve">126. The Youth19 Research Group. (2022). </w:t>
      </w:r>
      <w:r w:rsidRPr="0033257A">
        <w:rPr>
          <w:i/>
          <w:iCs/>
        </w:rPr>
        <w:t>The health and wellbeing of takatāpui and rainbow young people who have been involved with Oranga Tamariki</w:t>
      </w:r>
      <w:r w:rsidRPr="0033257A">
        <w:t>. https://static1.squarespace.com/static/5bdbb75ccef37259122e59aa/t/62f0493ef40d2b16900c5dde/1659914561676/Takat%C4%81pui+and+Rainbow+young+people+involved+with+Oranga+Tamariki_Youth19_.pdf</w:t>
      </w:r>
    </w:p>
    <w:p w14:paraId="5DBBD041" w14:textId="77777777" w:rsidR="00274EB1" w:rsidRPr="0033257A" w:rsidRDefault="00274EB1" w:rsidP="00103A06">
      <w:r w:rsidRPr="0033257A">
        <w:t xml:space="preserve">127. Shi, M., Stey, A., &amp; Tatebe, L. C. (2021). Recognizing and breaking the cycle of trauma and violence among resettled refugees. </w:t>
      </w:r>
      <w:r w:rsidRPr="0033257A">
        <w:rPr>
          <w:i/>
          <w:iCs/>
        </w:rPr>
        <w:t>Current Trauma Reports</w:t>
      </w:r>
      <w:r w:rsidRPr="0033257A">
        <w:t xml:space="preserve">, </w:t>
      </w:r>
      <w:r w:rsidRPr="0033257A">
        <w:rPr>
          <w:i/>
          <w:iCs/>
        </w:rPr>
        <w:t>7</w:t>
      </w:r>
      <w:r w:rsidRPr="0033257A">
        <w:t>(4), 83–91. https://doi.org/10.1007/s40719-021-00217-x</w:t>
      </w:r>
    </w:p>
    <w:p w14:paraId="09314521" w14:textId="77777777" w:rsidR="00274EB1" w:rsidRPr="0033257A" w:rsidRDefault="00274EB1" w:rsidP="00103A06">
      <w:r w:rsidRPr="0033257A">
        <w:t xml:space="preserve">128. Knipscheer, J. W., Sleijpen, M., Mooren, T., ter Heide, F. J. J., &amp; van der Aa, N. (2015). Trauma exposure and refugee status as predictors of mental health outcomes in treatment-seeking refugees. </w:t>
      </w:r>
      <w:r w:rsidRPr="0033257A">
        <w:rPr>
          <w:i/>
          <w:iCs/>
        </w:rPr>
        <w:t>BJPsych Bulletin</w:t>
      </w:r>
      <w:r w:rsidRPr="0033257A">
        <w:t xml:space="preserve">, </w:t>
      </w:r>
      <w:r w:rsidRPr="0033257A">
        <w:rPr>
          <w:i/>
          <w:iCs/>
        </w:rPr>
        <w:t>39</w:t>
      </w:r>
      <w:r w:rsidRPr="0033257A">
        <w:t>(4), 178–182. https://doi.org/10.1192/pb.bp.114.047951</w:t>
      </w:r>
    </w:p>
    <w:p w14:paraId="4235AB9A" w14:textId="77777777" w:rsidR="00274EB1" w:rsidRPr="0033257A" w:rsidRDefault="00274EB1" w:rsidP="00103A06">
      <w:r w:rsidRPr="0033257A">
        <w:t xml:space="preserve">129. Ara Poutama Aotearoa: Department of Corrections. (2017). </w:t>
      </w:r>
      <w:r w:rsidRPr="0033257A">
        <w:rPr>
          <w:i/>
          <w:iCs/>
        </w:rPr>
        <w:t>New Zealand prisoners’ prior exposure to trauma</w:t>
      </w:r>
      <w:r w:rsidRPr="0033257A">
        <w:t>. https://www.corrections.govt.nz/resources/research/journal/volume_5_issue_1_july_2017/new_zealand_prisoners_prior_exposure_to_trauma</w:t>
      </w:r>
    </w:p>
    <w:p w14:paraId="2004F7A8" w14:textId="77777777" w:rsidR="00274EB1" w:rsidRPr="0033257A" w:rsidRDefault="00274EB1" w:rsidP="00103A06">
      <w:r w:rsidRPr="0033257A">
        <w:lastRenderedPageBreak/>
        <w:t xml:space="preserve">130. Ministry for Pacific Peoples. (2021). </w:t>
      </w:r>
      <w:r w:rsidRPr="0033257A">
        <w:rPr>
          <w:i/>
          <w:iCs/>
        </w:rPr>
        <w:t>Pacific wellbeing Talanoa series one summary report – May 2021</w:t>
      </w:r>
      <w:r w:rsidRPr="0033257A">
        <w:t>. https://www.mpp.govt.nz/assets/Reports/Pacific-Wellbeing-Strategy-2022/MPP-Report-PWS-Talanoa-Series-May2021.pdf</w:t>
      </w:r>
    </w:p>
    <w:p w14:paraId="799DB128" w14:textId="77777777" w:rsidR="00274EB1" w:rsidRPr="0033257A" w:rsidRDefault="00274EB1" w:rsidP="00103A06">
      <w:r w:rsidRPr="0033257A">
        <w:t xml:space="preserve">131. Fette, C. (2019). </w:t>
      </w:r>
      <w:r w:rsidRPr="0033257A">
        <w:rPr>
          <w:i/>
          <w:iCs/>
        </w:rPr>
        <w:t>Understanding and applying trauma-informed approaches across occupational therapy settings</w:t>
      </w:r>
      <w:r w:rsidRPr="0033257A">
        <w:t>. https://sensoryproject.org/2019/10/16/cpd-understanding-and-applying-trauma-informed-approaches-across-occupational-therapy-settings/</w:t>
      </w:r>
    </w:p>
    <w:p w14:paraId="31A25686" w14:textId="77777777" w:rsidR="00274EB1" w:rsidRPr="0033257A" w:rsidRDefault="00274EB1" w:rsidP="00103A06">
      <w:r w:rsidRPr="0033257A">
        <w:t xml:space="preserve">132. Victoria State Government Department of Health. (2015). </w:t>
      </w:r>
      <w:r w:rsidRPr="0033257A">
        <w:rPr>
          <w:i/>
          <w:iCs/>
        </w:rPr>
        <w:t>Communicating with older people who have diverse needs</w:t>
      </w:r>
      <w:r w:rsidRPr="0033257A">
        <w:t>. https://www.health.vic.gov.au/patient-care/communicating-with-older-people-who-have-diverse-needs</w:t>
      </w:r>
    </w:p>
    <w:p w14:paraId="3BDE2A6C" w14:textId="77777777" w:rsidR="00274EB1" w:rsidRPr="0033257A" w:rsidRDefault="00274EB1" w:rsidP="00103A06">
      <w:r w:rsidRPr="0033257A">
        <w:t>133. Matua Ra</w:t>
      </w:r>
      <w:r w:rsidRPr="0033257A">
        <w:rPr>
          <w:u w:val="single"/>
        </w:rPr>
        <w:t>k</w:t>
      </w:r>
      <w:r w:rsidRPr="0033257A">
        <w:t xml:space="preserve">i. (2016). </w:t>
      </w:r>
      <w:r w:rsidRPr="0033257A">
        <w:rPr>
          <w:i/>
          <w:iCs/>
        </w:rPr>
        <w:t>Mental health and addiction screening and assessment</w:t>
      </w:r>
      <w:r w:rsidRPr="0033257A">
        <w:t>. https://d2ew8vb2gktr0m.cloudfront.net/files/resources/AOD-screening-manual-WEB.pdf</w:t>
      </w:r>
    </w:p>
    <w:p w14:paraId="550E3F9C" w14:textId="77777777" w:rsidR="00274EB1" w:rsidRPr="0033257A" w:rsidRDefault="00274EB1" w:rsidP="00103A06">
      <w:r w:rsidRPr="0033257A">
        <w:t xml:space="preserve">134. Todd, F. C. (2010). </w:t>
      </w:r>
      <w:r w:rsidRPr="0033257A">
        <w:rPr>
          <w:i/>
          <w:iCs/>
        </w:rPr>
        <w:t>Te Ariari o te Oranga: The assessment and management of people with co-existing mental health and substance use problems 2010</w:t>
      </w:r>
      <w:r w:rsidRPr="0033257A">
        <w:t>. Ministry of Health. https://www.health.govt.nz/system/files/documents/publications/te-ariari-o-te-orang-teariari-13-04-10.pdf</w:t>
      </w:r>
    </w:p>
    <w:p w14:paraId="1EAB1D5D" w14:textId="77777777" w:rsidR="00274EB1" w:rsidRPr="0033257A" w:rsidRDefault="00274EB1" w:rsidP="00103A06">
      <w:r w:rsidRPr="0033257A">
        <w:t xml:space="preserve">135. Te Pou. (2020). </w:t>
      </w:r>
      <w:r w:rsidRPr="0033257A">
        <w:rPr>
          <w:i/>
          <w:iCs/>
        </w:rPr>
        <w:t>Achieving physical health equity for people with experience of mental health and addiction issues: Evidence update</w:t>
      </w:r>
      <w:r w:rsidRPr="0033257A">
        <w:t>. https://www.tepou.co.nz/resources/achieving-physical-health-equity-for-people-with-experience-of-mental-health-and-addiction-issues---evidence-update-july-2020</w:t>
      </w:r>
    </w:p>
    <w:p w14:paraId="25923C86" w14:textId="77777777" w:rsidR="00274EB1" w:rsidRPr="0033257A" w:rsidRDefault="00274EB1" w:rsidP="00103A06">
      <w:r w:rsidRPr="0033257A">
        <w:t xml:space="preserve">136. Cunningham, R., Imlach, F., Lockett, H., Lacey, C., Haitana, T., Every-Palmer, S., Clark, M. T. R., &amp; Peterson, D. (2023). Do patients with mental health and substance use conditions experience discrimination and diagnostic overshadowing in primary care in Aotearoa New Zealand? Results from a national online survey. </w:t>
      </w:r>
      <w:r w:rsidRPr="0033257A">
        <w:rPr>
          <w:i/>
          <w:iCs/>
        </w:rPr>
        <w:t>Journal of Primary Health Care</w:t>
      </w:r>
      <w:r w:rsidRPr="0033257A">
        <w:t xml:space="preserve">, </w:t>
      </w:r>
      <w:r w:rsidRPr="0033257A">
        <w:rPr>
          <w:i/>
          <w:iCs/>
        </w:rPr>
        <w:t>15</w:t>
      </w:r>
      <w:r w:rsidRPr="0033257A">
        <w:t>(2), 112–121. https://doi.org/10.1071/HC23015</w:t>
      </w:r>
    </w:p>
    <w:p w14:paraId="76289BF2" w14:textId="77777777" w:rsidR="00274EB1" w:rsidRPr="0033257A" w:rsidRDefault="00274EB1" w:rsidP="00103A06">
      <w:r w:rsidRPr="0033257A">
        <w:t xml:space="preserve">137. Stubbs, J. L., Thornton, A. E., Sevick, J. M., Silverberg, N. D., Barr, A. M., Honer, W. G., &amp; Panenka, W. J. (2020). Traumatic brain injury in homeless and marginally housed individuals: A systematic review and meta-analysis. </w:t>
      </w:r>
      <w:r w:rsidRPr="0033257A">
        <w:rPr>
          <w:i/>
          <w:iCs/>
        </w:rPr>
        <w:t>The Lancet. Public Health</w:t>
      </w:r>
      <w:r w:rsidRPr="0033257A">
        <w:t xml:space="preserve">, </w:t>
      </w:r>
      <w:r w:rsidRPr="0033257A">
        <w:rPr>
          <w:i/>
          <w:iCs/>
        </w:rPr>
        <w:t>5</w:t>
      </w:r>
      <w:r w:rsidRPr="0033257A">
        <w:t>(1), e19–e32. https://doi.org/10.1016/S2468-2667(19)30188-4</w:t>
      </w:r>
    </w:p>
    <w:p w14:paraId="0EF386C2" w14:textId="77777777" w:rsidR="00274EB1" w:rsidRPr="0033257A" w:rsidRDefault="00274EB1" w:rsidP="00103A06">
      <w:r w:rsidRPr="0033257A">
        <w:t xml:space="preserve">138. </w:t>
      </w:r>
      <w:r w:rsidRPr="0033257A">
        <w:rPr>
          <w:i/>
          <w:iCs/>
        </w:rPr>
        <w:t>Food insecurity | Child and Youth Wellbeing</w:t>
      </w:r>
      <w:r w:rsidRPr="0033257A">
        <w:t>. (2020). https://www.childyouthwellbeing.govt.nz/measuring-success/indicators/food-insecurity</w:t>
      </w:r>
    </w:p>
    <w:p w14:paraId="2F856D0F" w14:textId="77777777" w:rsidR="00274EB1" w:rsidRPr="0033257A" w:rsidRDefault="00274EB1" w:rsidP="00103A06">
      <w:r w:rsidRPr="0033257A">
        <w:t xml:space="preserve">139. Molony, S. L., Kolanowski, A., Van Haitsma, K., &amp; Rooney, K. E. (2018). Person-centered assessment and care planning. </w:t>
      </w:r>
      <w:r w:rsidRPr="0033257A">
        <w:rPr>
          <w:i/>
          <w:iCs/>
        </w:rPr>
        <w:t>The Gerontologist</w:t>
      </w:r>
      <w:r w:rsidRPr="0033257A">
        <w:t xml:space="preserve">, </w:t>
      </w:r>
      <w:r w:rsidRPr="0033257A">
        <w:rPr>
          <w:i/>
          <w:iCs/>
        </w:rPr>
        <w:t>58</w:t>
      </w:r>
      <w:r w:rsidRPr="0033257A">
        <w:t>(suppl_1), S32–S47. https://doi.org/10.1093/geront/gnx173</w:t>
      </w:r>
    </w:p>
    <w:p w14:paraId="2CB5B536" w14:textId="77777777" w:rsidR="00274EB1" w:rsidRPr="0033257A" w:rsidRDefault="00274EB1" w:rsidP="00103A06">
      <w:r w:rsidRPr="0033257A">
        <w:lastRenderedPageBreak/>
        <w:t xml:space="preserve">140. NADA. (2013). </w:t>
      </w:r>
      <w:r w:rsidRPr="0033257A">
        <w:rPr>
          <w:i/>
          <w:iCs/>
        </w:rPr>
        <w:t>Complex needs capable: A practice resource for drug and alcohol services</w:t>
      </w:r>
      <w:r w:rsidRPr="0033257A">
        <w:t>. https://nada.org.au/wp-content/uploads/2021/01/complex_needs_capable_web_120813.pdf</w:t>
      </w:r>
    </w:p>
    <w:p w14:paraId="51F5AD83" w14:textId="77777777" w:rsidR="00274EB1" w:rsidRPr="0033257A" w:rsidRDefault="00274EB1" w:rsidP="00103A06">
      <w:r w:rsidRPr="0033257A">
        <w:t xml:space="preserve">141. Khan, G., Mirza, N., &amp; Waheed, W. (2022). Developing guidelines for the translation and cultural adaptation of the Montreal Cognitive Assessment: Scoping review and qualitative synthesis. </w:t>
      </w:r>
      <w:r w:rsidRPr="0033257A">
        <w:rPr>
          <w:i/>
          <w:iCs/>
        </w:rPr>
        <w:t>BJPsych Open</w:t>
      </w:r>
      <w:r w:rsidRPr="0033257A">
        <w:t xml:space="preserve">, </w:t>
      </w:r>
      <w:r w:rsidRPr="0033257A">
        <w:rPr>
          <w:i/>
          <w:iCs/>
        </w:rPr>
        <w:t>8</w:t>
      </w:r>
      <w:r w:rsidRPr="0033257A">
        <w:t>(1), e21. https://doi.org/10.1192/bjo.2021.1067</w:t>
      </w:r>
    </w:p>
    <w:p w14:paraId="590E4CB6" w14:textId="77777777" w:rsidR="00274EB1" w:rsidRPr="0033257A" w:rsidRDefault="00274EB1" w:rsidP="00103A06">
      <w:r w:rsidRPr="0033257A">
        <w:t xml:space="preserve">142. Cha, E.-S., Kim, K. H., &amp; Erlen, J. A. (2007). Translation of scales in cross-cultural research: Issues and techniques. </w:t>
      </w:r>
      <w:r w:rsidRPr="0033257A">
        <w:rPr>
          <w:i/>
          <w:iCs/>
        </w:rPr>
        <w:t>Journal of Advanced Nursing</w:t>
      </w:r>
      <w:r w:rsidRPr="0033257A">
        <w:t xml:space="preserve">, </w:t>
      </w:r>
      <w:r w:rsidRPr="0033257A">
        <w:rPr>
          <w:i/>
          <w:iCs/>
        </w:rPr>
        <w:t>58</w:t>
      </w:r>
      <w:r w:rsidRPr="0033257A">
        <w:t>(4), 386–395. https://doi.org/10.1111/j.1365-2648.2007.04242.x</w:t>
      </w:r>
    </w:p>
    <w:p w14:paraId="14A1BEF5" w14:textId="77777777" w:rsidR="00274EB1" w:rsidRPr="0033257A" w:rsidRDefault="00274EB1" w:rsidP="00103A06">
      <w:r w:rsidRPr="0033257A">
        <w:t>143. Zawaly, K., Moyes, S. A., Wood, P. C., Cheung, G., Rolleston, A., Buetow, S., Tippett, L., &amp; Kerse, N. (2019). Diagnostic accuracy of a global cognitive screen for Māori and non</w:t>
      </w:r>
      <w:r w:rsidRPr="0033257A">
        <w:rPr>
          <w:rFonts w:ascii="Cambria Math" w:hAnsi="Cambria Math" w:cs="Cambria Math"/>
        </w:rPr>
        <w:t>‐</w:t>
      </w:r>
      <w:r w:rsidRPr="0033257A">
        <w:t xml:space="preserve">Māori octogenarians. </w:t>
      </w:r>
      <w:r w:rsidRPr="0033257A">
        <w:rPr>
          <w:i/>
          <w:iCs/>
        </w:rPr>
        <w:t>Alzheimer’s &amp; Dementia: Translational Research &amp; Clinical Interventions</w:t>
      </w:r>
      <w:r w:rsidRPr="0033257A">
        <w:t xml:space="preserve">, </w:t>
      </w:r>
      <w:r w:rsidRPr="0033257A">
        <w:rPr>
          <w:i/>
          <w:iCs/>
        </w:rPr>
        <w:t>5</w:t>
      </w:r>
      <w:r w:rsidRPr="0033257A">
        <w:t>(1), 542–552. https://doi.org/10.1016/j.trci.2019.08.006</w:t>
      </w:r>
    </w:p>
    <w:p w14:paraId="1C277281" w14:textId="77777777" w:rsidR="00274EB1" w:rsidRPr="0033257A" w:rsidRDefault="00274EB1" w:rsidP="00103A06">
      <w:r w:rsidRPr="0033257A">
        <w:t xml:space="preserve">144. </w:t>
      </w:r>
      <w:r w:rsidRPr="0033257A">
        <w:rPr>
          <w:i/>
          <w:iCs/>
        </w:rPr>
        <w:t>Brief executive function assessment tool (BEAT): Administration and scoring guide</w:t>
      </w:r>
      <w:r w:rsidRPr="0033257A">
        <w:t>. (2021). https://aci.health.nsw.gov.au/__data/assets/pdf_file/0005/637133/ACI-Drug-and-Alcohol-ACE-BEAT-Administration-and-Scoring-Guide.pdf</w:t>
      </w:r>
    </w:p>
    <w:p w14:paraId="30608CDD" w14:textId="77777777" w:rsidR="00274EB1" w:rsidRPr="0033257A" w:rsidRDefault="00274EB1" w:rsidP="00103A06">
      <w:r w:rsidRPr="0033257A">
        <w:t xml:space="preserve">145. New Zealand Dementia Cooperative. (2020). </w:t>
      </w:r>
      <w:r w:rsidRPr="0033257A">
        <w:rPr>
          <w:i/>
          <w:iCs/>
        </w:rPr>
        <w:t>Cognitive Impairment Assessment Review</w:t>
      </w:r>
      <w:r w:rsidRPr="0033257A">
        <w:t>. https://www.nzdementia.org/Portals/0/LiveArticles/1189/CIAR%20Report%203%20April%202020%20for%20release.pdf?ver=2020-07-20-103120-740</w:t>
      </w:r>
    </w:p>
    <w:p w14:paraId="0308D780" w14:textId="77777777" w:rsidR="00274EB1" w:rsidRPr="0033257A" w:rsidRDefault="00274EB1" w:rsidP="00103A06">
      <w:r w:rsidRPr="0033257A">
        <w:t xml:space="preserve">146. Hsieh, S., McGrory, S., Leslie, F., Dawson, K., Ahmed, S., Butler, C. R., Rowe, J. B., Mioshi, E., &amp; Hodges, J. R. (2015). The Mini-Addenbrooke’s Cognitive Examination: A new assessment tool for dementia. </w:t>
      </w:r>
      <w:r w:rsidRPr="0033257A">
        <w:rPr>
          <w:i/>
          <w:iCs/>
        </w:rPr>
        <w:t>Dementia and Geriatric Cognitive Disorders</w:t>
      </w:r>
      <w:r w:rsidRPr="0033257A">
        <w:t xml:space="preserve">, </w:t>
      </w:r>
      <w:r w:rsidRPr="0033257A">
        <w:rPr>
          <w:i/>
          <w:iCs/>
        </w:rPr>
        <w:t>39</w:t>
      </w:r>
      <w:r w:rsidRPr="0033257A">
        <w:t>(1–2), 1–11. https://doi.org/10.1159/000366040</w:t>
      </w:r>
    </w:p>
    <w:p w14:paraId="053FFB7B" w14:textId="77777777" w:rsidR="00274EB1" w:rsidRPr="0033257A" w:rsidRDefault="00274EB1" w:rsidP="00103A06">
      <w:r w:rsidRPr="0033257A">
        <w:t xml:space="preserve">147. Cheung, G., Clugston, A., Croucher, M., Malone, D., Mau, E., Sims, A., &amp; Gee, S. (2015). Performance of three cognitive screening tools in a sample of older New Zealanders. </w:t>
      </w:r>
      <w:r w:rsidRPr="0033257A">
        <w:rPr>
          <w:i/>
          <w:iCs/>
        </w:rPr>
        <w:t>International Psychogeriatrics</w:t>
      </w:r>
      <w:r w:rsidRPr="0033257A">
        <w:t xml:space="preserve">, </w:t>
      </w:r>
      <w:r w:rsidRPr="0033257A">
        <w:rPr>
          <w:i/>
          <w:iCs/>
        </w:rPr>
        <w:t>27</w:t>
      </w:r>
      <w:r w:rsidRPr="0033257A">
        <w:t>(6), 981–989. https://doi.org/10.1017/S1041610214002889</w:t>
      </w:r>
    </w:p>
    <w:p w14:paraId="029F5716" w14:textId="77777777" w:rsidR="00274EB1" w:rsidRPr="0033257A" w:rsidRDefault="00274EB1" w:rsidP="00103A06">
      <w:r w:rsidRPr="0033257A">
        <w:t xml:space="preserve">148. Berry, J., Shores, E. A., Lunn, J., Sedwell, A., Nardo, T., Wesseling, A., &amp; Batchelor, J. (2022). The Alcohol and Drug Cognitive Enhancement (ACE) Screening Tool: A simple and brief questionnaire to screen for cognitive impairment in substance use disorder treatment services. </w:t>
      </w:r>
      <w:r w:rsidRPr="0033257A">
        <w:rPr>
          <w:i/>
          <w:iCs/>
        </w:rPr>
        <w:t>Applied Neuropsychology. Adult</w:t>
      </w:r>
      <w:r w:rsidRPr="0033257A">
        <w:t xml:space="preserve">, </w:t>
      </w:r>
      <w:r w:rsidRPr="0033257A">
        <w:rPr>
          <w:i/>
          <w:iCs/>
        </w:rPr>
        <w:t>29</w:t>
      </w:r>
      <w:r w:rsidRPr="0033257A">
        <w:t>(6), 1450–1457. https://doi.org/10.1080/23279095.2021.1888727</w:t>
      </w:r>
    </w:p>
    <w:p w14:paraId="35DC9058" w14:textId="77777777" w:rsidR="00274EB1" w:rsidRPr="0033257A" w:rsidRDefault="00274EB1" w:rsidP="00103A06">
      <w:r w:rsidRPr="0033257A">
        <w:t xml:space="preserve">149. Hagen, E., Erga, A. H., Hagen, K. P., Nesvåg, S. M., McKay, J. R., Lundervold, A. J., &amp; Walderhaug, E. (2016). Assessment of executive function in patients with substance use </w:t>
      </w:r>
      <w:r w:rsidRPr="0033257A">
        <w:lastRenderedPageBreak/>
        <w:t xml:space="preserve">disorder: A comparison of inventory- and performance-based assessment. </w:t>
      </w:r>
      <w:r w:rsidRPr="0033257A">
        <w:rPr>
          <w:i/>
          <w:iCs/>
        </w:rPr>
        <w:t>Journal of Substance Abuse Treatment</w:t>
      </w:r>
      <w:r w:rsidRPr="0033257A">
        <w:t xml:space="preserve">, </w:t>
      </w:r>
      <w:r w:rsidRPr="0033257A">
        <w:rPr>
          <w:i/>
          <w:iCs/>
        </w:rPr>
        <w:t>66</w:t>
      </w:r>
      <w:r w:rsidRPr="0033257A">
        <w:t>, 1–8. https://doi.org/10.1016/j.jsat.2016.02.010</w:t>
      </w:r>
    </w:p>
    <w:p w14:paraId="699A54BE" w14:textId="77777777" w:rsidR="00274EB1" w:rsidRPr="0033257A" w:rsidRDefault="00274EB1" w:rsidP="00103A06">
      <w:r w:rsidRPr="0033257A">
        <w:t xml:space="preserve">150. Kumar, R., Berry, J., Koning, A., Rossell, S., Jain, H., Elkington, S., Nagaraj, S., &amp; Batchelor, J. (2022). Psychometric properties of a new decision-making capacity assessment tool for people with substance use disorder: The CAT-CAT. </w:t>
      </w:r>
      <w:r w:rsidRPr="0033257A">
        <w:rPr>
          <w:i/>
          <w:iCs/>
        </w:rPr>
        <w:t>Archives of Clinical Neuropsychology</w:t>
      </w:r>
      <w:r w:rsidRPr="0033257A">
        <w:t xml:space="preserve">, </w:t>
      </w:r>
      <w:r w:rsidRPr="0033257A">
        <w:rPr>
          <w:i/>
          <w:iCs/>
        </w:rPr>
        <w:t>37</w:t>
      </w:r>
      <w:r w:rsidRPr="0033257A">
        <w:t>(5), 994–1034. https://doi.org/10.1093/arclin/acac010</w:t>
      </w:r>
    </w:p>
    <w:p w14:paraId="60B1DFA1" w14:textId="77777777" w:rsidR="00274EB1" w:rsidRPr="0033257A" w:rsidRDefault="00274EB1" w:rsidP="00103A06">
      <w:r w:rsidRPr="0033257A">
        <w:t xml:space="preserve">151. Nygård, L., Ryd, C., Astell, A., Nedlund, A.-C., Boger, J., Mäki Petäjä Leinonen, A., Issakainen, M., &amp; Larsson Lund, M. (2022). Self-initiated management approaches in everyday occupations used by people with acquired cognitive impairment. </w:t>
      </w:r>
      <w:r w:rsidRPr="0033257A">
        <w:rPr>
          <w:i/>
          <w:iCs/>
        </w:rPr>
        <w:t>Scandinavian Journal of Occupational Therapy</w:t>
      </w:r>
      <w:r w:rsidRPr="0033257A">
        <w:t xml:space="preserve">, </w:t>
      </w:r>
      <w:r w:rsidRPr="0033257A">
        <w:rPr>
          <w:i/>
          <w:iCs/>
        </w:rPr>
        <w:t>29</w:t>
      </w:r>
      <w:r w:rsidRPr="0033257A">
        <w:t>(2), 139–151. https://doi.org/10.1080/11038128.2021.1925740</w:t>
      </w:r>
    </w:p>
    <w:p w14:paraId="22DCFED4" w14:textId="77777777" w:rsidR="00274EB1" w:rsidRPr="0033257A" w:rsidRDefault="00274EB1" w:rsidP="00103A06">
      <w:r w:rsidRPr="0033257A">
        <w:t xml:space="preserve">152. Ware, C., Dautricourt, S., Gonneaud, J., &amp; Chételat, G. (2021). Does second language learning promote neuroplasticity in aging? A systematic review of cognitive and neuroimaging studies. </w:t>
      </w:r>
      <w:r w:rsidRPr="0033257A">
        <w:rPr>
          <w:i/>
          <w:iCs/>
        </w:rPr>
        <w:t>Frontiers in Aging Neuroscience</w:t>
      </w:r>
      <w:r w:rsidRPr="0033257A">
        <w:t xml:space="preserve">, </w:t>
      </w:r>
      <w:r w:rsidRPr="0033257A">
        <w:rPr>
          <w:i/>
          <w:iCs/>
        </w:rPr>
        <w:t>13</w:t>
      </w:r>
      <w:r w:rsidRPr="0033257A">
        <w:t>, 706672. https://doi.org/10.3389/fnagi.2021.706672</w:t>
      </w:r>
    </w:p>
    <w:p w14:paraId="1328CE9B" w14:textId="77777777" w:rsidR="00274EB1" w:rsidRPr="0033257A" w:rsidRDefault="00274EB1" w:rsidP="00103A06">
      <w:r w:rsidRPr="0033257A">
        <w:t xml:space="preserve">153. National Institute on Aging. (n.d.). </w:t>
      </w:r>
      <w:r w:rsidRPr="0033257A">
        <w:rPr>
          <w:i/>
          <w:iCs/>
        </w:rPr>
        <w:t>Managing older patients with cognitive impairment</w:t>
      </w:r>
      <w:r w:rsidRPr="0033257A">
        <w:t>.. Retrieved October 21, 2022, from https://www.nia.nih.gov/health/managing-older-patients-cognitive-impairment</w:t>
      </w:r>
    </w:p>
    <w:p w14:paraId="1F8ABDA4" w14:textId="77777777" w:rsidR="00274EB1" w:rsidRPr="0033257A" w:rsidRDefault="00274EB1" w:rsidP="00103A06">
      <w:r w:rsidRPr="0033257A">
        <w:t xml:space="preserve">154. Berry, J., Marceau, E. M., &amp; Lunn, J. (2023). Feasibility, reliability and validity of a modified approach to goal attainment scaling to measure goal outcomes following cognitive remediation in a residential substance use disorder rehabilitation setting. </w:t>
      </w:r>
      <w:r w:rsidRPr="0033257A">
        <w:rPr>
          <w:i/>
          <w:iCs/>
        </w:rPr>
        <w:t>Australian Journal of Psychology</w:t>
      </w:r>
      <w:r w:rsidRPr="0033257A">
        <w:t xml:space="preserve">, </w:t>
      </w:r>
      <w:r w:rsidRPr="0033257A">
        <w:rPr>
          <w:i/>
          <w:iCs/>
        </w:rPr>
        <w:t>75</w:t>
      </w:r>
      <w:r w:rsidRPr="0033257A">
        <w:t>(1), 2170652. https://doi.org/10.1080/00049530.2023.2170652</w:t>
      </w:r>
    </w:p>
    <w:p w14:paraId="289A124C" w14:textId="77777777" w:rsidR="00274EB1" w:rsidRPr="0033257A" w:rsidRDefault="00274EB1" w:rsidP="00103A06">
      <w:r w:rsidRPr="0033257A">
        <w:t xml:space="preserve">155. Dagnan, D., Taylor, L., &amp; Burke, C.-K. (2023). Adapting cognitive behaviour therapy for people with intellectual disabilities: An overview for therapist working in mainstream or specialist services. </w:t>
      </w:r>
      <w:r w:rsidRPr="0033257A">
        <w:rPr>
          <w:i/>
          <w:iCs/>
        </w:rPr>
        <w:t>The Cognitive Behaviour Therapist</w:t>
      </w:r>
      <w:r w:rsidRPr="0033257A">
        <w:t xml:space="preserve">, </w:t>
      </w:r>
      <w:r w:rsidRPr="0033257A">
        <w:rPr>
          <w:i/>
          <w:iCs/>
        </w:rPr>
        <w:t>16</w:t>
      </w:r>
      <w:r w:rsidRPr="0033257A">
        <w:t>, e3. https://doi.org/10.1017/S1754470X22000587</w:t>
      </w:r>
    </w:p>
    <w:p w14:paraId="39BCBFA8" w14:textId="77777777" w:rsidR="00274EB1" w:rsidRPr="0033257A" w:rsidRDefault="00274EB1" w:rsidP="00103A06">
      <w:r w:rsidRPr="0033257A">
        <w:t xml:space="preserve">156. Mistler, C. B., Shrestha, R., Gunstad, J., Sanborn, V., &amp; Copenhaver, M. M. (2021). Adapting behavioural interventions to compensate for cognitive dysfunction in persons with opioid use disorder. </w:t>
      </w:r>
      <w:r w:rsidRPr="0033257A">
        <w:rPr>
          <w:i/>
          <w:iCs/>
        </w:rPr>
        <w:t>General Psychiatry</w:t>
      </w:r>
      <w:r w:rsidRPr="0033257A">
        <w:t xml:space="preserve">, </w:t>
      </w:r>
      <w:r w:rsidRPr="0033257A">
        <w:rPr>
          <w:i/>
          <w:iCs/>
        </w:rPr>
        <w:t>34</w:t>
      </w:r>
      <w:r w:rsidRPr="0033257A">
        <w:t>(4), e100412. https://doi.org/10.1136/gpsych-2020-100412</w:t>
      </w:r>
    </w:p>
    <w:p w14:paraId="191165E7" w14:textId="77777777" w:rsidR="00274EB1" w:rsidRPr="0033257A" w:rsidRDefault="00274EB1" w:rsidP="00103A06">
      <w:r w:rsidRPr="0033257A">
        <w:t xml:space="preserve">157. Collings, S., Allan, J., &amp; Munro, A. (2022). Improving treatment for people with cognitive impairment and substance misuse issues: Lessons from an inclusive residential treatment program pilot in Australia. </w:t>
      </w:r>
      <w:r w:rsidRPr="0033257A">
        <w:rPr>
          <w:i/>
          <w:iCs/>
        </w:rPr>
        <w:t>Disability and Health Journal</w:t>
      </w:r>
      <w:r w:rsidRPr="0033257A">
        <w:t xml:space="preserve">, </w:t>
      </w:r>
      <w:r w:rsidRPr="0033257A">
        <w:rPr>
          <w:i/>
          <w:iCs/>
        </w:rPr>
        <w:t>15</w:t>
      </w:r>
      <w:r w:rsidRPr="0033257A">
        <w:t>, 101295. https://doi.org/10.1016/j.dhjo.2022.101295</w:t>
      </w:r>
    </w:p>
    <w:p w14:paraId="4B7F088A" w14:textId="77777777" w:rsidR="00274EB1" w:rsidRPr="0033257A" w:rsidRDefault="00274EB1" w:rsidP="00103A06">
      <w:r w:rsidRPr="0033257A">
        <w:lastRenderedPageBreak/>
        <w:t xml:space="preserve">158. Reid, N., Dawe, S., Shelton, D., Harnett, P., Warner, J., Armstrong, E., LeGros, K., &amp; O’Callaghan, F. (2015). Systematic review of Fetal Alcohol Spectrum Disorder interventions across the life span. </w:t>
      </w:r>
      <w:r w:rsidRPr="0033257A">
        <w:rPr>
          <w:i/>
          <w:iCs/>
        </w:rPr>
        <w:t>Alcoholism: Clinical and Experimental Research</w:t>
      </w:r>
      <w:r w:rsidRPr="0033257A">
        <w:t xml:space="preserve">, </w:t>
      </w:r>
      <w:r w:rsidRPr="0033257A">
        <w:rPr>
          <w:i/>
          <w:iCs/>
        </w:rPr>
        <w:t>39</w:t>
      </w:r>
      <w:r w:rsidRPr="0033257A">
        <w:t>(12), 2283–2295. https://doi.org/10.1111/acer.12903</w:t>
      </w:r>
    </w:p>
    <w:p w14:paraId="637763C2" w14:textId="77777777" w:rsidR="00274EB1" w:rsidRPr="0033257A" w:rsidRDefault="00274EB1" w:rsidP="00103A06">
      <w:r w:rsidRPr="0033257A">
        <w:t xml:space="preserve">159. SAMHSA. (2019). </w:t>
      </w:r>
      <w:r w:rsidRPr="0033257A">
        <w:rPr>
          <w:i/>
          <w:iCs/>
        </w:rPr>
        <w:t>Mental and substance use disorder treatment for people with physical and cognitive disabilities: Advisory</w:t>
      </w:r>
      <w:r w:rsidRPr="0033257A">
        <w:t>. https://store.samhsa.gov/product/Mental-and-Substance-Use-Disorder-Treatment-for-People-With-Physical-and-Cognitive-Disabilities/PEP19-02-00-002</w:t>
      </w:r>
    </w:p>
    <w:p w14:paraId="763AEA35" w14:textId="77777777" w:rsidR="00274EB1" w:rsidRPr="0033257A" w:rsidRDefault="00274EB1" w:rsidP="00103A06">
      <w:r w:rsidRPr="0033257A">
        <w:rPr>
          <w:lang w:val="pt-BR"/>
        </w:rPr>
        <w:t xml:space="preserve">160. Caetano, T., Pinho, M. S., Ramadas, E., Clara, C., Areosa, T., &amp; Dixe, M. dos A. (2021). </w:t>
      </w:r>
      <w:r w:rsidRPr="0033257A">
        <w:t xml:space="preserve">Cognitive training effectiveness on memory, executive functioning, and processing speed in individuals with substance use disorders: A systematic review. </w:t>
      </w:r>
      <w:r w:rsidRPr="0033257A">
        <w:rPr>
          <w:i/>
          <w:iCs/>
        </w:rPr>
        <w:t>Frontiers in Psychology</w:t>
      </w:r>
      <w:r w:rsidRPr="0033257A">
        <w:t xml:space="preserve">, </w:t>
      </w:r>
      <w:r w:rsidRPr="0033257A">
        <w:rPr>
          <w:i/>
          <w:iCs/>
        </w:rPr>
        <w:t>12</w:t>
      </w:r>
      <w:r w:rsidRPr="0033257A">
        <w:t>. https://www.frontiersin.org/articles/10.3389/fpsyg.2021.730165</w:t>
      </w:r>
    </w:p>
    <w:p w14:paraId="4D37E033" w14:textId="77777777" w:rsidR="00274EB1" w:rsidRPr="0033257A" w:rsidRDefault="00274EB1" w:rsidP="00103A06">
      <w:r w:rsidRPr="0033257A">
        <w:t xml:space="preserve">161. Verdejo-Garcia, A., Rezapour, T., Giddens, E., Zonoozi, A. K., Rafei, P., Berry, J., Caracuel, A., Copersino, M. L., Field, M., Garland, E. L., Lorenzetti, V., Malloy-Diniz, L., Manning, V., Marceau, E. M., Pennington, D. L., Strickland, J., Wiers, R., Fairhead, R., Anderson, A., … Ekhtiari, H. (2022). Cognitive training and remediation interventions for substance use disorders: A Delphi consensus study. </w:t>
      </w:r>
      <w:r w:rsidRPr="0033257A">
        <w:rPr>
          <w:i/>
          <w:iCs/>
        </w:rPr>
        <w:t>Addiction Medicine</w:t>
      </w:r>
      <w:r w:rsidRPr="0033257A">
        <w:t xml:space="preserve">, </w:t>
      </w:r>
      <w:r w:rsidRPr="0033257A">
        <w:rPr>
          <w:i/>
          <w:iCs/>
        </w:rPr>
        <w:t>118</w:t>
      </w:r>
      <w:r w:rsidRPr="0033257A">
        <w:t>(5), 935–951. https://doi.org/10.1101/2022.07.28.22278144</w:t>
      </w:r>
    </w:p>
    <w:p w14:paraId="73A0E28F" w14:textId="77777777" w:rsidR="00274EB1" w:rsidRPr="0033257A" w:rsidRDefault="00274EB1" w:rsidP="00103A06">
      <w:r w:rsidRPr="0033257A">
        <w:t xml:space="preserve">162. Stitzer, M., Sweeney, M. M., &amp; Cunningham, C. S. (2022). </w:t>
      </w:r>
      <w:r w:rsidRPr="0033257A">
        <w:rPr>
          <w:i/>
          <w:iCs/>
        </w:rPr>
        <w:t>Contingency management for substance use disorders: Efficacy, implementation, and training</w:t>
      </w:r>
      <w:r w:rsidRPr="0033257A">
        <w:t>. UpToDate.</w:t>
      </w:r>
    </w:p>
    <w:p w14:paraId="7E208693" w14:textId="77777777" w:rsidR="00274EB1" w:rsidRPr="0033257A" w:rsidRDefault="00274EB1" w:rsidP="00103A06">
      <w:r w:rsidRPr="0033257A">
        <w:t xml:space="preserve">163. Mennin, D. S., &amp; Fresco, D. M. (2014). Emotion regulation therapy. In </w:t>
      </w:r>
      <w:r w:rsidRPr="0033257A">
        <w:rPr>
          <w:i/>
          <w:iCs/>
        </w:rPr>
        <w:t>Handbook of emotion regulation, 2nd ed</w:t>
      </w:r>
      <w:r w:rsidRPr="0033257A">
        <w:t xml:space="preserve"> (pp. 469–490). The Guilford Press.</w:t>
      </w:r>
    </w:p>
    <w:p w14:paraId="40D7B4B5" w14:textId="77777777" w:rsidR="00274EB1" w:rsidRPr="0033257A" w:rsidRDefault="00274EB1" w:rsidP="00103A06">
      <w:pPr>
        <w:rPr>
          <w:lang w:val="en-US"/>
        </w:rPr>
      </w:pPr>
      <w:r w:rsidRPr="0033257A">
        <w:rPr>
          <w:lang w:val="es-ES"/>
        </w:rPr>
        <w:t xml:space="preserve">164. Scarmeas, N., Anastasiou, C. A., &amp; Yannakoulia, M. (2018). </w:t>
      </w:r>
      <w:r w:rsidRPr="0033257A">
        <w:rPr>
          <w:lang w:val="en-US"/>
        </w:rPr>
        <w:t xml:space="preserve">Nutrition and prevention of cognitive impairment. </w:t>
      </w:r>
      <w:r w:rsidRPr="0033257A">
        <w:rPr>
          <w:i/>
          <w:iCs/>
          <w:lang w:val="en-US"/>
        </w:rPr>
        <w:t>The Lancet. Neurology</w:t>
      </w:r>
      <w:r w:rsidRPr="0033257A">
        <w:rPr>
          <w:lang w:val="en-US"/>
        </w:rPr>
        <w:t xml:space="preserve">, </w:t>
      </w:r>
      <w:r w:rsidRPr="0033257A">
        <w:rPr>
          <w:i/>
          <w:iCs/>
          <w:lang w:val="en-US"/>
        </w:rPr>
        <w:t>17</w:t>
      </w:r>
      <w:r w:rsidRPr="0033257A">
        <w:rPr>
          <w:lang w:val="en-US"/>
        </w:rPr>
        <w:t>(11), 1006–1015. https://doi.org/10.1016/S1474-4422(18)30338-7</w:t>
      </w:r>
    </w:p>
    <w:p w14:paraId="2E3C4E9C" w14:textId="77777777" w:rsidR="00274EB1" w:rsidRPr="0033257A" w:rsidRDefault="00274EB1" w:rsidP="00103A06">
      <w:r w:rsidRPr="0033257A">
        <w:t xml:space="preserve">165. Xu, Z., Sun, W., Zhang, D., Chung, V. C.-H., Sit, R. W.-S., &amp; Wong, S. Y.-S. (2021). Comparative effectiveness of interventions for global cognition in patients with mild cognitive impairment: A systematic review and network meta-analysis of randomized controlled trials. </w:t>
      </w:r>
      <w:r w:rsidRPr="0033257A">
        <w:rPr>
          <w:i/>
          <w:iCs/>
        </w:rPr>
        <w:t>Frontiers in Aging Neuroscience</w:t>
      </w:r>
      <w:r w:rsidRPr="0033257A">
        <w:t xml:space="preserve">, </w:t>
      </w:r>
      <w:r w:rsidRPr="0033257A">
        <w:rPr>
          <w:i/>
          <w:iCs/>
        </w:rPr>
        <w:t>13</w:t>
      </w:r>
      <w:r w:rsidRPr="0033257A">
        <w:t>. https://www.frontiersin.org/articles/10.3389/fnagi.2021.653340</w:t>
      </w:r>
    </w:p>
    <w:p w14:paraId="5AA07BC1" w14:textId="77777777" w:rsidR="00274EB1" w:rsidRPr="0033257A" w:rsidRDefault="00274EB1" w:rsidP="00103A06">
      <w:r w:rsidRPr="0033257A">
        <w:t xml:space="preserve">166. New Zealand Formulary. (2023). </w:t>
      </w:r>
      <w:r w:rsidRPr="0033257A">
        <w:rPr>
          <w:i/>
          <w:iCs/>
        </w:rPr>
        <w:t>Alcohol dependence</w:t>
      </w:r>
      <w:r w:rsidRPr="0033257A">
        <w:t xml:space="preserve"> [Database]. https://nzf.org.nz/nzf_2826</w:t>
      </w:r>
    </w:p>
    <w:p w14:paraId="59B88715" w14:textId="77777777" w:rsidR="00274EB1" w:rsidRPr="0033257A" w:rsidRDefault="00274EB1" w:rsidP="00103A06">
      <w:r w:rsidRPr="0033257A">
        <w:t xml:space="preserve">167. Reif, S., &amp; Mitra, M. (2022). The complexities of substance use disorder and people with disabilities: Current perspectives. </w:t>
      </w:r>
      <w:r w:rsidRPr="0033257A">
        <w:rPr>
          <w:i/>
          <w:iCs/>
        </w:rPr>
        <w:t>Disability and Health Journal</w:t>
      </w:r>
      <w:r w:rsidRPr="0033257A">
        <w:t xml:space="preserve">, </w:t>
      </w:r>
      <w:r w:rsidRPr="0033257A">
        <w:rPr>
          <w:i/>
          <w:iCs/>
        </w:rPr>
        <w:t>15</w:t>
      </w:r>
      <w:r w:rsidRPr="0033257A">
        <w:t>(2), 101285. https://doi.org/10.1016/j.dhjo.2022.101285</w:t>
      </w:r>
    </w:p>
    <w:p w14:paraId="17232705" w14:textId="77777777" w:rsidR="00274EB1" w:rsidRPr="0033257A" w:rsidRDefault="00274EB1" w:rsidP="00103A06">
      <w:r w:rsidRPr="0033257A">
        <w:lastRenderedPageBreak/>
        <w:t xml:space="preserve">168. MacLeod, C. A., Bu, F., Rutherford, A. C., Phillips, J., &amp; Woods, R. (2020). Cognitive impairment negatively impacts allied health service uptake: Investigating the association between health and service use. </w:t>
      </w:r>
      <w:r w:rsidRPr="0033257A">
        <w:rPr>
          <w:i/>
          <w:iCs/>
        </w:rPr>
        <w:t>SSM - Population Health</w:t>
      </w:r>
      <w:r w:rsidRPr="0033257A">
        <w:t xml:space="preserve">, </w:t>
      </w:r>
      <w:r w:rsidRPr="0033257A">
        <w:rPr>
          <w:i/>
          <w:iCs/>
        </w:rPr>
        <w:t>13</w:t>
      </w:r>
      <w:r w:rsidRPr="0033257A">
        <w:t>, 100720. https://doi.org/10.1016/j.ssmph.2020.100720</w:t>
      </w:r>
    </w:p>
    <w:p w14:paraId="3A9C9DFE" w14:textId="77777777" w:rsidR="00274EB1" w:rsidRPr="0033257A" w:rsidRDefault="00274EB1" w:rsidP="00103A06">
      <w:r w:rsidRPr="0033257A">
        <w:t xml:space="preserve">169. McColl, M. A., Jarzynowska, A., &amp; Shortt, S. E. D. (2010). Unmet health care needs of people with disabilities: Population level evidence. </w:t>
      </w:r>
      <w:r w:rsidRPr="0033257A">
        <w:rPr>
          <w:i/>
          <w:iCs/>
        </w:rPr>
        <w:t>Disability &amp; Society</w:t>
      </w:r>
      <w:r w:rsidRPr="0033257A">
        <w:t xml:space="preserve">, </w:t>
      </w:r>
      <w:r w:rsidRPr="0033257A">
        <w:rPr>
          <w:i/>
          <w:iCs/>
        </w:rPr>
        <w:t>25</w:t>
      </w:r>
      <w:r w:rsidRPr="0033257A">
        <w:t>(2), 205–218. https://doi.org/10.1080/09687590903537406</w:t>
      </w:r>
    </w:p>
    <w:p w14:paraId="2565F570" w14:textId="77777777" w:rsidR="00274EB1" w:rsidRPr="0033257A" w:rsidRDefault="00274EB1" w:rsidP="00103A06">
      <w:r w:rsidRPr="0033257A">
        <w:t xml:space="preserve">170. Weiss, J. A., Isaacs, B., Diepstra, H., Wilton, A. S., Brown, H. K., McGarry, C., &amp; Lunsky, Y. (2018). Health concerns and health service utilization in a population cohort of young adults with Autism Spectrum Disorder. </w:t>
      </w:r>
      <w:r w:rsidRPr="0033257A">
        <w:rPr>
          <w:i/>
          <w:iCs/>
        </w:rPr>
        <w:t>Journal of Autism and Developmental Disorders</w:t>
      </w:r>
      <w:r w:rsidRPr="0033257A">
        <w:t xml:space="preserve">, </w:t>
      </w:r>
      <w:r w:rsidRPr="0033257A">
        <w:rPr>
          <w:i/>
          <w:iCs/>
        </w:rPr>
        <w:t>48</w:t>
      </w:r>
      <w:r w:rsidRPr="0033257A">
        <w:t>(1), 36–44. https://doi.org/10.1007/s10803-017-3292-0</w:t>
      </w:r>
    </w:p>
    <w:p w14:paraId="53858D32" w14:textId="77777777" w:rsidR="00274EB1" w:rsidRPr="0033257A" w:rsidRDefault="00274EB1" w:rsidP="00103A06">
      <w:r w:rsidRPr="0033257A">
        <w:t xml:space="preserve">171. Te Pou. (2022). </w:t>
      </w:r>
      <w:r w:rsidRPr="0033257A">
        <w:rPr>
          <w:i/>
          <w:iCs/>
        </w:rPr>
        <w:t>Principles for Oranga</w:t>
      </w:r>
      <w:r w:rsidRPr="0033257A">
        <w:t>. https://www.tepou.co.nz/resources/principles-for-oranga</w:t>
      </w:r>
    </w:p>
    <w:p w14:paraId="4586AA41" w14:textId="77777777" w:rsidR="00274EB1" w:rsidRPr="0033257A" w:rsidRDefault="00274EB1" w:rsidP="00103A06">
      <w:r w:rsidRPr="0033257A">
        <w:t xml:space="preserve">172. Tūhonohono Addiction Service. (2021). </w:t>
      </w:r>
      <w:r w:rsidRPr="0033257A">
        <w:rPr>
          <w:i/>
          <w:iCs/>
        </w:rPr>
        <w:t>Clinical guide to the management of substance use-related cognitive impairment</w:t>
      </w:r>
      <w:r w:rsidRPr="0033257A">
        <w:t>. [unpublished].</w:t>
      </w:r>
    </w:p>
    <w:p w14:paraId="5A3E5973" w14:textId="77777777" w:rsidR="00274EB1" w:rsidRPr="0033257A" w:rsidRDefault="00274EB1" w:rsidP="00103A06">
      <w:r w:rsidRPr="0033257A">
        <w:t xml:space="preserve">173. Te Pou. (n.d.). </w:t>
      </w:r>
      <w:r w:rsidRPr="0033257A">
        <w:rPr>
          <w:i/>
          <w:iCs/>
        </w:rPr>
        <w:t>5-Step Method</w:t>
      </w:r>
      <w:r w:rsidRPr="0033257A">
        <w:t>. Retrieved October 27, 2022, from https://www.tepou.co.nz/initiatives/5-step-method</w:t>
      </w:r>
    </w:p>
    <w:p w14:paraId="24FA88D0" w14:textId="77777777" w:rsidR="00274EB1" w:rsidRPr="0033257A" w:rsidRDefault="00274EB1" w:rsidP="00103A06">
      <w:r w:rsidRPr="0033257A">
        <w:t xml:space="preserve">174. AFINet. (2021). </w:t>
      </w:r>
      <w:r w:rsidRPr="0033257A">
        <w:rPr>
          <w:i/>
          <w:iCs/>
        </w:rPr>
        <w:t>The 5-Step Method</w:t>
      </w:r>
      <w:r w:rsidRPr="0033257A">
        <w:t>. https://afinetwork.info/5-step-method-resources-introduction</w:t>
      </w:r>
    </w:p>
    <w:p w14:paraId="3A5F6CF4" w14:textId="77777777" w:rsidR="00274EB1" w:rsidRPr="0033257A" w:rsidRDefault="00274EB1" w:rsidP="00103A06">
      <w:r w:rsidRPr="0033257A">
        <w:t xml:space="preserve">175. National Institute on Aging. (2017). </w:t>
      </w:r>
      <w:r w:rsidRPr="0033257A">
        <w:rPr>
          <w:i/>
          <w:iCs/>
        </w:rPr>
        <w:t>Talking with older patients about cognitive problems</w:t>
      </w:r>
      <w:r w:rsidRPr="0033257A">
        <w:t>. National Institute on Aging. https://www.nia.nih.gov/health/talking-older-patients-about-cognitive-problems</w:t>
      </w:r>
    </w:p>
    <w:p w14:paraId="79E39ADD" w14:textId="77777777" w:rsidR="00274EB1" w:rsidRPr="0033257A" w:rsidRDefault="00274EB1" w:rsidP="00103A06">
      <w:r w:rsidRPr="0033257A">
        <w:t xml:space="preserve">176. FASD-CAN. (n.d.). </w:t>
      </w:r>
      <w:r w:rsidRPr="0033257A">
        <w:rPr>
          <w:i/>
          <w:iCs/>
        </w:rPr>
        <w:t>Caregiver &amp; whanau support</w:t>
      </w:r>
      <w:r w:rsidRPr="0033257A">
        <w:t>. Retrieved July 17, 2023, from https://www.fasd-can.org.nz/caregiver_whanau_support</w:t>
      </w:r>
    </w:p>
    <w:p w14:paraId="2BB90267" w14:textId="77777777" w:rsidR="00274EB1" w:rsidRPr="0033257A" w:rsidRDefault="00274EB1" w:rsidP="00103A06">
      <w:r w:rsidRPr="0033257A">
        <w:t xml:space="preserve">177. Emerging Minds. (2019). </w:t>
      </w:r>
      <w:r w:rsidRPr="0033257A">
        <w:rPr>
          <w:i/>
          <w:iCs/>
        </w:rPr>
        <w:t>How to support families living with FASD</w:t>
      </w:r>
      <w:r w:rsidRPr="0033257A">
        <w:t>. https://emergingminds.com.au/resources/how-to-support-caregivers-and-families-living-with-fetal-alcohol-spectrum-disorder-fasd/</w:t>
      </w:r>
    </w:p>
    <w:p w14:paraId="739DF578" w14:textId="77777777" w:rsidR="00274EB1" w:rsidRPr="0033257A" w:rsidRDefault="00274EB1" w:rsidP="00103A06">
      <w:r w:rsidRPr="0033257A">
        <w:t xml:space="preserve">178. Health &amp; Disability Commissioner. (2014). </w:t>
      </w:r>
      <w:r w:rsidRPr="0033257A">
        <w:rPr>
          <w:i/>
          <w:iCs/>
        </w:rPr>
        <w:t>When someone you care about has a mental health or addiction issue</w:t>
      </w:r>
      <w:r w:rsidRPr="0033257A">
        <w:t>. https://www.hdc.org.nz/media/1077/when-someone-you-care-about-has-a-mental-health-or-addiction-issue.pdf</w:t>
      </w:r>
    </w:p>
    <w:p w14:paraId="0DDEE473" w14:textId="77777777" w:rsidR="00274EB1" w:rsidRPr="0033257A" w:rsidRDefault="00274EB1" w:rsidP="00103A06">
      <w:r w:rsidRPr="0033257A">
        <w:t xml:space="preserve">179. Brain Injury New Zealand &amp; ACC. (2018). </w:t>
      </w:r>
      <w:r w:rsidRPr="0033257A">
        <w:rPr>
          <w:i/>
          <w:iCs/>
        </w:rPr>
        <w:t>Coping with brain injury for family and friends</w:t>
      </w:r>
      <w:r w:rsidRPr="0033257A">
        <w:t>. https://www.brain-injury.nz/wp-content/uploads/2018/05/2345-08-Coping-Online.pdf</w:t>
      </w:r>
    </w:p>
    <w:p w14:paraId="3AEEB9F6" w14:textId="77777777" w:rsidR="00274EB1" w:rsidRPr="0033257A" w:rsidRDefault="00274EB1" w:rsidP="00103A06">
      <w:r w:rsidRPr="0033257A">
        <w:lastRenderedPageBreak/>
        <w:t xml:space="preserve">180. Alzheimers New Zealand. (2023). </w:t>
      </w:r>
      <w:r w:rsidRPr="0033257A">
        <w:rPr>
          <w:i/>
          <w:iCs/>
        </w:rPr>
        <w:t>Supporting a person with dementia: A guide for family/whānau and friends</w:t>
      </w:r>
      <w:r w:rsidRPr="0033257A">
        <w:t>. https://cdn.alzheimers.org.nz/wp-content/uploads/2021/04/Booklet-3-Supporting-a-person-with-dementia.pdf</w:t>
      </w:r>
    </w:p>
    <w:p w14:paraId="7360F652" w14:textId="77777777" w:rsidR="00274EB1" w:rsidRPr="0033257A" w:rsidRDefault="00274EB1" w:rsidP="00103A06">
      <w:r w:rsidRPr="0033257A">
        <w:t xml:space="preserve">181. Manatū Hauora Ministry of Health. (2017). </w:t>
      </w:r>
      <w:r w:rsidRPr="0033257A">
        <w:rPr>
          <w:i/>
          <w:iCs/>
        </w:rPr>
        <w:t>Guideline on assessing capacity to make decisions about treatment for severe substance addiction</w:t>
      </w:r>
      <w:r w:rsidRPr="0033257A">
        <w:t>. https://www.health.govt.nz/system/files/documents/pages/guideline-assessing-capacity-make-decisions-treatment-severe-substance-addiction-nov17.pdf</w:t>
      </w:r>
    </w:p>
    <w:p w14:paraId="69D68D77" w14:textId="77777777" w:rsidR="00274EB1" w:rsidRPr="0033257A" w:rsidRDefault="00274EB1" w:rsidP="00103A06">
      <w:r w:rsidRPr="0033257A">
        <w:t>182. National Harm Reduction Coalition. (n.d.). Harm reduction principles. Retrieved August 14, 2023, from https://harmreduction.org/about-us/principles-of-harm-reduction/</w:t>
      </w:r>
    </w:p>
    <w:p w14:paraId="66FDFACD" w14:textId="77777777" w:rsidR="00274EB1" w:rsidRPr="0033257A" w:rsidRDefault="00274EB1" w:rsidP="00103A06">
      <w:r w:rsidRPr="0033257A">
        <w:t xml:space="preserve">183. Steel, Z., Marnane, C., Iranpour, C., Chey, T., Jackson, J., Patel, V., &amp; Silove, D. (2014). The global prevalence of common mental disorders: A systematic review and meta-analysis 1980-2013. </w:t>
      </w:r>
      <w:r w:rsidRPr="0033257A">
        <w:rPr>
          <w:i/>
          <w:iCs/>
        </w:rPr>
        <w:t>International Journal of Epidemiology</w:t>
      </w:r>
      <w:r w:rsidRPr="0033257A">
        <w:t xml:space="preserve">, </w:t>
      </w:r>
      <w:r w:rsidRPr="0033257A">
        <w:rPr>
          <w:i/>
          <w:iCs/>
        </w:rPr>
        <w:t>43</w:t>
      </w:r>
      <w:r w:rsidRPr="0033257A">
        <w:t>(2). https://doi.org/10.1093/ije/dyu038</w:t>
      </w:r>
    </w:p>
    <w:p w14:paraId="388B6BE1" w14:textId="77777777" w:rsidR="00274EB1" w:rsidRPr="0033257A" w:rsidRDefault="00274EB1" w:rsidP="00103A06">
      <w:r w:rsidRPr="0033257A">
        <w:t xml:space="preserve">184. Scottish Drugs Forum. (2020). </w:t>
      </w:r>
      <w:r w:rsidRPr="0033257A">
        <w:rPr>
          <w:i/>
          <w:iCs/>
        </w:rPr>
        <w:t>Moving beyond “People-first” language: A glossary of contested terms in substance use</w:t>
      </w:r>
      <w:r w:rsidRPr="0033257A">
        <w:t>. https://www.sdf.org.uk/wp-content/uploads/2020/10/Moving-Beyond-People-First-Language.pdf</w:t>
      </w:r>
    </w:p>
    <w:p w14:paraId="57B675AC" w14:textId="77777777" w:rsidR="00274EB1" w:rsidRPr="0033257A" w:rsidRDefault="00274EB1" w:rsidP="00103A06">
      <w:r w:rsidRPr="0033257A">
        <w:t xml:space="preserve">185. ABI Rehabilitation Services. (2021). </w:t>
      </w:r>
      <w:r w:rsidRPr="0033257A">
        <w:rPr>
          <w:i/>
          <w:iCs/>
        </w:rPr>
        <w:t>Working with Whānau – two models of rehabilitation used at ABI Rehab</w:t>
      </w:r>
      <w:r w:rsidRPr="0033257A">
        <w:t>. https://www.abi-rehab.co.nz/</w:t>
      </w:r>
    </w:p>
    <w:p w14:paraId="0DCD26A6" w14:textId="77777777" w:rsidR="00274EB1" w:rsidRPr="0033257A" w:rsidRDefault="00274EB1" w:rsidP="00103A06">
      <w:r w:rsidRPr="0033257A">
        <w:t xml:space="preserve">186. Pulotu-Endemann, F. K. (2001). </w:t>
      </w:r>
      <w:r w:rsidRPr="0033257A">
        <w:rPr>
          <w:i/>
          <w:iCs/>
        </w:rPr>
        <w:t>Fonofale model of health</w:t>
      </w:r>
      <w:r w:rsidRPr="0033257A">
        <w:t>. https://d3n8a8pro7vhmx.cloudfront.net/actionpoint/pages/437/attachments/original/1534408956/Fonofalemodelexplanation.pdf?1534408956</w:t>
      </w:r>
    </w:p>
    <w:p w14:paraId="125055A5" w14:textId="77777777" w:rsidR="00274EB1" w:rsidRPr="0033257A" w:rsidRDefault="00274EB1" w:rsidP="00103A06">
      <w:r w:rsidRPr="0033257A">
        <w:t xml:space="preserve">187. Mana Services. (2021). </w:t>
      </w:r>
      <w:r w:rsidRPr="0033257A">
        <w:rPr>
          <w:i/>
          <w:iCs/>
        </w:rPr>
        <w:t xml:space="preserve">The Fonofale Model of Health. </w:t>
      </w:r>
      <w:r w:rsidRPr="0033257A">
        <w:t>https://manaservices.nz/the-fonofale-model-of-health/</w:t>
      </w:r>
    </w:p>
    <w:p w14:paraId="2EF25C48" w14:textId="77777777" w:rsidR="00274EB1" w:rsidRPr="0033257A" w:rsidRDefault="00274EB1" w:rsidP="00103A06">
      <w:r w:rsidRPr="0033257A">
        <w:t xml:space="preserve">188. Tu’itahi, S. (2009). </w:t>
      </w:r>
      <w:r w:rsidRPr="0033257A">
        <w:rPr>
          <w:i/>
          <w:iCs/>
        </w:rPr>
        <w:t>Fonua Model</w:t>
      </w:r>
      <w:r w:rsidRPr="0033257A">
        <w:t>.</w:t>
      </w:r>
    </w:p>
    <w:p w14:paraId="22CAF89F" w14:textId="77777777" w:rsidR="00274EB1" w:rsidRPr="0033257A" w:rsidRDefault="00274EB1" w:rsidP="00103A06">
      <w:r w:rsidRPr="0033257A">
        <w:t xml:space="preserve">189. bpac nz. (2010). </w:t>
      </w:r>
      <w:r w:rsidRPr="0033257A">
        <w:rPr>
          <w:i/>
          <w:iCs/>
        </w:rPr>
        <w:t>Best practice: “Fonua”—A focus on Pacific health</w:t>
      </w:r>
      <w:r w:rsidRPr="0033257A">
        <w:t>. https://bpac.org.nz/bpj/2010/november/docs/BPJ_32_november2010.pdf</w:t>
      </w:r>
    </w:p>
    <w:p w14:paraId="5FB0A3A8" w14:textId="77777777" w:rsidR="00274EB1" w:rsidRPr="0033257A" w:rsidRDefault="00274EB1" w:rsidP="00103A06">
      <w:r w:rsidRPr="0033257A">
        <w:t xml:space="preserve">190. Te Pou. (2022). </w:t>
      </w:r>
      <w:r w:rsidRPr="0033257A">
        <w:rPr>
          <w:i/>
          <w:iCs/>
        </w:rPr>
        <w:t>Tātou tātou: Being with people and whānau</w:t>
      </w:r>
      <w:r w:rsidRPr="0033257A">
        <w:t>. https://www.tepou.co.nz/resources/tatou-tatou-being-with-people-and-whanau</w:t>
      </w:r>
    </w:p>
    <w:p w14:paraId="16835134" w14:textId="77777777" w:rsidR="00274EB1" w:rsidRPr="0033257A" w:rsidRDefault="00274EB1" w:rsidP="00103A06">
      <w:r w:rsidRPr="0033257A">
        <w:t xml:space="preserve">191. Banks, C., Chommanivong, C., Hauraki, J., Kazantzis, N., Stewart, M., Pulu, T., &amp; Tse, S. (2006). Therapy across cultures: A clinical round table discussion about working with people from cultures other than your own. </w:t>
      </w:r>
      <w:r w:rsidRPr="0033257A">
        <w:rPr>
          <w:i/>
          <w:iCs/>
        </w:rPr>
        <w:t>New Zealand Clinical Psychologist</w:t>
      </w:r>
      <w:r w:rsidRPr="0033257A">
        <w:t xml:space="preserve">, </w:t>
      </w:r>
      <w:r w:rsidRPr="0033257A">
        <w:rPr>
          <w:i/>
          <w:iCs/>
        </w:rPr>
        <w:t>16</w:t>
      </w:r>
      <w:r w:rsidRPr="0033257A">
        <w:t>, 18–23.</w:t>
      </w:r>
    </w:p>
    <w:p w14:paraId="46CF0451" w14:textId="77777777" w:rsidR="00274EB1" w:rsidRPr="0033257A" w:rsidRDefault="00274EB1" w:rsidP="00103A06">
      <w:r w:rsidRPr="0033257A">
        <w:lastRenderedPageBreak/>
        <w:t xml:space="preserve">192. Laumatia-Paki, D. (2021). </w:t>
      </w:r>
      <w:r w:rsidRPr="0033257A">
        <w:rPr>
          <w:i/>
          <w:iCs/>
        </w:rPr>
        <w:t>Engaging kaumātua Maori and Pasifika elders in health intervention programmes in urban Auckland</w:t>
      </w:r>
      <w:r w:rsidRPr="0033257A">
        <w:t>. Te Ara Poutama Faculty of Māori and Indigenous Development. http://156.62.60.45/bitstream/handle/10292/14997/LaumatiaPakiD.pdf?sequence=3&amp;isAllowed=y</w:t>
      </w:r>
    </w:p>
    <w:p w14:paraId="0EE57BC2" w14:textId="77777777" w:rsidR="00274EB1" w:rsidRPr="0033257A" w:rsidRDefault="00274EB1" w:rsidP="00103A06">
      <w:r w:rsidRPr="0033257A">
        <w:t xml:space="preserve">193. Ara Poutama Aotearoa: Department of Corrections. (2016). </w:t>
      </w:r>
      <w:r w:rsidRPr="0033257A">
        <w:rPr>
          <w:i/>
          <w:iCs/>
        </w:rPr>
        <w:t>1.0 Introduction</w:t>
      </w:r>
      <w:r w:rsidRPr="0033257A">
        <w:t>. https://www.corrections.govt.nz/resources/research/over-representation-of-maori-in-the-criminal-justice-system/1.0-introduction/1.0-introduction</w:t>
      </w:r>
    </w:p>
    <w:p w14:paraId="14C97D46" w14:textId="77777777" w:rsidR="00274EB1" w:rsidRPr="0033257A" w:rsidRDefault="00274EB1" w:rsidP="00103A06">
      <w:r w:rsidRPr="0033257A">
        <w:t xml:space="preserve">194. Ara Poutama Aotearoa: Department of Corrections. (2018). </w:t>
      </w:r>
      <w:r w:rsidRPr="0033257A">
        <w:rPr>
          <w:i/>
          <w:iCs/>
        </w:rPr>
        <w:t>Practice note: Identifying and managing the effects of traumatic brain injury</w:t>
      </w:r>
      <w:r w:rsidRPr="0033257A">
        <w:t>. https://www.corrections.govt.nz/resources/research/journal/volume_6_issue_1_july_2018/practice_note_identifying_and_managing_the_effects_of_traumatic_brain_injury</w:t>
      </w:r>
    </w:p>
    <w:p w14:paraId="10D797F6" w14:textId="77777777" w:rsidR="00274EB1" w:rsidRPr="0033257A" w:rsidRDefault="00274EB1" w:rsidP="00103A06">
      <w:r w:rsidRPr="0033257A">
        <w:t xml:space="preserve">195. Brookbanks, W. (2019). Protecting the interests of vulnerable defendants in the criminal justice system: The New Zealand experience. </w:t>
      </w:r>
      <w:r w:rsidRPr="0033257A">
        <w:rPr>
          <w:i/>
          <w:iCs/>
        </w:rPr>
        <w:t>The Journal of Criminal Law</w:t>
      </w:r>
      <w:r w:rsidRPr="0033257A">
        <w:t xml:space="preserve">, </w:t>
      </w:r>
      <w:r w:rsidRPr="0033257A">
        <w:rPr>
          <w:i/>
          <w:iCs/>
        </w:rPr>
        <w:t>83</w:t>
      </w:r>
      <w:r w:rsidRPr="0033257A">
        <w:t>(1), 55–70. https://doi.org/10.1177/0022018318814360</w:t>
      </w:r>
    </w:p>
    <w:p w14:paraId="39ED6E51" w14:textId="77777777" w:rsidR="00274EB1" w:rsidRPr="0033257A" w:rsidRDefault="00274EB1" w:rsidP="00103A06">
      <w:r w:rsidRPr="0033257A">
        <w:t xml:space="preserve">196. McCormack, J., McGinn, V., Marsh, S., Newcombe, D., Bullen, C., &amp; Chu, J. (2021). Fetal alcohol spectrum disorder and prisoners: The need for research-informed action. </w:t>
      </w:r>
      <w:r w:rsidRPr="0033257A">
        <w:rPr>
          <w:i/>
          <w:iCs/>
        </w:rPr>
        <w:t>The New Zealand Medical Journal</w:t>
      </w:r>
      <w:r w:rsidRPr="0033257A">
        <w:t xml:space="preserve">, </w:t>
      </w:r>
      <w:r w:rsidRPr="0033257A">
        <w:rPr>
          <w:i/>
          <w:iCs/>
        </w:rPr>
        <w:t>134</w:t>
      </w:r>
      <w:r w:rsidRPr="0033257A">
        <w:t>(1533), 118–121.</w:t>
      </w:r>
    </w:p>
    <w:p w14:paraId="64ADEADF" w14:textId="77777777" w:rsidR="00274EB1" w:rsidRPr="0033257A" w:rsidRDefault="00274EB1" w:rsidP="00103A06">
      <w:r w:rsidRPr="0033257A">
        <w:t xml:space="preserve">197. Fraser, B., Chisholm, E., &amp; Pierse, N. (2021). “You’re so powerless”: Takatāpui/LGBTIQ+ people’s experiences before becoming homeless in Aotearoa New Zealand. </w:t>
      </w:r>
      <w:r w:rsidRPr="0033257A">
        <w:rPr>
          <w:i/>
          <w:iCs/>
        </w:rPr>
        <w:t>PLoS ONE</w:t>
      </w:r>
      <w:r w:rsidRPr="0033257A">
        <w:t xml:space="preserve">, </w:t>
      </w:r>
      <w:r w:rsidRPr="0033257A">
        <w:rPr>
          <w:i/>
          <w:iCs/>
        </w:rPr>
        <w:t>16</w:t>
      </w:r>
      <w:r w:rsidRPr="0033257A">
        <w:t>(12), https://doi.org/10.1371/journal.pone.0259799</w:t>
      </w:r>
    </w:p>
    <w:p w14:paraId="7F1857DB" w14:textId="77777777" w:rsidR="00274EB1" w:rsidRPr="0033257A" w:rsidRDefault="00274EB1" w:rsidP="00103A06">
      <w:r w:rsidRPr="0033257A">
        <w:t xml:space="preserve">198. Fraser, G. (2019). </w:t>
      </w:r>
      <w:r w:rsidRPr="0033257A">
        <w:rPr>
          <w:i/>
          <w:iCs/>
        </w:rPr>
        <w:t>Supporting Aotearoa’s rainbow people: A practical guide for mental health professionals</w:t>
      </w:r>
      <w:r w:rsidRPr="0033257A">
        <w:t>. Youth Wellbeing Study and RainbowYOUTH. https://communityresearch.org.nz/research/supporting-aotearoas-rainbow-people-a-practical-guide-for-mental-health-professionals/</w:t>
      </w:r>
    </w:p>
    <w:p w14:paraId="63EF6D82" w14:textId="77777777" w:rsidR="00274EB1" w:rsidRPr="0033257A" w:rsidRDefault="00274EB1" w:rsidP="00103A06">
      <w:r w:rsidRPr="0033257A">
        <w:t xml:space="preserve">199. National Institute on Drug Abuse. (2020). </w:t>
      </w:r>
      <w:r w:rsidRPr="0033257A">
        <w:rPr>
          <w:i/>
          <w:iCs/>
        </w:rPr>
        <w:t>Sex and gender differences in substance use</w:t>
      </w:r>
      <w:r w:rsidRPr="0033257A">
        <w:t>. https://nida.nih.gov/publications/research-reports/substance-use-in-women/sex-gender-differences-in-substance-use</w:t>
      </w:r>
    </w:p>
    <w:p w14:paraId="7349054A" w14:textId="77777777" w:rsidR="00274EB1" w:rsidRPr="0033257A" w:rsidRDefault="00274EB1" w:rsidP="00103A06">
      <w:r w:rsidRPr="0033257A">
        <w:t xml:space="preserve">200. Dudley, M. D. (2020). Māori Assessment of Neuropsychological Abilities (MANA): A cognitive, functional and wellbeing screening tool for dementia in older Māori. </w:t>
      </w:r>
      <w:r w:rsidRPr="0033257A">
        <w:rPr>
          <w:i/>
          <w:iCs/>
        </w:rPr>
        <w:t>Alzheimer’s &amp; Dementia</w:t>
      </w:r>
      <w:r w:rsidRPr="0033257A">
        <w:t xml:space="preserve">, </w:t>
      </w:r>
      <w:r w:rsidRPr="0033257A">
        <w:rPr>
          <w:i/>
          <w:iCs/>
        </w:rPr>
        <w:t>16</w:t>
      </w:r>
      <w:r w:rsidRPr="0033257A">
        <w:t>(S7), e040110. https://doi.org/10.1002/alz.040110</w:t>
      </w:r>
    </w:p>
    <w:p w14:paraId="535CEBC1" w14:textId="77777777" w:rsidR="00274EB1" w:rsidRPr="0033257A" w:rsidRDefault="00274EB1" w:rsidP="00103A06">
      <w:r w:rsidRPr="0033257A">
        <w:t xml:space="preserve">201. Committee on the Mental Health Workforce for Geriatric Populations, Board on Health Care Services, &amp; Institute of Medicine. (2012). </w:t>
      </w:r>
      <w:r w:rsidRPr="0033257A">
        <w:rPr>
          <w:i/>
          <w:iCs/>
        </w:rPr>
        <w:t>The mental health and substance use workforce for older adults: In whose hands?</w:t>
      </w:r>
      <w:r w:rsidRPr="0033257A">
        <w:t xml:space="preserve"> (J. Eden, K. Maslow, M. Le, &amp; D. Blazer, Eds.). National Academies Press (US). http://www.ncbi.nlm.nih.gov/books/NBK201410/</w:t>
      </w:r>
    </w:p>
    <w:p w14:paraId="2ECD3F54" w14:textId="77777777" w:rsidR="00274EB1" w:rsidRPr="0033257A" w:rsidRDefault="00274EB1" w:rsidP="00103A06">
      <w:r w:rsidRPr="0033257A">
        <w:lastRenderedPageBreak/>
        <w:t xml:space="preserve">202. University of Buffalo: Research Institute on Addictions. (2015). </w:t>
      </w:r>
      <w:r w:rsidRPr="0033257A">
        <w:rPr>
          <w:i/>
          <w:iCs/>
        </w:rPr>
        <w:t>Substance abuse in older adults: A hidden problem.</w:t>
      </w:r>
      <w:r w:rsidRPr="0033257A">
        <w:t xml:space="preserve"> https://www.buffalo.edu/content/dam/www/ria/PDFs/ES16ElderlySubAbuse.pdf</w:t>
      </w:r>
    </w:p>
    <w:p w14:paraId="130348CB" w14:textId="77777777" w:rsidR="00274EB1" w:rsidRPr="0033257A" w:rsidRDefault="00274EB1" w:rsidP="00103A06">
      <w:r w:rsidRPr="0033257A">
        <w:t xml:space="preserve">203. Hoel, R. W., Connolly, R. M. G., &amp; Takahashi, P. Y. (2021). Polypharmacy management in older patients. </w:t>
      </w:r>
      <w:r w:rsidRPr="0033257A">
        <w:rPr>
          <w:i/>
          <w:iCs/>
        </w:rPr>
        <w:t>Mayo Clinic Proceedings</w:t>
      </w:r>
      <w:r w:rsidRPr="0033257A">
        <w:t xml:space="preserve">, </w:t>
      </w:r>
      <w:r w:rsidRPr="0033257A">
        <w:rPr>
          <w:i/>
          <w:iCs/>
        </w:rPr>
        <w:t>96</w:t>
      </w:r>
      <w:r w:rsidRPr="0033257A">
        <w:t>(1), 242–256. https://doi.org/10.1016/j.mayocp.2020.06.012</w:t>
      </w:r>
    </w:p>
    <w:p w14:paraId="000C4DF8" w14:textId="77777777" w:rsidR="00274EB1" w:rsidRPr="0033257A" w:rsidRDefault="00274EB1" w:rsidP="00103A06">
      <w:r w:rsidRPr="0033257A">
        <w:t xml:space="preserve">204. Jo, S. Y., Hwang, J.-W., &amp; Pyun, S.-B. (2017). Relationship between cognitive function and dysphagia after stroke. </w:t>
      </w:r>
      <w:r w:rsidRPr="0033257A">
        <w:rPr>
          <w:i/>
          <w:iCs/>
        </w:rPr>
        <w:t>Annals of Rehabilitation Medicine</w:t>
      </w:r>
      <w:r w:rsidRPr="0033257A">
        <w:t xml:space="preserve">, </w:t>
      </w:r>
      <w:r w:rsidRPr="0033257A">
        <w:rPr>
          <w:i/>
          <w:iCs/>
        </w:rPr>
        <w:t>41</w:t>
      </w:r>
      <w:r w:rsidRPr="0033257A">
        <w:t>(4), 564–572. https://doi.org/10.5535/arm.2017.41.4.564</w:t>
      </w:r>
    </w:p>
    <w:p w14:paraId="7317DBBD" w14:textId="77777777" w:rsidR="00274EB1" w:rsidRPr="0033257A" w:rsidRDefault="00274EB1" w:rsidP="00103A06">
      <w:r w:rsidRPr="0033257A">
        <w:t xml:space="preserve">205. Tulliani, N., Bissett, M., Fahey, P., Bye, R., &amp; Liu, K. P. Y. (2022). Efficacy of cognitive remediation on activities of daily living in individuals with mild cognitive impairment or early-stage dementia: A systematic review and meta-analysis. </w:t>
      </w:r>
      <w:r w:rsidRPr="0033257A">
        <w:rPr>
          <w:i/>
          <w:iCs/>
        </w:rPr>
        <w:t>Systematic Reviews</w:t>
      </w:r>
      <w:r w:rsidRPr="0033257A">
        <w:t xml:space="preserve">, </w:t>
      </w:r>
      <w:r w:rsidRPr="0033257A">
        <w:rPr>
          <w:i/>
          <w:iCs/>
        </w:rPr>
        <w:t>11</w:t>
      </w:r>
      <w:r w:rsidRPr="0033257A">
        <w:t>(1), 156. https://doi.org/10.1186/s13643-022-02032-0</w:t>
      </w:r>
    </w:p>
    <w:p w14:paraId="7555C7C9" w14:textId="77777777" w:rsidR="00274EB1" w:rsidRPr="0033257A" w:rsidRDefault="00274EB1" w:rsidP="00103A06">
      <w:r w:rsidRPr="0033257A">
        <w:t xml:space="preserve">206. Joshi, P., Duong, K. T., Trevisan, L. A., &amp; Wilkins, K. M. (2021). Evaluation and management of alcohol use disorder among older adults. </w:t>
      </w:r>
      <w:r w:rsidRPr="0033257A">
        <w:rPr>
          <w:i/>
          <w:iCs/>
        </w:rPr>
        <w:t>Current Geriatrics Reports</w:t>
      </w:r>
      <w:r w:rsidRPr="0033257A">
        <w:t xml:space="preserve">, </w:t>
      </w:r>
      <w:r w:rsidRPr="0033257A">
        <w:rPr>
          <w:i/>
          <w:iCs/>
        </w:rPr>
        <w:t>10</w:t>
      </w:r>
      <w:r w:rsidRPr="0033257A">
        <w:t>(3), 82–90. https://doi.org/10.1007/s13670-021-00359-5</w:t>
      </w:r>
    </w:p>
    <w:p w14:paraId="76DE67AC" w14:textId="77777777" w:rsidR="00274EB1" w:rsidRPr="0033257A" w:rsidRDefault="00274EB1" w:rsidP="00103A06">
      <w:r w:rsidRPr="0033257A">
        <w:t xml:space="preserve">207. Harada, C. N., Natelson Love, M. C., &amp; Triebel, K. (2013). Normal cognitive aging. </w:t>
      </w:r>
      <w:r w:rsidRPr="0033257A">
        <w:rPr>
          <w:i/>
          <w:iCs/>
        </w:rPr>
        <w:t>Clinics in Geriatric Medicine</w:t>
      </w:r>
      <w:r w:rsidRPr="0033257A">
        <w:t xml:space="preserve">, </w:t>
      </w:r>
      <w:r w:rsidRPr="0033257A">
        <w:rPr>
          <w:i/>
          <w:iCs/>
        </w:rPr>
        <w:t>29</w:t>
      </w:r>
      <w:r w:rsidRPr="0033257A">
        <w:t>(4), 737–752. https://doi.org/10.1016/j.cger.2013.07.002</w:t>
      </w:r>
    </w:p>
    <w:p w14:paraId="4D3C22DA" w14:textId="77777777" w:rsidR="00274EB1" w:rsidRPr="0033257A" w:rsidRDefault="00274EB1" w:rsidP="00103A06">
      <w:r w:rsidRPr="0033257A">
        <w:t xml:space="preserve">208. Lambie, D. I. (2020). </w:t>
      </w:r>
      <w:r w:rsidRPr="0033257A">
        <w:rPr>
          <w:i/>
          <w:iCs/>
        </w:rPr>
        <w:t>What were they thinking? A discussion paper on brain and behaviour in relation to the justice system in New Zealand</w:t>
      </w:r>
      <w:r w:rsidRPr="0033257A">
        <w:t>. Office of the Prime Minister’s Chief Science Advisor. https://www.dpmc.govt.nz/sites/default/files/2022-04/PMCSA-20-02_What-were-they-thinking-A-discussion-paper-on-brain-and-behaviour.pdf</w:t>
      </w:r>
    </w:p>
    <w:p w14:paraId="1711D84B" w14:textId="77777777" w:rsidR="00274EB1" w:rsidRPr="0033257A" w:rsidRDefault="00274EB1" w:rsidP="00103A06">
      <w:r w:rsidRPr="0033257A">
        <w:t xml:space="preserve">209. Elder, H. (2012). </w:t>
      </w:r>
      <w:r w:rsidRPr="0033257A">
        <w:rPr>
          <w:i/>
          <w:iCs/>
        </w:rPr>
        <w:t>Tuku iho, he tapu te upoko = From our ancestors, the head is sacred: Indigenous theory building and therapeutic framework development for Māori children and adolescents with traumatic brain injury: A thesis presented in partial fulfilment of the requirements for the degree of Doctor of Philosophy in Public Health, Massey University, Wellington, New Zealand</w:t>
      </w:r>
      <w:r w:rsidRPr="0033257A">
        <w:t xml:space="preserve">. </w:t>
      </w:r>
    </w:p>
    <w:p w14:paraId="22A37995" w14:textId="77777777" w:rsidR="00274EB1" w:rsidRPr="0033257A" w:rsidRDefault="00274EB1" w:rsidP="00103A06">
      <w:r w:rsidRPr="0033257A">
        <w:t xml:space="preserve">210. Hamley, L., Le Grice, J., Greaves, L., Groot, S., Lindsay Latimer, C., Renfrew, L., Parkinson, H., Gillon, A., &amp; Clark, T. C. (2022). Te Tapatoru: A model of whanaungatanga to support rangatahi wellbeing. </w:t>
      </w:r>
      <w:r w:rsidRPr="0033257A">
        <w:rPr>
          <w:i/>
          <w:iCs/>
        </w:rPr>
        <w:t>Kōtuitui: New Zealand Journal of Social Sciences Online</w:t>
      </w:r>
      <w:r w:rsidRPr="0033257A">
        <w:t xml:space="preserve">, </w:t>
      </w:r>
      <w:r w:rsidRPr="0033257A">
        <w:rPr>
          <w:i/>
          <w:iCs/>
        </w:rPr>
        <w:t>0</w:t>
      </w:r>
      <w:r w:rsidRPr="0033257A">
        <w:t>(0), 1–24. https://doi.org/10.1080/1177083X.2022.2109492</w:t>
      </w:r>
    </w:p>
    <w:p w14:paraId="747C15C7" w14:textId="77777777" w:rsidR="00274EB1" w:rsidRDefault="00274EB1" w:rsidP="00103A06">
      <w:r w:rsidRPr="0033257A">
        <w:t xml:space="preserve">211. Brorson, H. H., Ajo Arnevik, E., Rand-Hendriksen, K., &amp; Duckert, F. (2013). Drop-out from addiction treatment: A systematic review of risk factors. </w:t>
      </w:r>
      <w:r w:rsidRPr="0033257A">
        <w:rPr>
          <w:i/>
          <w:iCs/>
        </w:rPr>
        <w:t>Clinical Psychology Review</w:t>
      </w:r>
      <w:r w:rsidRPr="0033257A">
        <w:t xml:space="preserve">, </w:t>
      </w:r>
      <w:r w:rsidRPr="0033257A">
        <w:rPr>
          <w:i/>
          <w:iCs/>
        </w:rPr>
        <w:t>33</w:t>
      </w:r>
      <w:r w:rsidRPr="0033257A">
        <w:t>(8), 1010–1024. https://doi.org/10.1016/j.cpr.2013.07.007</w:t>
      </w:r>
    </w:p>
    <w:p w14:paraId="0C889621" w14:textId="2B485625" w:rsidR="00B423C5" w:rsidRDefault="00B423C5" w:rsidP="00103A06"/>
    <w:p w14:paraId="5E795221" w14:textId="77777777" w:rsidR="00B423C5" w:rsidRPr="0033257A" w:rsidRDefault="00B423C5" w:rsidP="00B423C5">
      <w:r w:rsidRPr="0033257A">
        <w:lastRenderedPageBreak/>
        <w:t xml:space="preserve">212. Manatū Hauora Ministry of Health. (2018). </w:t>
      </w:r>
      <w:r w:rsidRPr="0033257A">
        <w:rPr>
          <w:i/>
          <w:iCs/>
        </w:rPr>
        <w:t>Age structure</w:t>
      </w:r>
      <w:r w:rsidRPr="0033257A">
        <w:t>. https://www.health.govt.nz/our-work/populations/maori-health/tatau-kahukura-maori-health-statistics/tatauranga-taupori-demographics/age-structure</w:t>
      </w:r>
    </w:p>
    <w:p w14:paraId="6F509AD8" w14:textId="77777777" w:rsidR="00B423C5" w:rsidRPr="0033257A" w:rsidRDefault="00B423C5" w:rsidP="00B423C5">
      <w:r w:rsidRPr="0033257A">
        <w:t>213. Matua Ra</w:t>
      </w:r>
      <w:r w:rsidRPr="0033257A">
        <w:rPr>
          <w:u w:val="single"/>
        </w:rPr>
        <w:t>k</w:t>
      </w:r>
      <w:r w:rsidRPr="0033257A">
        <w:t xml:space="preserve">i. (2017). </w:t>
      </w:r>
      <w:r w:rsidRPr="0033257A">
        <w:rPr>
          <w:i/>
          <w:iCs/>
        </w:rPr>
        <w:t>Bridging the gap: Young people and substance use</w:t>
      </w:r>
      <w:r w:rsidRPr="0033257A">
        <w:t>. https://www.tepou.co.nz/resources/bridging-the-gap-young-people-and-substance-use</w:t>
      </w:r>
    </w:p>
    <w:p w14:paraId="55BF69BD" w14:textId="1A1D8114" w:rsidR="00B423C5" w:rsidRPr="0033257A" w:rsidRDefault="00B423C5" w:rsidP="00B423C5">
      <w:pPr>
        <w:spacing w:before="0" w:after="160" w:line="259" w:lineRule="auto"/>
      </w:pPr>
      <w:r>
        <w:br w:type="page"/>
      </w:r>
    </w:p>
    <w:p w14:paraId="45E24680" w14:textId="77777777" w:rsidR="00274EB1" w:rsidRPr="0033257A" w:rsidRDefault="00274EB1" w:rsidP="00103A06">
      <w:r w:rsidRPr="0033257A">
        <w:lastRenderedPageBreak/>
        <w:fldChar w:fldCharType="end"/>
      </w:r>
    </w:p>
    <w:p w14:paraId="14B76602" w14:textId="77777777" w:rsidR="00274EB1" w:rsidRPr="0033257A" w:rsidRDefault="00274EB1" w:rsidP="00274EB1">
      <w:pPr>
        <w:rPr>
          <w:rFonts w:cstheme="minorHAnsi"/>
          <w:sz w:val="22"/>
        </w:rPr>
      </w:pPr>
    </w:p>
    <w:p w14:paraId="5D820C39" w14:textId="5AD11578" w:rsidR="00125D16" w:rsidRDefault="00125D16" w:rsidP="00A37881"/>
    <w:p w14:paraId="34F8E26B" w14:textId="77777777" w:rsidR="007845A6" w:rsidRDefault="007845A6" w:rsidP="007845A6">
      <w:bookmarkStart w:id="2843" w:name="_Toc175317977"/>
      <w:bookmarkStart w:id="2844" w:name="_Toc179465263"/>
      <w:bookmarkStart w:id="2845" w:name="_Toc179467065"/>
      <w:bookmarkStart w:id="2846" w:name="_Toc179467122"/>
      <w:bookmarkStart w:id="2847" w:name="_Toc179467199"/>
      <w:bookmarkStart w:id="2848" w:name="_Toc179467273"/>
      <w:bookmarkStart w:id="2849" w:name="_Toc179467458"/>
      <w:bookmarkStart w:id="2850" w:name="_Toc179467698"/>
      <w:bookmarkStart w:id="2851" w:name="_Toc179468073"/>
      <w:bookmarkStart w:id="2852" w:name="_Toc179468335"/>
      <w:bookmarkStart w:id="2853" w:name="_Toc179468578"/>
      <w:bookmarkStart w:id="2854" w:name="_Toc179483276"/>
      <w:bookmarkStart w:id="2855" w:name="_Toc179486346"/>
      <w:bookmarkStart w:id="2856" w:name="_Toc179487946"/>
      <w:bookmarkStart w:id="2857" w:name="_Toc179489250"/>
    </w:p>
    <w:p w14:paraId="2F9B84A4" w14:textId="77777777" w:rsidR="007845A6" w:rsidRDefault="007845A6" w:rsidP="00125D16">
      <w:pPr>
        <w:pStyle w:val="Section2Heading2"/>
      </w:pPr>
    </w:p>
    <w:p w14:paraId="2F44C7A7" w14:textId="77777777" w:rsidR="007845A6" w:rsidRDefault="007845A6" w:rsidP="00125D16">
      <w:pPr>
        <w:pStyle w:val="Section2Heading2"/>
      </w:pPr>
    </w:p>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p w14:paraId="78C6C825" w14:textId="77777777" w:rsidR="002947F7" w:rsidRDefault="00F16C65" w:rsidP="002947F7">
      <w:r>
        <w:rPr>
          <w:noProof/>
        </w:rPr>
        <w:drawing>
          <wp:anchor distT="0" distB="0" distL="114300" distR="114300" simplePos="0" relativeHeight="251703296" behindDoc="1" locked="0" layoutInCell="1" allowOverlap="1" wp14:anchorId="17F6A23B" wp14:editId="6BBA6F19">
            <wp:simplePos x="0" y="0"/>
            <wp:positionH relativeFrom="margin">
              <wp:posOffset>-721360</wp:posOffset>
            </wp:positionH>
            <wp:positionV relativeFrom="margin">
              <wp:posOffset>-1073150</wp:posOffset>
            </wp:positionV>
            <wp:extent cx="7560000" cy="10695600"/>
            <wp:effectExtent l="0" t="0" r="3175" b="0"/>
            <wp:wrapNone/>
            <wp:docPr id="153556193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561930" name="Picture 2">
                      <a:extLst>
                        <a:ext uri="{C183D7F6-B498-43B3-948B-1728B52AA6E4}">
                          <adec:decorative xmlns:adec="http://schemas.microsoft.com/office/drawing/2017/decorative" val="1"/>
                        </a:ext>
                      </a:extLst>
                    </pic:cNvPr>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page">
              <wp14:pctWidth>0</wp14:pctWidth>
            </wp14:sizeRelH>
            <wp14:sizeRelV relativeFrom="page">
              <wp14:pctHeight>0</wp14:pctHeight>
            </wp14:sizeRelV>
          </wp:anchor>
        </w:drawing>
      </w:r>
    </w:p>
    <w:p w14:paraId="7CF9257B" w14:textId="77777777" w:rsidR="005B34EC" w:rsidRDefault="005B34EC">
      <w:pPr>
        <w:spacing w:before="0" w:after="160" w:line="259" w:lineRule="auto"/>
        <w:rPr>
          <w:rFonts w:asciiTheme="majorHAnsi" w:eastAsiaTheme="majorEastAsia" w:hAnsiTheme="majorHAnsi" w:cstheme="majorBidi"/>
          <w:b/>
          <w:color w:val="000000" w:themeColor="text1"/>
          <w:sz w:val="52"/>
          <w:szCs w:val="32"/>
        </w:rPr>
      </w:pPr>
    </w:p>
    <w:p w14:paraId="7D1FCB34" w14:textId="77777777" w:rsidR="0049539E" w:rsidRDefault="0049539E" w:rsidP="0049539E"/>
    <w:p w14:paraId="47C37CE8" w14:textId="77777777" w:rsidR="003852DA" w:rsidRDefault="003852DA">
      <w:pPr>
        <w:spacing w:before="0" w:after="160" w:line="259" w:lineRule="auto"/>
      </w:pPr>
    </w:p>
    <w:sectPr w:rsidR="003852DA" w:rsidSect="001228A7">
      <w:headerReference w:type="default" r:id="rId160"/>
      <w:footerReference w:type="default" r:id="rId161"/>
      <w:headerReference w:type="first" r:id="rId162"/>
      <w:footerReference w:type="first" r:id="rId163"/>
      <w:pgSz w:w="11906" w:h="16838" w:code="9"/>
      <w:pgMar w:top="1134" w:right="1134" w:bottom="1134" w:left="1134" w:header="130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B8A4A4" w14:textId="77777777" w:rsidR="00D7293A" w:rsidRDefault="00D7293A" w:rsidP="00817A32">
      <w:pPr>
        <w:spacing w:before="0" w:after="0" w:line="240" w:lineRule="auto"/>
      </w:pPr>
      <w:r>
        <w:separator/>
      </w:r>
    </w:p>
  </w:endnote>
  <w:endnote w:type="continuationSeparator" w:id="0">
    <w:p w14:paraId="7373EF10" w14:textId="77777777" w:rsidR="00D7293A" w:rsidRDefault="00D7293A" w:rsidP="00817A3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15284C" w:themeColor="text2"/>
        <w:szCs w:val="24"/>
      </w:rPr>
      <w:id w:val="-1483535097"/>
      <w:docPartObj>
        <w:docPartGallery w:val="Page Numbers (Bottom of Page)"/>
        <w:docPartUnique/>
      </w:docPartObj>
    </w:sdtPr>
    <w:sdtContent>
      <w:p w14:paraId="4BF6F8FB" w14:textId="129E9DD2" w:rsidR="00D97E20" w:rsidRPr="00B3088E" w:rsidRDefault="00A8502C" w:rsidP="00B3088E">
        <w:pPr>
          <w:rPr>
            <w:szCs w:val="24"/>
          </w:rPr>
        </w:pPr>
        <w:r w:rsidRPr="00B3088E">
          <w:rPr>
            <w:szCs w:val="24"/>
          </w:rPr>
          <w:t>Aotearoa New Zealand practice guidelines: September 2024</w:t>
        </w:r>
        <w:r w:rsidR="00103A06" w:rsidRPr="00B3088E">
          <w:rPr>
            <w:color w:val="15284C" w:themeColor="text2"/>
            <w:szCs w:val="24"/>
          </w:rPr>
          <w:tab/>
        </w:r>
        <w:r w:rsidR="00103A06" w:rsidRPr="00B3088E">
          <w:rPr>
            <w:color w:val="15284C" w:themeColor="text2"/>
            <w:szCs w:val="24"/>
          </w:rPr>
          <w:tab/>
        </w:r>
        <w:r w:rsidR="00103A06" w:rsidRPr="00B3088E">
          <w:rPr>
            <w:color w:val="15284C" w:themeColor="text2"/>
            <w:szCs w:val="24"/>
          </w:rPr>
          <w:tab/>
          <w:t xml:space="preserve">          </w:t>
        </w:r>
        <w:r w:rsidR="00D97E20" w:rsidRPr="00B3088E">
          <w:rPr>
            <w:color w:val="15284C" w:themeColor="text2"/>
            <w:szCs w:val="24"/>
          </w:rPr>
          <w:t xml:space="preserve">Page | </w:t>
        </w:r>
        <w:r w:rsidR="00D97E20" w:rsidRPr="00B3088E">
          <w:rPr>
            <w:color w:val="15284C" w:themeColor="text2"/>
            <w:szCs w:val="24"/>
          </w:rPr>
          <w:fldChar w:fldCharType="begin"/>
        </w:r>
        <w:r w:rsidR="00D97E20" w:rsidRPr="00B3088E">
          <w:rPr>
            <w:color w:val="15284C" w:themeColor="text2"/>
            <w:szCs w:val="24"/>
          </w:rPr>
          <w:instrText xml:space="preserve"> PAGE   \* MERGEFORMAT </w:instrText>
        </w:r>
        <w:r w:rsidR="00D97E20" w:rsidRPr="00B3088E">
          <w:rPr>
            <w:color w:val="15284C" w:themeColor="text2"/>
            <w:szCs w:val="24"/>
          </w:rPr>
          <w:fldChar w:fldCharType="separate"/>
        </w:r>
        <w:r w:rsidR="00B729E0" w:rsidRPr="00B3088E">
          <w:rPr>
            <w:noProof/>
            <w:color w:val="15284C" w:themeColor="text2"/>
            <w:szCs w:val="24"/>
          </w:rPr>
          <w:t>11</w:t>
        </w:r>
        <w:r w:rsidR="00D97E20" w:rsidRPr="00B3088E">
          <w:rPr>
            <w:noProof/>
            <w:color w:val="15284C" w:themeColor="text2"/>
            <w:szCs w:val="24"/>
          </w:rPr>
          <w:fldChar w:fldCharType="end"/>
        </w:r>
        <w:r w:rsidR="00D97E20" w:rsidRPr="00B3088E">
          <w:rPr>
            <w:color w:val="15284C" w:themeColor="text2"/>
            <w:szCs w:val="24"/>
          </w:rP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bCs/>
        <w:color w:val="auto"/>
        <w:sz w:val="24"/>
      </w:rPr>
      <w:id w:val="291337982"/>
      <w:docPartObj>
        <w:docPartGallery w:val="Page Numbers (Bottom of Page)"/>
        <w:docPartUnique/>
      </w:docPartObj>
    </w:sdtPr>
    <w:sdtContent>
      <w:p w14:paraId="5A1B7BB7" w14:textId="0C47E0E1" w:rsidR="00FE11FA" w:rsidRPr="001A2AFC" w:rsidRDefault="00965AA4" w:rsidP="00965AA4">
        <w:pPr>
          <w:pStyle w:val="Heading3"/>
          <w:rPr>
            <w:bCs/>
            <w:color w:val="auto"/>
            <w:sz w:val="24"/>
          </w:rPr>
        </w:pPr>
        <w:r w:rsidRPr="001A2AFC">
          <w:rPr>
            <w:bCs/>
            <w:color w:val="auto"/>
            <w:sz w:val="24"/>
          </w:rPr>
          <w:t xml:space="preserve">Aotearoa New Zealand practice guidelines: September 2024                              </w:t>
        </w:r>
        <w:r w:rsidR="001A2AFC" w:rsidRPr="001A2AFC">
          <w:rPr>
            <w:bCs/>
            <w:color w:val="auto"/>
            <w:sz w:val="24"/>
          </w:rPr>
          <w:t xml:space="preserve">  </w:t>
        </w:r>
        <w:r w:rsidR="00FE11FA" w:rsidRPr="001A2AFC">
          <w:rPr>
            <w:bCs/>
            <w:color w:val="auto"/>
            <w:sz w:val="24"/>
          </w:rPr>
          <w:t xml:space="preserve">Page | </w:t>
        </w:r>
        <w:r w:rsidR="00FE11FA" w:rsidRPr="001A2AFC">
          <w:rPr>
            <w:bCs/>
            <w:color w:val="auto"/>
            <w:sz w:val="24"/>
          </w:rPr>
          <w:fldChar w:fldCharType="begin"/>
        </w:r>
        <w:r w:rsidR="00FE11FA" w:rsidRPr="001A2AFC">
          <w:rPr>
            <w:bCs/>
            <w:color w:val="auto"/>
            <w:sz w:val="24"/>
          </w:rPr>
          <w:instrText xml:space="preserve"> PAGE   \* MERGEFORMAT </w:instrText>
        </w:r>
        <w:r w:rsidR="00FE11FA" w:rsidRPr="001A2AFC">
          <w:rPr>
            <w:bCs/>
            <w:color w:val="auto"/>
            <w:sz w:val="24"/>
          </w:rPr>
          <w:fldChar w:fldCharType="separate"/>
        </w:r>
        <w:r w:rsidR="00FE11FA" w:rsidRPr="001A2AFC">
          <w:rPr>
            <w:bCs/>
            <w:noProof/>
            <w:color w:val="auto"/>
            <w:sz w:val="24"/>
          </w:rPr>
          <w:t>11</w:t>
        </w:r>
        <w:r w:rsidR="00FE11FA" w:rsidRPr="001A2AFC">
          <w:rPr>
            <w:bCs/>
            <w:noProof/>
            <w:color w:val="auto"/>
            <w:sz w:val="24"/>
          </w:rPr>
          <w:fldChar w:fldCharType="end"/>
        </w:r>
        <w:r w:rsidR="00FE11FA" w:rsidRPr="001A2AFC">
          <w:rPr>
            <w:bCs/>
            <w:color w:val="auto"/>
            <w:sz w:val="24"/>
          </w:rP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0C818E" w:themeColor="accent1"/>
      </w:rPr>
      <w:id w:val="-387565816"/>
      <w:docPartObj>
        <w:docPartGallery w:val="Page Numbers (Bottom of Page)"/>
        <w:docPartUnique/>
      </w:docPartObj>
    </w:sdtPr>
    <w:sdtContent>
      <w:p w14:paraId="2BB5474D" w14:textId="507E6C7F" w:rsidR="00CC3F1C" w:rsidRPr="006F532C" w:rsidRDefault="000F25C7" w:rsidP="00CC3F1C">
        <w:pPr>
          <w:tabs>
            <w:tab w:val="left" w:pos="8364"/>
          </w:tabs>
          <w:rPr>
            <w:color w:val="0C818E" w:themeColor="accent1"/>
          </w:rPr>
        </w:pPr>
        <w:r w:rsidRPr="00DC0794">
          <w:rPr>
            <w:b/>
            <w:bCs/>
            <w:color w:val="0C818E" w:themeColor="accent1"/>
            <w:sz w:val="16"/>
            <w:szCs w:val="16"/>
          </w:rPr>
          <w:t xml:space="preserve">Aotearoa New Zealand practice guidelines: September 2024                                                              </w:t>
        </w:r>
        <w:r w:rsidR="00CC3F1C" w:rsidRPr="006F532C">
          <w:rPr>
            <w:color w:val="0C818E" w:themeColor="accent1"/>
          </w:rPr>
          <w:tab/>
        </w:r>
        <w:r w:rsidR="00CC3F1C" w:rsidRPr="000F25C7">
          <w:rPr>
            <w:b/>
            <w:color w:val="0C818E" w:themeColor="accent1"/>
            <w:sz w:val="16"/>
            <w:szCs w:val="16"/>
          </w:rPr>
          <w:t xml:space="preserve">Page | </w:t>
        </w:r>
        <w:r w:rsidR="00CC3F1C" w:rsidRPr="000F25C7">
          <w:rPr>
            <w:b/>
            <w:color w:val="0C818E" w:themeColor="accent1"/>
            <w:sz w:val="16"/>
            <w:szCs w:val="16"/>
          </w:rPr>
          <w:fldChar w:fldCharType="begin"/>
        </w:r>
        <w:r w:rsidR="00CC3F1C" w:rsidRPr="000F25C7">
          <w:rPr>
            <w:b/>
            <w:color w:val="0C818E" w:themeColor="accent1"/>
            <w:sz w:val="16"/>
            <w:szCs w:val="16"/>
          </w:rPr>
          <w:instrText xml:space="preserve"> PAGE   \* MERGEFORMAT </w:instrText>
        </w:r>
        <w:r w:rsidR="00CC3F1C" w:rsidRPr="000F25C7">
          <w:rPr>
            <w:b/>
            <w:color w:val="0C818E" w:themeColor="accent1"/>
            <w:sz w:val="16"/>
            <w:szCs w:val="16"/>
          </w:rPr>
          <w:fldChar w:fldCharType="separate"/>
        </w:r>
        <w:r w:rsidR="00CC3F1C" w:rsidRPr="000F25C7">
          <w:rPr>
            <w:b/>
            <w:color w:val="0C818E" w:themeColor="accent1"/>
            <w:sz w:val="16"/>
            <w:szCs w:val="16"/>
          </w:rPr>
          <w:t>13</w:t>
        </w:r>
        <w:r w:rsidR="00CC3F1C" w:rsidRPr="000F25C7">
          <w:rPr>
            <w:b/>
            <w:noProof/>
            <w:color w:val="0C818E" w:themeColor="accent1"/>
            <w:sz w:val="16"/>
            <w:szCs w:val="16"/>
          </w:rPr>
          <w:fldChar w:fldCharType="end"/>
        </w:r>
        <w:r w:rsidR="00CC3F1C" w:rsidRPr="006F532C">
          <w:rPr>
            <w:color w:val="0C818E" w:themeColor="accent1"/>
          </w:rPr>
          <w:t xml:space="preserve"> </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bCs/>
        <w:color w:val="auto"/>
        <w:sz w:val="24"/>
      </w:rPr>
      <w:id w:val="-153300661"/>
      <w:docPartObj>
        <w:docPartGallery w:val="Page Numbers (Bottom of Page)"/>
        <w:docPartUnique/>
      </w:docPartObj>
    </w:sdtPr>
    <w:sdtContent>
      <w:p w14:paraId="49E53430" w14:textId="389EC34A" w:rsidR="00E33855" w:rsidRPr="001A2AFC" w:rsidRDefault="00BC0289" w:rsidP="00BC0289">
        <w:pPr>
          <w:pStyle w:val="Heading3"/>
          <w:rPr>
            <w:bCs/>
            <w:color w:val="auto"/>
            <w:sz w:val="24"/>
          </w:rPr>
        </w:pPr>
        <w:r w:rsidRPr="001A2AFC">
          <w:rPr>
            <w:bCs/>
            <w:color w:val="auto"/>
            <w:sz w:val="24"/>
          </w:rPr>
          <w:t xml:space="preserve">Aotearoa New Zealand practice guidelines: September 2024                                </w:t>
        </w:r>
        <w:r w:rsidR="00E33855" w:rsidRPr="001A2AFC">
          <w:rPr>
            <w:bCs/>
            <w:color w:val="auto"/>
            <w:sz w:val="24"/>
          </w:rPr>
          <w:t xml:space="preserve">Page | </w:t>
        </w:r>
        <w:r w:rsidR="00E33855" w:rsidRPr="001A2AFC">
          <w:rPr>
            <w:bCs/>
            <w:color w:val="auto"/>
            <w:sz w:val="24"/>
          </w:rPr>
          <w:fldChar w:fldCharType="begin"/>
        </w:r>
        <w:r w:rsidR="00E33855" w:rsidRPr="001A2AFC">
          <w:rPr>
            <w:bCs/>
            <w:color w:val="auto"/>
            <w:sz w:val="24"/>
          </w:rPr>
          <w:instrText xml:space="preserve"> PAGE   \* MERGEFORMAT </w:instrText>
        </w:r>
        <w:r w:rsidR="00E33855" w:rsidRPr="001A2AFC">
          <w:rPr>
            <w:bCs/>
            <w:color w:val="auto"/>
            <w:sz w:val="24"/>
          </w:rPr>
          <w:fldChar w:fldCharType="separate"/>
        </w:r>
        <w:r w:rsidR="00E33855" w:rsidRPr="001A2AFC">
          <w:rPr>
            <w:bCs/>
            <w:noProof/>
            <w:color w:val="auto"/>
            <w:sz w:val="24"/>
          </w:rPr>
          <w:t>11</w:t>
        </w:r>
        <w:r w:rsidR="00E33855" w:rsidRPr="001A2AFC">
          <w:rPr>
            <w:bCs/>
            <w:noProof/>
            <w:color w:val="auto"/>
            <w:sz w:val="24"/>
          </w:rPr>
          <w:fldChar w:fldCharType="end"/>
        </w:r>
        <w:r w:rsidR="00E33855" w:rsidRPr="001A2AFC">
          <w:rPr>
            <w:bCs/>
            <w:color w:val="auto"/>
            <w:sz w:val="24"/>
          </w:rPr>
          <w:t xml:space="preserve"> </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28A1AC" w:themeColor="accent2"/>
        <w:sz w:val="16"/>
        <w:szCs w:val="16"/>
      </w:rPr>
      <w:id w:val="1908407620"/>
      <w:docPartObj>
        <w:docPartGallery w:val="Page Numbers (Bottom of Page)"/>
        <w:docPartUnique/>
      </w:docPartObj>
    </w:sdtPr>
    <w:sdtEndPr>
      <w:rPr>
        <w:color w:val="auto"/>
        <w:sz w:val="24"/>
        <w:szCs w:val="24"/>
      </w:rPr>
    </w:sdtEndPr>
    <w:sdtContent>
      <w:p w14:paraId="66BC230C" w14:textId="0D23609C" w:rsidR="007505B2" w:rsidRPr="001A2AFC" w:rsidRDefault="000F25C7" w:rsidP="00CC3F1C">
        <w:pPr>
          <w:tabs>
            <w:tab w:val="left" w:pos="8364"/>
          </w:tabs>
          <w:rPr>
            <w:szCs w:val="24"/>
          </w:rPr>
        </w:pPr>
        <w:r w:rsidRPr="001A2AFC">
          <w:rPr>
            <w:szCs w:val="24"/>
          </w:rPr>
          <w:t xml:space="preserve">Aotearoa New Zealand practice guidelines: September 2024                              </w:t>
        </w:r>
        <w:r w:rsidR="007505B2" w:rsidRPr="001A2AFC">
          <w:rPr>
            <w:szCs w:val="24"/>
          </w:rPr>
          <w:t xml:space="preserve">Page | </w:t>
        </w:r>
        <w:r w:rsidR="007505B2" w:rsidRPr="001A2AFC">
          <w:rPr>
            <w:szCs w:val="24"/>
          </w:rPr>
          <w:fldChar w:fldCharType="begin"/>
        </w:r>
        <w:r w:rsidR="007505B2" w:rsidRPr="001A2AFC">
          <w:rPr>
            <w:szCs w:val="24"/>
          </w:rPr>
          <w:instrText xml:space="preserve"> PAGE   \* MERGEFORMAT </w:instrText>
        </w:r>
        <w:r w:rsidR="007505B2" w:rsidRPr="001A2AFC">
          <w:rPr>
            <w:szCs w:val="24"/>
          </w:rPr>
          <w:fldChar w:fldCharType="separate"/>
        </w:r>
        <w:r w:rsidR="007505B2" w:rsidRPr="001A2AFC">
          <w:rPr>
            <w:szCs w:val="24"/>
          </w:rPr>
          <w:t>13</w:t>
        </w:r>
        <w:r w:rsidR="007505B2" w:rsidRPr="001A2AFC">
          <w:rPr>
            <w:noProof/>
            <w:szCs w:val="24"/>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83089513"/>
      <w:docPartObj>
        <w:docPartGallery w:val="Page Numbers (Bottom of Page)"/>
        <w:docPartUnique/>
      </w:docPartObj>
    </w:sdtPr>
    <w:sdtContent>
      <w:p w14:paraId="6BB55559" w14:textId="5F05AB19" w:rsidR="00C7682A" w:rsidRPr="00122447" w:rsidRDefault="00570978" w:rsidP="009607E5">
        <w:r w:rsidRPr="00122447">
          <w:t xml:space="preserve">Aotearoa New Zealand practice guidelines: September 2024             </w:t>
        </w:r>
        <w:r w:rsidR="00122447" w:rsidRPr="00122447">
          <w:t xml:space="preserve">                </w:t>
        </w:r>
        <w:r w:rsidR="0049539E" w:rsidRPr="00122447">
          <w:t xml:space="preserve">Page | </w:t>
        </w:r>
        <w:r w:rsidR="0049539E" w:rsidRPr="00122447">
          <w:fldChar w:fldCharType="begin"/>
        </w:r>
        <w:r w:rsidR="0049539E" w:rsidRPr="00122447">
          <w:instrText xml:space="preserve"> PAGE   \* MERGEFORMAT </w:instrText>
        </w:r>
        <w:r w:rsidR="0049539E" w:rsidRPr="00122447">
          <w:fldChar w:fldCharType="separate"/>
        </w:r>
        <w:r w:rsidR="0049539E" w:rsidRPr="00122447">
          <w:rPr>
            <w:noProof/>
          </w:rPr>
          <w:t>11</w:t>
        </w:r>
        <w:r w:rsidR="0049539E" w:rsidRPr="00122447">
          <w:rPr>
            <w:noProof/>
          </w:rPr>
          <w:fldChar w:fldCharType="end"/>
        </w:r>
        <w:r w:rsidR="0049539E" w:rsidRPr="00122447">
          <w:t xml:space="preserve"> </w: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499BA4" w14:textId="0F85E9EB" w:rsidR="00C7682A" w:rsidRPr="000F25C7" w:rsidRDefault="000F25C7" w:rsidP="000F25C7">
    <w:pPr>
      <w:tabs>
        <w:tab w:val="left" w:pos="8364"/>
      </w:tabs>
      <w:rPr>
        <w:color w:val="4D2379" w:themeColor="accent4"/>
      </w:rPr>
    </w:pPr>
    <w:r w:rsidRPr="004544DC">
      <w:rPr>
        <w:b/>
        <w:bCs/>
        <w:color w:val="391A5A" w:themeColor="accent4" w:themeShade="BF"/>
        <w:sz w:val="16"/>
        <w:szCs w:val="16"/>
      </w:rPr>
      <w:t xml:space="preserve">Aotearoa New Zealand practice guidelines: September 2024                                              </w:t>
    </w:r>
    <w:r>
      <w:rPr>
        <w:b/>
        <w:bCs/>
        <w:color w:val="391A5A" w:themeColor="accent4" w:themeShade="BF"/>
        <w:sz w:val="16"/>
        <w:szCs w:val="16"/>
      </w:rPr>
      <w:t xml:space="preserve">                                            </w:t>
    </w:r>
    <w:r w:rsidRPr="004544DC">
      <w:rPr>
        <w:b/>
        <w:color w:val="4D2379" w:themeColor="accent4"/>
        <w:sz w:val="16"/>
        <w:szCs w:val="16"/>
      </w:rPr>
      <w:t xml:space="preserve">Page | </w:t>
    </w:r>
    <w:r w:rsidRPr="004544DC">
      <w:rPr>
        <w:b/>
        <w:color w:val="4D2379" w:themeColor="accent4"/>
        <w:sz w:val="16"/>
        <w:szCs w:val="16"/>
      </w:rPr>
      <w:fldChar w:fldCharType="begin"/>
    </w:r>
    <w:r w:rsidRPr="004544DC">
      <w:rPr>
        <w:b/>
        <w:color w:val="4D2379" w:themeColor="accent4"/>
        <w:sz w:val="16"/>
        <w:szCs w:val="16"/>
      </w:rPr>
      <w:instrText xml:space="preserve"> PAGE   \* MERGEFORMAT </w:instrText>
    </w:r>
    <w:r w:rsidRPr="004544DC">
      <w:rPr>
        <w:b/>
        <w:color w:val="4D2379" w:themeColor="accent4"/>
        <w:sz w:val="16"/>
        <w:szCs w:val="16"/>
      </w:rPr>
      <w:fldChar w:fldCharType="separate"/>
    </w:r>
    <w:r>
      <w:rPr>
        <w:b/>
        <w:color w:val="4D2379" w:themeColor="accent4"/>
        <w:sz w:val="16"/>
        <w:szCs w:val="16"/>
      </w:rPr>
      <w:t>83</w:t>
    </w:r>
    <w:r w:rsidRPr="004544DC">
      <w:rPr>
        <w:b/>
        <w:noProof/>
        <w:color w:val="4D2379" w:themeColor="accent4"/>
        <w:sz w:val="16"/>
        <w:szCs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000000" w:themeColor="text1"/>
      </w:rPr>
      <w:id w:val="994370493"/>
      <w:docPartObj>
        <w:docPartGallery w:val="Page Numbers (Bottom of Page)"/>
        <w:docPartUnique/>
      </w:docPartObj>
    </w:sdtPr>
    <w:sdtContent>
      <w:p w14:paraId="79AA99EB" w14:textId="1930391A" w:rsidR="00532137" w:rsidRPr="006A14E1" w:rsidRDefault="00AB3B7A" w:rsidP="00122447">
        <w:pPr>
          <w:rPr>
            <w:bCs/>
            <w:color w:val="000000" w:themeColor="text1"/>
          </w:rPr>
        </w:pPr>
        <w:r w:rsidRPr="006A14E1">
          <w:rPr>
            <w:bCs/>
            <w:color w:val="000000" w:themeColor="text1"/>
          </w:rPr>
          <w:t>Aotearoa New Zealand practice guidelines: September 2024</w:t>
        </w:r>
        <w:r w:rsidR="00532137" w:rsidRPr="006A14E1">
          <w:rPr>
            <w:color w:val="000000" w:themeColor="text1"/>
          </w:rPr>
          <w:tab/>
        </w:r>
        <w:r w:rsidRPr="006A14E1">
          <w:rPr>
            <w:color w:val="000000" w:themeColor="text1"/>
          </w:rPr>
          <w:t xml:space="preserve">   </w:t>
        </w:r>
        <w:r w:rsidR="00122447" w:rsidRPr="006A14E1">
          <w:rPr>
            <w:color w:val="000000" w:themeColor="text1"/>
          </w:rPr>
          <w:tab/>
          <w:t xml:space="preserve">                  </w:t>
        </w:r>
        <w:r w:rsidRPr="006A14E1">
          <w:rPr>
            <w:color w:val="000000" w:themeColor="text1"/>
          </w:rPr>
          <w:t xml:space="preserve"> </w:t>
        </w:r>
        <w:r w:rsidR="00532137" w:rsidRPr="006A14E1">
          <w:rPr>
            <w:color w:val="000000" w:themeColor="text1"/>
          </w:rPr>
          <w:t xml:space="preserve">Page | </w:t>
        </w:r>
        <w:r w:rsidR="00532137" w:rsidRPr="006A14E1">
          <w:rPr>
            <w:color w:val="000000" w:themeColor="text1"/>
          </w:rPr>
          <w:fldChar w:fldCharType="begin"/>
        </w:r>
        <w:r w:rsidR="00532137" w:rsidRPr="006A14E1">
          <w:rPr>
            <w:color w:val="000000" w:themeColor="text1"/>
          </w:rPr>
          <w:instrText xml:space="preserve"> PAGE   \* MERGEFORMAT </w:instrText>
        </w:r>
        <w:r w:rsidR="00532137" w:rsidRPr="006A14E1">
          <w:rPr>
            <w:color w:val="000000" w:themeColor="text1"/>
          </w:rPr>
          <w:fldChar w:fldCharType="separate"/>
        </w:r>
        <w:r w:rsidR="00532137" w:rsidRPr="006A14E1">
          <w:rPr>
            <w:noProof/>
            <w:color w:val="000000" w:themeColor="text1"/>
          </w:rPr>
          <w:t>11</w:t>
        </w:r>
        <w:r w:rsidR="00532137" w:rsidRPr="006A14E1">
          <w:rPr>
            <w:noProof/>
            <w:color w:val="000000" w:themeColor="text1"/>
          </w:rPr>
          <w:fldChar w:fldCharType="end"/>
        </w:r>
        <w:r w:rsidR="00532137" w:rsidRPr="006A14E1">
          <w:rPr>
            <w:color w:val="000000" w:themeColor="text1"/>
          </w:rPr>
          <w:t xml:space="preserve"> </w:t>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15284C" w:themeColor="text2"/>
        <w:sz w:val="16"/>
        <w:szCs w:val="16"/>
      </w:rPr>
      <w:id w:val="1124653286"/>
      <w:docPartObj>
        <w:docPartGallery w:val="Page Numbers (Bottom of Page)"/>
        <w:docPartUnique/>
      </w:docPartObj>
    </w:sdtPr>
    <w:sdtContent>
      <w:p w14:paraId="702617DC" w14:textId="27B06D51" w:rsidR="0024046B" w:rsidRPr="00AB3B7A" w:rsidRDefault="00AB3B7A" w:rsidP="00AB3B7A">
        <w:pPr>
          <w:pStyle w:val="Heading3"/>
          <w:rPr>
            <w:b/>
            <w:bCs/>
            <w:color w:val="26113C" w:themeColor="accent4" w:themeShade="80"/>
            <w:sz w:val="16"/>
            <w:szCs w:val="16"/>
          </w:rPr>
        </w:pPr>
        <w:r w:rsidRPr="00AB3B7A">
          <w:rPr>
            <w:b/>
            <w:bCs/>
            <w:color w:val="26113C" w:themeColor="accent4" w:themeShade="80"/>
            <w:sz w:val="16"/>
            <w:szCs w:val="16"/>
          </w:rPr>
          <w:t>Aotearoa New Zealand practice guidelines: September 2024</w:t>
        </w:r>
        <w:r w:rsidR="0024046B" w:rsidRPr="00AB3B7A">
          <w:rPr>
            <w:color w:val="15284C" w:themeColor="text2"/>
            <w:sz w:val="16"/>
            <w:szCs w:val="16"/>
          </w:rPr>
          <w:tab/>
        </w:r>
        <w:r>
          <w:rPr>
            <w:color w:val="15284C" w:themeColor="text2"/>
            <w:sz w:val="16"/>
            <w:szCs w:val="16"/>
          </w:rPr>
          <w:t xml:space="preserve">                                                                                    </w:t>
        </w:r>
        <w:r w:rsidR="0024046B" w:rsidRPr="00AB3B7A">
          <w:rPr>
            <w:b/>
            <w:color w:val="15284C" w:themeColor="text2"/>
            <w:sz w:val="16"/>
            <w:szCs w:val="16"/>
          </w:rPr>
          <w:t xml:space="preserve">Page | </w:t>
        </w:r>
        <w:r w:rsidR="0024046B" w:rsidRPr="00AB3B7A">
          <w:rPr>
            <w:b/>
            <w:color w:val="15284C" w:themeColor="text2"/>
            <w:sz w:val="16"/>
            <w:szCs w:val="16"/>
          </w:rPr>
          <w:fldChar w:fldCharType="begin"/>
        </w:r>
        <w:r w:rsidR="0024046B" w:rsidRPr="00AB3B7A">
          <w:rPr>
            <w:b/>
            <w:color w:val="15284C" w:themeColor="text2"/>
            <w:sz w:val="16"/>
            <w:szCs w:val="16"/>
          </w:rPr>
          <w:instrText xml:space="preserve"> PAGE   \* MERGEFORMAT </w:instrText>
        </w:r>
        <w:r w:rsidR="0024046B" w:rsidRPr="00AB3B7A">
          <w:rPr>
            <w:b/>
            <w:color w:val="15284C" w:themeColor="text2"/>
            <w:sz w:val="16"/>
            <w:szCs w:val="16"/>
          </w:rPr>
          <w:fldChar w:fldCharType="separate"/>
        </w:r>
        <w:r w:rsidR="0024046B" w:rsidRPr="00AB3B7A">
          <w:rPr>
            <w:b/>
            <w:color w:val="15284C" w:themeColor="text2"/>
            <w:sz w:val="16"/>
            <w:szCs w:val="16"/>
          </w:rPr>
          <w:t>13</w:t>
        </w:r>
        <w:r w:rsidR="0024046B" w:rsidRPr="00AB3B7A">
          <w:rPr>
            <w:b/>
            <w:noProof/>
            <w:color w:val="15284C" w:themeColor="text2"/>
            <w:sz w:val="16"/>
            <w:szCs w:val="16"/>
          </w:rPr>
          <w:fldChar w:fldCharType="end"/>
        </w:r>
        <w:r w:rsidR="0024046B" w:rsidRPr="00AB3B7A">
          <w:rPr>
            <w:color w:val="15284C" w:themeColor="text2"/>
            <w:sz w:val="16"/>
            <w:szCs w:val="16"/>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34EE19" w14:textId="77777777" w:rsidR="00D7293A" w:rsidRDefault="00D7293A" w:rsidP="00817A32">
      <w:pPr>
        <w:spacing w:before="0" w:after="0" w:line="240" w:lineRule="auto"/>
      </w:pPr>
    </w:p>
  </w:footnote>
  <w:footnote w:type="continuationSeparator" w:id="0">
    <w:p w14:paraId="539E87CA" w14:textId="77777777" w:rsidR="00D7293A" w:rsidRDefault="00D7293A" w:rsidP="00817A32">
      <w:pPr>
        <w:spacing w:before="0" w:after="0" w:line="240" w:lineRule="auto"/>
      </w:pPr>
      <w:r>
        <w:continuationSeparator/>
      </w:r>
    </w:p>
  </w:footnote>
  <w:footnote w:id="1">
    <w:p w14:paraId="60BDF234" w14:textId="77777777" w:rsidR="006C3CC4" w:rsidRPr="00B83E03" w:rsidRDefault="006C3CC4" w:rsidP="00903743">
      <w:r w:rsidRPr="00B83E03">
        <w:rPr>
          <w:rStyle w:val="FootnoteReference"/>
          <w:sz w:val="22"/>
        </w:rPr>
        <w:footnoteRef/>
      </w:r>
      <w:r w:rsidRPr="00B83E03">
        <w:t xml:space="preserve"> Services for Māori, by Māori, with Māori and under Māori control. A kaupapa Māori service does not preclude using knowledge systems and practices from other cultures when working with non-Māori.</w:t>
      </w:r>
    </w:p>
  </w:footnote>
  <w:footnote w:id="2">
    <w:p w14:paraId="7201A2BC" w14:textId="77777777" w:rsidR="006C3CC4" w:rsidRPr="00554152" w:rsidRDefault="006C3CC4" w:rsidP="007B2413">
      <w:r w:rsidRPr="000E0811">
        <w:rPr>
          <w:rStyle w:val="FootnoteReference"/>
        </w:rPr>
        <w:footnoteRef/>
      </w:r>
      <w:r w:rsidRPr="00554152">
        <w:t xml:space="preserve"> </w:t>
      </w:r>
      <w:r>
        <w:t xml:space="preserve">Rainbow communities include </w:t>
      </w:r>
      <w:r w:rsidRPr="00554152">
        <w:t>lesbian, gay, bisexual, transgender, takatāpui, fa’af</w:t>
      </w:r>
      <w:r>
        <w:t>af</w:t>
      </w:r>
      <w:r w:rsidRPr="00554152">
        <w:t xml:space="preserve">ine, queer, intersex, asexual, and other non-hetero-non-cis identities.  </w:t>
      </w:r>
    </w:p>
  </w:footnote>
  <w:footnote w:id="3">
    <w:p w14:paraId="35EE8475" w14:textId="77777777" w:rsidR="00104511" w:rsidRPr="00AC3BAF" w:rsidRDefault="00104511" w:rsidP="00854B9A">
      <w:r w:rsidRPr="000E0811">
        <w:rPr>
          <w:rStyle w:val="FootnoteReference"/>
        </w:rPr>
        <w:footnoteRef/>
      </w:r>
      <w:r w:rsidRPr="00554152">
        <w:t xml:space="preserve"> </w:t>
      </w:r>
      <w:r w:rsidRPr="00AC3BAF">
        <w:t xml:space="preserve">Including short- and long-term effects from traumatic events like COVID-19 rāhui or lockdowns, earthquakes, and flooding events. </w:t>
      </w:r>
    </w:p>
  </w:footnote>
  <w:footnote w:id="4">
    <w:p w14:paraId="24FD057C" w14:textId="77777777" w:rsidR="00DB3E59" w:rsidRPr="00B83962" w:rsidRDefault="00DB3E59" w:rsidP="00DB3E59">
      <w:pPr>
        <w:pStyle w:val="FootnoteText"/>
        <w:rPr>
          <w:sz w:val="24"/>
          <w:szCs w:val="24"/>
        </w:rPr>
      </w:pPr>
      <w:r w:rsidRPr="00B83962">
        <w:rPr>
          <w:rStyle w:val="FootnoteReference"/>
          <w:sz w:val="24"/>
          <w:szCs w:val="24"/>
        </w:rPr>
        <w:footnoteRef/>
      </w:r>
      <w:r w:rsidRPr="00B83962">
        <w:rPr>
          <w:sz w:val="24"/>
          <w:szCs w:val="24"/>
        </w:rPr>
        <w:t xml:space="preserve"> Recovery is mostly based on abstinence. There is more limited evidence around the cognitive impacts and recovery of a harm reduction approach. </w:t>
      </w:r>
    </w:p>
  </w:footnote>
  <w:footnote w:id="5">
    <w:p w14:paraId="0E8EBFE9" w14:textId="77777777" w:rsidR="00420977" w:rsidRPr="00755ED0" w:rsidRDefault="00420977" w:rsidP="00F70C81">
      <w:r w:rsidRPr="000E0811">
        <w:rPr>
          <w:rStyle w:val="FootnoteReference"/>
        </w:rPr>
        <w:footnoteRef/>
      </w:r>
      <w:r w:rsidRPr="00554152">
        <w:t xml:space="preserve"> </w:t>
      </w:r>
      <w:r w:rsidRPr="00755ED0">
        <w:t xml:space="preserve">This recognises different programme lengths across Aotearoa New Zealand. </w:t>
      </w:r>
    </w:p>
  </w:footnote>
  <w:footnote w:id="6">
    <w:p w14:paraId="7F86B02D" w14:textId="77777777" w:rsidR="00062FA9" w:rsidRPr="00755ED0" w:rsidRDefault="00062FA9" w:rsidP="00BE6A58">
      <w:r w:rsidRPr="000E0811">
        <w:rPr>
          <w:rStyle w:val="FootnoteReference"/>
        </w:rPr>
        <w:footnoteRef/>
      </w:r>
      <w:r w:rsidRPr="00554152">
        <w:t xml:space="preserve"> </w:t>
      </w:r>
      <w:r w:rsidRPr="00755ED0">
        <w:t xml:space="preserve">This option is dependent on service resourcing. </w:t>
      </w:r>
    </w:p>
  </w:footnote>
  <w:footnote w:id="7">
    <w:p w14:paraId="02EF1AB9" w14:textId="77777777" w:rsidR="002A0053" w:rsidRPr="00A440F4" w:rsidRDefault="002A0053" w:rsidP="00F15267">
      <w:pPr>
        <w:rPr>
          <w:szCs w:val="24"/>
        </w:rPr>
      </w:pPr>
      <w:r w:rsidRPr="000E0811">
        <w:rPr>
          <w:rStyle w:val="FootnoteReference"/>
        </w:rPr>
        <w:footnoteRef/>
      </w:r>
      <w:r w:rsidRPr="00554152">
        <w:t xml:space="preserve"> Sensitive claims include those due to sexual abuse or assaults(s), or specific actions listed in the </w:t>
      </w:r>
      <w:r w:rsidRPr="00554152">
        <w:rPr>
          <w:i/>
          <w:iCs/>
        </w:rPr>
        <w:t>Crimes Act 1961</w:t>
      </w:r>
      <w:r w:rsidRPr="00A440F4">
        <w:rPr>
          <w:szCs w:val="24"/>
        </w:rPr>
        <w:t xml:space="preserve">. </w:t>
      </w:r>
      <w:hyperlink r:id="rId1" w:history="1">
        <w:r w:rsidRPr="00A440F4">
          <w:rPr>
            <w:rStyle w:val="Hyperlink"/>
            <w:szCs w:val="24"/>
          </w:rPr>
          <w:t>For more information on sensitive claims see the ACC website.</w:t>
        </w:r>
      </w:hyperlink>
    </w:p>
  </w:footnote>
  <w:footnote w:id="8">
    <w:p w14:paraId="29E0CECD" w14:textId="77777777" w:rsidR="002A0053" w:rsidRPr="00D76678" w:rsidRDefault="002A0053" w:rsidP="00F15267">
      <w:pPr>
        <w:rPr>
          <w:lang w:val="mi-NZ"/>
        </w:rPr>
      </w:pPr>
      <w:r w:rsidRPr="000E0811">
        <w:rPr>
          <w:rStyle w:val="FootnoteReference"/>
        </w:rPr>
        <w:footnoteRef/>
      </w:r>
      <w:r w:rsidRPr="00D76678">
        <w:t xml:space="preserve"> </w:t>
      </w:r>
      <w:r>
        <w:t xml:space="preserve">Such as </w:t>
      </w:r>
      <w:r w:rsidRPr="00D76678">
        <w:t xml:space="preserve">Te Pā Maru established by the Wellington City Mission. </w:t>
      </w:r>
    </w:p>
  </w:footnote>
  <w:footnote w:id="9">
    <w:p w14:paraId="6E309624" w14:textId="77777777" w:rsidR="002C1335" w:rsidRPr="005F111D" w:rsidRDefault="002C1335" w:rsidP="00A5484D">
      <w:pPr>
        <w:rPr>
          <w:lang w:val="mi-NZ"/>
        </w:rPr>
      </w:pPr>
      <w:r w:rsidRPr="000E0811">
        <w:rPr>
          <w:rStyle w:val="FootnoteReference"/>
        </w:rPr>
        <w:footnoteRef/>
      </w:r>
      <w:r w:rsidRPr="00554152">
        <w:t xml:space="preserve"> </w:t>
      </w:r>
      <w:r w:rsidRPr="00755ED0">
        <w:t xml:space="preserve">In a residential treatment facility that has dedicated smoking times. </w:t>
      </w:r>
    </w:p>
  </w:footnote>
  <w:footnote w:id="10">
    <w:p w14:paraId="3CA05343" w14:textId="77777777" w:rsidR="00C91E12" w:rsidRPr="00B83962" w:rsidRDefault="00C91E12" w:rsidP="00C91E12">
      <w:pPr>
        <w:pStyle w:val="FootnoteText"/>
        <w:rPr>
          <w:sz w:val="24"/>
          <w:szCs w:val="24"/>
        </w:rPr>
      </w:pPr>
      <w:r w:rsidRPr="00B83962">
        <w:rPr>
          <w:rStyle w:val="FootnoteReference"/>
          <w:sz w:val="24"/>
          <w:szCs w:val="24"/>
        </w:rPr>
        <w:footnoteRef/>
      </w:r>
      <w:r w:rsidRPr="00B83962">
        <w:rPr>
          <w:sz w:val="24"/>
          <w:szCs w:val="24"/>
        </w:rPr>
        <w:t xml:space="preserve"> </w:t>
      </w:r>
      <w:hyperlink r:id="rId2" w:anchor=":~:text=It%27s%20called%20the%20MANA%20%E2%80%94%20the,was%20validated%20on%2092%20M%C4%81ori." w:history="1">
        <w:r w:rsidRPr="00B83962">
          <w:rPr>
            <w:rStyle w:val="Hyperlink"/>
            <w:b w:val="0"/>
            <w:bCs/>
            <w:sz w:val="24"/>
            <w:szCs w:val="24"/>
          </w:rPr>
          <w:t xml:space="preserve">More information about the MANA can be found on the New Zealand Dementia Foundation website. </w:t>
        </w:r>
      </w:hyperlink>
      <w:r w:rsidRPr="00B83962">
        <w:rPr>
          <w:b/>
          <w:bCs/>
          <w:sz w:val="24"/>
          <w:szCs w:val="24"/>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654E03" w14:textId="77777777" w:rsidR="00D97E20" w:rsidRDefault="00D97E20">
    <w:pPr>
      <w:pStyle w:val="Header"/>
    </w:pPr>
    <w:r>
      <w:rPr>
        <w:noProof/>
        <w:lang w:eastAsia="en-NZ"/>
      </w:rPr>
      <w:drawing>
        <wp:anchor distT="0" distB="0" distL="114300" distR="114300" simplePos="0" relativeHeight="251635200" behindDoc="0" locked="0" layoutInCell="1" allowOverlap="1" wp14:anchorId="621399B4" wp14:editId="24FC87F7">
          <wp:simplePos x="0" y="0"/>
          <wp:positionH relativeFrom="column">
            <wp:posOffset>-720090</wp:posOffset>
          </wp:positionH>
          <wp:positionV relativeFrom="paragraph">
            <wp:posOffset>-828040</wp:posOffset>
          </wp:positionV>
          <wp:extent cx="7559675" cy="539750"/>
          <wp:effectExtent l="0" t="0" r="3175" b="0"/>
          <wp:wrapSquare wrapText="bothSides"/>
          <wp:docPr id="13083715"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251039"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675" cy="5397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6F91F6" w14:textId="77777777" w:rsidR="00961C8D" w:rsidRDefault="00961C8D">
    <w:pPr>
      <w:pStyle w:val="Header"/>
    </w:pPr>
    <w:r>
      <w:rPr>
        <w:noProof/>
        <w:lang w:eastAsia="en-NZ"/>
      </w:rPr>
      <w:drawing>
        <wp:anchor distT="0" distB="0" distL="114300" distR="114300" simplePos="0" relativeHeight="251640320" behindDoc="0" locked="0" layoutInCell="1" allowOverlap="1" wp14:anchorId="06F8CA61" wp14:editId="11788ED5">
          <wp:simplePos x="0" y="0"/>
          <wp:positionH relativeFrom="column">
            <wp:posOffset>-720090</wp:posOffset>
          </wp:positionH>
          <wp:positionV relativeFrom="paragraph">
            <wp:posOffset>-828040</wp:posOffset>
          </wp:positionV>
          <wp:extent cx="7556500" cy="539750"/>
          <wp:effectExtent l="0" t="0" r="6350" b="0"/>
          <wp:wrapSquare wrapText="bothSides"/>
          <wp:docPr id="43070877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709661"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6500" cy="5397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C3507D" w14:textId="77777777" w:rsidR="003852DA" w:rsidRPr="003852DA" w:rsidRDefault="003852DA" w:rsidP="003852D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BC52CB" w14:textId="77777777" w:rsidR="000C006E" w:rsidRDefault="000C006E">
    <w:pPr>
      <w:pStyle w:val="Header"/>
    </w:pPr>
    <w:r>
      <w:rPr>
        <w:noProof/>
        <w:lang w:eastAsia="en-NZ"/>
      </w:rPr>
      <w:drawing>
        <wp:anchor distT="0" distB="0" distL="114300" distR="114300" simplePos="0" relativeHeight="251677184" behindDoc="0" locked="0" layoutInCell="1" allowOverlap="1" wp14:anchorId="590C3F91" wp14:editId="45EF94BD">
          <wp:simplePos x="0" y="0"/>
          <wp:positionH relativeFrom="column">
            <wp:posOffset>-720090</wp:posOffset>
          </wp:positionH>
          <wp:positionV relativeFrom="paragraph">
            <wp:posOffset>-828040</wp:posOffset>
          </wp:positionV>
          <wp:extent cx="7556500" cy="539750"/>
          <wp:effectExtent l="0" t="0" r="6350" b="0"/>
          <wp:wrapSquare wrapText="bothSides"/>
          <wp:docPr id="517148766"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019599"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6500" cy="53975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894665" w14:textId="77777777" w:rsidR="007505B2" w:rsidRPr="003852DA" w:rsidRDefault="007505B2" w:rsidP="003852D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868FD9" w14:textId="2445ED79" w:rsidR="00C7682A" w:rsidRDefault="0049539E" w:rsidP="00EE30C2">
    <w:pPr>
      <w:pStyle w:val="Header"/>
    </w:pPr>
    <w:r>
      <w:rPr>
        <w:noProof/>
        <w:lang w:eastAsia="en-NZ"/>
      </w:rPr>
      <w:drawing>
        <wp:anchor distT="0" distB="0" distL="114300" distR="114300" simplePos="0" relativeHeight="251680256" behindDoc="0" locked="0" layoutInCell="1" allowOverlap="1" wp14:anchorId="1329E231" wp14:editId="48D728DF">
          <wp:simplePos x="0" y="0"/>
          <wp:positionH relativeFrom="column">
            <wp:posOffset>-720090</wp:posOffset>
          </wp:positionH>
          <wp:positionV relativeFrom="paragraph">
            <wp:posOffset>-828040</wp:posOffset>
          </wp:positionV>
          <wp:extent cx="7556500" cy="539750"/>
          <wp:effectExtent l="0" t="0" r="6350" b="0"/>
          <wp:wrapSquare wrapText="bothSides"/>
          <wp:docPr id="980370025"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228438"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6500" cy="539750"/>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9C76DB" w14:textId="77777777" w:rsidR="007505B2" w:rsidRPr="003852DA" w:rsidRDefault="007505B2" w:rsidP="003852DA">
    <w:pPr>
      <w:pStyle w:val="Header"/>
    </w:pPr>
  </w:p>
  <w:p w14:paraId="15611720" w14:textId="77777777" w:rsidR="00C7682A" w:rsidRDefault="00C7682A"/>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B26A21" w14:textId="77777777" w:rsidR="00532137" w:rsidRDefault="00F16C65">
    <w:pPr>
      <w:pStyle w:val="Header"/>
    </w:pPr>
    <w:r>
      <w:rPr>
        <w:noProof/>
        <w:lang w:eastAsia="en-NZ"/>
      </w:rPr>
      <w:drawing>
        <wp:anchor distT="0" distB="0" distL="114300" distR="114300" simplePos="0" relativeHeight="251686400" behindDoc="0" locked="0" layoutInCell="1" allowOverlap="1" wp14:anchorId="3E0FF376" wp14:editId="04FBC3DF">
          <wp:simplePos x="0" y="0"/>
          <wp:positionH relativeFrom="column">
            <wp:posOffset>-714375</wp:posOffset>
          </wp:positionH>
          <wp:positionV relativeFrom="paragraph">
            <wp:posOffset>-821690</wp:posOffset>
          </wp:positionV>
          <wp:extent cx="7559675" cy="539750"/>
          <wp:effectExtent l="0" t="0" r="3175" b="0"/>
          <wp:wrapSquare wrapText="bothSides"/>
          <wp:docPr id="197394386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251039"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675" cy="539750"/>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B28C6E" w14:textId="1C352E22" w:rsidR="0024046B" w:rsidRPr="004544DC" w:rsidRDefault="0024046B" w:rsidP="004544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E2F2EE9C"/>
    <w:lvl w:ilvl="0">
      <w:start w:val="1"/>
      <w:numFmt w:val="decimal"/>
      <w:pStyle w:val="ListNumber2"/>
      <w:lvlText w:val="%1."/>
      <w:lvlJc w:val="left"/>
      <w:pPr>
        <w:tabs>
          <w:tab w:val="num" w:pos="643"/>
        </w:tabs>
        <w:ind w:left="643" w:hanging="360"/>
      </w:pPr>
    </w:lvl>
  </w:abstractNum>
  <w:abstractNum w:abstractNumId="1" w15:restartNumberingAfterBreak="0">
    <w:nsid w:val="FFFFFF82"/>
    <w:multiLevelType w:val="singleLevel"/>
    <w:tmpl w:val="5FA4A2C6"/>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B2A87B30"/>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19682294"/>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64A808EC"/>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05278A1"/>
    <w:multiLevelType w:val="hybridMultilevel"/>
    <w:tmpl w:val="FB22D0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14D189A"/>
    <w:multiLevelType w:val="hybridMultilevel"/>
    <w:tmpl w:val="EEA4CA3E"/>
    <w:lvl w:ilvl="0" w:tplc="3002059A">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1E32223"/>
    <w:multiLevelType w:val="hybridMultilevel"/>
    <w:tmpl w:val="AE08F2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053D1570"/>
    <w:multiLevelType w:val="hybridMultilevel"/>
    <w:tmpl w:val="2CA061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060B744F"/>
    <w:multiLevelType w:val="hybridMultilevel"/>
    <w:tmpl w:val="A6C8C3A0"/>
    <w:lvl w:ilvl="0" w:tplc="1409000F">
      <w:start w:val="1"/>
      <w:numFmt w:val="decimal"/>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0" w15:restartNumberingAfterBreak="0">
    <w:nsid w:val="069B0BE0"/>
    <w:multiLevelType w:val="hybridMultilevel"/>
    <w:tmpl w:val="8DFA124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092B5B2C"/>
    <w:multiLevelType w:val="hybridMultilevel"/>
    <w:tmpl w:val="D3BA358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15:restartNumberingAfterBreak="0">
    <w:nsid w:val="0B671315"/>
    <w:multiLevelType w:val="hybridMultilevel"/>
    <w:tmpl w:val="901AA3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0B685427"/>
    <w:multiLevelType w:val="hybridMultilevel"/>
    <w:tmpl w:val="2BB05F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0C375593"/>
    <w:multiLevelType w:val="hybridMultilevel"/>
    <w:tmpl w:val="F9AE1DDC"/>
    <w:lvl w:ilvl="0" w:tplc="EA0C5472">
      <w:start w:val="1"/>
      <w:numFmt w:val="decimal"/>
      <w:lvlText w:val="%1."/>
      <w:lvlJc w:val="left"/>
      <w:pPr>
        <w:ind w:left="720" w:hanging="360"/>
      </w:pPr>
      <w:rPr>
        <w:rFonts w:hint="default"/>
        <w:b w:val="0"/>
        <w:bCs/>
        <w:i w:val="0"/>
        <w:color w:val="auto"/>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0C750A16"/>
    <w:multiLevelType w:val="hybridMultilevel"/>
    <w:tmpl w:val="1B1C7A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0D687D99"/>
    <w:multiLevelType w:val="hybridMultilevel"/>
    <w:tmpl w:val="72047B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0E726D1E"/>
    <w:multiLevelType w:val="hybridMultilevel"/>
    <w:tmpl w:val="D79874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0F777AD1"/>
    <w:multiLevelType w:val="hybridMultilevel"/>
    <w:tmpl w:val="EF0C4E0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15:restartNumberingAfterBreak="0">
    <w:nsid w:val="114129CB"/>
    <w:multiLevelType w:val="hybridMultilevel"/>
    <w:tmpl w:val="31701770"/>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0" w15:restartNumberingAfterBreak="0">
    <w:nsid w:val="11BD2FC2"/>
    <w:multiLevelType w:val="hybridMultilevel"/>
    <w:tmpl w:val="16483AE2"/>
    <w:lvl w:ilvl="0" w:tplc="7BC22E66">
      <w:start w:val="1"/>
      <w:numFmt w:val="decimal"/>
      <w:lvlText w:val="%1."/>
      <w:lvlJc w:val="left"/>
      <w:pPr>
        <w:ind w:left="720" w:hanging="360"/>
      </w:pPr>
      <w:rPr>
        <w:color w:val="auto"/>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11CA12F4"/>
    <w:multiLevelType w:val="hybridMultilevel"/>
    <w:tmpl w:val="CA5012A6"/>
    <w:lvl w:ilvl="0" w:tplc="0E203F9E">
      <w:start w:val="1"/>
      <w:numFmt w:val="bullet"/>
      <w:lvlText w:val="›"/>
      <w:lvlJc w:val="left"/>
      <w:pPr>
        <w:tabs>
          <w:tab w:val="num" w:pos="360"/>
        </w:tabs>
        <w:ind w:left="360" w:hanging="360"/>
      </w:pPr>
      <w:rPr>
        <w:rFonts w:ascii="Arial Black" w:hAnsi="Arial Black" w:hint="default"/>
        <w:color w:val="000000" w:themeColor="text1"/>
      </w:rPr>
    </w:lvl>
    <w:lvl w:ilvl="1" w:tplc="FFFFFFFF">
      <w:numFmt w:val="bullet"/>
      <w:lvlText w:val="•"/>
      <w:lvlJc w:val="left"/>
      <w:pPr>
        <w:tabs>
          <w:tab w:val="num" w:pos="1080"/>
        </w:tabs>
        <w:ind w:left="1080" w:hanging="360"/>
      </w:pPr>
      <w:rPr>
        <w:rFonts w:ascii="Times New Roman" w:hAnsi="Times New Roman" w:hint="default"/>
      </w:rPr>
    </w:lvl>
    <w:lvl w:ilvl="2" w:tplc="FFFFFFFF" w:tentative="1">
      <w:start w:val="1"/>
      <w:numFmt w:val="bullet"/>
      <w:lvlText w:val="•"/>
      <w:lvlJc w:val="left"/>
      <w:pPr>
        <w:tabs>
          <w:tab w:val="num" w:pos="1800"/>
        </w:tabs>
        <w:ind w:left="1800" w:hanging="360"/>
      </w:pPr>
      <w:rPr>
        <w:rFonts w:ascii="Times New Roman" w:hAnsi="Times New Roman" w:hint="default"/>
      </w:rPr>
    </w:lvl>
    <w:lvl w:ilvl="3" w:tplc="FFFFFFFF" w:tentative="1">
      <w:start w:val="1"/>
      <w:numFmt w:val="bullet"/>
      <w:lvlText w:val="•"/>
      <w:lvlJc w:val="left"/>
      <w:pPr>
        <w:tabs>
          <w:tab w:val="num" w:pos="2520"/>
        </w:tabs>
        <w:ind w:left="2520" w:hanging="360"/>
      </w:pPr>
      <w:rPr>
        <w:rFonts w:ascii="Times New Roman" w:hAnsi="Times New Roman" w:hint="default"/>
      </w:rPr>
    </w:lvl>
    <w:lvl w:ilvl="4" w:tplc="FFFFFFFF" w:tentative="1">
      <w:start w:val="1"/>
      <w:numFmt w:val="bullet"/>
      <w:lvlText w:val="•"/>
      <w:lvlJc w:val="left"/>
      <w:pPr>
        <w:tabs>
          <w:tab w:val="num" w:pos="3240"/>
        </w:tabs>
        <w:ind w:left="3240" w:hanging="360"/>
      </w:pPr>
      <w:rPr>
        <w:rFonts w:ascii="Times New Roman" w:hAnsi="Times New Roman" w:hint="default"/>
      </w:rPr>
    </w:lvl>
    <w:lvl w:ilvl="5" w:tplc="FFFFFFFF" w:tentative="1">
      <w:start w:val="1"/>
      <w:numFmt w:val="bullet"/>
      <w:lvlText w:val="•"/>
      <w:lvlJc w:val="left"/>
      <w:pPr>
        <w:tabs>
          <w:tab w:val="num" w:pos="3960"/>
        </w:tabs>
        <w:ind w:left="3960" w:hanging="360"/>
      </w:pPr>
      <w:rPr>
        <w:rFonts w:ascii="Times New Roman" w:hAnsi="Times New Roman" w:hint="default"/>
      </w:rPr>
    </w:lvl>
    <w:lvl w:ilvl="6" w:tplc="FFFFFFFF" w:tentative="1">
      <w:start w:val="1"/>
      <w:numFmt w:val="bullet"/>
      <w:lvlText w:val="•"/>
      <w:lvlJc w:val="left"/>
      <w:pPr>
        <w:tabs>
          <w:tab w:val="num" w:pos="4680"/>
        </w:tabs>
        <w:ind w:left="4680" w:hanging="360"/>
      </w:pPr>
      <w:rPr>
        <w:rFonts w:ascii="Times New Roman" w:hAnsi="Times New Roman" w:hint="default"/>
      </w:rPr>
    </w:lvl>
    <w:lvl w:ilvl="7" w:tplc="FFFFFFFF" w:tentative="1">
      <w:start w:val="1"/>
      <w:numFmt w:val="bullet"/>
      <w:lvlText w:val="•"/>
      <w:lvlJc w:val="left"/>
      <w:pPr>
        <w:tabs>
          <w:tab w:val="num" w:pos="5400"/>
        </w:tabs>
        <w:ind w:left="5400" w:hanging="360"/>
      </w:pPr>
      <w:rPr>
        <w:rFonts w:ascii="Times New Roman" w:hAnsi="Times New Roman" w:hint="default"/>
      </w:rPr>
    </w:lvl>
    <w:lvl w:ilvl="8" w:tplc="FFFFFFFF" w:tentative="1">
      <w:start w:val="1"/>
      <w:numFmt w:val="bullet"/>
      <w:lvlText w:val="•"/>
      <w:lvlJc w:val="left"/>
      <w:pPr>
        <w:tabs>
          <w:tab w:val="num" w:pos="6120"/>
        </w:tabs>
        <w:ind w:left="6120" w:hanging="360"/>
      </w:pPr>
      <w:rPr>
        <w:rFonts w:ascii="Times New Roman" w:hAnsi="Times New Roman" w:hint="default"/>
      </w:rPr>
    </w:lvl>
  </w:abstractNum>
  <w:abstractNum w:abstractNumId="22" w15:restartNumberingAfterBreak="0">
    <w:nsid w:val="11F178B7"/>
    <w:multiLevelType w:val="hybridMultilevel"/>
    <w:tmpl w:val="893C384A"/>
    <w:lvl w:ilvl="0" w:tplc="F904C0F2">
      <w:start w:val="1"/>
      <w:numFmt w:val="bullet"/>
      <w:pStyle w:val="Bulletpoin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 w15:restartNumberingAfterBreak="0">
    <w:nsid w:val="141F1B1F"/>
    <w:multiLevelType w:val="hybridMultilevel"/>
    <w:tmpl w:val="66BCA292"/>
    <w:lvl w:ilvl="0" w:tplc="A5A675D0">
      <w:start w:val="1"/>
      <w:numFmt w:val="bullet"/>
      <w:pStyle w:val="BoxBullet"/>
      <w:lvlText w:val=""/>
      <w:lvlJc w:val="left"/>
      <w:pPr>
        <w:ind w:left="2770" w:hanging="360"/>
      </w:pPr>
      <w:rPr>
        <w:rFonts w:ascii="Symbol" w:hAnsi="Symbol" w:hint="default"/>
      </w:rPr>
    </w:lvl>
    <w:lvl w:ilvl="1" w:tplc="14090003" w:tentative="1">
      <w:start w:val="1"/>
      <w:numFmt w:val="bullet"/>
      <w:lvlText w:val="o"/>
      <w:lvlJc w:val="left"/>
      <w:pPr>
        <w:ind w:left="1610" w:hanging="360"/>
      </w:pPr>
      <w:rPr>
        <w:rFonts w:ascii="Courier New" w:hAnsi="Courier New" w:cs="Courier New" w:hint="default"/>
      </w:rPr>
    </w:lvl>
    <w:lvl w:ilvl="2" w:tplc="14090005" w:tentative="1">
      <w:start w:val="1"/>
      <w:numFmt w:val="bullet"/>
      <w:lvlText w:val=""/>
      <w:lvlJc w:val="left"/>
      <w:pPr>
        <w:ind w:left="2330" w:hanging="360"/>
      </w:pPr>
      <w:rPr>
        <w:rFonts w:ascii="Wingdings" w:hAnsi="Wingdings" w:hint="default"/>
      </w:rPr>
    </w:lvl>
    <w:lvl w:ilvl="3" w:tplc="14090001" w:tentative="1">
      <w:start w:val="1"/>
      <w:numFmt w:val="bullet"/>
      <w:lvlText w:val=""/>
      <w:lvlJc w:val="left"/>
      <w:pPr>
        <w:ind w:left="3050" w:hanging="360"/>
      </w:pPr>
      <w:rPr>
        <w:rFonts w:ascii="Symbol" w:hAnsi="Symbol" w:hint="default"/>
      </w:rPr>
    </w:lvl>
    <w:lvl w:ilvl="4" w:tplc="14090003" w:tentative="1">
      <w:start w:val="1"/>
      <w:numFmt w:val="bullet"/>
      <w:lvlText w:val="o"/>
      <w:lvlJc w:val="left"/>
      <w:pPr>
        <w:ind w:left="3770" w:hanging="360"/>
      </w:pPr>
      <w:rPr>
        <w:rFonts w:ascii="Courier New" w:hAnsi="Courier New" w:cs="Courier New" w:hint="default"/>
      </w:rPr>
    </w:lvl>
    <w:lvl w:ilvl="5" w:tplc="14090005" w:tentative="1">
      <w:start w:val="1"/>
      <w:numFmt w:val="bullet"/>
      <w:lvlText w:val=""/>
      <w:lvlJc w:val="left"/>
      <w:pPr>
        <w:ind w:left="4490" w:hanging="360"/>
      </w:pPr>
      <w:rPr>
        <w:rFonts w:ascii="Wingdings" w:hAnsi="Wingdings" w:hint="default"/>
      </w:rPr>
    </w:lvl>
    <w:lvl w:ilvl="6" w:tplc="14090001" w:tentative="1">
      <w:start w:val="1"/>
      <w:numFmt w:val="bullet"/>
      <w:lvlText w:val=""/>
      <w:lvlJc w:val="left"/>
      <w:pPr>
        <w:ind w:left="5210" w:hanging="360"/>
      </w:pPr>
      <w:rPr>
        <w:rFonts w:ascii="Symbol" w:hAnsi="Symbol" w:hint="default"/>
      </w:rPr>
    </w:lvl>
    <w:lvl w:ilvl="7" w:tplc="14090003" w:tentative="1">
      <w:start w:val="1"/>
      <w:numFmt w:val="bullet"/>
      <w:lvlText w:val="o"/>
      <w:lvlJc w:val="left"/>
      <w:pPr>
        <w:ind w:left="5930" w:hanging="360"/>
      </w:pPr>
      <w:rPr>
        <w:rFonts w:ascii="Courier New" w:hAnsi="Courier New" w:cs="Courier New" w:hint="default"/>
      </w:rPr>
    </w:lvl>
    <w:lvl w:ilvl="8" w:tplc="14090005" w:tentative="1">
      <w:start w:val="1"/>
      <w:numFmt w:val="bullet"/>
      <w:lvlText w:val=""/>
      <w:lvlJc w:val="left"/>
      <w:pPr>
        <w:ind w:left="6650" w:hanging="360"/>
      </w:pPr>
      <w:rPr>
        <w:rFonts w:ascii="Wingdings" w:hAnsi="Wingdings" w:hint="default"/>
      </w:rPr>
    </w:lvl>
  </w:abstractNum>
  <w:abstractNum w:abstractNumId="24" w15:restartNumberingAfterBreak="0">
    <w:nsid w:val="14E24788"/>
    <w:multiLevelType w:val="hybridMultilevel"/>
    <w:tmpl w:val="FA704B7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 w15:restartNumberingAfterBreak="0">
    <w:nsid w:val="155E7867"/>
    <w:multiLevelType w:val="hybridMultilevel"/>
    <w:tmpl w:val="CDCA3B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15C143E6"/>
    <w:multiLevelType w:val="hybridMultilevel"/>
    <w:tmpl w:val="02C6D3B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7" w15:restartNumberingAfterBreak="0">
    <w:nsid w:val="16207C05"/>
    <w:multiLevelType w:val="hybridMultilevel"/>
    <w:tmpl w:val="540A9C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17BE7AE2"/>
    <w:multiLevelType w:val="hybridMultilevel"/>
    <w:tmpl w:val="62502BBE"/>
    <w:lvl w:ilvl="0" w:tplc="72F21E56">
      <w:start w:val="1"/>
      <w:numFmt w:val="decimal"/>
      <w:lvlText w:val="%1."/>
      <w:lvlJc w:val="left"/>
      <w:pPr>
        <w:ind w:left="720" w:hanging="360"/>
      </w:pPr>
      <w:rPr>
        <w:color w:val="auto"/>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15:restartNumberingAfterBreak="0">
    <w:nsid w:val="18616B0D"/>
    <w:multiLevelType w:val="hybridMultilevel"/>
    <w:tmpl w:val="65FCF104"/>
    <w:lvl w:ilvl="0" w:tplc="1409000F">
      <w:start w:val="1"/>
      <w:numFmt w:val="decimal"/>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0" w15:restartNumberingAfterBreak="0">
    <w:nsid w:val="18941E3C"/>
    <w:multiLevelType w:val="hybridMultilevel"/>
    <w:tmpl w:val="1782565A"/>
    <w:lvl w:ilvl="0" w:tplc="423A2C00">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18AE6E2D"/>
    <w:multiLevelType w:val="hybridMultilevel"/>
    <w:tmpl w:val="EC1CB4A8"/>
    <w:lvl w:ilvl="0" w:tplc="14090001">
      <w:start w:val="1"/>
      <w:numFmt w:val="bullet"/>
      <w:lvlText w:val=""/>
      <w:lvlJc w:val="left"/>
      <w:pPr>
        <w:ind w:left="947" w:hanging="360"/>
      </w:pPr>
      <w:rPr>
        <w:rFonts w:ascii="Symbol" w:hAnsi="Symbol" w:hint="default"/>
      </w:rPr>
    </w:lvl>
    <w:lvl w:ilvl="1" w:tplc="14090003" w:tentative="1">
      <w:start w:val="1"/>
      <w:numFmt w:val="bullet"/>
      <w:lvlText w:val="o"/>
      <w:lvlJc w:val="left"/>
      <w:pPr>
        <w:ind w:left="1667" w:hanging="360"/>
      </w:pPr>
      <w:rPr>
        <w:rFonts w:ascii="Courier New" w:hAnsi="Courier New" w:cs="Courier New" w:hint="default"/>
      </w:rPr>
    </w:lvl>
    <w:lvl w:ilvl="2" w:tplc="14090005" w:tentative="1">
      <w:start w:val="1"/>
      <w:numFmt w:val="bullet"/>
      <w:lvlText w:val=""/>
      <w:lvlJc w:val="left"/>
      <w:pPr>
        <w:ind w:left="2387" w:hanging="360"/>
      </w:pPr>
      <w:rPr>
        <w:rFonts w:ascii="Wingdings" w:hAnsi="Wingdings" w:hint="default"/>
      </w:rPr>
    </w:lvl>
    <w:lvl w:ilvl="3" w:tplc="14090001" w:tentative="1">
      <w:start w:val="1"/>
      <w:numFmt w:val="bullet"/>
      <w:lvlText w:val=""/>
      <w:lvlJc w:val="left"/>
      <w:pPr>
        <w:ind w:left="3107" w:hanging="360"/>
      </w:pPr>
      <w:rPr>
        <w:rFonts w:ascii="Symbol" w:hAnsi="Symbol" w:hint="default"/>
      </w:rPr>
    </w:lvl>
    <w:lvl w:ilvl="4" w:tplc="14090003" w:tentative="1">
      <w:start w:val="1"/>
      <w:numFmt w:val="bullet"/>
      <w:lvlText w:val="o"/>
      <w:lvlJc w:val="left"/>
      <w:pPr>
        <w:ind w:left="3827" w:hanging="360"/>
      </w:pPr>
      <w:rPr>
        <w:rFonts w:ascii="Courier New" w:hAnsi="Courier New" w:cs="Courier New" w:hint="default"/>
      </w:rPr>
    </w:lvl>
    <w:lvl w:ilvl="5" w:tplc="14090005" w:tentative="1">
      <w:start w:val="1"/>
      <w:numFmt w:val="bullet"/>
      <w:lvlText w:val=""/>
      <w:lvlJc w:val="left"/>
      <w:pPr>
        <w:ind w:left="4547" w:hanging="360"/>
      </w:pPr>
      <w:rPr>
        <w:rFonts w:ascii="Wingdings" w:hAnsi="Wingdings" w:hint="default"/>
      </w:rPr>
    </w:lvl>
    <w:lvl w:ilvl="6" w:tplc="14090001" w:tentative="1">
      <w:start w:val="1"/>
      <w:numFmt w:val="bullet"/>
      <w:lvlText w:val=""/>
      <w:lvlJc w:val="left"/>
      <w:pPr>
        <w:ind w:left="5267" w:hanging="360"/>
      </w:pPr>
      <w:rPr>
        <w:rFonts w:ascii="Symbol" w:hAnsi="Symbol" w:hint="default"/>
      </w:rPr>
    </w:lvl>
    <w:lvl w:ilvl="7" w:tplc="14090003" w:tentative="1">
      <w:start w:val="1"/>
      <w:numFmt w:val="bullet"/>
      <w:lvlText w:val="o"/>
      <w:lvlJc w:val="left"/>
      <w:pPr>
        <w:ind w:left="5987" w:hanging="360"/>
      </w:pPr>
      <w:rPr>
        <w:rFonts w:ascii="Courier New" w:hAnsi="Courier New" w:cs="Courier New" w:hint="default"/>
      </w:rPr>
    </w:lvl>
    <w:lvl w:ilvl="8" w:tplc="14090005" w:tentative="1">
      <w:start w:val="1"/>
      <w:numFmt w:val="bullet"/>
      <w:lvlText w:val=""/>
      <w:lvlJc w:val="left"/>
      <w:pPr>
        <w:ind w:left="6707" w:hanging="360"/>
      </w:pPr>
      <w:rPr>
        <w:rFonts w:ascii="Wingdings" w:hAnsi="Wingdings" w:hint="default"/>
      </w:rPr>
    </w:lvl>
  </w:abstractNum>
  <w:abstractNum w:abstractNumId="32" w15:restartNumberingAfterBreak="0">
    <w:nsid w:val="19591AC9"/>
    <w:multiLevelType w:val="hybridMultilevel"/>
    <w:tmpl w:val="926843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1A086DC6"/>
    <w:multiLevelType w:val="hybridMultilevel"/>
    <w:tmpl w:val="3654B76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4" w15:restartNumberingAfterBreak="0">
    <w:nsid w:val="1B07249A"/>
    <w:multiLevelType w:val="hybridMultilevel"/>
    <w:tmpl w:val="AE4AD4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1CBB5FAB"/>
    <w:multiLevelType w:val="hybridMultilevel"/>
    <w:tmpl w:val="BD5C0A38"/>
    <w:lvl w:ilvl="0" w:tplc="538226C6">
      <w:start w:val="1"/>
      <w:numFmt w:val="decimal"/>
      <w:lvlText w:val="%1."/>
      <w:lvlJc w:val="left"/>
      <w:pPr>
        <w:ind w:left="720" w:hanging="360"/>
      </w:pPr>
      <w:rPr>
        <w:color w:val="5C85D2" w:themeColor="text2" w:themeTint="8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1CC27133"/>
    <w:multiLevelType w:val="hybridMultilevel"/>
    <w:tmpl w:val="F8BCE82E"/>
    <w:lvl w:ilvl="0" w:tplc="1409000F">
      <w:start w:val="1"/>
      <w:numFmt w:val="decimal"/>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7" w15:restartNumberingAfterBreak="0">
    <w:nsid w:val="1CF928A8"/>
    <w:multiLevelType w:val="hybridMultilevel"/>
    <w:tmpl w:val="30EAFDB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1D0B6A48"/>
    <w:multiLevelType w:val="hybridMultilevel"/>
    <w:tmpl w:val="5034300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9" w15:restartNumberingAfterBreak="0">
    <w:nsid w:val="1D242B21"/>
    <w:multiLevelType w:val="hybridMultilevel"/>
    <w:tmpl w:val="B0DED83C"/>
    <w:lvl w:ilvl="0" w:tplc="14090001">
      <w:start w:val="1"/>
      <w:numFmt w:val="bullet"/>
      <w:lvlText w:val=""/>
      <w:lvlJc w:val="left"/>
      <w:pPr>
        <w:ind w:left="947" w:hanging="360"/>
      </w:pPr>
      <w:rPr>
        <w:rFonts w:ascii="Symbol" w:hAnsi="Symbol" w:hint="default"/>
      </w:rPr>
    </w:lvl>
    <w:lvl w:ilvl="1" w:tplc="14090003" w:tentative="1">
      <w:start w:val="1"/>
      <w:numFmt w:val="bullet"/>
      <w:lvlText w:val="o"/>
      <w:lvlJc w:val="left"/>
      <w:pPr>
        <w:ind w:left="1667" w:hanging="360"/>
      </w:pPr>
      <w:rPr>
        <w:rFonts w:ascii="Courier New" w:hAnsi="Courier New" w:cs="Courier New" w:hint="default"/>
      </w:rPr>
    </w:lvl>
    <w:lvl w:ilvl="2" w:tplc="14090005" w:tentative="1">
      <w:start w:val="1"/>
      <w:numFmt w:val="bullet"/>
      <w:lvlText w:val=""/>
      <w:lvlJc w:val="left"/>
      <w:pPr>
        <w:ind w:left="2387" w:hanging="360"/>
      </w:pPr>
      <w:rPr>
        <w:rFonts w:ascii="Wingdings" w:hAnsi="Wingdings" w:hint="default"/>
      </w:rPr>
    </w:lvl>
    <w:lvl w:ilvl="3" w:tplc="14090001" w:tentative="1">
      <w:start w:val="1"/>
      <w:numFmt w:val="bullet"/>
      <w:lvlText w:val=""/>
      <w:lvlJc w:val="left"/>
      <w:pPr>
        <w:ind w:left="3107" w:hanging="360"/>
      </w:pPr>
      <w:rPr>
        <w:rFonts w:ascii="Symbol" w:hAnsi="Symbol" w:hint="default"/>
      </w:rPr>
    </w:lvl>
    <w:lvl w:ilvl="4" w:tplc="14090003" w:tentative="1">
      <w:start w:val="1"/>
      <w:numFmt w:val="bullet"/>
      <w:lvlText w:val="o"/>
      <w:lvlJc w:val="left"/>
      <w:pPr>
        <w:ind w:left="3827" w:hanging="360"/>
      </w:pPr>
      <w:rPr>
        <w:rFonts w:ascii="Courier New" w:hAnsi="Courier New" w:cs="Courier New" w:hint="default"/>
      </w:rPr>
    </w:lvl>
    <w:lvl w:ilvl="5" w:tplc="14090005" w:tentative="1">
      <w:start w:val="1"/>
      <w:numFmt w:val="bullet"/>
      <w:lvlText w:val=""/>
      <w:lvlJc w:val="left"/>
      <w:pPr>
        <w:ind w:left="4547" w:hanging="360"/>
      </w:pPr>
      <w:rPr>
        <w:rFonts w:ascii="Wingdings" w:hAnsi="Wingdings" w:hint="default"/>
      </w:rPr>
    </w:lvl>
    <w:lvl w:ilvl="6" w:tplc="14090001" w:tentative="1">
      <w:start w:val="1"/>
      <w:numFmt w:val="bullet"/>
      <w:lvlText w:val=""/>
      <w:lvlJc w:val="left"/>
      <w:pPr>
        <w:ind w:left="5267" w:hanging="360"/>
      </w:pPr>
      <w:rPr>
        <w:rFonts w:ascii="Symbol" w:hAnsi="Symbol" w:hint="default"/>
      </w:rPr>
    </w:lvl>
    <w:lvl w:ilvl="7" w:tplc="14090003" w:tentative="1">
      <w:start w:val="1"/>
      <w:numFmt w:val="bullet"/>
      <w:lvlText w:val="o"/>
      <w:lvlJc w:val="left"/>
      <w:pPr>
        <w:ind w:left="5987" w:hanging="360"/>
      </w:pPr>
      <w:rPr>
        <w:rFonts w:ascii="Courier New" w:hAnsi="Courier New" w:cs="Courier New" w:hint="default"/>
      </w:rPr>
    </w:lvl>
    <w:lvl w:ilvl="8" w:tplc="14090005" w:tentative="1">
      <w:start w:val="1"/>
      <w:numFmt w:val="bullet"/>
      <w:lvlText w:val=""/>
      <w:lvlJc w:val="left"/>
      <w:pPr>
        <w:ind w:left="6707" w:hanging="360"/>
      </w:pPr>
      <w:rPr>
        <w:rFonts w:ascii="Wingdings" w:hAnsi="Wingdings" w:hint="default"/>
      </w:rPr>
    </w:lvl>
  </w:abstractNum>
  <w:abstractNum w:abstractNumId="40" w15:restartNumberingAfterBreak="0">
    <w:nsid w:val="1F647E8E"/>
    <w:multiLevelType w:val="hybridMultilevel"/>
    <w:tmpl w:val="D8EEAE1A"/>
    <w:lvl w:ilvl="0" w:tplc="0E203F9E">
      <w:start w:val="1"/>
      <w:numFmt w:val="bullet"/>
      <w:lvlText w:val="›"/>
      <w:lvlJc w:val="left"/>
      <w:pPr>
        <w:tabs>
          <w:tab w:val="num" w:pos="360"/>
        </w:tabs>
        <w:ind w:left="360" w:hanging="360"/>
      </w:pPr>
      <w:rPr>
        <w:rFonts w:ascii="Arial Black" w:hAnsi="Arial Black" w:hint="default"/>
        <w:color w:val="000000" w:themeColor="text1"/>
      </w:rPr>
    </w:lvl>
    <w:lvl w:ilvl="1" w:tplc="FFFFFFFF" w:tentative="1">
      <w:start w:val="1"/>
      <w:numFmt w:val="bullet"/>
      <w:lvlText w:val="•"/>
      <w:lvlJc w:val="left"/>
      <w:pPr>
        <w:tabs>
          <w:tab w:val="num" w:pos="1080"/>
        </w:tabs>
        <w:ind w:left="1080" w:hanging="360"/>
      </w:pPr>
      <w:rPr>
        <w:rFonts w:ascii="Times New Roman" w:hAnsi="Times New Roman" w:hint="default"/>
      </w:rPr>
    </w:lvl>
    <w:lvl w:ilvl="2" w:tplc="FFFFFFFF" w:tentative="1">
      <w:start w:val="1"/>
      <w:numFmt w:val="bullet"/>
      <w:lvlText w:val="•"/>
      <w:lvlJc w:val="left"/>
      <w:pPr>
        <w:tabs>
          <w:tab w:val="num" w:pos="1800"/>
        </w:tabs>
        <w:ind w:left="1800" w:hanging="360"/>
      </w:pPr>
      <w:rPr>
        <w:rFonts w:ascii="Times New Roman" w:hAnsi="Times New Roman" w:hint="default"/>
      </w:rPr>
    </w:lvl>
    <w:lvl w:ilvl="3" w:tplc="FFFFFFFF" w:tentative="1">
      <w:start w:val="1"/>
      <w:numFmt w:val="bullet"/>
      <w:lvlText w:val="•"/>
      <w:lvlJc w:val="left"/>
      <w:pPr>
        <w:tabs>
          <w:tab w:val="num" w:pos="2520"/>
        </w:tabs>
        <w:ind w:left="2520" w:hanging="360"/>
      </w:pPr>
      <w:rPr>
        <w:rFonts w:ascii="Times New Roman" w:hAnsi="Times New Roman" w:hint="default"/>
      </w:rPr>
    </w:lvl>
    <w:lvl w:ilvl="4" w:tplc="FFFFFFFF" w:tentative="1">
      <w:start w:val="1"/>
      <w:numFmt w:val="bullet"/>
      <w:lvlText w:val="•"/>
      <w:lvlJc w:val="left"/>
      <w:pPr>
        <w:tabs>
          <w:tab w:val="num" w:pos="3240"/>
        </w:tabs>
        <w:ind w:left="3240" w:hanging="360"/>
      </w:pPr>
      <w:rPr>
        <w:rFonts w:ascii="Times New Roman" w:hAnsi="Times New Roman" w:hint="default"/>
      </w:rPr>
    </w:lvl>
    <w:lvl w:ilvl="5" w:tplc="FFFFFFFF" w:tentative="1">
      <w:start w:val="1"/>
      <w:numFmt w:val="bullet"/>
      <w:lvlText w:val="•"/>
      <w:lvlJc w:val="left"/>
      <w:pPr>
        <w:tabs>
          <w:tab w:val="num" w:pos="3960"/>
        </w:tabs>
        <w:ind w:left="3960" w:hanging="360"/>
      </w:pPr>
      <w:rPr>
        <w:rFonts w:ascii="Times New Roman" w:hAnsi="Times New Roman" w:hint="default"/>
      </w:rPr>
    </w:lvl>
    <w:lvl w:ilvl="6" w:tplc="FFFFFFFF" w:tentative="1">
      <w:start w:val="1"/>
      <w:numFmt w:val="bullet"/>
      <w:lvlText w:val="•"/>
      <w:lvlJc w:val="left"/>
      <w:pPr>
        <w:tabs>
          <w:tab w:val="num" w:pos="4680"/>
        </w:tabs>
        <w:ind w:left="4680" w:hanging="360"/>
      </w:pPr>
      <w:rPr>
        <w:rFonts w:ascii="Times New Roman" w:hAnsi="Times New Roman" w:hint="default"/>
      </w:rPr>
    </w:lvl>
    <w:lvl w:ilvl="7" w:tplc="FFFFFFFF" w:tentative="1">
      <w:start w:val="1"/>
      <w:numFmt w:val="bullet"/>
      <w:lvlText w:val="•"/>
      <w:lvlJc w:val="left"/>
      <w:pPr>
        <w:tabs>
          <w:tab w:val="num" w:pos="5400"/>
        </w:tabs>
        <w:ind w:left="5400" w:hanging="360"/>
      </w:pPr>
      <w:rPr>
        <w:rFonts w:ascii="Times New Roman" w:hAnsi="Times New Roman" w:hint="default"/>
      </w:rPr>
    </w:lvl>
    <w:lvl w:ilvl="8" w:tplc="FFFFFFFF" w:tentative="1">
      <w:start w:val="1"/>
      <w:numFmt w:val="bullet"/>
      <w:lvlText w:val="•"/>
      <w:lvlJc w:val="left"/>
      <w:pPr>
        <w:tabs>
          <w:tab w:val="num" w:pos="6120"/>
        </w:tabs>
        <w:ind w:left="6120" w:hanging="360"/>
      </w:pPr>
      <w:rPr>
        <w:rFonts w:ascii="Times New Roman" w:hAnsi="Times New Roman" w:hint="default"/>
      </w:rPr>
    </w:lvl>
  </w:abstractNum>
  <w:abstractNum w:abstractNumId="41" w15:restartNumberingAfterBreak="0">
    <w:nsid w:val="1FAA652A"/>
    <w:multiLevelType w:val="hybridMultilevel"/>
    <w:tmpl w:val="741EFE4C"/>
    <w:lvl w:ilvl="0" w:tplc="FB50DAC2">
      <w:start w:val="1"/>
      <w:numFmt w:val="bullet"/>
      <w:lvlText w:val="›"/>
      <w:lvlJc w:val="left"/>
      <w:pPr>
        <w:tabs>
          <w:tab w:val="num" w:pos="720"/>
        </w:tabs>
        <w:ind w:left="720" w:hanging="360"/>
      </w:pPr>
      <w:rPr>
        <w:rFonts w:ascii="Arial Black" w:hAnsi="Arial Black" w:hint="default"/>
        <w:color w:val="003399" w:themeColor="accent3"/>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21D06092"/>
    <w:multiLevelType w:val="hybridMultilevel"/>
    <w:tmpl w:val="3E56EF3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3" w15:restartNumberingAfterBreak="0">
    <w:nsid w:val="21EC1E37"/>
    <w:multiLevelType w:val="hybridMultilevel"/>
    <w:tmpl w:val="CA20D9B0"/>
    <w:lvl w:ilvl="0" w:tplc="14090001">
      <w:start w:val="1"/>
      <w:numFmt w:val="bullet"/>
      <w:lvlText w:val=""/>
      <w:lvlJc w:val="left"/>
      <w:pPr>
        <w:ind w:left="947" w:hanging="360"/>
      </w:pPr>
      <w:rPr>
        <w:rFonts w:ascii="Symbol" w:hAnsi="Symbol" w:hint="default"/>
      </w:rPr>
    </w:lvl>
    <w:lvl w:ilvl="1" w:tplc="14090003" w:tentative="1">
      <w:start w:val="1"/>
      <w:numFmt w:val="bullet"/>
      <w:lvlText w:val="o"/>
      <w:lvlJc w:val="left"/>
      <w:pPr>
        <w:ind w:left="1667" w:hanging="360"/>
      </w:pPr>
      <w:rPr>
        <w:rFonts w:ascii="Courier New" w:hAnsi="Courier New" w:cs="Courier New" w:hint="default"/>
      </w:rPr>
    </w:lvl>
    <w:lvl w:ilvl="2" w:tplc="14090005" w:tentative="1">
      <w:start w:val="1"/>
      <w:numFmt w:val="bullet"/>
      <w:lvlText w:val=""/>
      <w:lvlJc w:val="left"/>
      <w:pPr>
        <w:ind w:left="2387" w:hanging="360"/>
      </w:pPr>
      <w:rPr>
        <w:rFonts w:ascii="Wingdings" w:hAnsi="Wingdings" w:hint="default"/>
      </w:rPr>
    </w:lvl>
    <w:lvl w:ilvl="3" w:tplc="14090001" w:tentative="1">
      <w:start w:val="1"/>
      <w:numFmt w:val="bullet"/>
      <w:lvlText w:val=""/>
      <w:lvlJc w:val="left"/>
      <w:pPr>
        <w:ind w:left="3107" w:hanging="360"/>
      </w:pPr>
      <w:rPr>
        <w:rFonts w:ascii="Symbol" w:hAnsi="Symbol" w:hint="default"/>
      </w:rPr>
    </w:lvl>
    <w:lvl w:ilvl="4" w:tplc="14090003" w:tentative="1">
      <w:start w:val="1"/>
      <w:numFmt w:val="bullet"/>
      <w:lvlText w:val="o"/>
      <w:lvlJc w:val="left"/>
      <w:pPr>
        <w:ind w:left="3827" w:hanging="360"/>
      </w:pPr>
      <w:rPr>
        <w:rFonts w:ascii="Courier New" w:hAnsi="Courier New" w:cs="Courier New" w:hint="default"/>
      </w:rPr>
    </w:lvl>
    <w:lvl w:ilvl="5" w:tplc="14090005" w:tentative="1">
      <w:start w:val="1"/>
      <w:numFmt w:val="bullet"/>
      <w:lvlText w:val=""/>
      <w:lvlJc w:val="left"/>
      <w:pPr>
        <w:ind w:left="4547" w:hanging="360"/>
      </w:pPr>
      <w:rPr>
        <w:rFonts w:ascii="Wingdings" w:hAnsi="Wingdings" w:hint="default"/>
      </w:rPr>
    </w:lvl>
    <w:lvl w:ilvl="6" w:tplc="14090001" w:tentative="1">
      <w:start w:val="1"/>
      <w:numFmt w:val="bullet"/>
      <w:lvlText w:val=""/>
      <w:lvlJc w:val="left"/>
      <w:pPr>
        <w:ind w:left="5267" w:hanging="360"/>
      </w:pPr>
      <w:rPr>
        <w:rFonts w:ascii="Symbol" w:hAnsi="Symbol" w:hint="default"/>
      </w:rPr>
    </w:lvl>
    <w:lvl w:ilvl="7" w:tplc="14090003" w:tentative="1">
      <w:start w:val="1"/>
      <w:numFmt w:val="bullet"/>
      <w:lvlText w:val="o"/>
      <w:lvlJc w:val="left"/>
      <w:pPr>
        <w:ind w:left="5987" w:hanging="360"/>
      </w:pPr>
      <w:rPr>
        <w:rFonts w:ascii="Courier New" w:hAnsi="Courier New" w:cs="Courier New" w:hint="default"/>
      </w:rPr>
    </w:lvl>
    <w:lvl w:ilvl="8" w:tplc="14090005" w:tentative="1">
      <w:start w:val="1"/>
      <w:numFmt w:val="bullet"/>
      <w:lvlText w:val=""/>
      <w:lvlJc w:val="left"/>
      <w:pPr>
        <w:ind w:left="6707" w:hanging="360"/>
      </w:pPr>
      <w:rPr>
        <w:rFonts w:ascii="Wingdings" w:hAnsi="Wingdings" w:hint="default"/>
      </w:rPr>
    </w:lvl>
  </w:abstractNum>
  <w:abstractNum w:abstractNumId="44" w15:restartNumberingAfterBreak="0">
    <w:nsid w:val="22A95897"/>
    <w:multiLevelType w:val="multilevel"/>
    <w:tmpl w:val="7E784D5A"/>
    <w:lvl w:ilvl="0">
      <w:start w:val="1"/>
      <w:numFmt w:val="decimal"/>
      <w:pStyle w:val="NumberedHeading1"/>
      <w:lvlText w:val="%1"/>
      <w:lvlJc w:val="left"/>
      <w:pPr>
        <w:ind w:left="360" w:hanging="360"/>
      </w:pPr>
      <w:rPr>
        <w:rFonts w:hint="default"/>
      </w:rPr>
    </w:lvl>
    <w:lvl w:ilvl="1">
      <w:start w:val="1"/>
      <w:numFmt w:val="decimal"/>
      <w:pStyle w:val="NumberedHeading2"/>
      <w:lvlText w:val="%1.%2"/>
      <w:lvlJc w:val="left"/>
      <w:pPr>
        <w:ind w:left="720" w:hanging="360"/>
      </w:pPr>
      <w:rPr>
        <w:rFonts w:hint="default"/>
      </w:rPr>
    </w:lvl>
    <w:lvl w:ilvl="2">
      <w:start w:val="1"/>
      <w:numFmt w:val="decimal"/>
      <w:pStyle w:val="NumberedHeading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22FD7D66"/>
    <w:multiLevelType w:val="hybridMultilevel"/>
    <w:tmpl w:val="09BE390A"/>
    <w:lvl w:ilvl="0" w:tplc="14090001">
      <w:start w:val="1"/>
      <w:numFmt w:val="bullet"/>
      <w:lvlText w:val=""/>
      <w:lvlJc w:val="left"/>
      <w:pPr>
        <w:ind w:left="947" w:hanging="360"/>
      </w:pPr>
      <w:rPr>
        <w:rFonts w:ascii="Symbol" w:hAnsi="Symbol" w:hint="default"/>
      </w:rPr>
    </w:lvl>
    <w:lvl w:ilvl="1" w:tplc="14090003" w:tentative="1">
      <w:start w:val="1"/>
      <w:numFmt w:val="bullet"/>
      <w:lvlText w:val="o"/>
      <w:lvlJc w:val="left"/>
      <w:pPr>
        <w:ind w:left="1667" w:hanging="360"/>
      </w:pPr>
      <w:rPr>
        <w:rFonts w:ascii="Courier New" w:hAnsi="Courier New" w:cs="Courier New" w:hint="default"/>
      </w:rPr>
    </w:lvl>
    <w:lvl w:ilvl="2" w:tplc="14090005" w:tentative="1">
      <w:start w:val="1"/>
      <w:numFmt w:val="bullet"/>
      <w:lvlText w:val=""/>
      <w:lvlJc w:val="left"/>
      <w:pPr>
        <w:ind w:left="2387" w:hanging="360"/>
      </w:pPr>
      <w:rPr>
        <w:rFonts w:ascii="Wingdings" w:hAnsi="Wingdings" w:hint="default"/>
      </w:rPr>
    </w:lvl>
    <w:lvl w:ilvl="3" w:tplc="14090001" w:tentative="1">
      <w:start w:val="1"/>
      <w:numFmt w:val="bullet"/>
      <w:lvlText w:val=""/>
      <w:lvlJc w:val="left"/>
      <w:pPr>
        <w:ind w:left="3107" w:hanging="360"/>
      </w:pPr>
      <w:rPr>
        <w:rFonts w:ascii="Symbol" w:hAnsi="Symbol" w:hint="default"/>
      </w:rPr>
    </w:lvl>
    <w:lvl w:ilvl="4" w:tplc="14090003" w:tentative="1">
      <w:start w:val="1"/>
      <w:numFmt w:val="bullet"/>
      <w:lvlText w:val="o"/>
      <w:lvlJc w:val="left"/>
      <w:pPr>
        <w:ind w:left="3827" w:hanging="360"/>
      </w:pPr>
      <w:rPr>
        <w:rFonts w:ascii="Courier New" w:hAnsi="Courier New" w:cs="Courier New" w:hint="default"/>
      </w:rPr>
    </w:lvl>
    <w:lvl w:ilvl="5" w:tplc="14090005" w:tentative="1">
      <w:start w:val="1"/>
      <w:numFmt w:val="bullet"/>
      <w:lvlText w:val=""/>
      <w:lvlJc w:val="left"/>
      <w:pPr>
        <w:ind w:left="4547" w:hanging="360"/>
      </w:pPr>
      <w:rPr>
        <w:rFonts w:ascii="Wingdings" w:hAnsi="Wingdings" w:hint="default"/>
      </w:rPr>
    </w:lvl>
    <w:lvl w:ilvl="6" w:tplc="14090001" w:tentative="1">
      <w:start w:val="1"/>
      <w:numFmt w:val="bullet"/>
      <w:lvlText w:val=""/>
      <w:lvlJc w:val="left"/>
      <w:pPr>
        <w:ind w:left="5267" w:hanging="360"/>
      </w:pPr>
      <w:rPr>
        <w:rFonts w:ascii="Symbol" w:hAnsi="Symbol" w:hint="default"/>
      </w:rPr>
    </w:lvl>
    <w:lvl w:ilvl="7" w:tplc="14090003" w:tentative="1">
      <w:start w:val="1"/>
      <w:numFmt w:val="bullet"/>
      <w:lvlText w:val="o"/>
      <w:lvlJc w:val="left"/>
      <w:pPr>
        <w:ind w:left="5987" w:hanging="360"/>
      </w:pPr>
      <w:rPr>
        <w:rFonts w:ascii="Courier New" w:hAnsi="Courier New" w:cs="Courier New" w:hint="default"/>
      </w:rPr>
    </w:lvl>
    <w:lvl w:ilvl="8" w:tplc="14090005" w:tentative="1">
      <w:start w:val="1"/>
      <w:numFmt w:val="bullet"/>
      <w:lvlText w:val=""/>
      <w:lvlJc w:val="left"/>
      <w:pPr>
        <w:ind w:left="6707" w:hanging="360"/>
      </w:pPr>
      <w:rPr>
        <w:rFonts w:ascii="Wingdings" w:hAnsi="Wingdings" w:hint="default"/>
      </w:rPr>
    </w:lvl>
  </w:abstractNum>
  <w:abstractNum w:abstractNumId="46" w15:restartNumberingAfterBreak="0">
    <w:nsid w:val="230C4EC8"/>
    <w:multiLevelType w:val="hybridMultilevel"/>
    <w:tmpl w:val="23D859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24063423"/>
    <w:multiLevelType w:val="hybridMultilevel"/>
    <w:tmpl w:val="B790BD46"/>
    <w:lvl w:ilvl="0" w:tplc="14090001">
      <w:start w:val="1"/>
      <w:numFmt w:val="bullet"/>
      <w:lvlText w:val=""/>
      <w:lvlJc w:val="left"/>
      <w:pPr>
        <w:ind w:left="947" w:hanging="360"/>
      </w:pPr>
      <w:rPr>
        <w:rFonts w:ascii="Symbol" w:hAnsi="Symbol" w:hint="default"/>
      </w:rPr>
    </w:lvl>
    <w:lvl w:ilvl="1" w:tplc="14090003" w:tentative="1">
      <w:start w:val="1"/>
      <w:numFmt w:val="bullet"/>
      <w:lvlText w:val="o"/>
      <w:lvlJc w:val="left"/>
      <w:pPr>
        <w:ind w:left="1667" w:hanging="360"/>
      </w:pPr>
      <w:rPr>
        <w:rFonts w:ascii="Courier New" w:hAnsi="Courier New" w:cs="Courier New" w:hint="default"/>
      </w:rPr>
    </w:lvl>
    <w:lvl w:ilvl="2" w:tplc="14090005" w:tentative="1">
      <w:start w:val="1"/>
      <w:numFmt w:val="bullet"/>
      <w:lvlText w:val=""/>
      <w:lvlJc w:val="left"/>
      <w:pPr>
        <w:ind w:left="2387" w:hanging="360"/>
      </w:pPr>
      <w:rPr>
        <w:rFonts w:ascii="Wingdings" w:hAnsi="Wingdings" w:hint="default"/>
      </w:rPr>
    </w:lvl>
    <w:lvl w:ilvl="3" w:tplc="14090001" w:tentative="1">
      <w:start w:val="1"/>
      <w:numFmt w:val="bullet"/>
      <w:lvlText w:val=""/>
      <w:lvlJc w:val="left"/>
      <w:pPr>
        <w:ind w:left="3107" w:hanging="360"/>
      </w:pPr>
      <w:rPr>
        <w:rFonts w:ascii="Symbol" w:hAnsi="Symbol" w:hint="default"/>
      </w:rPr>
    </w:lvl>
    <w:lvl w:ilvl="4" w:tplc="14090003" w:tentative="1">
      <w:start w:val="1"/>
      <w:numFmt w:val="bullet"/>
      <w:lvlText w:val="o"/>
      <w:lvlJc w:val="left"/>
      <w:pPr>
        <w:ind w:left="3827" w:hanging="360"/>
      </w:pPr>
      <w:rPr>
        <w:rFonts w:ascii="Courier New" w:hAnsi="Courier New" w:cs="Courier New" w:hint="default"/>
      </w:rPr>
    </w:lvl>
    <w:lvl w:ilvl="5" w:tplc="14090005" w:tentative="1">
      <w:start w:val="1"/>
      <w:numFmt w:val="bullet"/>
      <w:lvlText w:val=""/>
      <w:lvlJc w:val="left"/>
      <w:pPr>
        <w:ind w:left="4547" w:hanging="360"/>
      </w:pPr>
      <w:rPr>
        <w:rFonts w:ascii="Wingdings" w:hAnsi="Wingdings" w:hint="default"/>
      </w:rPr>
    </w:lvl>
    <w:lvl w:ilvl="6" w:tplc="14090001" w:tentative="1">
      <w:start w:val="1"/>
      <w:numFmt w:val="bullet"/>
      <w:lvlText w:val=""/>
      <w:lvlJc w:val="left"/>
      <w:pPr>
        <w:ind w:left="5267" w:hanging="360"/>
      </w:pPr>
      <w:rPr>
        <w:rFonts w:ascii="Symbol" w:hAnsi="Symbol" w:hint="default"/>
      </w:rPr>
    </w:lvl>
    <w:lvl w:ilvl="7" w:tplc="14090003" w:tentative="1">
      <w:start w:val="1"/>
      <w:numFmt w:val="bullet"/>
      <w:lvlText w:val="o"/>
      <w:lvlJc w:val="left"/>
      <w:pPr>
        <w:ind w:left="5987" w:hanging="360"/>
      </w:pPr>
      <w:rPr>
        <w:rFonts w:ascii="Courier New" w:hAnsi="Courier New" w:cs="Courier New" w:hint="default"/>
      </w:rPr>
    </w:lvl>
    <w:lvl w:ilvl="8" w:tplc="14090005" w:tentative="1">
      <w:start w:val="1"/>
      <w:numFmt w:val="bullet"/>
      <w:lvlText w:val=""/>
      <w:lvlJc w:val="left"/>
      <w:pPr>
        <w:ind w:left="6707" w:hanging="360"/>
      </w:pPr>
      <w:rPr>
        <w:rFonts w:ascii="Wingdings" w:hAnsi="Wingdings" w:hint="default"/>
      </w:rPr>
    </w:lvl>
  </w:abstractNum>
  <w:abstractNum w:abstractNumId="48" w15:restartNumberingAfterBreak="0">
    <w:nsid w:val="24C97B4D"/>
    <w:multiLevelType w:val="hybridMultilevel"/>
    <w:tmpl w:val="00DE92E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9" w15:restartNumberingAfterBreak="0">
    <w:nsid w:val="24E21CDA"/>
    <w:multiLevelType w:val="hybridMultilevel"/>
    <w:tmpl w:val="23BEB5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15:restartNumberingAfterBreak="0">
    <w:nsid w:val="252C355E"/>
    <w:multiLevelType w:val="hybridMultilevel"/>
    <w:tmpl w:val="44E437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15:restartNumberingAfterBreak="0">
    <w:nsid w:val="281451B4"/>
    <w:multiLevelType w:val="hybridMultilevel"/>
    <w:tmpl w:val="3C18D66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2" w15:restartNumberingAfterBreak="0">
    <w:nsid w:val="2BDB3D11"/>
    <w:multiLevelType w:val="hybridMultilevel"/>
    <w:tmpl w:val="024A17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3" w15:restartNumberingAfterBreak="0">
    <w:nsid w:val="2C4D43BD"/>
    <w:multiLevelType w:val="hybridMultilevel"/>
    <w:tmpl w:val="C142A0BC"/>
    <w:lvl w:ilvl="0" w:tplc="FC9C9FA8">
      <w:start w:val="1"/>
      <w:numFmt w:val="decimal"/>
      <w:lvlText w:val="%1."/>
      <w:lvlJc w:val="left"/>
      <w:pPr>
        <w:ind w:left="720" w:hanging="360"/>
      </w:pPr>
      <w:rPr>
        <w:color w:val="5C85D2" w:themeColor="text2" w:themeTint="8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2C881D62"/>
    <w:multiLevelType w:val="hybridMultilevel"/>
    <w:tmpl w:val="9DA2CD40"/>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5" w15:restartNumberingAfterBreak="0">
    <w:nsid w:val="2CB677E6"/>
    <w:multiLevelType w:val="hybridMultilevel"/>
    <w:tmpl w:val="21E48726"/>
    <w:lvl w:ilvl="0" w:tplc="23C6C23E">
      <w:start w:val="1"/>
      <w:numFmt w:val="decimal"/>
      <w:lvlText w:val="%1."/>
      <w:lvlJc w:val="left"/>
      <w:pPr>
        <w:ind w:left="720" w:hanging="360"/>
      </w:pPr>
      <w:rPr>
        <w:rFonts w:hint="default"/>
        <w:b w:val="0"/>
        <w:bCs/>
        <w:i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2DCD4801"/>
    <w:multiLevelType w:val="hybridMultilevel"/>
    <w:tmpl w:val="16EA97E4"/>
    <w:lvl w:ilvl="0" w:tplc="14090001">
      <w:start w:val="1"/>
      <w:numFmt w:val="bullet"/>
      <w:lvlText w:val=""/>
      <w:lvlJc w:val="left"/>
      <w:pPr>
        <w:ind w:left="947" w:hanging="360"/>
      </w:pPr>
      <w:rPr>
        <w:rFonts w:ascii="Symbol" w:hAnsi="Symbol" w:hint="default"/>
      </w:rPr>
    </w:lvl>
    <w:lvl w:ilvl="1" w:tplc="14090003" w:tentative="1">
      <w:start w:val="1"/>
      <w:numFmt w:val="bullet"/>
      <w:lvlText w:val="o"/>
      <w:lvlJc w:val="left"/>
      <w:pPr>
        <w:ind w:left="1667" w:hanging="360"/>
      </w:pPr>
      <w:rPr>
        <w:rFonts w:ascii="Courier New" w:hAnsi="Courier New" w:cs="Courier New" w:hint="default"/>
      </w:rPr>
    </w:lvl>
    <w:lvl w:ilvl="2" w:tplc="14090005" w:tentative="1">
      <w:start w:val="1"/>
      <w:numFmt w:val="bullet"/>
      <w:lvlText w:val=""/>
      <w:lvlJc w:val="left"/>
      <w:pPr>
        <w:ind w:left="2387" w:hanging="360"/>
      </w:pPr>
      <w:rPr>
        <w:rFonts w:ascii="Wingdings" w:hAnsi="Wingdings" w:hint="default"/>
      </w:rPr>
    </w:lvl>
    <w:lvl w:ilvl="3" w:tplc="14090001" w:tentative="1">
      <w:start w:val="1"/>
      <w:numFmt w:val="bullet"/>
      <w:lvlText w:val=""/>
      <w:lvlJc w:val="left"/>
      <w:pPr>
        <w:ind w:left="3107" w:hanging="360"/>
      </w:pPr>
      <w:rPr>
        <w:rFonts w:ascii="Symbol" w:hAnsi="Symbol" w:hint="default"/>
      </w:rPr>
    </w:lvl>
    <w:lvl w:ilvl="4" w:tplc="14090003" w:tentative="1">
      <w:start w:val="1"/>
      <w:numFmt w:val="bullet"/>
      <w:lvlText w:val="o"/>
      <w:lvlJc w:val="left"/>
      <w:pPr>
        <w:ind w:left="3827" w:hanging="360"/>
      </w:pPr>
      <w:rPr>
        <w:rFonts w:ascii="Courier New" w:hAnsi="Courier New" w:cs="Courier New" w:hint="default"/>
      </w:rPr>
    </w:lvl>
    <w:lvl w:ilvl="5" w:tplc="14090005" w:tentative="1">
      <w:start w:val="1"/>
      <w:numFmt w:val="bullet"/>
      <w:lvlText w:val=""/>
      <w:lvlJc w:val="left"/>
      <w:pPr>
        <w:ind w:left="4547" w:hanging="360"/>
      </w:pPr>
      <w:rPr>
        <w:rFonts w:ascii="Wingdings" w:hAnsi="Wingdings" w:hint="default"/>
      </w:rPr>
    </w:lvl>
    <w:lvl w:ilvl="6" w:tplc="14090001" w:tentative="1">
      <w:start w:val="1"/>
      <w:numFmt w:val="bullet"/>
      <w:lvlText w:val=""/>
      <w:lvlJc w:val="left"/>
      <w:pPr>
        <w:ind w:left="5267" w:hanging="360"/>
      </w:pPr>
      <w:rPr>
        <w:rFonts w:ascii="Symbol" w:hAnsi="Symbol" w:hint="default"/>
      </w:rPr>
    </w:lvl>
    <w:lvl w:ilvl="7" w:tplc="14090003" w:tentative="1">
      <w:start w:val="1"/>
      <w:numFmt w:val="bullet"/>
      <w:lvlText w:val="o"/>
      <w:lvlJc w:val="left"/>
      <w:pPr>
        <w:ind w:left="5987" w:hanging="360"/>
      </w:pPr>
      <w:rPr>
        <w:rFonts w:ascii="Courier New" w:hAnsi="Courier New" w:cs="Courier New" w:hint="default"/>
      </w:rPr>
    </w:lvl>
    <w:lvl w:ilvl="8" w:tplc="14090005" w:tentative="1">
      <w:start w:val="1"/>
      <w:numFmt w:val="bullet"/>
      <w:lvlText w:val=""/>
      <w:lvlJc w:val="left"/>
      <w:pPr>
        <w:ind w:left="6707" w:hanging="360"/>
      </w:pPr>
      <w:rPr>
        <w:rFonts w:ascii="Wingdings" w:hAnsi="Wingdings" w:hint="default"/>
      </w:rPr>
    </w:lvl>
  </w:abstractNum>
  <w:abstractNum w:abstractNumId="57" w15:restartNumberingAfterBreak="0">
    <w:nsid w:val="2E047E76"/>
    <w:multiLevelType w:val="hybridMultilevel"/>
    <w:tmpl w:val="A9745F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8" w15:restartNumberingAfterBreak="0">
    <w:nsid w:val="308B0890"/>
    <w:multiLevelType w:val="hybridMultilevel"/>
    <w:tmpl w:val="6A40B4D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9" w15:restartNumberingAfterBreak="0">
    <w:nsid w:val="319B418F"/>
    <w:multiLevelType w:val="hybridMultilevel"/>
    <w:tmpl w:val="BF024CB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0" w15:restartNumberingAfterBreak="0">
    <w:nsid w:val="31E54B5F"/>
    <w:multiLevelType w:val="hybridMultilevel"/>
    <w:tmpl w:val="91DE87D2"/>
    <w:lvl w:ilvl="0" w:tplc="14090001">
      <w:start w:val="1"/>
      <w:numFmt w:val="bullet"/>
      <w:lvlText w:val=""/>
      <w:lvlJc w:val="left"/>
      <w:pPr>
        <w:ind w:left="947" w:hanging="360"/>
      </w:pPr>
      <w:rPr>
        <w:rFonts w:ascii="Symbol" w:hAnsi="Symbol" w:hint="default"/>
      </w:rPr>
    </w:lvl>
    <w:lvl w:ilvl="1" w:tplc="14090003" w:tentative="1">
      <w:start w:val="1"/>
      <w:numFmt w:val="bullet"/>
      <w:lvlText w:val="o"/>
      <w:lvlJc w:val="left"/>
      <w:pPr>
        <w:ind w:left="1667" w:hanging="360"/>
      </w:pPr>
      <w:rPr>
        <w:rFonts w:ascii="Courier New" w:hAnsi="Courier New" w:cs="Courier New" w:hint="default"/>
      </w:rPr>
    </w:lvl>
    <w:lvl w:ilvl="2" w:tplc="14090005" w:tentative="1">
      <w:start w:val="1"/>
      <w:numFmt w:val="bullet"/>
      <w:lvlText w:val=""/>
      <w:lvlJc w:val="left"/>
      <w:pPr>
        <w:ind w:left="2387" w:hanging="360"/>
      </w:pPr>
      <w:rPr>
        <w:rFonts w:ascii="Wingdings" w:hAnsi="Wingdings" w:hint="default"/>
      </w:rPr>
    </w:lvl>
    <w:lvl w:ilvl="3" w:tplc="14090001" w:tentative="1">
      <w:start w:val="1"/>
      <w:numFmt w:val="bullet"/>
      <w:lvlText w:val=""/>
      <w:lvlJc w:val="left"/>
      <w:pPr>
        <w:ind w:left="3107" w:hanging="360"/>
      </w:pPr>
      <w:rPr>
        <w:rFonts w:ascii="Symbol" w:hAnsi="Symbol" w:hint="default"/>
      </w:rPr>
    </w:lvl>
    <w:lvl w:ilvl="4" w:tplc="14090003" w:tentative="1">
      <w:start w:val="1"/>
      <w:numFmt w:val="bullet"/>
      <w:lvlText w:val="o"/>
      <w:lvlJc w:val="left"/>
      <w:pPr>
        <w:ind w:left="3827" w:hanging="360"/>
      </w:pPr>
      <w:rPr>
        <w:rFonts w:ascii="Courier New" w:hAnsi="Courier New" w:cs="Courier New" w:hint="default"/>
      </w:rPr>
    </w:lvl>
    <w:lvl w:ilvl="5" w:tplc="14090005" w:tentative="1">
      <w:start w:val="1"/>
      <w:numFmt w:val="bullet"/>
      <w:lvlText w:val=""/>
      <w:lvlJc w:val="left"/>
      <w:pPr>
        <w:ind w:left="4547" w:hanging="360"/>
      </w:pPr>
      <w:rPr>
        <w:rFonts w:ascii="Wingdings" w:hAnsi="Wingdings" w:hint="default"/>
      </w:rPr>
    </w:lvl>
    <w:lvl w:ilvl="6" w:tplc="14090001" w:tentative="1">
      <w:start w:val="1"/>
      <w:numFmt w:val="bullet"/>
      <w:lvlText w:val=""/>
      <w:lvlJc w:val="left"/>
      <w:pPr>
        <w:ind w:left="5267" w:hanging="360"/>
      </w:pPr>
      <w:rPr>
        <w:rFonts w:ascii="Symbol" w:hAnsi="Symbol" w:hint="default"/>
      </w:rPr>
    </w:lvl>
    <w:lvl w:ilvl="7" w:tplc="14090003" w:tentative="1">
      <w:start w:val="1"/>
      <w:numFmt w:val="bullet"/>
      <w:lvlText w:val="o"/>
      <w:lvlJc w:val="left"/>
      <w:pPr>
        <w:ind w:left="5987" w:hanging="360"/>
      </w:pPr>
      <w:rPr>
        <w:rFonts w:ascii="Courier New" w:hAnsi="Courier New" w:cs="Courier New" w:hint="default"/>
      </w:rPr>
    </w:lvl>
    <w:lvl w:ilvl="8" w:tplc="14090005" w:tentative="1">
      <w:start w:val="1"/>
      <w:numFmt w:val="bullet"/>
      <w:lvlText w:val=""/>
      <w:lvlJc w:val="left"/>
      <w:pPr>
        <w:ind w:left="6707" w:hanging="360"/>
      </w:pPr>
      <w:rPr>
        <w:rFonts w:ascii="Wingdings" w:hAnsi="Wingdings" w:hint="default"/>
      </w:rPr>
    </w:lvl>
  </w:abstractNum>
  <w:abstractNum w:abstractNumId="61" w15:restartNumberingAfterBreak="0">
    <w:nsid w:val="3284263F"/>
    <w:multiLevelType w:val="hybridMultilevel"/>
    <w:tmpl w:val="F91A10F4"/>
    <w:lvl w:ilvl="0" w:tplc="14090001">
      <w:start w:val="1"/>
      <w:numFmt w:val="bullet"/>
      <w:lvlText w:val=""/>
      <w:lvlJc w:val="left"/>
      <w:pPr>
        <w:ind w:left="947" w:hanging="360"/>
      </w:pPr>
      <w:rPr>
        <w:rFonts w:ascii="Symbol" w:hAnsi="Symbol" w:hint="default"/>
      </w:rPr>
    </w:lvl>
    <w:lvl w:ilvl="1" w:tplc="14090003" w:tentative="1">
      <w:start w:val="1"/>
      <w:numFmt w:val="bullet"/>
      <w:lvlText w:val="o"/>
      <w:lvlJc w:val="left"/>
      <w:pPr>
        <w:ind w:left="1667" w:hanging="360"/>
      </w:pPr>
      <w:rPr>
        <w:rFonts w:ascii="Courier New" w:hAnsi="Courier New" w:cs="Courier New" w:hint="default"/>
      </w:rPr>
    </w:lvl>
    <w:lvl w:ilvl="2" w:tplc="14090005" w:tentative="1">
      <w:start w:val="1"/>
      <w:numFmt w:val="bullet"/>
      <w:lvlText w:val=""/>
      <w:lvlJc w:val="left"/>
      <w:pPr>
        <w:ind w:left="2387" w:hanging="360"/>
      </w:pPr>
      <w:rPr>
        <w:rFonts w:ascii="Wingdings" w:hAnsi="Wingdings" w:hint="default"/>
      </w:rPr>
    </w:lvl>
    <w:lvl w:ilvl="3" w:tplc="14090001" w:tentative="1">
      <w:start w:val="1"/>
      <w:numFmt w:val="bullet"/>
      <w:lvlText w:val=""/>
      <w:lvlJc w:val="left"/>
      <w:pPr>
        <w:ind w:left="3107" w:hanging="360"/>
      </w:pPr>
      <w:rPr>
        <w:rFonts w:ascii="Symbol" w:hAnsi="Symbol" w:hint="default"/>
      </w:rPr>
    </w:lvl>
    <w:lvl w:ilvl="4" w:tplc="14090003" w:tentative="1">
      <w:start w:val="1"/>
      <w:numFmt w:val="bullet"/>
      <w:lvlText w:val="o"/>
      <w:lvlJc w:val="left"/>
      <w:pPr>
        <w:ind w:left="3827" w:hanging="360"/>
      </w:pPr>
      <w:rPr>
        <w:rFonts w:ascii="Courier New" w:hAnsi="Courier New" w:cs="Courier New" w:hint="default"/>
      </w:rPr>
    </w:lvl>
    <w:lvl w:ilvl="5" w:tplc="14090005" w:tentative="1">
      <w:start w:val="1"/>
      <w:numFmt w:val="bullet"/>
      <w:lvlText w:val=""/>
      <w:lvlJc w:val="left"/>
      <w:pPr>
        <w:ind w:left="4547" w:hanging="360"/>
      </w:pPr>
      <w:rPr>
        <w:rFonts w:ascii="Wingdings" w:hAnsi="Wingdings" w:hint="default"/>
      </w:rPr>
    </w:lvl>
    <w:lvl w:ilvl="6" w:tplc="14090001" w:tentative="1">
      <w:start w:val="1"/>
      <w:numFmt w:val="bullet"/>
      <w:lvlText w:val=""/>
      <w:lvlJc w:val="left"/>
      <w:pPr>
        <w:ind w:left="5267" w:hanging="360"/>
      </w:pPr>
      <w:rPr>
        <w:rFonts w:ascii="Symbol" w:hAnsi="Symbol" w:hint="default"/>
      </w:rPr>
    </w:lvl>
    <w:lvl w:ilvl="7" w:tplc="14090003" w:tentative="1">
      <w:start w:val="1"/>
      <w:numFmt w:val="bullet"/>
      <w:lvlText w:val="o"/>
      <w:lvlJc w:val="left"/>
      <w:pPr>
        <w:ind w:left="5987" w:hanging="360"/>
      </w:pPr>
      <w:rPr>
        <w:rFonts w:ascii="Courier New" w:hAnsi="Courier New" w:cs="Courier New" w:hint="default"/>
      </w:rPr>
    </w:lvl>
    <w:lvl w:ilvl="8" w:tplc="14090005" w:tentative="1">
      <w:start w:val="1"/>
      <w:numFmt w:val="bullet"/>
      <w:lvlText w:val=""/>
      <w:lvlJc w:val="left"/>
      <w:pPr>
        <w:ind w:left="6707" w:hanging="360"/>
      </w:pPr>
      <w:rPr>
        <w:rFonts w:ascii="Wingdings" w:hAnsi="Wingdings" w:hint="default"/>
      </w:rPr>
    </w:lvl>
  </w:abstractNum>
  <w:abstractNum w:abstractNumId="62" w15:restartNumberingAfterBreak="0">
    <w:nsid w:val="33AF0B27"/>
    <w:multiLevelType w:val="hybridMultilevel"/>
    <w:tmpl w:val="FFB8C72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3" w15:restartNumberingAfterBreak="0">
    <w:nsid w:val="348E72DA"/>
    <w:multiLevelType w:val="hybridMultilevel"/>
    <w:tmpl w:val="B7DA94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4" w15:restartNumberingAfterBreak="0">
    <w:nsid w:val="34B67549"/>
    <w:multiLevelType w:val="hybridMultilevel"/>
    <w:tmpl w:val="7D6AE51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5" w15:restartNumberingAfterBreak="0">
    <w:nsid w:val="38A66F65"/>
    <w:multiLevelType w:val="hybridMultilevel"/>
    <w:tmpl w:val="ADF4ED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6" w15:restartNumberingAfterBreak="0">
    <w:nsid w:val="398D274B"/>
    <w:multiLevelType w:val="hybridMultilevel"/>
    <w:tmpl w:val="5858833E"/>
    <w:lvl w:ilvl="0" w:tplc="14090001">
      <w:start w:val="1"/>
      <w:numFmt w:val="bullet"/>
      <w:lvlText w:val=""/>
      <w:lvlJc w:val="left"/>
      <w:pPr>
        <w:ind w:left="947" w:hanging="360"/>
      </w:pPr>
      <w:rPr>
        <w:rFonts w:ascii="Symbol" w:hAnsi="Symbol" w:hint="default"/>
      </w:rPr>
    </w:lvl>
    <w:lvl w:ilvl="1" w:tplc="14090003" w:tentative="1">
      <w:start w:val="1"/>
      <w:numFmt w:val="bullet"/>
      <w:lvlText w:val="o"/>
      <w:lvlJc w:val="left"/>
      <w:pPr>
        <w:ind w:left="1667" w:hanging="360"/>
      </w:pPr>
      <w:rPr>
        <w:rFonts w:ascii="Courier New" w:hAnsi="Courier New" w:cs="Courier New" w:hint="default"/>
      </w:rPr>
    </w:lvl>
    <w:lvl w:ilvl="2" w:tplc="14090005" w:tentative="1">
      <w:start w:val="1"/>
      <w:numFmt w:val="bullet"/>
      <w:lvlText w:val=""/>
      <w:lvlJc w:val="left"/>
      <w:pPr>
        <w:ind w:left="2387" w:hanging="360"/>
      </w:pPr>
      <w:rPr>
        <w:rFonts w:ascii="Wingdings" w:hAnsi="Wingdings" w:hint="default"/>
      </w:rPr>
    </w:lvl>
    <w:lvl w:ilvl="3" w:tplc="14090001" w:tentative="1">
      <w:start w:val="1"/>
      <w:numFmt w:val="bullet"/>
      <w:lvlText w:val=""/>
      <w:lvlJc w:val="left"/>
      <w:pPr>
        <w:ind w:left="3107" w:hanging="360"/>
      </w:pPr>
      <w:rPr>
        <w:rFonts w:ascii="Symbol" w:hAnsi="Symbol" w:hint="default"/>
      </w:rPr>
    </w:lvl>
    <w:lvl w:ilvl="4" w:tplc="14090003" w:tentative="1">
      <w:start w:val="1"/>
      <w:numFmt w:val="bullet"/>
      <w:lvlText w:val="o"/>
      <w:lvlJc w:val="left"/>
      <w:pPr>
        <w:ind w:left="3827" w:hanging="360"/>
      </w:pPr>
      <w:rPr>
        <w:rFonts w:ascii="Courier New" w:hAnsi="Courier New" w:cs="Courier New" w:hint="default"/>
      </w:rPr>
    </w:lvl>
    <w:lvl w:ilvl="5" w:tplc="14090005" w:tentative="1">
      <w:start w:val="1"/>
      <w:numFmt w:val="bullet"/>
      <w:lvlText w:val=""/>
      <w:lvlJc w:val="left"/>
      <w:pPr>
        <w:ind w:left="4547" w:hanging="360"/>
      </w:pPr>
      <w:rPr>
        <w:rFonts w:ascii="Wingdings" w:hAnsi="Wingdings" w:hint="default"/>
      </w:rPr>
    </w:lvl>
    <w:lvl w:ilvl="6" w:tplc="14090001" w:tentative="1">
      <w:start w:val="1"/>
      <w:numFmt w:val="bullet"/>
      <w:lvlText w:val=""/>
      <w:lvlJc w:val="left"/>
      <w:pPr>
        <w:ind w:left="5267" w:hanging="360"/>
      </w:pPr>
      <w:rPr>
        <w:rFonts w:ascii="Symbol" w:hAnsi="Symbol" w:hint="default"/>
      </w:rPr>
    </w:lvl>
    <w:lvl w:ilvl="7" w:tplc="14090003" w:tentative="1">
      <w:start w:val="1"/>
      <w:numFmt w:val="bullet"/>
      <w:lvlText w:val="o"/>
      <w:lvlJc w:val="left"/>
      <w:pPr>
        <w:ind w:left="5987" w:hanging="360"/>
      </w:pPr>
      <w:rPr>
        <w:rFonts w:ascii="Courier New" w:hAnsi="Courier New" w:cs="Courier New" w:hint="default"/>
      </w:rPr>
    </w:lvl>
    <w:lvl w:ilvl="8" w:tplc="14090005" w:tentative="1">
      <w:start w:val="1"/>
      <w:numFmt w:val="bullet"/>
      <w:lvlText w:val=""/>
      <w:lvlJc w:val="left"/>
      <w:pPr>
        <w:ind w:left="6707" w:hanging="360"/>
      </w:pPr>
      <w:rPr>
        <w:rFonts w:ascii="Wingdings" w:hAnsi="Wingdings" w:hint="default"/>
      </w:rPr>
    </w:lvl>
  </w:abstractNum>
  <w:abstractNum w:abstractNumId="67" w15:restartNumberingAfterBreak="0">
    <w:nsid w:val="39DA22AE"/>
    <w:multiLevelType w:val="hybridMultilevel"/>
    <w:tmpl w:val="3612B4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8" w15:restartNumberingAfterBreak="0">
    <w:nsid w:val="3A064AB4"/>
    <w:multiLevelType w:val="hybridMultilevel"/>
    <w:tmpl w:val="3C5022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9" w15:restartNumberingAfterBreak="0">
    <w:nsid w:val="3A517BDB"/>
    <w:multiLevelType w:val="hybridMultilevel"/>
    <w:tmpl w:val="1BF635A6"/>
    <w:lvl w:ilvl="0" w:tplc="0E203F9E">
      <w:start w:val="1"/>
      <w:numFmt w:val="bullet"/>
      <w:lvlText w:val="›"/>
      <w:lvlJc w:val="left"/>
      <w:pPr>
        <w:tabs>
          <w:tab w:val="num" w:pos="360"/>
        </w:tabs>
        <w:ind w:left="360" w:hanging="360"/>
      </w:pPr>
      <w:rPr>
        <w:rFonts w:ascii="Arial Black" w:hAnsi="Arial Black" w:hint="default"/>
        <w:color w:val="000000" w:themeColor="text1"/>
      </w:rPr>
    </w:lvl>
    <w:lvl w:ilvl="1" w:tplc="FFFFFFFF" w:tentative="1">
      <w:start w:val="1"/>
      <w:numFmt w:val="bullet"/>
      <w:lvlText w:val="•"/>
      <w:lvlJc w:val="left"/>
      <w:pPr>
        <w:tabs>
          <w:tab w:val="num" w:pos="1080"/>
        </w:tabs>
        <w:ind w:left="1080" w:hanging="360"/>
      </w:pPr>
      <w:rPr>
        <w:rFonts w:ascii="Times New Roman" w:hAnsi="Times New Roman" w:hint="default"/>
      </w:rPr>
    </w:lvl>
    <w:lvl w:ilvl="2" w:tplc="FFFFFFFF" w:tentative="1">
      <w:start w:val="1"/>
      <w:numFmt w:val="bullet"/>
      <w:lvlText w:val="•"/>
      <w:lvlJc w:val="left"/>
      <w:pPr>
        <w:tabs>
          <w:tab w:val="num" w:pos="1800"/>
        </w:tabs>
        <w:ind w:left="1800" w:hanging="360"/>
      </w:pPr>
      <w:rPr>
        <w:rFonts w:ascii="Times New Roman" w:hAnsi="Times New Roman" w:hint="default"/>
      </w:rPr>
    </w:lvl>
    <w:lvl w:ilvl="3" w:tplc="FFFFFFFF" w:tentative="1">
      <w:start w:val="1"/>
      <w:numFmt w:val="bullet"/>
      <w:lvlText w:val="•"/>
      <w:lvlJc w:val="left"/>
      <w:pPr>
        <w:tabs>
          <w:tab w:val="num" w:pos="2520"/>
        </w:tabs>
        <w:ind w:left="2520" w:hanging="360"/>
      </w:pPr>
      <w:rPr>
        <w:rFonts w:ascii="Times New Roman" w:hAnsi="Times New Roman" w:hint="default"/>
      </w:rPr>
    </w:lvl>
    <w:lvl w:ilvl="4" w:tplc="FFFFFFFF" w:tentative="1">
      <w:start w:val="1"/>
      <w:numFmt w:val="bullet"/>
      <w:lvlText w:val="•"/>
      <w:lvlJc w:val="left"/>
      <w:pPr>
        <w:tabs>
          <w:tab w:val="num" w:pos="3240"/>
        </w:tabs>
        <w:ind w:left="3240" w:hanging="360"/>
      </w:pPr>
      <w:rPr>
        <w:rFonts w:ascii="Times New Roman" w:hAnsi="Times New Roman" w:hint="default"/>
      </w:rPr>
    </w:lvl>
    <w:lvl w:ilvl="5" w:tplc="FFFFFFFF" w:tentative="1">
      <w:start w:val="1"/>
      <w:numFmt w:val="bullet"/>
      <w:lvlText w:val="•"/>
      <w:lvlJc w:val="left"/>
      <w:pPr>
        <w:tabs>
          <w:tab w:val="num" w:pos="3960"/>
        </w:tabs>
        <w:ind w:left="3960" w:hanging="360"/>
      </w:pPr>
      <w:rPr>
        <w:rFonts w:ascii="Times New Roman" w:hAnsi="Times New Roman" w:hint="default"/>
      </w:rPr>
    </w:lvl>
    <w:lvl w:ilvl="6" w:tplc="FFFFFFFF" w:tentative="1">
      <w:start w:val="1"/>
      <w:numFmt w:val="bullet"/>
      <w:lvlText w:val="•"/>
      <w:lvlJc w:val="left"/>
      <w:pPr>
        <w:tabs>
          <w:tab w:val="num" w:pos="4680"/>
        </w:tabs>
        <w:ind w:left="4680" w:hanging="360"/>
      </w:pPr>
      <w:rPr>
        <w:rFonts w:ascii="Times New Roman" w:hAnsi="Times New Roman" w:hint="default"/>
      </w:rPr>
    </w:lvl>
    <w:lvl w:ilvl="7" w:tplc="FFFFFFFF" w:tentative="1">
      <w:start w:val="1"/>
      <w:numFmt w:val="bullet"/>
      <w:lvlText w:val="•"/>
      <w:lvlJc w:val="left"/>
      <w:pPr>
        <w:tabs>
          <w:tab w:val="num" w:pos="5400"/>
        </w:tabs>
        <w:ind w:left="5400" w:hanging="360"/>
      </w:pPr>
      <w:rPr>
        <w:rFonts w:ascii="Times New Roman" w:hAnsi="Times New Roman" w:hint="default"/>
      </w:rPr>
    </w:lvl>
    <w:lvl w:ilvl="8" w:tplc="FFFFFFFF" w:tentative="1">
      <w:start w:val="1"/>
      <w:numFmt w:val="bullet"/>
      <w:lvlText w:val="•"/>
      <w:lvlJc w:val="left"/>
      <w:pPr>
        <w:tabs>
          <w:tab w:val="num" w:pos="6120"/>
        </w:tabs>
        <w:ind w:left="6120" w:hanging="360"/>
      </w:pPr>
      <w:rPr>
        <w:rFonts w:ascii="Times New Roman" w:hAnsi="Times New Roman" w:hint="default"/>
      </w:rPr>
    </w:lvl>
  </w:abstractNum>
  <w:abstractNum w:abstractNumId="70" w15:restartNumberingAfterBreak="0">
    <w:nsid w:val="3A8837EA"/>
    <w:multiLevelType w:val="hybridMultilevel"/>
    <w:tmpl w:val="8AA8DC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1" w15:restartNumberingAfterBreak="0">
    <w:nsid w:val="3B5E3244"/>
    <w:multiLevelType w:val="hybridMultilevel"/>
    <w:tmpl w:val="EB20B340"/>
    <w:lvl w:ilvl="0" w:tplc="340AD4F4">
      <w:start w:val="1"/>
      <w:numFmt w:val="decimal"/>
      <w:lvlText w:val="%1."/>
      <w:lvlJc w:val="left"/>
      <w:pPr>
        <w:ind w:left="720" w:hanging="360"/>
      </w:pPr>
      <w:rPr>
        <w:color w:val="auto"/>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2" w15:restartNumberingAfterBreak="0">
    <w:nsid w:val="3B6434D1"/>
    <w:multiLevelType w:val="hybridMultilevel"/>
    <w:tmpl w:val="8AB81EC2"/>
    <w:lvl w:ilvl="0" w:tplc="0E203F9E">
      <w:start w:val="1"/>
      <w:numFmt w:val="bullet"/>
      <w:lvlText w:val="›"/>
      <w:lvlJc w:val="left"/>
      <w:pPr>
        <w:tabs>
          <w:tab w:val="num" w:pos="360"/>
        </w:tabs>
        <w:ind w:left="360" w:hanging="360"/>
      </w:pPr>
      <w:rPr>
        <w:rFonts w:ascii="Arial Black" w:hAnsi="Arial Black" w:hint="default"/>
        <w:color w:val="000000" w:themeColor="text1"/>
      </w:rPr>
    </w:lvl>
    <w:lvl w:ilvl="1" w:tplc="FFFFFFFF" w:tentative="1">
      <w:start w:val="1"/>
      <w:numFmt w:val="bullet"/>
      <w:lvlText w:val="•"/>
      <w:lvlJc w:val="left"/>
      <w:pPr>
        <w:tabs>
          <w:tab w:val="num" w:pos="1080"/>
        </w:tabs>
        <w:ind w:left="1080" w:hanging="360"/>
      </w:pPr>
      <w:rPr>
        <w:rFonts w:ascii="Times New Roman" w:hAnsi="Times New Roman" w:hint="default"/>
      </w:rPr>
    </w:lvl>
    <w:lvl w:ilvl="2" w:tplc="FFFFFFFF" w:tentative="1">
      <w:start w:val="1"/>
      <w:numFmt w:val="bullet"/>
      <w:lvlText w:val="•"/>
      <w:lvlJc w:val="left"/>
      <w:pPr>
        <w:tabs>
          <w:tab w:val="num" w:pos="1800"/>
        </w:tabs>
        <w:ind w:left="1800" w:hanging="360"/>
      </w:pPr>
      <w:rPr>
        <w:rFonts w:ascii="Times New Roman" w:hAnsi="Times New Roman" w:hint="default"/>
      </w:rPr>
    </w:lvl>
    <w:lvl w:ilvl="3" w:tplc="FFFFFFFF" w:tentative="1">
      <w:start w:val="1"/>
      <w:numFmt w:val="bullet"/>
      <w:lvlText w:val="•"/>
      <w:lvlJc w:val="left"/>
      <w:pPr>
        <w:tabs>
          <w:tab w:val="num" w:pos="2520"/>
        </w:tabs>
        <w:ind w:left="2520" w:hanging="360"/>
      </w:pPr>
      <w:rPr>
        <w:rFonts w:ascii="Times New Roman" w:hAnsi="Times New Roman" w:hint="default"/>
      </w:rPr>
    </w:lvl>
    <w:lvl w:ilvl="4" w:tplc="FFFFFFFF" w:tentative="1">
      <w:start w:val="1"/>
      <w:numFmt w:val="bullet"/>
      <w:lvlText w:val="•"/>
      <w:lvlJc w:val="left"/>
      <w:pPr>
        <w:tabs>
          <w:tab w:val="num" w:pos="3240"/>
        </w:tabs>
        <w:ind w:left="3240" w:hanging="360"/>
      </w:pPr>
      <w:rPr>
        <w:rFonts w:ascii="Times New Roman" w:hAnsi="Times New Roman" w:hint="default"/>
      </w:rPr>
    </w:lvl>
    <w:lvl w:ilvl="5" w:tplc="FFFFFFFF" w:tentative="1">
      <w:start w:val="1"/>
      <w:numFmt w:val="bullet"/>
      <w:lvlText w:val="•"/>
      <w:lvlJc w:val="left"/>
      <w:pPr>
        <w:tabs>
          <w:tab w:val="num" w:pos="3960"/>
        </w:tabs>
        <w:ind w:left="3960" w:hanging="360"/>
      </w:pPr>
      <w:rPr>
        <w:rFonts w:ascii="Times New Roman" w:hAnsi="Times New Roman" w:hint="default"/>
      </w:rPr>
    </w:lvl>
    <w:lvl w:ilvl="6" w:tplc="FFFFFFFF" w:tentative="1">
      <w:start w:val="1"/>
      <w:numFmt w:val="bullet"/>
      <w:lvlText w:val="•"/>
      <w:lvlJc w:val="left"/>
      <w:pPr>
        <w:tabs>
          <w:tab w:val="num" w:pos="4680"/>
        </w:tabs>
        <w:ind w:left="4680" w:hanging="360"/>
      </w:pPr>
      <w:rPr>
        <w:rFonts w:ascii="Times New Roman" w:hAnsi="Times New Roman" w:hint="default"/>
      </w:rPr>
    </w:lvl>
    <w:lvl w:ilvl="7" w:tplc="FFFFFFFF" w:tentative="1">
      <w:start w:val="1"/>
      <w:numFmt w:val="bullet"/>
      <w:lvlText w:val="•"/>
      <w:lvlJc w:val="left"/>
      <w:pPr>
        <w:tabs>
          <w:tab w:val="num" w:pos="5400"/>
        </w:tabs>
        <w:ind w:left="5400" w:hanging="360"/>
      </w:pPr>
      <w:rPr>
        <w:rFonts w:ascii="Times New Roman" w:hAnsi="Times New Roman" w:hint="default"/>
      </w:rPr>
    </w:lvl>
    <w:lvl w:ilvl="8" w:tplc="FFFFFFFF" w:tentative="1">
      <w:start w:val="1"/>
      <w:numFmt w:val="bullet"/>
      <w:lvlText w:val="•"/>
      <w:lvlJc w:val="left"/>
      <w:pPr>
        <w:tabs>
          <w:tab w:val="num" w:pos="6120"/>
        </w:tabs>
        <w:ind w:left="6120" w:hanging="360"/>
      </w:pPr>
      <w:rPr>
        <w:rFonts w:ascii="Times New Roman" w:hAnsi="Times New Roman" w:hint="default"/>
      </w:rPr>
    </w:lvl>
  </w:abstractNum>
  <w:abstractNum w:abstractNumId="73" w15:restartNumberingAfterBreak="0">
    <w:nsid w:val="3C6117E3"/>
    <w:multiLevelType w:val="hybridMultilevel"/>
    <w:tmpl w:val="457C337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4" w15:restartNumberingAfterBreak="0">
    <w:nsid w:val="3D147233"/>
    <w:multiLevelType w:val="hybridMultilevel"/>
    <w:tmpl w:val="B8EE09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5" w15:restartNumberingAfterBreak="0">
    <w:nsid w:val="3D214C5A"/>
    <w:multiLevelType w:val="hybridMultilevel"/>
    <w:tmpl w:val="BA060448"/>
    <w:lvl w:ilvl="0" w:tplc="14090001">
      <w:start w:val="1"/>
      <w:numFmt w:val="bullet"/>
      <w:lvlText w:val=""/>
      <w:lvlJc w:val="left"/>
      <w:pPr>
        <w:ind w:left="947" w:hanging="360"/>
      </w:pPr>
      <w:rPr>
        <w:rFonts w:ascii="Symbol" w:hAnsi="Symbol" w:hint="default"/>
      </w:rPr>
    </w:lvl>
    <w:lvl w:ilvl="1" w:tplc="14090003" w:tentative="1">
      <w:start w:val="1"/>
      <w:numFmt w:val="bullet"/>
      <w:lvlText w:val="o"/>
      <w:lvlJc w:val="left"/>
      <w:pPr>
        <w:ind w:left="1667" w:hanging="360"/>
      </w:pPr>
      <w:rPr>
        <w:rFonts w:ascii="Courier New" w:hAnsi="Courier New" w:cs="Courier New" w:hint="default"/>
      </w:rPr>
    </w:lvl>
    <w:lvl w:ilvl="2" w:tplc="14090005" w:tentative="1">
      <w:start w:val="1"/>
      <w:numFmt w:val="bullet"/>
      <w:lvlText w:val=""/>
      <w:lvlJc w:val="left"/>
      <w:pPr>
        <w:ind w:left="2387" w:hanging="360"/>
      </w:pPr>
      <w:rPr>
        <w:rFonts w:ascii="Wingdings" w:hAnsi="Wingdings" w:hint="default"/>
      </w:rPr>
    </w:lvl>
    <w:lvl w:ilvl="3" w:tplc="14090001" w:tentative="1">
      <w:start w:val="1"/>
      <w:numFmt w:val="bullet"/>
      <w:lvlText w:val=""/>
      <w:lvlJc w:val="left"/>
      <w:pPr>
        <w:ind w:left="3107" w:hanging="360"/>
      </w:pPr>
      <w:rPr>
        <w:rFonts w:ascii="Symbol" w:hAnsi="Symbol" w:hint="default"/>
      </w:rPr>
    </w:lvl>
    <w:lvl w:ilvl="4" w:tplc="14090003" w:tentative="1">
      <w:start w:val="1"/>
      <w:numFmt w:val="bullet"/>
      <w:lvlText w:val="o"/>
      <w:lvlJc w:val="left"/>
      <w:pPr>
        <w:ind w:left="3827" w:hanging="360"/>
      </w:pPr>
      <w:rPr>
        <w:rFonts w:ascii="Courier New" w:hAnsi="Courier New" w:cs="Courier New" w:hint="default"/>
      </w:rPr>
    </w:lvl>
    <w:lvl w:ilvl="5" w:tplc="14090005" w:tentative="1">
      <w:start w:val="1"/>
      <w:numFmt w:val="bullet"/>
      <w:lvlText w:val=""/>
      <w:lvlJc w:val="left"/>
      <w:pPr>
        <w:ind w:left="4547" w:hanging="360"/>
      </w:pPr>
      <w:rPr>
        <w:rFonts w:ascii="Wingdings" w:hAnsi="Wingdings" w:hint="default"/>
      </w:rPr>
    </w:lvl>
    <w:lvl w:ilvl="6" w:tplc="14090001" w:tentative="1">
      <w:start w:val="1"/>
      <w:numFmt w:val="bullet"/>
      <w:lvlText w:val=""/>
      <w:lvlJc w:val="left"/>
      <w:pPr>
        <w:ind w:left="5267" w:hanging="360"/>
      </w:pPr>
      <w:rPr>
        <w:rFonts w:ascii="Symbol" w:hAnsi="Symbol" w:hint="default"/>
      </w:rPr>
    </w:lvl>
    <w:lvl w:ilvl="7" w:tplc="14090003" w:tentative="1">
      <w:start w:val="1"/>
      <w:numFmt w:val="bullet"/>
      <w:lvlText w:val="o"/>
      <w:lvlJc w:val="left"/>
      <w:pPr>
        <w:ind w:left="5987" w:hanging="360"/>
      </w:pPr>
      <w:rPr>
        <w:rFonts w:ascii="Courier New" w:hAnsi="Courier New" w:cs="Courier New" w:hint="default"/>
      </w:rPr>
    </w:lvl>
    <w:lvl w:ilvl="8" w:tplc="14090005" w:tentative="1">
      <w:start w:val="1"/>
      <w:numFmt w:val="bullet"/>
      <w:lvlText w:val=""/>
      <w:lvlJc w:val="left"/>
      <w:pPr>
        <w:ind w:left="6707" w:hanging="360"/>
      </w:pPr>
      <w:rPr>
        <w:rFonts w:ascii="Wingdings" w:hAnsi="Wingdings" w:hint="default"/>
      </w:rPr>
    </w:lvl>
  </w:abstractNum>
  <w:abstractNum w:abstractNumId="76" w15:restartNumberingAfterBreak="0">
    <w:nsid w:val="3D440CE8"/>
    <w:multiLevelType w:val="hybridMultilevel"/>
    <w:tmpl w:val="86142B4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7" w15:restartNumberingAfterBreak="0">
    <w:nsid w:val="3E3249A8"/>
    <w:multiLevelType w:val="hybridMultilevel"/>
    <w:tmpl w:val="0164C7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8" w15:restartNumberingAfterBreak="0">
    <w:nsid w:val="3FAD0311"/>
    <w:multiLevelType w:val="hybridMultilevel"/>
    <w:tmpl w:val="8684F180"/>
    <w:lvl w:ilvl="0" w:tplc="6F7EB090">
      <w:start w:val="1"/>
      <w:numFmt w:val="decimal"/>
      <w:lvlText w:val="%1."/>
      <w:lvlJc w:val="left"/>
      <w:pPr>
        <w:ind w:left="720" w:hanging="360"/>
      </w:pPr>
      <w:rPr>
        <w:rFonts w:hint="default"/>
        <w:b w:val="0"/>
        <w:bCs/>
        <w:i w:val="0"/>
        <w:color w:val="auto"/>
        <w:sz w:val="22"/>
        <w:szCs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9" w15:restartNumberingAfterBreak="0">
    <w:nsid w:val="416A3F64"/>
    <w:multiLevelType w:val="hybridMultilevel"/>
    <w:tmpl w:val="3768E9AE"/>
    <w:lvl w:ilvl="0" w:tplc="14090001">
      <w:start w:val="1"/>
      <w:numFmt w:val="bullet"/>
      <w:lvlText w:val=""/>
      <w:lvlJc w:val="left"/>
      <w:pPr>
        <w:ind w:left="947" w:hanging="360"/>
      </w:pPr>
      <w:rPr>
        <w:rFonts w:ascii="Symbol" w:hAnsi="Symbol" w:hint="default"/>
      </w:rPr>
    </w:lvl>
    <w:lvl w:ilvl="1" w:tplc="14090003" w:tentative="1">
      <w:start w:val="1"/>
      <w:numFmt w:val="bullet"/>
      <w:lvlText w:val="o"/>
      <w:lvlJc w:val="left"/>
      <w:pPr>
        <w:ind w:left="1667" w:hanging="360"/>
      </w:pPr>
      <w:rPr>
        <w:rFonts w:ascii="Courier New" w:hAnsi="Courier New" w:cs="Courier New" w:hint="default"/>
      </w:rPr>
    </w:lvl>
    <w:lvl w:ilvl="2" w:tplc="14090005" w:tentative="1">
      <w:start w:val="1"/>
      <w:numFmt w:val="bullet"/>
      <w:lvlText w:val=""/>
      <w:lvlJc w:val="left"/>
      <w:pPr>
        <w:ind w:left="2387" w:hanging="360"/>
      </w:pPr>
      <w:rPr>
        <w:rFonts w:ascii="Wingdings" w:hAnsi="Wingdings" w:hint="default"/>
      </w:rPr>
    </w:lvl>
    <w:lvl w:ilvl="3" w:tplc="14090001" w:tentative="1">
      <w:start w:val="1"/>
      <w:numFmt w:val="bullet"/>
      <w:lvlText w:val=""/>
      <w:lvlJc w:val="left"/>
      <w:pPr>
        <w:ind w:left="3107" w:hanging="360"/>
      </w:pPr>
      <w:rPr>
        <w:rFonts w:ascii="Symbol" w:hAnsi="Symbol" w:hint="default"/>
      </w:rPr>
    </w:lvl>
    <w:lvl w:ilvl="4" w:tplc="14090003" w:tentative="1">
      <w:start w:val="1"/>
      <w:numFmt w:val="bullet"/>
      <w:lvlText w:val="o"/>
      <w:lvlJc w:val="left"/>
      <w:pPr>
        <w:ind w:left="3827" w:hanging="360"/>
      </w:pPr>
      <w:rPr>
        <w:rFonts w:ascii="Courier New" w:hAnsi="Courier New" w:cs="Courier New" w:hint="default"/>
      </w:rPr>
    </w:lvl>
    <w:lvl w:ilvl="5" w:tplc="14090005" w:tentative="1">
      <w:start w:val="1"/>
      <w:numFmt w:val="bullet"/>
      <w:lvlText w:val=""/>
      <w:lvlJc w:val="left"/>
      <w:pPr>
        <w:ind w:left="4547" w:hanging="360"/>
      </w:pPr>
      <w:rPr>
        <w:rFonts w:ascii="Wingdings" w:hAnsi="Wingdings" w:hint="default"/>
      </w:rPr>
    </w:lvl>
    <w:lvl w:ilvl="6" w:tplc="14090001" w:tentative="1">
      <w:start w:val="1"/>
      <w:numFmt w:val="bullet"/>
      <w:lvlText w:val=""/>
      <w:lvlJc w:val="left"/>
      <w:pPr>
        <w:ind w:left="5267" w:hanging="360"/>
      </w:pPr>
      <w:rPr>
        <w:rFonts w:ascii="Symbol" w:hAnsi="Symbol" w:hint="default"/>
      </w:rPr>
    </w:lvl>
    <w:lvl w:ilvl="7" w:tplc="14090003" w:tentative="1">
      <w:start w:val="1"/>
      <w:numFmt w:val="bullet"/>
      <w:lvlText w:val="o"/>
      <w:lvlJc w:val="left"/>
      <w:pPr>
        <w:ind w:left="5987" w:hanging="360"/>
      </w:pPr>
      <w:rPr>
        <w:rFonts w:ascii="Courier New" w:hAnsi="Courier New" w:cs="Courier New" w:hint="default"/>
      </w:rPr>
    </w:lvl>
    <w:lvl w:ilvl="8" w:tplc="14090005" w:tentative="1">
      <w:start w:val="1"/>
      <w:numFmt w:val="bullet"/>
      <w:lvlText w:val=""/>
      <w:lvlJc w:val="left"/>
      <w:pPr>
        <w:ind w:left="6707" w:hanging="360"/>
      </w:pPr>
      <w:rPr>
        <w:rFonts w:ascii="Wingdings" w:hAnsi="Wingdings" w:hint="default"/>
      </w:rPr>
    </w:lvl>
  </w:abstractNum>
  <w:abstractNum w:abstractNumId="80" w15:restartNumberingAfterBreak="0">
    <w:nsid w:val="416B6C29"/>
    <w:multiLevelType w:val="hybridMultilevel"/>
    <w:tmpl w:val="5DA608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1" w15:restartNumberingAfterBreak="0">
    <w:nsid w:val="41726E10"/>
    <w:multiLevelType w:val="hybridMultilevel"/>
    <w:tmpl w:val="56B4994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2" w15:restartNumberingAfterBreak="0">
    <w:nsid w:val="41B8777B"/>
    <w:multiLevelType w:val="hybridMultilevel"/>
    <w:tmpl w:val="F82E88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3" w15:restartNumberingAfterBreak="0">
    <w:nsid w:val="42CB30A0"/>
    <w:multiLevelType w:val="hybridMultilevel"/>
    <w:tmpl w:val="61E28F1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4" w15:restartNumberingAfterBreak="0">
    <w:nsid w:val="42D074F8"/>
    <w:multiLevelType w:val="hybridMultilevel"/>
    <w:tmpl w:val="3DCAE22E"/>
    <w:lvl w:ilvl="0" w:tplc="1409000F">
      <w:start w:val="1"/>
      <w:numFmt w:val="decimal"/>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85" w15:restartNumberingAfterBreak="0">
    <w:nsid w:val="436B169B"/>
    <w:multiLevelType w:val="hybridMultilevel"/>
    <w:tmpl w:val="F732C9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6" w15:restartNumberingAfterBreak="0">
    <w:nsid w:val="43EC6FE0"/>
    <w:multiLevelType w:val="hybridMultilevel"/>
    <w:tmpl w:val="6B2040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7" w15:restartNumberingAfterBreak="0">
    <w:nsid w:val="449B2A8E"/>
    <w:multiLevelType w:val="hybridMultilevel"/>
    <w:tmpl w:val="AE1288A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8" w15:restartNumberingAfterBreak="0">
    <w:nsid w:val="45A875BE"/>
    <w:multiLevelType w:val="hybridMultilevel"/>
    <w:tmpl w:val="920C5AEE"/>
    <w:lvl w:ilvl="0" w:tplc="14090001">
      <w:start w:val="1"/>
      <w:numFmt w:val="bullet"/>
      <w:lvlText w:val=""/>
      <w:lvlJc w:val="left"/>
      <w:pPr>
        <w:ind w:left="947" w:hanging="360"/>
      </w:pPr>
      <w:rPr>
        <w:rFonts w:ascii="Symbol" w:hAnsi="Symbol" w:hint="default"/>
      </w:rPr>
    </w:lvl>
    <w:lvl w:ilvl="1" w:tplc="14090003" w:tentative="1">
      <w:start w:val="1"/>
      <w:numFmt w:val="bullet"/>
      <w:lvlText w:val="o"/>
      <w:lvlJc w:val="left"/>
      <w:pPr>
        <w:ind w:left="1667" w:hanging="360"/>
      </w:pPr>
      <w:rPr>
        <w:rFonts w:ascii="Courier New" w:hAnsi="Courier New" w:cs="Courier New" w:hint="default"/>
      </w:rPr>
    </w:lvl>
    <w:lvl w:ilvl="2" w:tplc="14090005" w:tentative="1">
      <w:start w:val="1"/>
      <w:numFmt w:val="bullet"/>
      <w:lvlText w:val=""/>
      <w:lvlJc w:val="left"/>
      <w:pPr>
        <w:ind w:left="2387" w:hanging="360"/>
      </w:pPr>
      <w:rPr>
        <w:rFonts w:ascii="Wingdings" w:hAnsi="Wingdings" w:hint="default"/>
      </w:rPr>
    </w:lvl>
    <w:lvl w:ilvl="3" w:tplc="14090001" w:tentative="1">
      <w:start w:val="1"/>
      <w:numFmt w:val="bullet"/>
      <w:lvlText w:val=""/>
      <w:lvlJc w:val="left"/>
      <w:pPr>
        <w:ind w:left="3107" w:hanging="360"/>
      </w:pPr>
      <w:rPr>
        <w:rFonts w:ascii="Symbol" w:hAnsi="Symbol" w:hint="default"/>
      </w:rPr>
    </w:lvl>
    <w:lvl w:ilvl="4" w:tplc="14090003" w:tentative="1">
      <w:start w:val="1"/>
      <w:numFmt w:val="bullet"/>
      <w:lvlText w:val="o"/>
      <w:lvlJc w:val="left"/>
      <w:pPr>
        <w:ind w:left="3827" w:hanging="360"/>
      </w:pPr>
      <w:rPr>
        <w:rFonts w:ascii="Courier New" w:hAnsi="Courier New" w:cs="Courier New" w:hint="default"/>
      </w:rPr>
    </w:lvl>
    <w:lvl w:ilvl="5" w:tplc="14090005" w:tentative="1">
      <w:start w:val="1"/>
      <w:numFmt w:val="bullet"/>
      <w:lvlText w:val=""/>
      <w:lvlJc w:val="left"/>
      <w:pPr>
        <w:ind w:left="4547" w:hanging="360"/>
      </w:pPr>
      <w:rPr>
        <w:rFonts w:ascii="Wingdings" w:hAnsi="Wingdings" w:hint="default"/>
      </w:rPr>
    </w:lvl>
    <w:lvl w:ilvl="6" w:tplc="14090001" w:tentative="1">
      <w:start w:val="1"/>
      <w:numFmt w:val="bullet"/>
      <w:lvlText w:val=""/>
      <w:lvlJc w:val="left"/>
      <w:pPr>
        <w:ind w:left="5267" w:hanging="360"/>
      </w:pPr>
      <w:rPr>
        <w:rFonts w:ascii="Symbol" w:hAnsi="Symbol" w:hint="default"/>
      </w:rPr>
    </w:lvl>
    <w:lvl w:ilvl="7" w:tplc="14090003" w:tentative="1">
      <w:start w:val="1"/>
      <w:numFmt w:val="bullet"/>
      <w:lvlText w:val="o"/>
      <w:lvlJc w:val="left"/>
      <w:pPr>
        <w:ind w:left="5987" w:hanging="360"/>
      </w:pPr>
      <w:rPr>
        <w:rFonts w:ascii="Courier New" w:hAnsi="Courier New" w:cs="Courier New" w:hint="default"/>
      </w:rPr>
    </w:lvl>
    <w:lvl w:ilvl="8" w:tplc="14090005" w:tentative="1">
      <w:start w:val="1"/>
      <w:numFmt w:val="bullet"/>
      <w:lvlText w:val=""/>
      <w:lvlJc w:val="left"/>
      <w:pPr>
        <w:ind w:left="6707" w:hanging="360"/>
      </w:pPr>
      <w:rPr>
        <w:rFonts w:ascii="Wingdings" w:hAnsi="Wingdings" w:hint="default"/>
      </w:rPr>
    </w:lvl>
  </w:abstractNum>
  <w:abstractNum w:abstractNumId="89" w15:restartNumberingAfterBreak="0">
    <w:nsid w:val="460F5FC2"/>
    <w:multiLevelType w:val="hybridMultilevel"/>
    <w:tmpl w:val="A426F1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0" w15:restartNumberingAfterBreak="0">
    <w:nsid w:val="464A48B2"/>
    <w:multiLevelType w:val="hybridMultilevel"/>
    <w:tmpl w:val="11484AB2"/>
    <w:lvl w:ilvl="0" w:tplc="E41EF11C">
      <w:start w:val="1"/>
      <w:numFmt w:val="decimal"/>
      <w:lvlText w:val="%1."/>
      <w:lvlJc w:val="left"/>
      <w:pPr>
        <w:ind w:left="720" w:hanging="360"/>
      </w:pPr>
      <w:rPr>
        <w:color w:val="5C85D2" w:themeColor="text2" w:themeTint="8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46A161E5"/>
    <w:multiLevelType w:val="hybridMultilevel"/>
    <w:tmpl w:val="CB9E08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2" w15:restartNumberingAfterBreak="0">
    <w:nsid w:val="46ED3E9F"/>
    <w:multiLevelType w:val="hybridMultilevel"/>
    <w:tmpl w:val="44F6E096"/>
    <w:lvl w:ilvl="0" w:tplc="14090001">
      <w:start w:val="1"/>
      <w:numFmt w:val="bullet"/>
      <w:lvlText w:val=""/>
      <w:lvlJc w:val="left"/>
      <w:pPr>
        <w:ind w:left="947" w:hanging="360"/>
      </w:pPr>
      <w:rPr>
        <w:rFonts w:ascii="Symbol" w:hAnsi="Symbol" w:hint="default"/>
      </w:rPr>
    </w:lvl>
    <w:lvl w:ilvl="1" w:tplc="14090003" w:tentative="1">
      <w:start w:val="1"/>
      <w:numFmt w:val="bullet"/>
      <w:lvlText w:val="o"/>
      <w:lvlJc w:val="left"/>
      <w:pPr>
        <w:ind w:left="1667" w:hanging="360"/>
      </w:pPr>
      <w:rPr>
        <w:rFonts w:ascii="Courier New" w:hAnsi="Courier New" w:cs="Courier New" w:hint="default"/>
      </w:rPr>
    </w:lvl>
    <w:lvl w:ilvl="2" w:tplc="14090005" w:tentative="1">
      <w:start w:val="1"/>
      <w:numFmt w:val="bullet"/>
      <w:lvlText w:val=""/>
      <w:lvlJc w:val="left"/>
      <w:pPr>
        <w:ind w:left="2387" w:hanging="360"/>
      </w:pPr>
      <w:rPr>
        <w:rFonts w:ascii="Wingdings" w:hAnsi="Wingdings" w:hint="default"/>
      </w:rPr>
    </w:lvl>
    <w:lvl w:ilvl="3" w:tplc="14090001" w:tentative="1">
      <w:start w:val="1"/>
      <w:numFmt w:val="bullet"/>
      <w:lvlText w:val=""/>
      <w:lvlJc w:val="left"/>
      <w:pPr>
        <w:ind w:left="3107" w:hanging="360"/>
      </w:pPr>
      <w:rPr>
        <w:rFonts w:ascii="Symbol" w:hAnsi="Symbol" w:hint="default"/>
      </w:rPr>
    </w:lvl>
    <w:lvl w:ilvl="4" w:tplc="14090003" w:tentative="1">
      <w:start w:val="1"/>
      <w:numFmt w:val="bullet"/>
      <w:lvlText w:val="o"/>
      <w:lvlJc w:val="left"/>
      <w:pPr>
        <w:ind w:left="3827" w:hanging="360"/>
      </w:pPr>
      <w:rPr>
        <w:rFonts w:ascii="Courier New" w:hAnsi="Courier New" w:cs="Courier New" w:hint="default"/>
      </w:rPr>
    </w:lvl>
    <w:lvl w:ilvl="5" w:tplc="14090005" w:tentative="1">
      <w:start w:val="1"/>
      <w:numFmt w:val="bullet"/>
      <w:lvlText w:val=""/>
      <w:lvlJc w:val="left"/>
      <w:pPr>
        <w:ind w:left="4547" w:hanging="360"/>
      </w:pPr>
      <w:rPr>
        <w:rFonts w:ascii="Wingdings" w:hAnsi="Wingdings" w:hint="default"/>
      </w:rPr>
    </w:lvl>
    <w:lvl w:ilvl="6" w:tplc="14090001" w:tentative="1">
      <w:start w:val="1"/>
      <w:numFmt w:val="bullet"/>
      <w:lvlText w:val=""/>
      <w:lvlJc w:val="left"/>
      <w:pPr>
        <w:ind w:left="5267" w:hanging="360"/>
      </w:pPr>
      <w:rPr>
        <w:rFonts w:ascii="Symbol" w:hAnsi="Symbol" w:hint="default"/>
      </w:rPr>
    </w:lvl>
    <w:lvl w:ilvl="7" w:tplc="14090003" w:tentative="1">
      <w:start w:val="1"/>
      <w:numFmt w:val="bullet"/>
      <w:lvlText w:val="o"/>
      <w:lvlJc w:val="left"/>
      <w:pPr>
        <w:ind w:left="5987" w:hanging="360"/>
      </w:pPr>
      <w:rPr>
        <w:rFonts w:ascii="Courier New" w:hAnsi="Courier New" w:cs="Courier New" w:hint="default"/>
      </w:rPr>
    </w:lvl>
    <w:lvl w:ilvl="8" w:tplc="14090005" w:tentative="1">
      <w:start w:val="1"/>
      <w:numFmt w:val="bullet"/>
      <w:lvlText w:val=""/>
      <w:lvlJc w:val="left"/>
      <w:pPr>
        <w:ind w:left="6707" w:hanging="360"/>
      </w:pPr>
      <w:rPr>
        <w:rFonts w:ascii="Wingdings" w:hAnsi="Wingdings" w:hint="default"/>
      </w:rPr>
    </w:lvl>
  </w:abstractNum>
  <w:abstractNum w:abstractNumId="93" w15:restartNumberingAfterBreak="0">
    <w:nsid w:val="46F270D2"/>
    <w:multiLevelType w:val="hybridMultilevel"/>
    <w:tmpl w:val="E280CC2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4" w15:restartNumberingAfterBreak="0">
    <w:nsid w:val="473D39EC"/>
    <w:multiLevelType w:val="hybridMultilevel"/>
    <w:tmpl w:val="8E968C4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5" w15:restartNumberingAfterBreak="0">
    <w:nsid w:val="482D3ABC"/>
    <w:multiLevelType w:val="hybridMultilevel"/>
    <w:tmpl w:val="FE34A74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6" w15:restartNumberingAfterBreak="0">
    <w:nsid w:val="486D51AA"/>
    <w:multiLevelType w:val="hybridMultilevel"/>
    <w:tmpl w:val="5E4ACE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7" w15:restartNumberingAfterBreak="0">
    <w:nsid w:val="49964BF3"/>
    <w:multiLevelType w:val="hybridMultilevel"/>
    <w:tmpl w:val="FA4A822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8" w15:restartNumberingAfterBreak="0">
    <w:nsid w:val="4AB304EF"/>
    <w:multiLevelType w:val="hybridMultilevel"/>
    <w:tmpl w:val="F0DCD61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9" w15:restartNumberingAfterBreak="0">
    <w:nsid w:val="4B066090"/>
    <w:multiLevelType w:val="hybridMultilevel"/>
    <w:tmpl w:val="6FD47292"/>
    <w:lvl w:ilvl="0" w:tplc="14090001">
      <w:start w:val="1"/>
      <w:numFmt w:val="bullet"/>
      <w:lvlText w:val=""/>
      <w:lvlJc w:val="left"/>
      <w:pPr>
        <w:ind w:left="947" w:hanging="360"/>
      </w:pPr>
      <w:rPr>
        <w:rFonts w:ascii="Symbol" w:hAnsi="Symbol" w:hint="default"/>
      </w:rPr>
    </w:lvl>
    <w:lvl w:ilvl="1" w:tplc="14090003" w:tentative="1">
      <w:start w:val="1"/>
      <w:numFmt w:val="bullet"/>
      <w:lvlText w:val="o"/>
      <w:lvlJc w:val="left"/>
      <w:pPr>
        <w:ind w:left="1667" w:hanging="360"/>
      </w:pPr>
      <w:rPr>
        <w:rFonts w:ascii="Courier New" w:hAnsi="Courier New" w:cs="Courier New" w:hint="default"/>
      </w:rPr>
    </w:lvl>
    <w:lvl w:ilvl="2" w:tplc="14090005" w:tentative="1">
      <w:start w:val="1"/>
      <w:numFmt w:val="bullet"/>
      <w:lvlText w:val=""/>
      <w:lvlJc w:val="left"/>
      <w:pPr>
        <w:ind w:left="2387" w:hanging="360"/>
      </w:pPr>
      <w:rPr>
        <w:rFonts w:ascii="Wingdings" w:hAnsi="Wingdings" w:hint="default"/>
      </w:rPr>
    </w:lvl>
    <w:lvl w:ilvl="3" w:tplc="14090001" w:tentative="1">
      <w:start w:val="1"/>
      <w:numFmt w:val="bullet"/>
      <w:lvlText w:val=""/>
      <w:lvlJc w:val="left"/>
      <w:pPr>
        <w:ind w:left="3107" w:hanging="360"/>
      </w:pPr>
      <w:rPr>
        <w:rFonts w:ascii="Symbol" w:hAnsi="Symbol" w:hint="default"/>
      </w:rPr>
    </w:lvl>
    <w:lvl w:ilvl="4" w:tplc="14090003" w:tentative="1">
      <w:start w:val="1"/>
      <w:numFmt w:val="bullet"/>
      <w:lvlText w:val="o"/>
      <w:lvlJc w:val="left"/>
      <w:pPr>
        <w:ind w:left="3827" w:hanging="360"/>
      </w:pPr>
      <w:rPr>
        <w:rFonts w:ascii="Courier New" w:hAnsi="Courier New" w:cs="Courier New" w:hint="default"/>
      </w:rPr>
    </w:lvl>
    <w:lvl w:ilvl="5" w:tplc="14090005" w:tentative="1">
      <w:start w:val="1"/>
      <w:numFmt w:val="bullet"/>
      <w:lvlText w:val=""/>
      <w:lvlJc w:val="left"/>
      <w:pPr>
        <w:ind w:left="4547" w:hanging="360"/>
      </w:pPr>
      <w:rPr>
        <w:rFonts w:ascii="Wingdings" w:hAnsi="Wingdings" w:hint="default"/>
      </w:rPr>
    </w:lvl>
    <w:lvl w:ilvl="6" w:tplc="14090001" w:tentative="1">
      <w:start w:val="1"/>
      <w:numFmt w:val="bullet"/>
      <w:lvlText w:val=""/>
      <w:lvlJc w:val="left"/>
      <w:pPr>
        <w:ind w:left="5267" w:hanging="360"/>
      </w:pPr>
      <w:rPr>
        <w:rFonts w:ascii="Symbol" w:hAnsi="Symbol" w:hint="default"/>
      </w:rPr>
    </w:lvl>
    <w:lvl w:ilvl="7" w:tplc="14090003" w:tentative="1">
      <w:start w:val="1"/>
      <w:numFmt w:val="bullet"/>
      <w:lvlText w:val="o"/>
      <w:lvlJc w:val="left"/>
      <w:pPr>
        <w:ind w:left="5987" w:hanging="360"/>
      </w:pPr>
      <w:rPr>
        <w:rFonts w:ascii="Courier New" w:hAnsi="Courier New" w:cs="Courier New" w:hint="default"/>
      </w:rPr>
    </w:lvl>
    <w:lvl w:ilvl="8" w:tplc="14090005" w:tentative="1">
      <w:start w:val="1"/>
      <w:numFmt w:val="bullet"/>
      <w:lvlText w:val=""/>
      <w:lvlJc w:val="left"/>
      <w:pPr>
        <w:ind w:left="6707" w:hanging="360"/>
      </w:pPr>
      <w:rPr>
        <w:rFonts w:ascii="Wingdings" w:hAnsi="Wingdings" w:hint="default"/>
      </w:rPr>
    </w:lvl>
  </w:abstractNum>
  <w:abstractNum w:abstractNumId="100" w15:restartNumberingAfterBreak="0">
    <w:nsid w:val="4BFB1DDD"/>
    <w:multiLevelType w:val="hybridMultilevel"/>
    <w:tmpl w:val="B7748E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1" w15:restartNumberingAfterBreak="0">
    <w:nsid w:val="4C910B8E"/>
    <w:multiLevelType w:val="hybridMultilevel"/>
    <w:tmpl w:val="1A5EE034"/>
    <w:lvl w:ilvl="0" w:tplc="1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2" w15:restartNumberingAfterBreak="0">
    <w:nsid w:val="4E554CE9"/>
    <w:multiLevelType w:val="hybridMultilevel"/>
    <w:tmpl w:val="74FA0ABA"/>
    <w:lvl w:ilvl="0" w:tplc="14090001">
      <w:start w:val="1"/>
      <w:numFmt w:val="bullet"/>
      <w:lvlText w:val=""/>
      <w:lvlJc w:val="left"/>
      <w:pPr>
        <w:ind w:left="947" w:hanging="360"/>
      </w:pPr>
      <w:rPr>
        <w:rFonts w:ascii="Symbol" w:hAnsi="Symbol" w:hint="default"/>
      </w:rPr>
    </w:lvl>
    <w:lvl w:ilvl="1" w:tplc="14090003" w:tentative="1">
      <w:start w:val="1"/>
      <w:numFmt w:val="bullet"/>
      <w:lvlText w:val="o"/>
      <w:lvlJc w:val="left"/>
      <w:pPr>
        <w:ind w:left="1667" w:hanging="360"/>
      </w:pPr>
      <w:rPr>
        <w:rFonts w:ascii="Courier New" w:hAnsi="Courier New" w:cs="Courier New" w:hint="default"/>
      </w:rPr>
    </w:lvl>
    <w:lvl w:ilvl="2" w:tplc="14090005" w:tentative="1">
      <w:start w:val="1"/>
      <w:numFmt w:val="bullet"/>
      <w:lvlText w:val=""/>
      <w:lvlJc w:val="left"/>
      <w:pPr>
        <w:ind w:left="2387" w:hanging="360"/>
      </w:pPr>
      <w:rPr>
        <w:rFonts w:ascii="Wingdings" w:hAnsi="Wingdings" w:hint="default"/>
      </w:rPr>
    </w:lvl>
    <w:lvl w:ilvl="3" w:tplc="14090001" w:tentative="1">
      <w:start w:val="1"/>
      <w:numFmt w:val="bullet"/>
      <w:lvlText w:val=""/>
      <w:lvlJc w:val="left"/>
      <w:pPr>
        <w:ind w:left="3107" w:hanging="360"/>
      </w:pPr>
      <w:rPr>
        <w:rFonts w:ascii="Symbol" w:hAnsi="Symbol" w:hint="default"/>
      </w:rPr>
    </w:lvl>
    <w:lvl w:ilvl="4" w:tplc="14090003" w:tentative="1">
      <w:start w:val="1"/>
      <w:numFmt w:val="bullet"/>
      <w:lvlText w:val="o"/>
      <w:lvlJc w:val="left"/>
      <w:pPr>
        <w:ind w:left="3827" w:hanging="360"/>
      </w:pPr>
      <w:rPr>
        <w:rFonts w:ascii="Courier New" w:hAnsi="Courier New" w:cs="Courier New" w:hint="default"/>
      </w:rPr>
    </w:lvl>
    <w:lvl w:ilvl="5" w:tplc="14090005" w:tentative="1">
      <w:start w:val="1"/>
      <w:numFmt w:val="bullet"/>
      <w:lvlText w:val=""/>
      <w:lvlJc w:val="left"/>
      <w:pPr>
        <w:ind w:left="4547" w:hanging="360"/>
      </w:pPr>
      <w:rPr>
        <w:rFonts w:ascii="Wingdings" w:hAnsi="Wingdings" w:hint="default"/>
      </w:rPr>
    </w:lvl>
    <w:lvl w:ilvl="6" w:tplc="14090001" w:tentative="1">
      <w:start w:val="1"/>
      <w:numFmt w:val="bullet"/>
      <w:lvlText w:val=""/>
      <w:lvlJc w:val="left"/>
      <w:pPr>
        <w:ind w:left="5267" w:hanging="360"/>
      </w:pPr>
      <w:rPr>
        <w:rFonts w:ascii="Symbol" w:hAnsi="Symbol" w:hint="default"/>
      </w:rPr>
    </w:lvl>
    <w:lvl w:ilvl="7" w:tplc="14090003" w:tentative="1">
      <w:start w:val="1"/>
      <w:numFmt w:val="bullet"/>
      <w:lvlText w:val="o"/>
      <w:lvlJc w:val="left"/>
      <w:pPr>
        <w:ind w:left="5987" w:hanging="360"/>
      </w:pPr>
      <w:rPr>
        <w:rFonts w:ascii="Courier New" w:hAnsi="Courier New" w:cs="Courier New" w:hint="default"/>
      </w:rPr>
    </w:lvl>
    <w:lvl w:ilvl="8" w:tplc="14090005" w:tentative="1">
      <w:start w:val="1"/>
      <w:numFmt w:val="bullet"/>
      <w:lvlText w:val=""/>
      <w:lvlJc w:val="left"/>
      <w:pPr>
        <w:ind w:left="6707" w:hanging="360"/>
      </w:pPr>
      <w:rPr>
        <w:rFonts w:ascii="Wingdings" w:hAnsi="Wingdings" w:hint="default"/>
      </w:rPr>
    </w:lvl>
  </w:abstractNum>
  <w:abstractNum w:abstractNumId="103" w15:restartNumberingAfterBreak="0">
    <w:nsid w:val="4F0A676E"/>
    <w:multiLevelType w:val="hybridMultilevel"/>
    <w:tmpl w:val="83E8BD90"/>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04" w15:restartNumberingAfterBreak="0">
    <w:nsid w:val="4F733857"/>
    <w:multiLevelType w:val="hybridMultilevel"/>
    <w:tmpl w:val="32287454"/>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05" w15:restartNumberingAfterBreak="0">
    <w:nsid w:val="4F913A19"/>
    <w:multiLevelType w:val="hybridMultilevel"/>
    <w:tmpl w:val="2F86A45C"/>
    <w:lvl w:ilvl="0" w:tplc="14090001">
      <w:start w:val="1"/>
      <w:numFmt w:val="bullet"/>
      <w:lvlText w:val=""/>
      <w:lvlJc w:val="left"/>
      <w:pPr>
        <w:ind w:left="947" w:hanging="360"/>
      </w:pPr>
      <w:rPr>
        <w:rFonts w:ascii="Symbol" w:hAnsi="Symbol" w:hint="default"/>
      </w:rPr>
    </w:lvl>
    <w:lvl w:ilvl="1" w:tplc="14090003" w:tentative="1">
      <w:start w:val="1"/>
      <w:numFmt w:val="bullet"/>
      <w:lvlText w:val="o"/>
      <w:lvlJc w:val="left"/>
      <w:pPr>
        <w:ind w:left="1667" w:hanging="360"/>
      </w:pPr>
      <w:rPr>
        <w:rFonts w:ascii="Courier New" w:hAnsi="Courier New" w:cs="Courier New" w:hint="default"/>
      </w:rPr>
    </w:lvl>
    <w:lvl w:ilvl="2" w:tplc="14090005" w:tentative="1">
      <w:start w:val="1"/>
      <w:numFmt w:val="bullet"/>
      <w:lvlText w:val=""/>
      <w:lvlJc w:val="left"/>
      <w:pPr>
        <w:ind w:left="2387" w:hanging="360"/>
      </w:pPr>
      <w:rPr>
        <w:rFonts w:ascii="Wingdings" w:hAnsi="Wingdings" w:hint="default"/>
      </w:rPr>
    </w:lvl>
    <w:lvl w:ilvl="3" w:tplc="14090001" w:tentative="1">
      <w:start w:val="1"/>
      <w:numFmt w:val="bullet"/>
      <w:lvlText w:val=""/>
      <w:lvlJc w:val="left"/>
      <w:pPr>
        <w:ind w:left="3107" w:hanging="360"/>
      </w:pPr>
      <w:rPr>
        <w:rFonts w:ascii="Symbol" w:hAnsi="Symbol" w:hint="default"/>
      </w:rPr>
    </w:lvl>
    <w:lvl w:ilvl="4" w:tplc="14090003" w:tentative="1">
      <w:start w:val="1"/>
      <w:numFmt w:val="bullet"/>
      <w:lvlText w:val="o"/>
      <w:lvlJc w:val="left"/>
      <w:pPr>
        <w:ind w:left="3827" w:hanging="360"/>
      </w:pPr>
      <w:rPr>
        <w:rFonts w:ascii="Courier New" w:hAnsi="Courier New" w:cs="Courier New" w:hint="default"/>
      </w:rPr>
    </w:lvl>
    <w:lvl w:ilvl="5" w:tplc="14090005" w:tentative="1">
      <w:start w:val="1"/>
      <w:numFmt w:val="bullet"/>
      <w:lvlText w:val=""/>
      <w:lvlJc w:val="left"/>
      <w:pPr>
        <w:ind w:left="4547" w:hanging="360"/>
      </w:pPr>
      <w:rPr>
        <w:rFonts w:ascii="Wingdings" w:hAnsi="Wingdings" w:hint="default"/>
      </w:rPr>
    </w:lvl>
    <w:lvl w:ilvl="6" w:tplc="14090001" w:tentative="1">
      <w:start w:val="1"/>
      <w:numFmt w:val="bullet"/>
      <w:lvlText w:val=""/>
      <w:lvlJc w:val="left"/>
      <w:pPr>
        <w:ind w:left="5267" w:hanging="360"/>
      </w:pPr>
      <w:rPr>
        <w:rFonts w:ascii="Symbol" w:hAnsi="Symbol" w:hint="default"/>
      </w:rPr>
    </w:lvl>
    <w:lvl w:ilvl="7" w:tplc="14090003" w:tentative="1">
      <w:start w:val="1"/>
      <w:numFmt w:val="bullet"/>
      <w:lvlText w:val="o"/>
      <w:lvlJc w:val="left"/>
      <w:pPr>
        <w:ind w:left="5987" w:hanging="360"/>
      </w:pPr>
      <w:rPr>
        <w:rFonts w:ascii="Courier New" w:hAnsi="Courier New" w:cs="Courier New" w:hint="default"/>
      </w:rPr>
    </w:lvl>
    <w:lvl w:ilvl="8" w:tplc="14090005" w:tentative="1">
      <w:start w:val="1"/>
      <w:numFmt w:val="bullet"/>
      <w:lvlText w:val=""/>
      <w:lvlJc w:val="left"/>
      <w:pPr>
        <w:ind w:left="6707" w:hanging="360"/>
      </w:pPr>
      <w:rPr>
        <w:rFonts w:ascii="Wingdings" w:hAnsi="Wingdings" w:hint="default"/>
      </w:rPr>
    </w:lvl>
  </w:abstractNum>
  <w:abstractNum w:abstractNumId="106" w15:restartNumberingAfterBreak="0">
    <w:nsid w:val="518110CE"/>
    <w:multiLevelType w:val="hybridMultilevel"/>
    <w:tmpl w:val="DFFAFEB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7" w15:restartNumberingAfterBreak="0">
    <w:nsid w:val="519E58CD"/>
    <w:multiLevelType w:val="hybridMultilevel"/>
    <w:tmpl w:val="D0AC017C"/>
    <w:lvl w:ilvl="0" w:tplc="1409000F">
      <w:start w:val="1"/>
      <w:numFmt w:val="decimal"/>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08" w15:restartNumberingAfterBreak="0">
    <w:nsid w:val="5580444F"/>
    <w:multiLevelType w:val="hybridMultilevel"/>
    <w:tmpl w:val="B9B6FB4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9" w15:restartNumberingAfterBreak="0">
    <w:nsid w:val="55A732E6"/>
    <w:multiLevelType w:val="hybridMultilevel"/>
    <w:tmpl w:val="CE62006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0" w15:restartNumberingAfterBreak="0">
    <w:nsid w:val="58E22467"/>
    <w:multiLevelType w:val="hybridMultilevel"/>
    <w:tmpl w:val="88E2BD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1" w15:restartNumberingAfterBreak="0">
    <w:nsid w:val="59391A59"/>
    <w:multiLevelType w:val="hybridMultilevel"/>
    <w:tmpl w:val="F85A50E8"/>
    <w:lvl w:ilvl="0" w:tplc="14090001">
      <w:start w:val="1"/>
      <w:numFmt w:val="bullet"/>
      <w:lvlText w:val=""/>
      <w:lvlJc w:val="left"/>
      <w:pPr>
        <w:ind w:left="947" w:hanging="360"/>
      </w:pPr>
      <w:rPr>
        <w:rFonts w:ascii="Symbol" w:hAnsi="Symbol" w:hint="default"/>
      </w:rPr>
    </w:lvl>
    <w:lvl w:ilvl="1" w:tplc="14090003" w:tentative="1">
      <w:start w:val="1"/>
      <w:numFmt w:val="bullet"/>
      <w:lvlText w:val="o"/>
      <w:lvlJc w:val="left"/>
      <w:pPr>
        <w:ind w:left="1667" w:hanging="360"/>
      </w:pPr>
      <w:rPr>
        <w:rFonts w:ascii="Courier New" w:hAnsi="Courier New" w:cs="Courier New" w:hint="default"/>
      </w:rPr>
    </w:lvl>
    <w:lvl w:ilvl="2" w:tplc="14090005" w:tentative="1">
      <w:start w:val="1"/>
      <w:numFmt w:val="bullet"/>
      <w:lvlText w:val=""/>
      <w:lvlJc w:val="left"/>
      <w:pPr>
        <w:ind w:left="2387" w:hanging="360"/>
      </w:pPr>
      <w:rPr>
        <w:rFonts w:ascii="Wingdings" w:hAnsi="Wingdings" w:hint="default"/>
      </w:rPr>
    </w:lvl>
    <w:lvl w:ilvl="3" w:tplc="14090001" w:tentative="1">
      <w:start w:val="1"/>
      <w:numFmt w:val="bullet"/>
      <w:lvlText w:val=""/>
      <w:lvlJc w:val="left"/>
      <w:pPr>
        <w:ind w:left="3107" w:hanging="360"/>
      </w:pPr>
      <w:rPr>
        <w:rFonts w:ascii="Symbol" w:hAnsi="Symbol" w:hint="default"/>
      </w:rPr>
    </w:lvl>
    <w:lvl w:ilvl="4" w:tplc="14090003" w:tentative="1">
      <w:start w:val="1"/>
      <w:numFmt w:val="bullet"/>
      <w:lvlText w:val="o"/>
      <w:lvlJc w:val="left"/>
      <w:pPr>
        <w:ind w:left="3827" w:hanging="360"/>
      </w:pPr>
      <w:rPr>
        <w:rFonts w:ascii="Courier New" w:hAnsi="Courier New" w:cs="Courier New" w:hint="default"/>
      </w:rPr>
    </w:lvl>
    <w:lvl w:ilvl="5" w:tplc="14090005" w:tentative="1">
      <w:start w:val="1"/>
      <w:numFmt w:val="bullet"/>
      <w:lvlText w:val=""/>
      <w:lvlJc w:val="left"/>
      <w:pPr>
        <w:ind w:left="4547" w:hanging="360"/>
      </w:pPr>
      <w:rPr>
        <w:rFonts w:ascii="Wingdings" w:hAnsi="Wingdings" w:hint="default"/>
      </w:rPr>
    </w:lvl>
    <w:lvl w:ilvl="6" w:tplc="14090001" w:tentative="1">
      <w:start w:val="1"/>
      <w:numFmt w:val="bullet"/>
      <w:lvlText w:val=""/>
      <w:lvlJc w:val="left"/>
      <w:pPr>
        <w:ind w:left="5267" w:hanging="360"/>
      </w:pPr>
      <w:rPr>
        <w:rFonts w:ascii="Symbol" w:hAnsi="Symbol" w:hint="default"/>
      </w:rPr>
    </w:lvl>
    <w:lvl w:ilvl="7" w:tplc="14090003" w:tentative="1">
      <w:start w:val="1"/>
      <w:numFmt w:val="bullet"/>
      <w:lvlText w:val="o"/>
      <w:lvlJc w:val="left"/>
      <w:pPr>
        <w:ind w:left="5987" w:hanging="360"/>
      </w:pPr>
      <w:rPr>
        <w:rFonts w:ascii="Courier New" w:hAnsi="Courier New" w:cs="Courier New" w:hint="default"/>
      </w:rPr>
    </w:lvl>
    <w:lvl w:ilvl="8" w:tplc="14090005" w:tentative="1">
      <w:start w:val="1"/>
      <w:numFmt w:val="bullet"/>
      <w:lvlText w:val=""/>
      <w:lvlJc w:val="left"/>
      <w:pPr>
        <w:ind w:left="6707" w:hanging="360"/>
      </w:pPr>
      <w:rPr>
        <w:rFonts w:ascii="Wingdings" w:hAnsi="Wingdings" w:hint="default"/>
      </w:rPr>
    </w:lvl>
  </w:abstractNum>
  <w:abstractNum w:abstractNumId="112" w15:restartNumberingAfterBreak="0">
    <w:nsid w:val="59916A8E"/>
    <w:multiLevelType w:val="hybridMultilevel"/>
    <w:tmpl w:val="2D683F7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3" w15:restartNumberingAfterBreak="0">
    <w:nsid w:val="59985F0F"/>
    <w:multiLevelType w:val="hybridMultilevel"/>
    <w:tmpl w:val="FEC0CF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4" w15:restartNumberingAfterBreak="0">
    <w:nsid w:val="59A26CD2"/>
    <w:multiLevelType w:val="hybridMultilevel"/>
    <w:tmpl w:val="EBC45B2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5" w15:restartNumberingAfterBreak="0">
    <w:nsid w:val="5AB05BE4"/>
    <w:multiLevelType w:val="hybridMultilevel"/>
    <w:tmpl w:val="E8E2AC2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6" w15:restartNumberingAfterBreak="0">
    <w:nsid w:val="5B4D5D00"/>
    <w:multiLevelType w:val="hybridMultilevel"/>
    <w:tmpl w:val="002C00C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7" w15:restartNumberingAfterBreak="0">
    <w:nsid w:val="5BB3275C"/>
    <w:multiLevelType w:val="hybridMultilevel"/>
    <w:tmpl w:val="5F220AA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8" w15:restartNumberingAfterBreak="0">
    <w:nsid w:val="5CEF78F6"/>
    <w:multiLevelType w:val="hybridMultilevel"/>
    <w:tmpl w:val="AC4C95D6"/>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19" w15:restartNumberingAfterBreak="0">
    <w:nsid w:val="5E790785"/>
    <w:multiLevelType w:val="hybridMultilevel"/>
    <w:tmpl w:val="D170470E"/>
    <w:lvl w:ilvl="0" w:tplc="38E4E68E">
      <w:start w:val="1"/>
      <w:numFmt w:val="decimal"/>
      <w:lvlText w:val="%1."/>
      <w:lvlJc w:val="left"/>
      <w:pPr>
        <w:ind w:left="720" w:hanging="360"/>
      </w:pPr>
      <w:rPr>
        <w:rFonts w:hint="default"/>
        <w:b w:val="0"/>
        <w:bCs/>
        <w:i w:val="0"/>
        <w:color w:val="auto"/>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0" w15:restartNumberingAfterBreak="0">
    <w:nsid w:val="611E0309"/>
    <w:multiLevelType w:val="hybridMultilevel"/>
    <w:tmpl w:val="5E740DF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1" w15:restartNumberingAfterBreak="0">
    <w:nsid w:val="61362FE5"/>
    <w:multiLevelType w:val="hybridMultilevel"/>
    <w:tmpl w:val="553AEC5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2" w15:restartNumberingAfterBreak="0">
    <w:nsid w:val="62F65460"/>
    <w:multiLevelType w:val="hybridMultilevel"/>
    <w:tmpl w:val="6B5E6CB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3" w15:restartNumberingAfterBreak="0">
    <w:nsid w:val="642F3346"/>
    <w:multiLevelType w:val="hybridMultilevel"/>
    <w:tmpl w:val="7CAE91C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4" w15:restartNumberingAfterBreak="0">
    <w:nsid w:val="65301C32"/>
    <w:multiLevelType w:val="hybridMultilevel"/>
    <w:tmpl w:val="C3844CB2"/>
    <w:lvl w:ilvl="0" w:tplc="FB50DAC2">
      <w:start w:val="1"/>
      <w:numFmt w:val="bullet"/>
      <w:lvlText w:val="›"/>
      <w:lvlJc w:val="left"/>
      <w:pPr>
        <w:tabs>
          <w:tab w:val="num" w:pos="720"/>
        </w:tabs>
        <w:ind w:left="720" w:hanging="360"/>
      </w:pPr>
      <w:rPr>
        <w:rFonts w:ascii="Arial Black" w:hAnsi="Arial Black" w:hint="default"/>
        <w:color w:val="003399" w:themeColor="accent3"/>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125" w15:restartNumberingAfterBreak="0">
    <w:nsid w:val="65954E78"/>
    <w:multiLevelType w:val="hybridMultilevel"/>
    <w:tmpl w:val="16CE510A"/>
    <w:lvl w:ilvl="0" w:tplc="14090001">
      <w:start w:val="1"/>
      <w:numFmt w:val="bullet"/>
      <w:lvlText w:val=""/>
      <w:lvlJc w:val="left"/>
      <w:pPr>
        <w:ind w:left="947" w:hanging="360"/>
      </w:pPr>
      <w:rPr>
        <w:rFonts w:ascii="Symbol" w:hAnsi="Symbol" w:hint="default"/>
      </w:rPr>
    </w:lvl>
    <w:lvl w:ilvl="1" w:tplc="14090003" w:tentative="1">
      <w:start w:val="1"/>
      <w:numFmt w:val="bullet"/>
      <w:lvlText w:val="o"/>
      <w:lvlJc w:val="left"/>
      <w:pPr>
        <w:ind w:left="1667" w:hanging="360"/>
      </w:pPr>
      <w:rPr>
        <w:rFonts w:ascii="Courier New" w:hAnsi="Courier New" w:cs="Courier New" w:hint="default"/>
      </w:rPr>
    </w:lvl>
    <w:lvl w:ilvl="2" w:tplc="14090005" w:tentative="1">
      <w:start w:val="1"/>
      <w:numFmt w:val="bullet"/>
      <w:lvlText w:val=""/>
      <w:lvlJc w:val="left"/>
      <w:pPr>
        <w:ind w:left="2387" w:hanging="360"/>
      </w:pPr>
      <w:rPr>
        <w:rFonts w:ascii="Wingdings" w:hAnsi="Wingdings" w:hint="default"/>
      </w:rPr>
    </w:lvl>
    <w:lvl w:ilvl="3" w:tplc="14090001" w:tentative="1">
      <w:start w:val="1"/>
      <w:numFmt w:val="bullet"/>
      <w:lvlText w:val=""/>
      <w:lvlJc w:val="left"/>
      <w:pPr>
        <w:ind w:left="3107" w:hanging="360"/>
      </w:pPr>
      <w:rPr>
        <w:rFonts w:ascii="Symbol" w:hAnsi="Symbol" w:hint="default"/>
      </w:rPr>
    </w:lvl>
    <w:lvl w:ilvl="4" w:tplc="14090003" w:tentative="1">
      <w:start w:val="1"/>
      <w:numFmt w:val="bullet"/>
      <w:lvlText w:val="o"/>
      <w:lvlJc w:val="left"/>
      <w:pPr>
        <w:ind w:left="3827" w:hanging="360"/>
      </w:pPr>
      <w:rPr>
        <w:rFonts w:ascii="Courier New" w:hAnsi="Courier New" w:cs="Courier New" w:hint="default"/>
      </w:rPr>
    </w:lvl>
    <w:lvl w:ilvl="5" w:tplc="14090005" w:tentative="1">
      <w:start w:val="1"/>
      <w:numFmt w:val="bullet"/>
      <w:lvlText w:val=""/>
      <w:lvlJc w:val="left"/>
      <w:pPr>
        <w:ind w:left="4547" w:hanging="360"/>
      </w:pPr>
      <w:rPr>
        <w:rFonts w:ascii="Wingdings" w:hAnsi="Wingdings" w:hint="default"/>
      </w:rPr>
    </w:lvl>
    <w:lvl w:ilvl="6" w:tplc="14090001" w:tentative="1">
      <w:start w:val="1"/>
      <w:numFmt w:val="bullet"/>
      <w:lvlText w:val=""/>
      <w:lvlJc w:val="left"/>
      <w:pPr>
        <w:ind w:left="5267" w:hanging="360"/>
      </w:pPr>
      <w:rPr>
        <w:rFonts w:ascii="Symbol" w:hAnsi="Symbol" w:hint="default"/>
      </w:rPr>
    </w:lvl>
    <w:lvl w:ilvl="7" w:tplc="14090003" w:tentative="1">
      <w:start w:val="1"/>
      <w:numFmt w:val="bullet"/>
      <w:lvlText w:val="o"/>
      <w:lvlJc w:val="left"/>
      <w:pPr>
        <w:ind w:left="5987" w:hanging="360"/>
      </w:pPr>
      <w:rPr>
        <w:rFonts w:ascii="Courier New" w:hAnsi="Courier New" w:cs="Courier New" w:hint="default"/>
      </w:rPr>
    </w:lvl>
    <w:lvl w:ilvl="8" w:tplc="14090005" w:tentative="1">
      <w:start w:val="1"/>
      <w:numFmt w:val="bullet"/>
      <w:lvlText w:val=""/>
      <w:lvlJc w:val="left"/>
      <w:pPr>
        <w:ind w:left="6707" w:hanging="360"/>
      </w:pPr>
      <w:rPr>
        <w:rFonts w:ascii="Wingdings" w:hAnsi="Wingdings" w:hint="default"/>
      </w:rPr>
    </w:lvl>
  </w:abstractNum>
  <w:abstractNum w:abstractNumId="126" w15:restartNumberingAfterBreak="0">
    <w:nsid w:val="673E0846"/>
    <w:multiLevelType w:val="hybridMultilevel"/>
    <w:tmpl w:val="38520030"/>
    <w:lvl w:ilvl="0" w:tplc="14090001">
      <w:start w:val="1"/>
      <w:numFmt w:val="bullet"/>
      <w:lvlText w:val=""/>
      <w:lvlJc w:val="left"/>
      <w:pPr>
        <w:ind w:left="947" w:hanging="360"/>
      </w:pPr>
      <w:rPr>
        <w:rFonts w:ascii="Symbol" w:hAnsi="Symbol" w:hint="default"/>
      </w:rPr>
    </w:lvl>
    <w:lvl w:ilvl="1" w:tplc="14090003" w:tentative="1">
      <w:start w:val="1"/>
      <w:numFmt w:val="bullet"/>
      <w:lvlText w:val="o"/>
      <w:lvlJc w:val="left"/>
      <w:pPr>
        <w:ind w:left="1667" w:hanging="360"/>
      </w:pPr>
      <w:rPr>
        <w:rFonts w:ascii="Courier New" w:hAnsi="Courier New" w:cs="Courier New" w:hint="default"/>
      </w:rPr>
    </w:lvl>
    <w:lvl w:ilvl="2" w:tplc="14090005" w:tentative="1">
      <w:start w:val="1"/>
      <w:numFmt w:val="bullet"/>
      <w:lvlText w:val=""/>
      <w:lvlJc w:val="left"/>
      <w:pPr>
        <w:ind w:left="2387" w:hanging="360"/>
      </w:pPr>
      <w:rPr>
        <w:rFonts w:ascii="Wingdings" w:hAnsi="Wingdings" w:hint="default"/>
      </w:rPr>
    </w:lvl>
    <w:lvl w:ilvl="3" w:tplc="14090001" w:tentative="1">
      <w:start w:val="1"/>
      <w:numFmt w:val="bullet"/>
      <w:lvlText w:val=""/>
      <w:lvlJc w:val="left"/>
      <w:pPr>
        <w:ind w:left="3107" w:hanging="360"/>
      </w:pPr>
      <w:rPr>
        <w:rFonts w:ascii="Symbol" w:hAnsi="Symbol" w:hint="default"/>
      </w:rPr>
    </w:lvl>
    <w:lvl w:ilvl="4" w:tplc="14090003" w:tentative="1">
      <w:start w:val="1"/>
      <w:numFmt w:val="bullet"/>
      <w:lvlText w:val="o"/>
      <w:lvlJc w:val="left"/>
      <w:pPr>
        <w:ind w:left="3827" w:hanging="360"/>
      </w:pPr>
      <w:rPr>
        <w:rFonts w:ascii="Courier New" w:hAnsi="Courier New" w:cs="Courier New" w:hint="default"/>
      </w:rPr>
    </w:lvl>
    <w:lvl w:ilvl="5" w:tplc="14090005" w:tentative="1">
      <w:start w:val="1"/>
      <w:numFmt w:val="bullet"/>
      <w:lvlText w:val=""/>
      <w:lvlJc w:val="left"/>
      <w:pPr>
        <w:ind w:left="4547" w:hanging="360"/>
      </w:pPr>
      <w:rPr>
        <w:rFonts w:ascii="Wingdings" w:hAnsi="Wingdings" w:hint="default"/>
      </w:rPr>
    </w:lvl>
    <w:lvl w:ilvl="6" w:tplc="14090001" w:tentative="1">
      <w:start w:val="1"/>
      <w:numFmt w:val="bullet"/>
      <w:lvlText w:val=""/>
      <w:lvlJc w:val="left"/>
      <w:pPr>
        <w:ind w:left="5267" w:hanging="360"/>
      </w:pPr>
      <w:rPr>
        <w:rFonts w:ascii="Symbol" w:hAnsi="Symbol" w:hint="default"/>
      </w:rPr>
    </w:lvl>
    <w:lvl w:ilvl="7" w:tplc="14090003" w:tentative="1">
      <w:start w:val="1"/>
      <w:numFmt w:val="bullet"/>
      <w:lvlText w:val="o"/>
      <w:lvlJc w:val="left"/>
      <w:pPr>
        <w:ind w:left="5987" w:hanging="360"/>
      </w:pPr>
      <w:rPr>
        <w:rFonts w:ascii="Courier New" w:hAnsi="Courier New" w:cs="Courier New" w:hint="default"/>
      </w:rPr>
    </w:lvl>
    <w:lvl w:ilvl="8" w:tplc="14090005" w:tentative="1">
      <w:start w:val="1"/>
      <w:numFmt w:val="bullet"/>
      <w:lvlText w:val=""/>
      <w:lvlJc w:val="left"/>
      <w:pPr>
        <w:ind w:left="6707" w:hanging="360"/>
      </w:pPr>
      <w:rPr>
        <w:rFonts w:ascii="Wingdings" w:hAnsi="Wingdings" w:hint="default"/>
      </w:rPr>
    </w:lvl>
  </w:abstractNum>
  <w:abstractNum w:abstractNumId="127" w15:restartNumberingAfterBreak="0">
    <w:nsid w:val="675A4729"/>
    <w:multiLevelType w:val="hybridMultilevel"/>
    <w:tmpl w:val="813C40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8" w15:restartNumberingAfterBreak="0">
    <w:nsid w:val="6A2D7C49"/>
    <w:multiLevelType w:val="hybridMultilevel"/>
    <w:tmpl w:val="BFCEE7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9" w15:restartNumberingAfterBreak="0">
    <w:nsid w:val="6BEC78BD"/>
    <w:multiLevelType w:val="hybridMultilevel"/>
    <w:tmpl w:val="647C4E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0" w15:restartNumberingAfterBreak="0">
    <w:nsid w:val="6C942DD4"/>
    <w:multiLevelType w:val="hybridMultilevel"/>
    <w:tmpl w:val="D982D7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1" w15:restartNumberingAfterBreak="0">
    <w:nsid w:val="6D7D2C5C"/>
    <w:multiLevelType w:val="hybridMultilevel"/>
    <w:tmpl w:val="BC3CBB26"/>
    <w:lvl w:ilvl="0" w:tplc="06DC9EC8">
      <w:start w:val="1"/>
      <w:numFmt w:val="bullet"/>
      <w:lvlText w:val="›"/>
      <w:lvlJc w:val="left"/>
      <w:pPr>
        <w:tabs>
          <w:tab w:val="num" w:pos="720"/>
        </w:tabs>
        <w:ind w:left="720" w:hanging="360"/>
      </w:pPr>
      <w:rPr>
        <w:rFonts w:ascii="Arial Black" w:hAnsi="Arial Black" w:hint="default"/>
        <w:color w:val="6DD3DD" w:themeColor="accent2" w:themeTint="99"/>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132" w15:restartNumberingAfterBreak="0">
    <w:nsid w:val="6E1868AC"/>
    <w:multiLevelType w:val="hybridMultilevel"/>
    <w:tmpl w:val="935CD6DA"/>
    <w:lvl w:ilvl="0" w:tplc="E438BC42">
      <w:start w:val="1"/>
      <w:numFmt w:val="bullet"/>
      <w:lvlText w:val=""/>
      <w:lvlJc w:val="left"/>
      <w:pPr>
        <w:ind w:left="720" w:hanging="360"/>
      </w:pPr>
      <w:rPr>
        <w:rFonts w:ascii="Wingdings" w:hAnsi="Wingdings" w:hint="default"/>
        <w:color w:val="28A1AC" w:themeColor="accent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3" w15:restartNumberingAfterBreak="0">
    <w:nsid w:val="6F50298B"/>
    <w:multiLevelType w:val="hybridMultilevel"/>
    <w:tmpl w:val="FCBC4E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4" w15:restartNumberingAfterBreak="0">
    <w:nsid w:val="6FEF7476"/>
    <w:multiLevelType w:val="hybridMultilevel"/>
    <w:tmpl w:val="5AFCDF6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5" w15:restartNumberingAfterBreak="0">
    <w:nsid w:val="700361A0"/>
    <w:multiLevelType w:val="hybridMultilevel"/>
    <w:tmpl w:val="0D724C14"/>
    <w:lvl w:ilvl="0" w:tplc="14090001">
      <w:start w:val="1"/>
      <w:numFmt w:val="bullet"/>
      <w:lvlText w:val=""/>
      <w:lvlJc w:val="left"/>
      <w:pPr>
        <w:ind w:left="947" w:hanging="360"/>
      </w:pPr>
      <w:rPr>
        <w:rFonts w:ascii="Symbol" w:hAnsi="Symbol" w:hint="default"/>
      </w:rPr>
    </w:lvl>
    <w:lvl w:ilvl="1" w:tplc="14090003" w:tentative="1">
      <w:start w:val="1"/>
      <w:numFmt w:val="bullet"/>
      <w:lvlText w:val="o"/>
      <w:lvlJc w:val="left"/>
      <w:pPr>
        <w:ind w:left="1667" w:hanging="360"/>
      </w:pPr>
      <w:rPr>
        <w:rFonts w:ascii="Courier New" w:hAnsi="Courier New" w:cs="Courier New" w:hint="default"/>
      </w:rPr>
    </w:lvl>
    <w:lvl w:ilvl="2" w:tplc="14090005" w:tentative="1">
      <w:start w:val="1"/>
      <w:numFmt w:val="bullet"/>
      <w:lvlText w:val=""/>
      <w:lvlJc w:val="left"/>
      <w:pPr>
        <w:ind w:left="2387" w:hanging="360"/>
      </w:pPr>
      <w:rPr>
        <w:rFonts w:ascii="Wingdings" w:hAnsi="Wingdings" w:hint="default"/>
      </w:rPr>
    </w:lvl>
    <w:lvl w:ilvl="3" w:tplc="14090001" w:tentative="1">
      <w:start w:val="1"/>
      <w:numFmt w:val="bullet"/>
      <w:lvlText w:val=""/>
      <w:lvlJc w:val="left"/>
      <w:pPr>
        <w:ind w:left="3107" w:hanging="360"/>
      </w:pPr>
      <w:rPr>
        <w:rFonts w:ascii="Symbol" w:hAnsi="Symbol" w:hint="default"/>
      </w:rPr>
    </w:lvl>
    <w:lvl w:ilvl="4" w:tplc="14090003" w:tentative="1">
      <w:start w:val="1"/>
      <w:numFmt w:val="bullet"/>
      <w:lvlText w:val="o"/>
      <w:lvlJc w:val="left"/>
      <w:pPr>
        <w:ind w:left="3827" w:hanging="360"/>
      </w:pPr>
      <w:rPr>
        <w:rFonts w:ascii="Courier New" w:hAnsi="Courier New" w:cs="Courier New" w:hint="default"/>
      </w:rPr>
    </w:lvl>
    <w:lvl w:ilvl="5" w:tplc="14090005" w:tentative="1">
      <w:start w:val="1"/>
      <w:numFmt w:val="bullet"/>
      <w:lvlText w:val=""/>
      <w:lvlJc w:val="left"/>
      <w:pPr>
        <w:ind w:left="4547" w:hanging="360"/>
      </w:pPr>
      <w:rPr>
        <w:rFonts w:ascii="Wingdings" w:hAnsi="Wingdings" w:hint="default"/>
      </w:rPr>
    </w:lvl>
    <w:lvl w:ilvl="6" w:tplc="14090001" w:tentative="1">
      <w:start w:val="1"/>
      <w:numFmt w:val="bullet"/>
      <w:lvlText w:val=""/>
      <w:lvlJc w:val="left"/>
      <w:pPr>
        <w:ind w:left="5267" w:hanging="360"/>
      </w:pPr>
      <w:rPr>
        <w:rFonts w:ascii="Symbol" w:hAnsi="Symbol" w:hint="default"/>
      </w:rPr>
    </w:lvl>
    <w:lvl w:ilvl="7" w:tplc="14090003" w:tentative="1">
      <w:start w:val="1"/>
      <w:numFmt w:val="bullet"/>
      <w:lvlText w:val="o"/>
      <w:lvlJc w:val="left"/>
      <w:pPr>
        <w:ind w:left="5987" w:hanging="360"/>
      </w:pPr>
      <w:rPr>
        <w:rFonts w:ascii="Courier New" w:hAnsi="Courier New" w:cs="Courier New" w:hint="default"/>
      </w:rPr>
    </w:lvl>
    <w:lvl w:ilvl="8" w:tplc="14090005" w:tentative="1">
      <w:start w:val="1"/>
      <w:numFmt w:val="bullet"/>
      <w:lvlText w:val=""/>
      <w:lvlJc w:val="left"/>
      <w:pPr>
        <w:ind w:left="6707" w:hanging="360"/>
      </w:pPr>
      <w:rPr>
        <w:rFonts w:ascii="Wingdings" w:hAnsi="Wingdings" w:hint="default"/>
      </w:rPr>
    </w:lvl>
  </w:abstractNum>
  <w:abstractNum w:abstractNumId="136" w15:restartNumberingAfterBreak="0">
    <w:nsid w:val="70286C4C"/>
    <w:multiLevelType w:val="hybridMultilevel"/>
    <w:tmpl w:val="02C80F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7" w15:restartNumberingAfterBreak="0">
    <w:nsid w:val="70926CDB"/>
    <w:multiLevelType w:val="hybridMultilevel"/>
    <w:tmpl w:val="DB5C0B74"/>
    <w:lvl w:ilvl="0" w:tplc="14090001">
      <w:start w:val="1"/>
      <w:numFmt w:val="bullet"/>
      <w:lvlText w:val=""/>
      <w:lvlJc w:val="left"/>
      <w:pPr>
        <w:ind w:left="947" w:hanging="360"/>
      </w:pPr>
      <w:rPr>
        <w:rFonts w:ascii="Symbol" w:hAnsi="Symbol" w:hint="default"/>
      </w:rPr>
    </w:lvl>
    <w:lvl w:ilvl="1" w:tplc="14090003" w:tentative="1">
      <w:start w:val="1"/>
      <w:numFmt w:val="bullet"/>
      <w:lvlText w:val="o"/>
      <w:lvlJc w:val="left"/>
      <w:pPr>
        <w:ind w:left="1667" w:hanging="360"/>
      </w:pPr>
      <w:rPr>
        <w:rFonts w:ascii="Courier New" w:hAnsi="Courier New" w:cs="Courier New" w:hint="default"/>
      </w:rPr>
    </w:lvl>
    <w:lvl w:ilvl="2" w:tplc="14090005" w:tentative="1">
      <w:start w:val="1"/>
      <w:numFmt w:val="bullet"/>
      <w:lvlText w:val=""/>
      <w:lvlJc w:val="left"/>
      <w:pPr>
        <w:ind w:left="2387" w:hanging="360"/>
      </w:pPr>
      <w:rPr>
        <w:rFonts w:ascii="Wingdings" w:hAnsi="Wingdings" w:hint="default"/>
      </w:rPr>
    </w:lvl>
    <w:lvl w:ilvl="3" w:tplc="14090001" w:tentative="1">
      <w:start w:val="1"/>
      <w:numFmt w:val="bullet"/>
      <w:lvlText w:val=""/>
      <w:lvlJc w:val="left"/>
      <w:pPr>
        <w:ind w:left="3107" w:hanging="360"/>
      </w:pPr>
      <w:rPr>
        <w:rFonts w:ascii="Symbol" w:hAnsi="Symbol" w:hint="default"/>
      </w:rPr>
    </w:lvl>
    <w:lvl w:ilvl="4" w:tplc="14090003" w:tentative="1">
      <w:start w:val="1"/>
      <w:numFmt w:val="bullet"/>
      <w:lvlText w:val="o"/>
      <w:lvlJc w:val="left"/>
      <w:pPr>
        <w:ind w:left="3827" w:hanging="360"/>
      </w:pPr>
      <w:rPr>
        <w:rFonts w:ascii="Courier New" w:hAnsi="Courier New" w:cs="Courier New" w:hint="default"/>
      </w:rPr>
    </w:lvl>
    <w:lvl w:ilvl="5" w:tplc="14090005" w:tentative="1">
      <w:start w:val="1"/>
      <w:numFmt w:val="bullet"/>
      <w:lvlText w:val=""/>
      <w:lvlJc w:val="left"/>
      <w:pPr>
        <w:ind w:left="4547" w:hanging="360"/>
      </w:pPr>
      <w:rPr>
        <w:rFonts w:ascii="Wingdings" w:hAnsi="Wingdings" w:hint="default"/>
      </w:rPr>
    </w:lvl>
    <w:lvl w:ilvl="6" w:tplc="14090001" w:tentative="1">
      <w:start w:val="1"/>
      <w:numFmt w:val="bullet"/>
      <w:lvlText w:val=""/>
      <w:lvlJc w:val="left"/>
      <w:pPr>
        <w:ind w:left="5267" w:hanging="360"/>
      </w:pPr>
      <w:rPr>
        <w:rFonts w:ascii="Symbol" w:hAnsi="Symbol" w:hint="default"/>
      </w:rPr>
    </w:lvl>
    <w:lvl w:ilvl="7" w:tplc="14090003" w:tentative="1">
      <w:start w:val="1"/>
      <w:numFmt w:val="bullet"/>
      <w:lvlText w:val="o"/>
      <w:lvlJc w:val="left"/>
      <w:pPr>
        <w:ind w:left="5987" w:hanging="360"/>
      </w:pPr>
      <w:rPr>
        <w:rFonts w:ascii="Courier New" w:hAnsi="Courier New" w:cs="Courier New" w:hint="default"/>
      </w:rPr>
    </w:lvl>
    <w:lvl w:ilvl="8" w:tplc="14090005" w:tentative="1">
      <w:start w:val="1"/>
      <w:numFmt w:val="bullet"/>
      <w:lvlText w:val=""/>
      <w:lvlJc w:val="left"/>
      <w:pPr>
        <w:ind w:left="6707" w:hanging="360"/>
      </w:pPr>
      <w:rPr>
        <w:rFonts w:ascii="Wingdings" w:hAnsi="Wingdings" w:hint="default"/>
      </w:rPr>
    </w:lvl>
  </w:abstractNum>
  <w:abstractNum w:abstractNumId="138" w15:restartNumberingAfterBreak="0">
    <w:nsid w:val="710803F7"/>
    <w:multiLevelType w:val="hybridMultilevel"/>
    <w:tmpl w:val="B2FE5A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9" w15:restartNumberingAfterBreak="0">
    <w:nsid w:val="71BD3604"/>
    <w:multiLevelType w:val="hybridMultilevel"/>
    <w:tmpl w:val="003067A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0" w15:restartNumberingAfterBreak="0">
    <w:nsid w:val="72D93F3E"/>
    <w:multiLevelType w:val="hybridMultilevel"/>
    <w:tmpl w:val="D9729E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1" w15:restartNumberingAfterBreak="0">
    <w:nsid w:val="73792DCE"/>
    <w:multiLevelType w:val="hybridMultilevel"/>
    <w:tmpl w:val="CE867110"/>
    <w:lvl w:ilvl="0" w:tplc="14090001">
      <w:start w:val="1"/>
      <w:numFmt w:val="bullet"/>
      <w:lvlText w:val=""/>
      <w:lvlJc w:val="left"/>
      <w:pPr>
        <w:ind w:left="947" w:hanging="360"/>
      </w:pPr>
      <w:rPr>
        <w:rFonts w:ascii="Symbol" w:hAnsi="Symbol" w:hint="default"/>
      </w:rPr>
    </w:lvl>
    <w:lvl w:ilvl="1" w:tplc="14090003" w:tentative="1">
      <w:start w:val="1"/>
      <w:numFmt w:val="bullet"/>
      <w:lvlText w:val="o"/>
      <w:lvlJc w:val="left"/>
      <w:pPr>
        <w:ind w:left="1667" w:hanging="360"/>
      </w:pPr>
      <w:rPr>
        <w:rFonts w:ascii="Courier New" w:hAnsi="Courier New" w:cs="Courier New" w:hint="default"/>
      </w:rPr>
    </w:lvl>
    <w:lvl w:ilvl="2" w:tplc="14090005" w:tentative="1">
      <w:start w:val="1"/>
      <w:numFmt w:val="bullet"/>
      <w:lvlText w:val=""/>
      <w:lvlJc w:val="left"/>
      <w:pPr>
        <w:ind w:left="2387" w:hanging="360"/>
      </w:pPr>
      <w:rPr>
        <w:rFonts w:ascii="Wingdings" w:hAnsi="Wingdings" w:hint="default"/>
      </w:rPr>
    </w:lvl>
    <w:lvl w:ilvl="3" w:tplc="14090001" w:tentative="1">
      <w:start w:val="1"/>
      <w:numFmt w:val="bullet"/>
      <w:lvlText w:val=""/>
      <w:lvlJc w:val="left"/>
      <w:pPr>
        <w:ind w:left="3107" w:hanging="360"/>
      </w:pPr>
      <w:rPr>
        <w:rFonts w:ascii="Symbol" w:hAnsi="Symbol" w:hint="default"/>
      </w:rPr>
    </w:lvl>
    <w:lvl w:ilvl="4" w:tplc="14090003" w:tentative="1">
      <w:start w:val="1"/>
      <w:numFmt w:val="bullet"/>
      <w:lvlText w:val="o"/>
      <w:lvlJc w:val="left"/>
      <w:pPr>
        <w:ind w:left="3827" w:hanging="360"/>
      </w:pPr>
      <w:rPr>
        <w:rFonts w:ascii="Courier New" w:hAnsi="Courier New" w:cs="Courier New" w:hint="default"/>
      </w:rPr>
    </w:lvl>
    <w:lvl w:ilvl="5" w:tplc="14090005" w:tentative="1">
      <w:start w:val="1"/>
      <w:numFmt w:val="bullet"/>
      <w:lvlText w:val=""/>
      <w:lvlJc w:val="left"/>
      <w:pPr>
        <w:ind w:left="4547" w:hanging="360"/>
      </w:pPr>
      <w:rPr>
        <w:rFonts w:ascii="Wingdings" w:hAnsi="Wingdings" w:hint="default"/>
      </w:rPr>
    </w:lvl>
    <w:lvl w:ilvl="6" w:tplc="14090001" w:tentative="1">
      <w:start w:val="1"/>
      <w:numFmt w:val="bullet"/>
      <w:lvlText w:val=""/>
      <w:lvlJc w:val="left"/>
      <w:pPr>
        <w:ind w:left="5267" w:hanging="360"/>
      </w:pPr>
      <w:rPr>
        <w:rFonts w:ascii="Symbol" w:hAnsi="Symbol" w:hint="default"/>
      </w:rPr>
    </w:lvl>
    <w:lvl w:ilvl="7" w:tplc="14090003" w:tentative="1">
      <w:start w:val="1"/>
      <w:numFmt w:val="bullet"/>
      <w:lvlText w:val="o"/>
      <w:lvlJc w:val="left"/>
      <w:pPr>
        <w:ind w:left="5987" w:hanging="360"/>
      </w:pPr>
      <w:rPr>
        <w:rFonts w:ascii="Courier New" w:hAnsi="Courier New" w:cs="Courier New" w:hint="default"/>
      </w:rPr>
    </w:lvl>
    <w:lvl w:ilvl="8" w:tplc="14090005" w:tentative="1">
      <w:start w:val="1"/>
      <w:numFmt w:val="bullet"/>
      <w:lvlText w:val=""/>
      <w:lvlJc w:val="left"/>
      <w:pPr>
        <w:ind w:left="6707" w:hanging="360"/>
      </w:pPr>
      <w:rPr>
        <w:rFonts w:ascii="Wingdings" w:hAnsi="Wingdings" w:hint="default"/>
      </w:rPr>
    </w:lvl>
  </w:abstractNum>
  <w:abstractNum w:abstractNumId="142" w15:restartNumberingAfterBreak="0">
    <w:nsid w:val="744708A5"/>
    <w:multiLevelType w:val="hybridMultilevel"/>
    <w:tmpl w:val="819812BA"/>
    <w:lvl w:ilvl="0" w:tplc="14090001">
      <w:start w:val="1"/>
      <w:numFmt w:val="bullet"/>
      <w:lvlText w:val=""/>
      <w:lvlJc w:val="left"/>
      <w:pPr>
        <w:ind w:left="947" w:hanging="360"/>
      </w:pPr>
      <w:rPr>
        <w:rFonts w:ascii="Symbol" w:hAnsi="Symbol" w:hint="default"/>
      </w:rPr>
    </w:lvl>
    <w:lvl w:ilvl="1" w:tplc="14090003" w:tentative="1">
      <w:start w:val="1"/>
      <w:numFmt w:val="bullet"/>
      <w:lvlText w:val="o"/>
      <w:lvlJc w:val="left"/>
      <w:pPr>
        <w:ind w:left="1667" w:hanging="360"/>
      </w:pPr>
      <w:rPr>
        <w:rFonts w:ascii="Courier New" w:hAnsi="Courier New" w:cs="Courier New" w:hint="default"/>
      </w:rPr>
    </w:lvl>
    <w:lvl w:ilvl="2" w:tplc="14090005" w:tentative="1">
      <w:start w:val="1"/>
      <w:numFmt w:val="bullet"/>
      <w:lvlText w:val=""/>
      <w:lvlJc w:val="left"/>
      <w:pPr>
        <w:ind w:left="2387" w:hanging="360"/>
      </w:pPr>
      <w:rPr>
        <w:rFonts w:ascii="Wingdings" w:hAnsi="Wingdings" w:hint="default"/>
      </w:rPr>
    </w:lvl>
    <w:lvl w:ilvl="3" w:tplc="14090001" w:tentative="1">
      <w:start w:val="1"/>
      <w:numFmt w:val="bullet"/>
      <w:lvlText w:val=""/>
      <w:lvlJc w:val="left"/>
      <w:pPr>
        <w:ind w:left="3107" w:hanging="360"/>
      </w:pPr>
      <w:rPr>
        <w:rFonts w:ascii="Symbol" w:hAnsi="Symbol" w:hint="default"/>
      </w:rPr>
    </w:lvl>
    <w:lvl w:ilvl="4" w:tplc="14090003" w:tentative="1">
      <w:start w:val="1"/>
      <w:numFmt w:val="bullet"/>
      <w:lvlText w:val="o"/>
      <w:lvlJc w:val="left"/>
      <w:pPr>
        <w:ind w:left="3827" w:hanging="360"/>
      </w:pPr>
      <w:rPr>
        <w:rFonts w:ascii="Courier New" w:hAnsi="Courier New" w:cs="Courier New" w:hint="default"/>
      </w:rPr>
    </w:lvl>
    <w:lvl w:ilvl="5" w:tplc="14090005" w:tentative="1">
      <w:start w:val="1"/>
      <w:numFmt w:val="bullet"/>
      <w:lvlText w:val=""/>
      <w:lvlJc w:val="left"/>
      <w:pPr>
        <w:ind w:left="4547" w:hanging="360"/>
      </w:pPr>
      <w:rPr>
        <w:rFonts w:ascii="Wingdings" w:hAnsi="Wingdings" w:hint="default"/>
      </w:rPr>
    </w:lvl>
    <w:lvl w:ilvl="6" w:tplc="14090001" w:tentative="1">
      <w:start w:val="1"/>
      <w:numFmt w:val="bullet"/>
      <w:lvlText w:val=""/>
      <w:lvlJc w:val="left"/>
      <w:pPr>
        <w:ind w:left="5267" w:hanging="360"/>
      </w:pPr>
      <w:rPr>
        <w:rFonts w:ascii="Symbol" w:hAnsi="Symbol" w:hint="default"/>
      </w:rPr>
    </w:lvl>
    <w:lvl w:ilvl="7" w:tplc="14090003" w:tentative="1">
      <w:start w:val="1"/>
      <w:numFmt w:val="bullet"/>
      <w:lvlText w:val="o"/>
      <w:lvlJc w:val="left"/>
      <w:pPr>
        <w:ind w:left="5987" w:hanging="360"/>
      </w:pPr>
      <w:rPr>
        <w:rFonts w:ascii="Courier New" w:hAnsi="Courier New" w:cs="Courier New" w:hint="default"/>
      </w:rPr>
    </w:lvl>
    <w:lvl w:ilvl="8" w:tplc="14090005" w:tentative="1">
      <w:start w:val="1"/>
      <w:numFmt w:val="bullet"/>
      <w:lvlText w:val=""/>
      <w:lvlJc w:val="left"/>
      <w:pPr>
        <w:ind w:left="6707" w:hanging="360"/>
      </w:pPr>
      <w:rPr>
        <w:rFonts w:ascii="Wingdings" w:hAnsi="Wingdings" w:hint="default"/>
      </w:rPr>
    </w:lvl>
  </w:abstractNum>
  <w:abstractNum w:abstractNumId="143" w15:restartNumberingAfterBreak="0">
    <w:nsid w:val="75D66BA5"/>
    <w:multiLevelType w:val="hybridMultilevel"/>
    <w:tmpl w:val="7A2A378A"/>
    <w:lvl w:ilvl="0" w:tplc="FB50DAC2">
      <w:start w:val="1"/>
      <w:numFmt w:val="bullet"/>
      <w:lvlText w:val="›"/>
      <w:lvlJc w:val="left"/>
      <w:pPr>
        <w:tabs>
          <w:tab w:val="num" w:pos="720"/>
        </w:tabs>
        <w:ind w:left="720" w:hanging="360"/>
      </w:pPr>
      <w:rPr>
        <w:rFonts w:ascii="Arial Black" w:hAnsi="Arial Black" w:hint="default"/>
        <w:color w:val="003399" w:themeColor="accent3"/>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144" w15:restartNumberingAfterBreak="0">
    <w:nsid w:val="75E22F37"/>
    <w:multiLevelType w:val="hybridMultilevel"/>
    <w:tmpl w:val="20908B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5" w15:restartNumberingAfterBreak="0">
    <w:nsid w:val="77D570C4"/>
    <w:multiLevelType w:val="hybridMultilevel"/>
    <w:tmpl w:val="BD5E39C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6" w15:restartNumberingAfterBreak="0">
    <w:nsid w:val="77F12ABB"/>
    <w:multiLevelType w:val="hybridMultilevel"/>
    <w:tmpl w:val="2A4279A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7" w15:restartNumberingAfterBreak="0">
    <w:nsid w:val="78B33117"/>
    <w:multiLevelType w:val="hybridMultilevel"/>
    <w:tmpl w:val="D5F495A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16cid:durableId="618023993">
    <w:abstractNumId w:val="44"/>
  </w:num>
  <w:num w:numId="2" w16cid:durableId="1078211434">
    <w:abstractNumId w:val="4"/>
  </w:num>
  <w:num w:numId="3" w16cid:durableId="23943862">
    <w:abstractNumId w:val="2"/>
  </w:num>
  <w:num w:numId="4" w16cid:durableId="1132017865">
    <w:abstractNumId w:val="1"/>
  </w:num>
  <w:num w:numId="5" w16cid:durableId="232087414">
    <w:abstractNumId w:val="3"/>
  </w:num>
  <w:num w:numId="6" w16cid:durableId="1480994862">
    <w:abstractNumId w:val="0"/>
  </w:num>
  <w:num w:numId="7" w16cid:durableId="75592212">
    <w:abstractNumId w:val="23"/>
  </w:num>
  <w:num w:numId="8" w16cid:durableId="1736928306">
    <w:abstractNumId w:val="22"/>
  </w:num>
  <w:num w:numId="9" w16cid:durableId="495456026">
    <w:abstractNumId w:val="17"/>
  </w:num>
  <w:num w:numId="10" w16cid:durableId="264852077">
    <w:abstractNumId w:val="140"/>
  </w:num>
  <w:num w:numId="11" w16cid:durableId="1411536297">
    <w:abstractNumId w:val="16"/>
  </w:num>
  <w:num w:numId="12" w16cid:durableId="1413044417">
    <w:abstractNumId w:val="37"/>
  </w:num>
  <w:num w:numId="13" w16cid:durableId="543518850">
    <w:abstractNumId w:val="132"/>
  </w:num>
  <w:num w:numId="14" w16cid:durableId="1732533872">
    <w:abstractNumId w:val="40"/>
  </w:num>
  <w:num w:numId="15" w16cid:durableId="152962955">
    <w:abstractNumId w:val="131"/>
  </w:num>
  <w:num w:numId="16" w16cid:durableId="985745247">
    <w:abstractNumId w:val="82"/>
  </w:num>
  <w:num w:numId="17" w16cid:durableId="1193345168">
    <w:abstractNumId w:val="108"/>
  </w:num>
  <w:num w:numId="18" w16cid:durableId="673149122">
    <w:abstractNumId w:val="42"/>
  </w:num>
  <w:num w:numId="19" w16cid:durableId="140536911">
    <w:abstractNumId w:val="106"/>
  </w:num>
  <w:num w:numId="20" w16cid:durableId="954361291">
    <w:abstractNumId w:val="145"/>
  </w:num>
  <w:num w:numId="21" w16cid:durableId="1656641766">
    <w:abstractNumId w:val="58"/>
  </w:num>
  <w:num w:numId="22" w16cid:durableId="309331102">
    <w:abstractNumId w:val="115"/>
  </w:num>
  <w:num w:numId="23" w16cid:durableId="661666851">
    <w:abstractNumId w:val="81"/>
  </w:num>
  <w:num w:numId="24" w16cid:durableId="1160657732">
    <w:abstractNumId w:val="136"/>
  </w:num>
  <w:num w:numId="25" w16cid:durableId="1789859895">
    <w:abstractNumId w:val="31"/>
  </w:num>
  <w:num w:numId="26" w16cid:durableId="1661618021">
    <w:abstractNumId w:val="80"/>
  </w:num>
  <w:num w:numId="27" w16cid:durableId="1359741995">
    <w:abstractNumId w:val="50"/>
  </w:num>
  <w:num w:numId="28" w16cid:durableId="1484740288">
    <w:abstractNumId w:val="91"/>
  </w:num>
  <w:num w:numId="29" w16cid:durableId="1503471640">
    <w:abstractNumId w:val="129"/>
  </w:num>
  <w:num w:numId="30" w16cid:durableId="2024898530">
    <w:abstractNumId w:val="127"/>
  </w:num>
  <w:num w:numId="31" w16cid:durableId="1689719936">
    <w:abstractNumId w:val="68"/>
  </w:num>
  <w:num w:numId="32" w16cid:durableId="2053453817">
    <w:abstractNumId w:val="7"/>
  </w:num>
  <w:num w:numId="33" w16cid:durableId="1728186769">
    <w:abstractNumId w:val="85"/>
  </w:num>
  <w:num w:numId="34" w16cid:durableId="1166633985">
    <w:abstractNumId w:val="67"/>
  </w:num>
  <w:num w:numId="35" w16cid:durableId="1557160700">
    <w:abstractNumId w:val="65"/>
  </w:num>
  <w:num w:numId="36" w16cid:durableId="956524348">
    <w:abstractNumId w:val="70"/>
  </w:num>
  <w:num w:numId="37" w16cid:durableId="2140606097">
    <w:abstractNumId w:val="25"/>
  </w:num>
  <w:num w:numId="38" w16cid:durableId="363756201">
    <w:abstractNumId w:val="130"/>
  </w:num>
  <w:num w:numId="39" w16cid:durableId="1834297681">
    <w:abstractNumId w:val="104"/>
  </w:num>
  <w:num w:numId="40" w16cid:durableId="1036347270">
    <w:abstractNumId w:val="74"/>
  </w:num>
  <w:num w:numId="41" w16cid:durableId="1472868561">
    <w:abstractNumId w:val="13"/>
  </w:num>
  <w:num w:numId="42" w16cid:durableId="1800489928">
    <w:abstractNumId w:val="133"/>
  </w:num>
  <w:num w:numId="43" w16cid:durableId="515584996">
    <w:abstractNumId w:val="138"/>
  </w:num>
  <w:num w:numId="44" w16cid:durableId="335771446">
    <w:abstractNumId w:val="60"/>
  </w:num>
  <w:num w:numId="45" w16cid:durableId="1072969968">
    <w:abstractNumId w:val="124"/>
  </w:num>
  <w:num w:numId="46" w16cid:durableId="2102334444">
    <w:abstractNumId w:val="41"/>
  </w:num>
  <w:num w:numId="47" w16cid:durableId="1755936400">
    <w:abstractNumId w:val="143"/>
  </w:num>
  <w:num w:numId="48" w16cid:durableId="323515251">
    <w:abstractNumId w:val="92"/>
  </w:num>
  <w:num w:numId="49" w16cid:durableId="519704177">
    <w:abstractNumId w:val="88"/>
  </w:num>
  <w:num w:numId="50" w16cid:durableId="1186553589">
    <w:abstractNumId w:val="45"/>
  </w:num>
  <w:num w:numId="51" w16cid:durableId="9843629">
    <w:abstractNumId w:val="43"/>
  </w:num>
  <w:num w:numId="52" w16cid:durableId="663818478">
    <w:abstractNumId w:val="56"/>
  </w:num>
  <w:num w:numId="53" w16cid:durableId="1050306872">
    <w:abstractNumId w:val="118"/>
  </w:num>
  <w:num w:numId="54" w16cid:durableId="659117912">
    <w:abstractNumId w:val="19"/>
  </w:num>
  <w:num w:numId="55" w16cid:durableId="324475540">
    <w:abstractNumId w:val="102"/>
  </w:num>
  <w:num w:numId="56" w16cid:durableId="361512335">
    <w:abstractNumId w:val="99"/>
  </w:num>
  <w:num w:numId="57" w16cid:durableId="44764682">
    <w:abstractNumId w:val="105"/>
  </w:num>
  <w:num w:numId="58" w16cid:durableId="275144198">
    <w:abstractNumId w:val="126"/>
  </w:num>
  <w:num w:numId="59" w16cid:durableId="1579561420">
    <w:abstractNumId w:val="52"/>
  </w:num>
  <w:num w:numId="60" w16cid:durableId="840394615">
    <w:abstractNumId w:val="34"/>
  </w:num>
  <w:num w:numId="61" w16cid:durableId="1479613931">
    <w:abstractNumId w:val="5"/>
  </w:num>
  <w:num w:numId="62" w16cid:durableId="246158115">
    <w:abstractNumId w:val="120"/>
  </w:num>
  <w:num w:numId="63" w16cid:durableId="921984521">
    <w:abstractNumId w:val="114"/>
  </w:num>
  <w:num w:numId="64" w16cid:durableId="634216259">
    <w:abstractNumId w:val="95"/>
  </w:num>
  <w:num w:numId="65" w16cid:durableId="2134051073">
    <w:abstractNumId w:val="101"/>
  </w:num>
  <w:num w:numId="66" w16cid:durableId="812259418">
    <w:abstractNumId w:val="122"/>
  </w:num>
  <w:num w:numId="67" w16cid:durableId="931012497">
    <w:abstractNumId w:val="94"/>
  </w:num>
  <w:num w:numId="68" w16cid:durableId="103883571">
    <w:abstractNumId w:val="33"/>
  </w:num>
  <w:num w:numId="69" w16cid:durableId="1776901919">
    <w:abstractNumId w:val="134"/>
  </w:num>
  <w:num w:numId="70" w16cid:durableId="1869903017">
    <w:abstractNumId w:val="116"/>
  </w:num>
  <w:num w:numId="71" w16cid:durableId="1031026851">
    <w:abstractNumId w:val="11"/>
  </w:num>
  <w:num w:numId="72" w16cid:durableId="421025485">
    <w:abstractNumId w:val="64"/>
  </w:num>
  <w:num w:numId="73" w16cid:durableId="130252237">
    <w:abstractNumId w:val="141"/>
  </w:num>
  <w:num w:numId="74" w16cid:durableId="1947039273">
    <w:abstractNumId w:val="110"/>
  </w:num>
  <w:num w:numId="75" w16cid:durableId="871503609">
    <w:abstractNumId w:val="12"/>
  </w:num>
  <w:num w:numId="76" w16cid:durableId="1827892836">
    <w:abstractNumId w:val="89"/>
  </w:num>
  <w:num w:numId="77" w16cid:durableId="1850293519">
    <w:abstractNumId w:val="46"/>
  </w:num>
  <w:num w:numId="78" w16cid:durableId="1294747377">
    <w:abstractNumId w:val="112"/>
  </w:num>
  <w:num w:numId="79" w16cid:durableId="1543441337">
    <w:abstractNumId w:val="113"/>
  </w:num>
  <w:num w:numId="80" w16cid:durableId="1348095863">
    <w:abstractNumId w:val="77"/>
  </w:num>
  <w:num w:numId="81" w16cid:durableId="1716192664">
    <w:abstractNumId w:val="96"/>
  </w:num>
  <w:num w:numId="82" w16cid:durableId="640579412">
    <w:abstractNumId w:val="32"/>
  </w:num>
  <w:num w:numId="83" w16cid:durableId="1334607697">
    <w:abstractNumId w:val="26"/>
  </w:num>
  <w:num w:numId="84" w16cid:durableId="1612514024">
    <w:abstractNumId w:val="59"/>
  </w:num>
  <w:num w:numId="85" w16cid:durableId="465855130">
    <w:abstractNumId w:val="139"/>
  </w:num>
  <w:num w:numId="86" w16cid:durableId="587885384">
    <w:abstractNumId w:val="72"/>
  </w:num>
  <w:num w:numId="87" w16cid:durableId="1907299879">
    <w:abstractNumId w:val="69"/>
  </w:num>
  <w:num w:numId="88" w16cid:durableId="451628822">
    <w:abstractNumId w:val="21"/>
  </w:num>
  <w:num w:numId="89" w16cid:durableId="1902523440">
    <w:abstractNumId w:val="125"/>
  </w:num>
  <w:num w:numId="90" w16cid:durableId="1832915522">
    <w:abstractNumId w:val="62"/>
  </w:num>
  <w:num w:numId="91" w16cid:durableId="1877112741">
    <w:abstractNumId w:val="54"/>
  </w:num>
  <w:num w:numId="92" w16cid:durableId="1501503648">
    <w:abstractNumId w:val="93"/>
  </w:num>
  <w:num w:numId="93" w16cid:durableId="294679017">
    <w:abstractNumId w:val="98"/>
  </w:num>
  <w:num w:numId="94" w16cid:durableId="1295478982">
    <w:abstractNumId w:val="73"/>
  </w:num>
  <w:num w:numId="95" w16cid:durableId="1229923435">
    <w:abstractNumId w:val="86"/>
  </w:num>
  <w:num w:numId="96" w16cid:durableId="533882477">
    <w:abstractNumId w:val="79"/>
  </w:num>
  <w:num w:numId="97" w16cid:durableId="475072593">
    <w:abstractNumId w:val="57"/>
  </w:num>
  <w:num w:numId="98" w16cid:durableId="1856142486">
    <w:abstractNumId w:val="100"/>
  </w:num>
  <w:num w:numId="99" w16cid:durableId="2129278489">
    <w:abstractNumId w:val="30"/>
  </w:num>
  <w:num w:numId="100" w16cid:durableId="1667397897">
    <w:abstractNumId w:val="61"/>
  </w:num>
  <w:num w:numId="101" w16cid:durableId="201090753">
    <w:abstractNumId w:val="75"/>
  </w:num>
  <w:num w:numId="102" w16cid:durableId="685450486">
    <w:abstractNumId w:val="47"/>
  </w:num>
  <w:num w:numId="103" w16cid:durableId="104931422">
    <w:abstractNumId w:val="142"/>
  </w:num>
  <w:num w:numId="104" w16cid:durableId="1555585603">
    <w:abstractNumId w:val="15"/>
  </w:num>
  <w:num w:numId="105" w16cid:durableId="886648584">
    <w:abstractNumId w:val="8"/>
  </w:num>
  <w:num w:numId="106" w16cid:durableId="481581850">
    <w:abstractNumId w:val="71"/>
  </w:num>
  <w:num w:numId="107" w16cid:durableId="883367517">
    <w:abstractNumId w:val="28"/>
  </w:num>
  <w:num w:numId="108" w16cid:durableId="62530161">
    <w:abstractNumId w:val="20"/>
  </w:num>
  <w:num w:numId="109" w16cid:durableId="856774902">
    <w:abstractNumId w:val="14"/>
  </w:num>
  <w:num w:numId="110" w16cid:durableId="1841852234">
    <w:abstractNumId w:val="78"/>
  </w:num>
  <w:num w:numId="111" w16cid:durableId="65228999">
    <w:abstractNumId w:val="55"/>
  </w:num>
  <w:num w:numId="112" w16cid:durableId="1725369740">
    <w:abstractNumId w:val="119"/>
  </w:num>
  <w:num w:numId="113" w16cid:durableId="2050764618">
    <w:abstractNumId w:val="53"/>
  </w:num>
  <w:num w:numId="114" w16cid:durableId="488787205">
    <w:abstractNumId w:val="90"/>
  </w:num>
  <w:num w:numId="115" w16cid:durableId="1988897090">
    <w:abstractNumId w:val="35"/>
  </w:num>
  <w:num w:numId="116" w16cid:durableId="1502743976">
    <w:abstractNumId w:val="27"/>
  </w:num>
  <w:num w:numId="117" w16cid:durableId="1840191103">
    <w:abstractNumId w:val="63"/>
  </w:num>
  <w:num w:numId="118" w16cid:durableId="1885553912">
    <w:abstractNumId w:val="6"/>
  </w:num>
  <w:num w:numId="119" w16cid:durableId="1466316985">
    <w:abstractNumId w:val="121"/>
  </w:num>
  <w:num w:numId="120" w16cid:durableId="183978812">
    <w:abstractNumId w:val="147"/>
  </w:num>
  <w:num w:numId="121" w16cid:durableId="1977637317">
    <w:abstractNumId w:val="38"/>
  </w:num>
  <w:num w:numId="122" w16cid:durableId="1360087903">
    <w:abstractNumId w:val="83"/>
  </w:num>
  <w:num w:numId="123" w16cid:durableId="938299067">
    <w:abstractNumId w:val="48"/>
  </w:num>
  <w:num w:numId="124" w16cid:durableId="724762818">
    <w:abstractNumId w:val="87"/>
  </w:num>
  <w:num w:numId="125" w16cid:durableId="1760516944">
    <w:abstractNumId w:val="97"/>
  </w:num>
  <w:num w:numId="126" w16cid:durableId="941839704">
    <w:abstractNumId w:val="117"/>
  </w:num>
  <w:num w:numId="127" w16cid:durableId="1562399986">
    <w:abstractNumId w:val="24"/>
  </w:num>
  <w:num w:numId="128" w16cid:durableId="2054311083">
    <w:abstractNumId w:val="10"/>
  </w:num>
  <w:num w:numId="129" w16cid:durableId="1659073047">
    <w:abstractNumId w:val="76"/>
  </w:num>
  <w:num w:numId="130" w16cid:durableId="2036416759">
    <w:abstractNumId w:val="18"/>
  </w:num>
  <w:num w:numId="131" w16cid:durableId="1197893689">
    <w:abstractNumId w:val="51"/>
  </w:num>
  <w:num w:numId="132" w16cid:durableId="500393863">
    <w:abstractNumId w:val="146"/>
  </w:num>
  <w:num w:numId="133" w16cid:durableId="1698964871">
    <w:abstractNumId w:val="123"/>
  </w:num>
  <w:num w:numId="134" w16cid:durableId="1834177346">
    <w:abstractNumId w:val="109"/>
  </w:num>
  <w:num w:numId="135" w16cid:durableId="2083137634">
    <w:abstractNumId w:val="137"/>
  </w:num>
  <w:num w:numId="136" w16cid:durableId="1785536826">
    <w:abstractNumId w:val="128"/>
  </w:num>
  <w:num w:numId="137" w16cid:durableId="2019185890">
    <w:abstractNumId w:val="39"/>
  </w:num>
  <w:num w:numId="138" w16cid:durableId="1514492270">
    <w:abstractNumId w:val="66"/>
  </w:num>
  <w:num w:numId="139" w16cid:durableId="62339109">
    <w:abstractNumId w:val="49"/>
  </w:num>
  <w:num w:numId="140" w16cid:durableId="1709335658">
    <w:abstractNumId w:val="144"/>
  </w:num>
  <w:num w:numId="141" w16cid:durableId="1557081579">
    <w:abstractNumId w:val="111"/>
  </w:num>
  <w:num w:numId="142" w16cid:durableId="1955745132">
    <w:abstractNumId w:val="135"/>
  </w:num>
  <w:num w:numId="143" w16cid:durableId="1650328057">
    <w:abstractNumId w:val="107"/>
  </w:num>
  <w:num w:numId="144" w16cid:durableId="103352747">
    <w:abstractNumId w:val="29"/>
  </w:num>
  <w:num w:numId="145" w16cid:durableId="2070834623">
    <w:abstractNumId w:val="9"/>
  </w:num>
  <w:num w:numId="146" w16cid:durableId="2141024270">
    <w:abstractNumId w:val="36"/>
  </w:num>
  <w:num w:numId="147" w16cid:durableId="1768497225">
    <w:abstractNumId w:val="103"/>
  </w:num>
  <w:num w:numId="148" w16cid:durableId="1425689779">
    <w:abstractNumId w:val="84"/>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rQwMDczNDWwsDQ0NbVQ0lEKTi0uzszPAykwrAUAIPm0eSwAAAA="/>
  </w:docVars>
  <w:rsids>
    <w:rsidRoot w:val="006C3CC4"/>
    <w:rsid w:val="00002711"/>
    <w:rsid w:val="00003072"/>
    <w:rsid w:val="00014BB0"/>
    <w:rsid w:val="00015358"/>
    <w:rsid w:val="00016212"/>
    <w:rsid w:val="0002438E"/>
    <w:rsid w:val="00024D40"/>
    <w:rsid w:val="00031B7C"/>
    <w:rsid w:val="000426E6"/>
    <w:rsid w:val="00044E68"/>
    <w:rsid w:val="00062FA9"/>
    <w:rsid w:val="00065884"/>
    <w:rsid w:val="000808DC"/>
    <w:rsid w:val="00087025"/>
    <w:rsid w:val="00093907"/>
    <w:rsid w:val="000A0561"/>
    <w:rsid w:val="000A07F1"/>
    <w:rsid w:val="000A1E5C"/>
    <w:rsid w:val="000A30C3"/>
    <w:rsid w:val="000A5357"/>
    <w:rsid w:val="000A6E66"/>
    <w:rsid w:val="000C006E"/>
    <w:rsid w:val="000C41E3"/>
    <w:rsid w:val="000D0501"/>
    <w:rsid w:val="000D755A"/>
    <w:rsid w:val="000D7DA2"/>
    <w:rsid w:val="000E6421"/>
    <w:rsid w:val="000F0AB0"/>
    <w:rsid w:val="000F25C7"/>
    <w:rsid w:val="000F462C"/>
    <w:rsid w:val="000F4D2B"/>
    <w:rsid w:val="000F7634"/>
    <w:rsid w:val="00103A06"/>
    <w:rsid w:val="00104511"/>
    <w:rsid w:val="001051A6"/>
    <w:rsid w:val="00115255"/>
    <w:rsid w:val="001179E5"/>
    <w:rsid w:val="00122447"/>
    <w:rsid w:val="001228A7"/>
    <w:rsid w:val="00122DC2"/>
    <w:rsid w:val="00124A55"/>
    <w:rsid w:val="00125D16"/>
    <w:rsid w:val="00125D7A"/>
    <w:rsid w:val="0012609D"/>
    <w:rsid w:val="00127F6D"/>
    <w:rsid w:val="00135934"/>
    <w:rsid w:val="00136BFB"/>
    <w:rsid w:val="00141184"/>
    <w:rsid w:val="0014247D"/>
    <w:rsid w:val="00147D9F"/>
    <w:rsid w:val="0015078F"/>
    <w:rsid w:val="001646CE"/>
    <w:rsid w:val="001710B1"/>
    <w:rsid w:val="00175BDC"/>
    <w:rsid w:val="00184663"/>
    <w:rsid w:val="00184A47"/>
    <w:rsid w:val="00184CAD"/>
    <w:rsid w:val="00184E67"/>
    <w:rsid w:val="001A2AFC"/>
    <w:rsid w:val="001B187E"/>
    <w:rsid w:val="001B22DB"/>
    <w:rsid w:val="001C147F"/>
    <w:rsid w:val="001C37CA"/>
    <w:rsid w:val="001C4C86"/>
    <w:rsid w:val="001C6FD8"/>
    <w:rsid w:val="001C7764"/>
    <w:rsid w:val="001D4560"/>
    <w:rsid w:val="001E1395"/>
    <w:rsid w:val="001F173F"/>
    <w:rsid w:val="001F3843"/>
    <w:rsid w:val="001F7FFB"/>
    <w:rsid w:val="00201348"/>
    <w:rsid w:val="002030D9"/>
    <w:rsid w:val="00211A94"/>
    <w:rsid w:val="00216E1B"/>
    <w:rsid w:val="00217E72"/>
    <w:rsid w:val="00222274"/>
    <w:rsid w:val="00225E51"/>
    <w:rsid w:val="00225F0E"/>
    <w:rsid w:val="002263B0"/>
    <w:rsid w:val="00234BE2"/>
    <w:rsid w:val="002400B6"/>
    <w:rsid w:val="002401BB"/>
    <w:rsid w:val="0024046B"/>
    <w:rsid w:val="002411F0"/>
    <w:rsid w:val="00245802"/>
    <w:rsid w:val="00247027"/>
    <w:rsid w:val="0025055B"/>
    <w:rsid w:val="00253807"/>
    <w:rsid w:val="00257B12"/>
    <w:rsid w:val="00264103"/>
    <w:rsid w:val="00265DD0"/>
    <w:rsid w:val="0026665F"/>
    <w:rsid w:val="00272A72"/>
    <w:rsid w:val="00274EB1"/>
    <w:rsid w:val="00286250"/>
    <w:rsid w:val="00287343"/>
    <w:rsid w:val="0029152E"/>
    <w:rsid w:val="002928ED"/>
    <w:rsid w:val="002937B6"/>
    <w:rsid w:val="002947F7"/>
    <w:rsid w:val="00294CEB"/>
    <w:rsid w:val="002961FA"/>
    <w:rsid w:val="00296ABA"/>
    <w:rsid w:val="002971D6"/>
    <w:rsid w:val="002A0053"/>
    <w:rsid w:val="002A2723"/>
    <w:rsid w:val="002B1D1C"/>
    <w:rsid w:val="002B4298"/>
    <w:rsid w:val="002C1335"/>
    <w:rsid w:val="002D01BC"/>
    <w:rsid w:val="002D27C0"/>
    <w:rsid w:val="002D3B4B"/>
    <w:rsid w:val="002D4450"/>
    <w:rsid w:val="002D7734"/>
    <w:rsid w:val="002E4992"/>
    <w:rsid w:val="002E49B2"/>
    <w:rsid w:val="002F0C9A"/>
    <w:rsid w:val="002F4B9F"/>
    <w:rsid w:val="00317516"/>
    <w:rsid w:val="00323804"/>
    <w:rsid w:val="003308D3"/>
    <w:rsid w:val="00332DA5"/>
    <w:rsid w:val="0034748B"/>
    <w:rsid w:val="00347DDF"/>
    <w:rsid w:val="00351EDC"/>
    <w:rsid w:val="00352249"/>
    <w:rsid w:val="00353FF6"/>
    <w:rsid w:val="00361FAF"/>
    <w:rsid w:val="003621FF"/>
    <w:rsid w:val="00363B9E"/>
    <w:rsid w:val="0036498B"/>
    <w:rsid w:val="003654A6"/>
    <w:rsid w:val="00367595"/>
    <w:rsid w:val="0037220D"/>
    <w:rsid w:val="003852DA"/>
    <w:rsid w:val="00396E68"/>
    <w:rsid w:val="003A2F63"/>
    <w:rsid w:val="003A3674"/>
    <w:rsid w:val="003B350A"/>
    <w:rsid w:val="003B6B0A"/>
    <w:rsid w:val="003C1285"/>
    <w:rsid w:val="003D5F8D"/>
    <w:rsid w:val="003E1C60"/>
    <w:rsid w:val="003F64B5"/>
    <w:rsid w:val="00407875"/>
    <w:rsid w:val="0041093A"/>
    <w:rsid w:val="00417EDF"/>
    <w:rsid w:val="00420977"/>
    <w:rsid w:val="004233B9"/>
    <w:rsid w:val="004261F4"/>
    <w:rsid w:val="0042639D"/>
    <w:rsid w:val="004304EC"/>
    <w:rsid w:val="00445089"/>
    <w:rsid w:val="00447917"/>
    <w:rsid w:val="00453F2A"/>
    <w:rsid w:val="004544DC"/>
    <w:rsid w:val="00455EF7"/>
    <w:rsid w:val="00460ECE"/>
    <w:rsid w:val="004611DC"/>
    <w:rsid w:val="004719C7"/>
    <w:rsid w:val="00475119"/>
    <w:rsid w:val="004753F0"/>
    <w:rsid w:val="0049269E"/>
    <w:rsid w:val="004931E1"/>
    <w:rsid w:val="0049539E"/>
    <w:rsid w:val="004A146F"/>
    <w:rsid w:val="004A4A6A"/>
    <w:rsid w:val="004C2E5B"/>
    <w:rsid w:val="004D25D9"/>
    <w:rsid w:val="004D6C07"/>
    <w:rsid w:val="004E46F1"/>
    <w:rsid w:val="004E621D"/>
    <w:rsid w:val="004E67D3"/>
    <w:rsid w:val="004E756C"/>
    <w:rsid w:val="00503C8D"/>
    <w:rsid w:val="00511288"/>
    <w:rsid w:val="00512B9A"/>
    <w:rsid w:val="00514245"/>
    <w:rsid w:val="005146BD"/>
    <w:rsid w:val="00517526"/>
    <w:rsid w:val="005179F8"/>
    <w:rsid w:val="00532137"/>
    <w:rsid w:val="005335E3"/>
    <w:rsid w:val="00533781"/>
    <w:rsid w:val="00537690"/>
    <w:rsid w:val="00540CED"/>
    <w:rsid w:val="00542E8E"/>
    <w:rsid w:val="0055211E"/>
    <w:rsid w:val="00554205"/>
    <w:rsid w:val="005561E4"/>
    <w:rsid w:val="005631D0"/>
    <w:rsid w:val="00570978"/>
    <w:rsid w:val="00580147"/>
    <w:rsid w:val="00581CC0"/>
    <w:rsid w:val="005938BD"/>
    <w:rsid w:val="0059577F"/>
    <w:rsid w:val="005A1557"/>
    <w:rsid w:val="005B1FAB"/>
    <w:rsid w:val="005B34EC"/>
    <w:rsid w:val="005B44D9"/>
    <w:rsid w:val="005B5E7B"/>
    <w:rsid w:val="005C284F"/>
    <w:rsid w:val="005C52C9"/>
    <w:rsid w:val="005D645B"/>
    <w:rsid w:val="005E18F2"/>
    <w:rsid w:val="005E3980"/>
    <w:rsid w:val="005E661E"/>
    <w:rsid w:val="005F22ED"/>
    <w:rsid w:val="00600C89"/>
    <w:rsid w:val="006032B0"/>
    <w:rsid w:val="00611B82"/>
    <w:rsid w:val="00612A0E"/>
    <w:rsid w:val="006146BF"/>
    <w:rsid w:val="00620E37"/>
    <w:rsid w:val="006260EE"/>
    <w:rsid w:val="00627CAC"/>
    <w:rsid w:val="00630DE1"/>
    <w:rsid w:val="0063262F"/>
    <w:rsid w:val="00646986"/>
    <w:rsid w:val="006501A7"/>
    <w:rsid w:val="00651A06"/>
    <w:rsid w:val="00656D24"/>
    <w:rsid w:val="0067530B"/>
    <w:rsid w:val="0067637F"/>
    <w:rsid w:val="00687AB6"/>
    <w:rsid w:val="0069136E"/>
    <w:rsid w:val="006A08A8"/>
    <w:rsid w:val="006A14E1"/>
    <w:rsid w:val="006B229D"/>
    <w:rsid w:val="006B376E"/>
    <w:rsid w:val="006B6629"/>
    <w:rsid w:val="006C210E"/>
    <w:rsid w:val="006C3CC4"/>
    <w:rsid w:val="006D68B1"/>
    <w:rsid w:val="006D6C46"/>
    <w:rsid w:val="006D758A"/>
    <w:rsid w:val="006E1AF8"/>
    <w:rsid w:val="006F532C"/>
    <w:rsid w:val="00701C21"/>
    <w:rsid w:val="00704937"/>
    <w:rsid w:val="00706FD0"/>
    <w:rsid w:val="00715993"/>
    <w:rsid w:val="00725AC5"/>
    <w:rsid w:val="0072667D"/>
    <w:rsid w:val="00727126"/>
    <w:rsid w:val="00727144"/>
    <w:rsid w:val="00736447"/>
    <w:rsid w:val="007374D0"/>
    <w:rsid w:val="007505B2"/>
    <w:rsid w:val="00763B8E"/>
    <w:rsid w:val="00781240"/>
    <w:rsid w:val="007845A6"/>
    <w:rsid w:val="00784B8A"/>
    <w:rsid w:val="00793E3B"/>
    <w:rsid w:val="00796965"/>
    <w:rsid w:val="007A1443"/>
    <w:rsid w:val="007A2B86"/>
    <w:rsid w:val="007A6CDE"/>
    <w:rsid w:val="007B2413"/>
    <w:rsid w:val="007B43A1"/>
    <w:rsid w:val="007C2DDB"/>
    <w:rsid w:val="007C3CC5"/>
    <w:rsid w:val="007D0450"/>
    <w:rsid w:val="007D522B"/>
    <w:rsid w:val="007D546D"/>
    <w:rsid w:val="007E513E"/>
    <w:rsid w:val="007F1966"/>
    <w:rsid w:val="008079DC"/>
    <w:rsid w:val="0081061B"/>
    <w:rsid w:val="00817A32"/>
    <w:rsid w:val="008207B7"/>
    <w:rsid w:val="0083113A"/>
    <w:rsid w:val="00840D20"/>
    <w:rsid w:val="00841B11"/>
    <w:rsid w:val="00850C22"/>
    <w:rsid w:val="00852A28"/>
    <w:rsid w:val="00854B9A"/>
    <w:rsid w:val="0085610D"/>
    <w:rsid w:val="008608AD"/>
    <w:rsid w:val="0087795F"/>
    <w:rsid w:val="00877DEE"/>
    <w:rsid w:val="00880DE7"/>
    <w:rsid w:val="00890739"/>
    <w:rsid w:val="008B0D86"/>
    <w:rsid w:val="008B0F05"/>
    <w:rsid w:val="008B1F36"/>
    <w:rsid w:val="008B42C2"/>
    <w:rsid w:val="008C5FFC"/>
    <w:rsid w:val="008D15C3"/>
    <w:rsid w:val="008D4746"/>
    <w:rsid w:val="008E5E0F"/>
    <w:rsid w:val="008E6CA6"/>
    <w:rsid w:val="008F19CB"/>
    <w:rsid w:val="008F24D2"/>
    <w:rsid w:val="008F4A53"/>
    <w:rsid w:val="00901934"/>
    <w:rsid w:val="0090205C"/>
    <w:rsid w:val="00903743"/>
    <w:rsid w:val="009207E5"/>
    <w:rsid w:val="0092286A"/>
    <w:rsid w:val="00940A45"/>
    <w:rsid w:val="00942D1D"/>
    <w:rsid w:val="00944AB4"/>
    <w:rsid w:val="009501E3"/>
    <w:rsid w:val="009606CB"/>
    <w:rsid w:val="009607E5"/>
    <w:rsid w:val="00961C8D"/>
    <w:rsid w:val="009640A1"/>
    <w:rsid w:val="00965AA4"/>
    <w:rsid w:val="009715CC"/>
    <w:rsid w:val="00973184"/>
    <w:rsid w:val="00981347"/>
    <w:rsid w:val="00981795"/>
    <w:rsid w:val="0098719B"/>
    <w:rsid w:val="00991E7F"/>
    <w:rsid w:val="00996437"/>
    <w:rsid w:val="00996EC2"/>
    <w:rsid w:val="009A3A3A"/>
    <w:rsid w:val="009B068B"/>
    <w:rsid w:val="009B2A1D"/>
    <w:rsid w:val="009B78F5"/>
    <w:rsid w:val="009C0C5E"/>
    <w:rsid w:val="009C155A"/>
    <w:rsid w:val="009C2FC0"/>
    <w:rsid w:val="009C3668"/>
    <w:rsid w:val="009C7C94"/>
    <w:rsid w:val="009D17D9"/>
    <w:rsid w:val="009D5BBE"/>
    <w:rsid w:val="009E0119"/>
    <w:rsid w:val="009E5340"/>
    <w:rsid w:val="009F1FC6"/>
    <w:rsid w:val="009F37CD"/>
    <w:rsid w:val="009F39D6"/>
    <w:rsid w:val="009F3B6D"/>
    <w:rsid w:val="009F7BAC"/>
    <w:rsid w:val="00A007E7"/>
    <w:rsid w:val="00A036A3"/>
    <w:rsid w:val="00A11D60"/>
    <w:rsid w:val="00A16AD8"/>
    <w:rsid w:val="00A1728D"/>
    <w:rsid w:val="00A24178"/>
    <w:rsid w:val="00A253AD"/>
    <w:rsid w:val="00A32A3A"/>
    <w:rsid w:val="00A34622"/>
    <w:rsid w:val="00A36A30"/>
    <w:rsid w:val="00A37881"/>
    <w:rsid w:val="00A37F33"/>
    <w:rsid w:val="00A40730"/>
    <w:rsid w:val="00A440F4"/>
    <w:rsid w:val="00A463A8"/>
    <w:rsid w:val="00A50E2A"/>
    <w:rsid w:val="00A5484D"/>
    <w:rsid w:val="00A55569"/>
    <w:rsid w:val="00A55853"/>
    <w:rsid w:val="00A637A6"/>
    <w:rsid w:val="00A65459"/>
    <w:rsid w:val="00A666C6"/>
    <w:rsid w:val="00A666D1"/>
    <w:rsid w:val="00A702AF"/>
    <w:rsid w:val="00A7553A"/>
    <w:rsid w:val="00A77354"/>
    <w:rsid w:val="00A8502C"/>
    <w:rsid w:val="00AA2E07"/>
    <w:rsid w:val="00AA4892"/>
    <w:rsid w:val="00AB3B7A"/>
    <w:rsid w:val="00AB413B"/>
    <w:rsid w:val="00AB75A9"/>
    <w:rsid w:val="00AC1BE1"/>
    <w:rsid w:val="00AC2F6F"/>
    <w:rsid w:val="00AD1625"/>
    <w:rsid w:val="00AD3CE8"/>
    <w:rsid w:val="00AD6E25"/>
    <w:rsid w:val="00AE2B85"/>
    <w:rsid w:val="00AE59D2"/>
    <w:rsid w:val="00AF0D41"/>
    <w:rsid w:val="00B02348"/>
    <w:rsid w:val="00B03584"/>
    <w:rsid w:val="00B13FEF"/>
    <w:rsid w:val="00B2112B"/>
    <w:rsid w:val="00B25538"/>
    <w:rsid w:val="00B3088E"/>
    <w:rsid w:val="00B316F5"/>
    <w:rsid w:val="00B350C4"/>
    <w:rsid w:val="00B36302"/>
    <w:rsid w:val="00B40259"/>
    <w:rsid w:val="00B414BD"/>
    <w:rsid w:val="00B42339"/>
    <w:rsid w:val="00B423C5"/>
    <w:rsid w:val="00B4295F"/>
    <w:rsid w:val="00B47B7A"/>
    <w:rsid w:val="00B532B5"/>
    <w:rsid w:val="00B6793B"/>
    <w:rsid w:val="00B729E0"/>
    <w:rsid w:val="00B744F7"/>
    <w:rsid w:val="00B75F7F"/>
    <w:rsid w:val="00B76EAA"/>
    <w:rsid w:val="00B80956"/>
    <w:rsid w:val="00B83962"/>
    <w:rsid w:val="00BB4A24"/>
    <w:rsid w:val="00BC0289"/>
    <w:rsid w:val="00BC3282"/>
    <w:rsid w:val="00BC3EB0"/>
    <w:rsid w:val="00BC4D20"/>
    <w:rsid w:val="00BC78C4"/>
    <w:rsid w:val="00BD0CFF"/>
    <w:rsid w:val="00BD4785"/>
    <w:rsid w:val="00BD7A87"/>
    <w:rsid w:val="00BE21EC"/>
    <w:rsid w:val="00BE3271"/>
    <w:rsid w:val="00BE6A58"/>
    <w:rsid w:val="00BE750A"/>
    <w:rsid w:val="00C019E2"/>
    <w:rsid w:val="00C0313E"/>
    <w:rsid w:val="00C033FA"/>
    <w:rsid w:val="00C05445"/>
    <w:rsid w:val="00C14A57"/>
    <w:rsid w:val="00C23531"/>
    <w:rsid w:val="00C3461A"/>
    <w:rsid w:val="00C34696"/>
    <w:rsid w:val="00C4517B"/>
    <w:rsid w:val="00C501F9"/>
    <w:rsid w:val="00C5577A"/>
    <w:rsid w:val="00C5616E"/>
    <w:rsid w:val="00C6318E"/>
    <w:rsid w:val="00C7682A"/>
    <w:rsid w:val="00C80164"/>
    <w:rsid w:val="00C81A8D"/>
    <w:rsid w:val="00C86898"/>
    <w:rsid w:val="00C91E12"/>
    <w:rsid w:val="00C94744"/>
    <w:rsid w:val="00CA1757"/>
    <w:rsid w:val="00CB687D"/>
    <w:rsid w:val="00CC3F1C"/>
    <w:rsid w:val="00CC594A"/>
    <w:rsid w:val="00CD0934"/>
    <w:rsid w:val="00CD12E8"/>
    <w:rsid w:val="00CD6E51"/>
    <w:rsid w:val="00CE087E"/>
    <w:rsid w:val="00CF5F49"/>
    <w:rsid w:val="00D0540D"/>
    <w:rsid w:val="00D05DA5"/>
    <w:rsid w:val="00D0703D"/>
    <w:rsid w:val="00D07F17"/>
    <w:rsid w:val="00D10243"/>
    <w:rsid w:val="00D1408E"/>
    <w:rsid w:val="00D170F6"/>
    <w:rsid w:val="00D27EAF"/>
    <w:rsid w:val="00D3218B"/>
    <w:rsid w:val="00D42118"/>
    <w:rsid w:val="00D524A3"/>
    <w:rsid w:val="00D53C24"/>
    <w:rsid w:val="00D55DFB"/>
    <w:rsid w:val="00D634AD"/>
    <w:rsid w:val="00D71A41"/>
    <w:rsid w:val="00D7293A"/>
    <w:rsid w:val="00D97E20"/>
    <w:rsid w:val="00DA22C3"/>
    <w:rsid w:val="00DA2AEF"/>
    <w:rsid w:val="00DA4C9F"/>
    <w:rsid w:val="00DB1B59"/>
    <w:rsid w:val="00DB3E59"/>
    <w:rsid w:val="00DB72C6"/>
    <w:rsid w:val="00DC0794"/>
    <w:rsid w:val="00DC13E5"/>
    <w:rsid w:val="00DC2743"/>
    <w:rsid w:val="00DD3244"/>
    <w:rsid w:val="00DD6359"/>
    <w:rsid w:val="00DF19E5"/>
    <w:rsid w:val="00E04491"/>
    <w:rsid w:val="00E24B12"/>
    <w:rsid w:val="00E260A4"/>
    <w:rsid w:val="00E33855"/>
    <w:rsid w:val="00E462CD"/>
    <w:rsid w:val="00E470B8"/>
    <w:rsid w:val="00E545AE"/>
    <w:rsid w:val="00E74FDD"/>
    <w:rsid w:val="00E75EB1"/>
    <w:rsid w:val="00E866BB"/>
    <w:rsid w:val="00E93FEC"/>
    <w:rsid w:val="00E96049"/>
    <w:rsid w:val="00E977CE"/>
    <w:rsid w:val="00EA2A96"/>
    <w:rsid w:val="00EA77DA"/>
    <w:rsid w:val="00EB37CE"/>
    <w:rsid w:val="00EB4651"/>
    <w:rsid w:val="00EC595C"/>
    <w:rsid w:val="00EC7BC1"/>
    <w:rsid w:val="00ED0E3D"/>
    <w:rsid w:val="00ED4008"/>
    <w:rsid w:val="00EE30C2"/>
    <w:rsid w:val="00EE58A9"/>
    <w:rsid w:val="00EE5A5C"/>
    <w:rsid w:val="00EE5E59"/>
    <w:rsid w:val="00EF44A8"/>
    <w:rsid w:val="00F10DE1"/>
    <w:rsid w:val="00F14BF8"/>
    <w:rsid w:val="00F15267"/>
    <w:rsid w:val="00F16C65"/>
    <w:rsid w:val="00F178F8"/>
    <w:rsid w:val="00F212FC"/>
    <w:rsid w:val="00F217AA"/>
    <w:rsid w:val="00F45AF2"/>
    <w:rsid w:val="00F45B29"/>
    <w:rsid w:val="00F475DB"/>
    <w:rsid w:val="00F70C81"/>
    <w:rsid w:val="00F80AC5"/>
    <w:rsid w:val="00F82400"/>
    <w:rsid w:val="00F83A8E"/>
    <w:rsid w:val="00F942AF"/>
    <w:rsid w:val="00F95CB5"/>
    <w:rsid w:val="00FA5046"/>
    <w:rsid w:val="00FA763A"/>
    <w:rsid w:val="00FB01A9"/>
    <w:rsid w:val="00FB5BBB"/>
    <w:rsid w:val="00FB66BF"/>
    <w:rsid w:val="00FC4B1F"/>
    <w:rsid w:val="00FC7CFA"/>
    <w:rsid w:val="00FD40B6"/>
    <w:rsid w:val="00FE11FA"/>
    <w:rsid w:val="00FE1AA8"/>
    <w:rsid w:val="00FE2A4A"/>
    <w:rsid w:val="00FF0FCA"/>
    <w:rsid w:val="00FF52EA"/>
    <w:rsid w:val="00FF5645"/>
    <w:rsid w:val="00FF6F3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8DC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4746"/>
    <w:pPr>
      <w:spacing w:before="120" w:after="240" w:line="288" w:lineRule="auto"/>
    </w:pPr>
    <w:rPr>
      <w:sz w:val="24"/>
    </w:rPr>
  </w:style>
  <w:style w:type="paragraph" w:styleId="Heading1">
    <w:name w:val="heading 1"/>
    <w:basedOn w:val="Normal"/>
    <w:next w:val="Normal"/>
    <w:link w:val="Heading1Char"/>
    <w:uiPriority w:val="4"/>
    <w:qFormat/>
    <w:rsid w:val="00651A06"/>
    <w:pPr>
      <w:keepNext/>
      <w:keepLines/>
      <w:spacing w:before="480" w:after="120"/>
      <w:outlineLvl w:val="0"/>
    </w:pPr>
    <w:rPr>
      <w:rFonts w:asciiTheme="majorHAnsi" w:eastAsiaTheme="majorEastAsia" w:hAnsiTheme="majorHAnsi" w:cstheme="majorBidi"/>
      <w:b/>
      <w:color w:val="15284C" w:themeColor="text2"/>
      <w:sz w:val="52"/>
      <w:szCs w:val="32"/>
    </w:rPr>
  </w:style>
  <w:style w:type="paragraph" w:styleId="Heading2">
    <w:name w:val="heading 2"/>
    <w:basedOn w:val="Normal"/>
    <w:next w:val="Normal"/>
    <w:link w:val="Heading2Char"/>
    <w:uiPriority w:val="4"/>
    <w:qFormat/>
    <w:rsid w:val="00F217AA"/>
    <w:pPr>
      <w:keepNext/>
      <w:keepLines/>
      <w:spacing w:before="360" w:after="120"/>
      <w:outlineLvl w:val="1"/>
    </w:pPr>
    <w:rPr>
      <w:rFonts w:asciiTheme="majorHAnsi" w:eastAsiaTheme="majorEastAsia" w:hAnsiTheme="majorHAnsi" w:cstheme="majorBidi"/>
      <w:b/>
      <w:color w:val="15284C"/>
      <w:sz w:val="32"/>
      <w:szCs w:val="26"/>
    </w:rPr>
  </w:style>
  <w:style w:type="paragraph" w:styleId="Heading3">
    <w:name w:val="heading 3"/>
    <w:basedOn w:val="Normal"/>
    <w:next w:val="Normal"/>
    <w:link w:val="Heading3Char"/>
    <w:uiPriority w:val="4"/>
    <w:qFormat/>
    <w:rsid w:val="00A1728D"/>
    <w:pPr>
      <w:keepNext/>
      <w:keepLines/>
      <w:spacing w:before="360" w:after="120"/>
      <w:outlineLvl w:val="2"/>
    </w:pPr>
    <w:rPr>
      <w:rFonts w:asciiTheme="majorHAnsi" w:eastAsiaTheme="majorEastAsia" w:hAnsiTheme="majorHAnsi" w:cstheme="majorBidi"/>
      <w:color w:val="000000" w:themeColor="text1"/>
      <w:sz w:val="32"/>
      <w:szCs w:val="24"/>
    </w:rPr>
  </w:style>
  <w:style w:type="paragraph" w:styleId="Heading4">
    <w:name w:val="heading 4"/>
    <w:basedOn w:val="Normal"/>
    <w:next w:val="Normal"/>
    <w:link w:val="Heading4Char"/>
    <w:uiPriority w:val="4"/>
    <w:unhideWhenUsed/>
    <w:qFormat/>
    <w:rsid w:val="00AD1625"/>
    <w:pPr>
      <w:keepNext/>
      <w:keepLines/>
      <w:spacing w:before="40" w:after="0"/>
      <w:outlineLvl w:val="3"/>
    </w:pPr>
    <w:rPr>
      <w:rFonts w:asciiTheme="majorHAnsi" w:eastAsiaTheme="majorEastAsia" w:hAnsiTheme="majorHAnsi"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rsid w:val="006F532C"/>
    <w:pPr>
      <w:spacing w:before="0" w:after="0" w:line="240" w:lineRule="auto"/>
      <w:contextualSpacing/>
    </w:pPr>
    <w:rPr>
      <w:rFonts w:asciiTheme="majorHAnsi" w:eastAsiaTheme="majorEastAsia" w:hAnsiTheme="majorHAnsi" w:cstheme="majorBidi"/>
      <w:b/>
      <w:color w:val="F6F4EC" w:themeColor="background2"/>
      <w:spacing w:val="-10"/>
      <w:kern w:val="28"/>
      <w:sz w:val="96"/>
      <w:szCs w:val="56"/>
    </w:rPr>
  </w:style>
  <w:style w:type="character" w:customStyle="1" w:styleId="TitleChar">
    <w:name w:val="Title Char"/>
    <w:basedOn w:val="DefaultParagraphFont"/>
    <w:link w:val="Title"/>
    <w:uiPriority w:val="99"/>
    <w:rsid w:val="006F532C"/>
    <w:rPr>
      <w:rFonts w:asciiTheme="majorHAnsi" w:eastAsiaTheme="majorEastAsia" w:hAnsiTheme="majorHAnsi" w:cstheme="majorBidi"/>
      <w:b/>
      <w:color w:val="F6F4EC" w:themeColor="background2"/>
      <w:spacing w:val="-10"/>
      <w:kern w:val="28"/>
      <w:sz w:val="96"/>
      <w:szCs w:val="56"/>
    </w:rPr>
  </w:style>
  <w:style w:type="paragraph" w:styleId="Subtitle">
    <w:name w:val="Subtitle"/>
    <w:basedOn w:val="Normal"/>
    <w:next w:val="Normal"/>
    <w:link w:val="SubtitleChar"/>
    <w:uiPriority w:val="99"/>
    <w:qFormat/>
    <w:rsid w:val="006F532C"/>
    <w:pPr>
      <w:numPr>
        <w:ilvl w:val="1"/>
      </w:numPr>
      <w:spacing w:before="160"/>
    </w:pPr>
    <w:rPr>
      <w:rFonts w:eastAsiaTheme="minorEastAsia"/>
      <w:b/>
      <w:color w:val="F6F4EC" w:themeColor="background2"/>
      <w:sz w:val="52"/>
    </w:rPr>
  </w:style>
  <w:style w:type="character" w:customStyle="1" w:styleId="SubtitleChar">
    <w:name w:val="Subtitle Char"/>
    <w:basedOn w:val="DefaultParagraphFont"/>
    <w:link w:val="Subtitle"/>
    <w:uiPriority w:val="99"/>
    <w:rsid w:val="006F532C"/>
    <w:rPr>
      <w:rFonts w:eastAsiaTheme="minorEastAsia"/>
      <w:b/>
      <w:color w:val="F6F4EC" w:themeColor="background2"/>
      <w:sz w:val="52"/>
    </w:rPr>
  </w:style>
  <w:style w:type="paragraph" w:styleId="Header">
    <w:name w:val="header"/>
    <w:basedOn w:val="Normal"/>
    <w:link w:val="HeaderChar"/>
    <w:uiPriority w:val="99"/>
    <w:semiHidden/>
    <w:rsid w:val="00817A3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033FA"/>
    <w:rPr>
      <w:sz w:val="24"/>
    </w:rPr>
  </w:style>
  <w:style w:type="paragraph" w:styleId="Footer">
    <w:name w:val="footer"/>
    <w:basedOn w:val="Normal"/>
    <w:link w:val="FooterChar"/>
    <w:uiPriority w:val="99"/>
    <w:rsid w:val="00817A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2E5B"/>
    <w:rPr>
      <w:sz w:val="24"/>
    </w:rPr>
  </w:style>
  <w:style w:type="character" w:customStyle="1" w:styleId="Heading1Char">
    <w:name w:val="Heading 1 Char"/>
    <w:basedOn w:val="DefaultParagraphFont"/>
    <w:link w:val="Heading1"/>
    <w:uiPriority w:val="4"/>
    <w:rsid w:val="00715993"/>
    <w:rPr>
      <w:rFonts w:asciiTheme="majorHAnsi" w:eastAsiaTheme="majorEastAsia" w:hAnsiTheme="majorHAnsi" w:cstheme="majorBidi"/>
      <w:b/>
      <w:color w:val="15284C" w:themeColor="text2"/>
      <w:sz w:val="52"/>
      <w:szCs w:val="32"/>
    </w:rPr>
  </w:style>
  <w:style w:type="paragraph" w:customStyle="1" w:styleId="NumberedHeading1">
    <w:name w:val="Numbered Heading 1"/>
    <w:basedOn w:val="Heading1"/>
    <w:next w:val="Normal"/>
    <w:uiPriority w:val="5"/>
    <w:qFormat/>
    <w:rsid w:val="005938BD"/>
    <w:pPr>
      <w:numPr>
        <w:numId w:val="1"/>
      </w:numPr>
      <w:tabs>
        <w:tab w:val="left" w:pos="1021"/>
      </w:tabs>
      <w:ind w:left="1021" w:hanging="1021"/>
    </w:pPr>
  </w:style>
  <w:style w:type="character" w:customStyle="1" w:styleId="Heading2Char">
    <w:name w:val="Heading 2 Char"/>
    <w:basedOn w:val="DefaultParagraphFont"/>
    <w:link w:val="Heading2"/>
    <w:uiPriority w:val="4"/>
    <w:rsid w:val="00715993"/>
    <w:rPr>
      <w:rFonts w:asciiTheme="majorHAnsi" w:eastAsiaTheme="majorEastAsia" w:hAnsiTheme="majorHAnsi" w:cstheme="majorBidi"/>
      <w:b/>
      <w:color w:val="15284C"/>
      <w:sz w:val="32"/>
      <w:szCs w:val="26"/>
    </w:rPr>
  </w:style>
  <w:style w:type="character" w:customStyle="1" w:styleId="Heading3Char">
    <w:name w:val="Heading 3 Char"/>
    <w:basedOn w:val="DefaultParagraphFont"/>
    <w:link w:val="Heading3"/>
    <w:uiPriority w:val="4"/>
    <w:rsid w:val="00715993"/>
    <w:rPr>
      <w:rFonts w:asciiTheme="majorHAnsi" w:eastAsiaTheme="majorEastAsia" w:hAnsiTheme="majorHAnsi" w:cstheme="majorBidi"/>
      <w:color w:val="000000" w:themeColor="text1"/>
      <w:sz w:val="32"/>
      <w:szCs w:val="24"/>
    </w:rPr>
  </w:style>
  <w:style w:type="paragraph" w:customStyle="1" w:styleId="NumberedHeading2">
    <w:name w:val="Numbered Heading 2"/>
    <w:basedOn w:val="Heading2"/>
    <w:next w:val="Normal"/>
    <w:uiPriority w:val="5"/>
    <w:qFormat/>
    <w:rsid w:val="005938BD"/>
    <w:pPr>
      <w:numPr>
        <w:ilvl w:val="1"/>
        <w:numId w:val="1"/>
      </w:numPr>
      <w:tabs>
        <w:tab w:val="left" w:pos="1021"/>
      </w:tabs>
      <w:ind w:left="1021" w:hanging="1021"/>
    </w:pPr>
  </w:style>
  <w:style w:type="paragraph" w:customStyle="1" w:styleId="NumberedHeading3">
    <w:name w:val="Numbered Heading 3"/>
    <w:basedOn w:val="Heading3"/>
    <w:next w:val="Normal"/>
    <w:uiPriority w:val="5"/>
    <w:qFormat/>
    <w:rsid w:val="005938BD"/>
    <w:pPr>
      <w:numPr>
        <w:ilvl w:val="2"/>
        <w:numId w:val="1"/>
      </w:numPr>
      <w:tabs>
        <w:tab w:val="left" w:pos="1021"/>
      </w:tabs>
      <w:ind w:left="1021" w:hanging="1021"/>
    </w:pPr>
  </w:style>
  <w:style w:type="paragraph" w:styleId="TOCHeading">
    <w:name w:val="TOC Heading"/>
    <w:next w:val="Normal"/>
    <w:uiPriority w:val="39"/>
    <w:qFormat/>
    <w:rsid w:val="002E4992"/>
    <w:pPr>
      <w:spacing w:before="360"/>
    </w:pPr>
    <w:rPr>
      <w:rFonts w:asciiTheme="majorHAnsi" w:eastAsiaTheme="majorEastAsia" w:hAnsiTheme="majorHAnsi" w:cstheme="majorBidi"/>
      <w:b/>
      <w:color w:val="15284C" w:themeColor="text2"/>
      <w:sz w:val="68"/>
      <w:szCs w:val="32"/>
    </w:rPr>
  </w:style>
  <w:style w:type="paragraph" w:styleId="TOC1">
    <w:name w:val="toc 1"/>
    <w:basedOn w:val="Normal"/>
    <w:next w:val="Normal"/>
    <w:autoRedefine/>
    <w:uiPriority w:val="39"/>
    <w:rsid w:val="00630DE1"/>
    <w:pPr>
      <w:spacing w:before="300" w:after="100"/>
    </w:pPr>
    <w:rPr>
      <w:b/>
    </w:rPr>
  </w:style>
  <w:style w:type="paragraph" w:styleId="TOC2">
    <w:name w:val="toc 2"/>
    <w:basedOn w:val="Normal"/>
    <w:next w:val="Normal"/>
    <w:autoRedefine/>
    <w:uiPriority w:val="39"/>
    <w:rsid w:val="00996EC2"/>
    <w:pPr>
      <w:tabs>
        <w:tab w:val="right" w:leader="dot" w:pos="9628"/>
      </w:tabs>
      <w:spacing w:after="100"/>
      <w:ind w:left="240"/>
    </w:pPr>
    <w:rPr>
      <w:noProof/>
      <w:color w:val="000000" w:themeColor="text1"/>
    </w:rPr>
  </w:style>
  <w:style w:type="paragraph" w:styleId="TOC3">
    <w:name w:val="toc 3"/>
    <w:basedOn w:val="Normal"/>
    <w:next w:val="Normal"/>
    <w:autoRedefine/>
    <w:uiPriority w:val="39"/>
    <w:rsid w:val="00630DE1"/>
    <w:pPr>
      <w:spacing w:after="100"/>
      <w:ind w:left="480"/>
    </w:pPr>
  </w:style>
  <w:style w:type="character" w:styleId="Hyperlink">
    <w:name w:val="Hyperlink"/>
    <w:basedOn w:val="DefaultParagraphFont"/>
    <w:uiPriority w:val="99"/>
    <w:qFormat/>
    <w:rsid w:val="00B75F7F"/>
    <w:rPr>
      <w:b/>
      <w:color w:val="auto"/>
      <w:u w:val="single"/>
    </w:rPr>
  </w:style>
  <w:style w:type="character" w:customStyle="1" w:styleId="UnresolvedMention1">
    <w:name w:val="Unresolved Mention1"/>
    <w:basedOn w:val="DefaultParagraphFont"/>
    <w:uiPriority w:val="99"/>
    <w:semiHidden/>
    <w:unhideWhenUsed/>
    <w:rsid w:val="00B75F7F"/>
    <w:rPr>
      <w:color w:val="605E5C"/>
      <w:shd w:val="clear" w:color="auto" w:fill="E1DFDD"/>
    </w:rPr>
  </w:style>
  <w:style w:type="table" w:styleId="TableGrid">
    <w:name w:val="Table Grid"/>
    <w:basedOn w:val="TableNormal"/>
    <w:uiPriority w:val="39"/>
    <w:rsid w:val="00B75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6"/>
    <w:rsid w:val="00C033FA"/>
    <w:pPr>
      <w:numPr>
        <w:numId w:val="2"/>
      </w:numPr>
      <w:tabs>
        <w:tab w:val="clear" w:pos="360"/>
        <w:tab w:val="left" w:pos="425"/>
      </w:tabs>
      <w:spacing w:after="120"/>
      <w:ind w:left="425" w:hanging="425"/>
    </w:pPr>
  </w:style>
  <w:style w:type="paragraph" w:styleId="ListBullet2">
    <w:name w:val="List Bullet 2"/>
    <w:basedOn w:val="Normal"/>
    <w:uiPriority w:val="6"/>
    <w:rsid w:val="00C033FA"/>
    <w:pPr>
      <w:numPr>
        <w:numId w:val="3"/>
      </w:numPr>
      <w:tabs>
        <w:tab w:val="clear" w:pos="643"/>
        <w:tab w:val="left" w:pos="851"/>
      </w:tabs>
      <w:spacing w:after="120"/>
      <w:ind w:left="850" w:hanging="425"/>
    </w:pPr>
  </w:style>
  <w:style w:type="paragraph" w:styleId="ListBullet3">
    <w:name w:val="List Bullet 3"/>
    <w:basedOn w:val="Normal"/>
    <w:uiPriority w:val="6"/>
    <w:rsid w:val="005938BD"/>
    <w:pPr>
      <w:numPr>
        <w:numId w:val="4"/>
      </w:numPr>
      <w:tabs>
        <w:tab w:val="clear" w:pos="926"/>
        <w:tab w:val="left" w:pos="1276"/>
      </w:tabs>
      <w:spacing w:after="120"/>
      <w:ind w:left="1276" w:hanging="425"/>
    </w:pPr>
  </w:style>
  <w:style w:type="paragraph" w:styleId="ListNumber">
    <w:name w:val="List Number"/>
    <w:basedOn w:val="Normal"/>
    <w:uiPriority w:val="6"/>
    <w:rsid w:val="005938BD"/>
    <w:pPr>
      <w:numPr>
        <w:numId w:val="5"/>
      </w:numPr>
      <w:tabs>
        <w:tab w:val="clear" w:pos="360"/>
        <w:tab w:val="left" w:pos="425"/>
      </w:tabs>
      <w:spacing w:after="120"/>
      <w:ind w:left="425" w:hanging="425"/>
    </w:pPr>
  </w:style>
  <w:style w:type="paragraph" w:styleId="ListNumber2">
    <w:name w:val="List Number 2"/>
    <w:basedOn w:val="Normal"/>
    <w:uiPriority w:val="6"/>
    <w:rsid w:val="005938BD"/>
    <w:pPr>
      <w:numPr>
        <w:numId w:val="6"/>
      </w:numPr>
      <w:tabs>
        <w:tab w:val="left" w:pos="851"/>
      </w:tabs>
      <w:spacing w:after="120"/>
      <w:ind w:left="850" w:hanging="425"/>
    </w:pPr>
  </w:style>
  <w:style w:type="character" w:customStyle="1" w:styleId="Heading4Char">
    <w:name w:val="Heading 4 Char"/>
    <w:basedOn w:val="DefaultParagraphFont"/>
    <w:link w:val="Heading4"/>
    <w:uiPriority w:val="4"/>
    <w:rsid w:val="00AD1625"/>
    <w:rPr>
      <w:rFonts w:asciiTheme="majorHAnsi" w:eastAsiaTheme="majorEastAsia" w:hAnsiTheme="majorHAnsi" w:cstheme="majorBidi"/>
      <w:b/>
      <w:iCs/>
      <w:color w:val="000000" w:themeColor="text1"/>
      <w:sz w:val="24"/>
    </w:rPr>
  </w:style>
  <w:style w:type="paragraph" w:styleId="FootnoteText">
    <w:name w:val="footnote text"/>
    <w:basedOn w:val="Normal"/>
    <w:link w:val="FootnoteTextChar"/>
    <w:uiPriority w:val="99"/>
    <w:rsid w:val="004C2E5B"/>
    <w:pPr>
      <w:tabs>
        <w:tab w:val="left" w:pos="170"/>
      </w:tabs>
      <w:spacing w:before="0" w:after="0" w:line="240" w:lineRule="auto"/>
      <w:ind w:left="170" w:hanging="170"/>
    </w:pPr>
    <w:rPr>
      <w:sz w:val="20"/>
      <w:szCs w:val="20"/>
    </w:rPr>
  </w:style>
  <w:style w:type="character" w:customStyle="1" w:styleId="FootnoteTextChar">
    <w:name w:val="Footnote Text Char"/>
    <w:basedOn w:val="DefaultParagraphFont"/>
    <w:link w:val="FootnoteText"/>
    <w:uiPriority w:val="99"/>
    <w:rsid w:val="00852A28"/>
    <w:rPr>
      <w:sz w:val="20"/>
      <w:szCs w:val="20"/>
    </w:rPr>
  </w:style>
  <w:style w:type="character" w:styleId="FootnoteReference">
    <w:name w:val="footnote reference"/>
    <w:basedOn w:val="DefaultParagraphFont"/>
    <w:uiPriority w:val="99"/>
    <w:unhideWhenUsed/>
    <w:rsid w:val="004C2E5B"/>
    <w:rPr>
      <w:vertAlign w:val="superscript"/>
    </w:rPr>
  </w:style>
  <w:style w:type="table" w:customStyle="1" w:styleId="GridTable41">
    <w:name w:val="Grid Table 41"/>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eWhatuOra">
    <w:name w:val="Te Whatu Ora"/>
    <w:basedOn w:val="TableNormal"/>
    <w:uiPriority w:val="99"/>
    <w:rsid w:val="00C05445"/>
    <w:pPr>
      <w:spacing w:before="100" w:beforeAutospacing="1" w:after="100" w:afterAutospacing="1" w:line="240" w:lineRule="auto"/>
    </w:pPr>
    <w:rPr>
      <w:rFonts w:ascii="Arial" w:hAnsi="Arial"/>
      <w:sz w:val="24"/>
    </w:rPr>
    <w:tblPr>
      <w:tblBorders>
        <w:insideH w:val="single" w:sz="8" w:space="0" w:color="BFBFBF" w:themeColor="text1" w:themeTint="40"/>
        <w:insideV w:val="single" w:sz="8" w:space="0" w:color="BFBFBF" w:themeColor="text1" w:themeTint="40"/>
      </w:tblBorders>
      <w:tblCellMar>
        <w:top w:w="85" w:type="dxa"/>
        <w:left w:w="85" w:type="dxa"/>
        <w:bottom w:w="85" w:type="dxa"/>
        <w:right w:w="85" w:type="dxa"/>
      </w:tblCellMar>
    </w:tblPr>
    <w:tblStylePr w:type="firstRow">
      <w:pPr>
        <w:wordWrap/>
        <w:spacing w:beforeLines="0" w:before="100" w:beforeAutospacing="1" w:afterLines="0" w:after="100" w:afterAutospacing="1"/>
        <w:jc w:val="left"/>
      </w:pPr>
      <w:rPr>
        <w:b/>
      </w:rPr>
      <w:tblPr/>
      <w:tcPr>
        <w:tcBorders>
          <w:top w:val="single" w:sz="12" w:space="0" w:color="003399" w:themeColor="accent3"/>
          <w:bottom w:val="single" w:sz="12" w:space="0" w:color="003399" w:themeColor="accent3"/>
        </w:tcBorders>
        <w:shd w:val="clear" w:color="auto" w:fill="F6F4EC" w:themeFill="background2"/>
      </w:tcPr>
    </w:tblStylePr>
    <w:tblStylePr w:type="lastRow">
      <w:rPr>
        <w:b/>
      </w:rPr>
    </w:tblStylePr>
    <w:tblStylePr w:type="firstCol">
      <w:rPr>
        <w:b/>
      </w:rPr>
    </w:tblStylePr>
    <w:tblStylePr w:type="lastCol">
      <w:rPr>
        <w:b/>
      </w:rPr>
    </w:tblStylePr>
  </w:style>
  <w:style w:type="table" w:customStyle="1" w:styleId="ListTable41">
    <w:name w:val="List Table 41"/>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1">
    <w:name w:val="Table Grid 1"/>
    <w:basedOn w:val="TableNormal"/>
    <w:uiPriority w:val="99"/>
    <w:semiHidden/>
    <w:unhideWhenUsed/>
    <w:rsid w:val="00C0313E"/>
    <w:pPr>
      <w:spacing w:before="120" w:after="24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Text">
    <w:name w:val="Table Text"/>
    <w:basedOn w:val="Normal"/>
    <w:uiPriority w:val="16"/>
    <w:qFormat/>
    <w:rsid w:val="00C0313E"/>
    <w:pPr>
      <w:spacing w:before="0" w:after="0"/>
    </w:pPr>
  </w:style>
  <w:style w:type="paragraph" w:customStyle="1" w:styleId="Figure">
    <w:name w:val="Figure"/>
    <w:basedOn w:val="Normal"/>
    <w:uiPriority w:val="2"/>
    <w:qFormat/>
    <w:rsid w:val="00852A28"/>
    <w:rPr>
      <w:b/>
    </w:rPr>
  </w:style>
  <w:style w:type="paragraph" w:customStyle="1" w:styleId="Box">
    <w:name w:val="Box"/>
    <w:basedOn w:val="Normal"/>
    <w:uiPriority w:val="3"/>
    <w:qFormat/>
    <w:rsid w:val="00FB01A9"/>
    <w:pPr>
      <w:pBdr>
        <w:top w:val="single" w:sz="12" w:space="8" w:color="FFFFFF" w:themeColor="background1"/>
        <w:left w:val="single" w:sz="12" w:space="8" w:color="FFFFFF" w:themeColor="background1"/>
        <w:bottom w:val="single" w:sz="12" w:space="8" w:color="FFFFFF" w:themeColor="background1"/>
        <w:right w:val="single" w:sz="12" w:space="8" w:color="FFFFFF" w:themeColor="background1"/>
      </w:pBdr>
      <w:spacing w:after="120"/>
      <w:ind w:left="170" w:right="170"/>
    </w:pPr>
  </w:style>
  <w:style w:type="paragraph" w:customStyle="1" w:styleId="BoxBullet">
    <w:name w:val="Box Bullet"/>
    <w:basedOn w:val="Box"/>
    <w:uiPriority w:val="3"/>
    <w:qFormat/>
    <w:rsid w:val="00FB01A9"/>
    <w:pPr>
      <w:numPr>
        <w:numId w:val="7"/>
      </w:numPr>
      <w:ind w:left="527" w:hanging="357"/>
    </w:pPr>
  </w:style>
  <w:style w:type="paragraph" w:styleId="BalloonText">
    <w:name w:val="Balloon Text"/>
    <w:basedOn w:val="Normal"/>
    <w:link w:val="BalloonTextChar"/>
    <w:uiPriority w:val="99"/>
    <w:semiHidden/>
    <w:unhideWhenUsed/>
    <w:rsid w:val="00F217AA"/>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17AA"/>
    <w:rPr>
      <w:rFonts w:ascii="Tahoma" w:hAnsi="Tahoma" w:cs="Tahoma"/>
      <w:sz w:val="16"/>
      <w:szCs w:val="16"/>
    </w:rPr>
  </w:style>
  <w:style w:type="paragraph" w:customStyle="1" w:styleId="Dividerheading">
    <w:name w:val="Divider heading"/>
    <w:next w:val="Normal"/>
    <w:qFormat/>
    <w:rsid w:val="00201348"/>
    <w:pPr>
      <w:spacing w:before="60" w:after="0" w:line="240" w:lineRule="auto"/>
      <w:ind w:left="1134" w:right="1134"/>
    </w:pPr>
    <w:rPr>
      <w:rFonts w:ascii="Arial" w:eastAsia="Calibri" w:hAnsi="Arial"/>
      <w:b/>
      <w:color w:val="15284C" w:themeColor="text2"/>
      <w:sz w:val="110"/>
      <w:szCs w:val="24"/>
      <w14:ligatures w14:val="standardContextual"/>
    </w:rPr>
  </w:style>
  <w:style w:type="paragraph" w:customStyle="1" w:styleId="Section3heading1">
    <w:name w:val="Section 3 heading 1"/>
    <w:basedOn w:val="Heading1"/>
    <w:next w:val="Normal"/>
    <w:link w:val="Section3heading1Char"/>
    <w:uiPriority w:val="10"/>
    <w:qFormat/>
    <w:rsid w:val="000C006E"/>
    <w:rPr>
      <w:color w:val="003399" w:themeColor="accent3"/>
    </w:rPr>
  </w:style>
  <w:style w:type="character" w:customStyle="1" w:styleId="Section3heading1Char">
    <w:name w:val="Section 3 heading 1 Char"/>
    <w:basedOn w:val="Section2Heading1Char"/>
    <w:link w:val="Section3heading1"/>
    <w:uiPriority w:val="10"/>
    <w:rsid w:val="008F24D2"/>
    <w:rPr>
      <w:rFonts w:asciiTheme="majorHAnsi" w:eastAsiaTheme="majorEastAsia" w:hAnsiTheme="majorHAnsi" w:cstheme="majorBidi"/>
      <w:b/>
      <w:color w:val="003399" w:themeColor="accent3"/>
      <w:sz w:val="52"/>
      <w:szCs w:val="32"/>
    </w:rPr>
  </w:style>
  <w:style w:type="paragraph" w:customStyle="1" w:styleId="Section3heading2">
    <w:name w:val="Section 3 heading 2"/>
    <w:basedOn w:val="Heading2"/>
    <w:next w:val="Normal"/>
    <w:uiPriority w:val="10"/>
    <w:qFormat/>
    <w:rsid w:val="000C006E"/>
    <w:rPr>
      <w:color w:val="003399" w:themeColor="accent3"/>
    </w:rPr>
  </w:style>
  <w:style w:type="paragraph" w:customStyle="1" w:styleId="Section3heading3">
    <w:name w:val="Section 3 heading 3"/>
    <w:basedOn w:val="Heading3"/>
    <w:uiPriority w:val="10"/>
    <w:qFormat/>
    <w:rsid w:val="000C006E"/>
    <w:rPr>
      <w:color w:val="003399" w:themeColor="accent3"/>
    </w:rPr>
  </w:style>
  <w:style w:type="paragraph" w:customStyle="1" w:styleId="Section4Heading1">
    <w:name w:val="Section 4 Heading 1"/>
    <w:basedOn w:val="Heading1"/>
    <w:next w:val="Normal"/>
    <w:uiPriority w:val="11"/>
    <w:qFormat/>
    <w:rsid w:val="00065884"/>
    <w:rPr>
      <w:color w:val="4D2379" w:themeColor="accent4"/>
    </w:rPr>
  </w:style>
  <w:style w:type="paragraph" w:customStyle="1" w:styleId="Section4Heading2">
    <w:name w:val="Section 4 Heading 2"/>
    <w:basedOn w:val="Heading2"/>
    <w:next w:val="Normal"/>
    <w:uiPriority w:val="11"/>
    <w:qFormat/>
    <w:rsid w:val="00065884"/>
    <w:rPr>
      <w:color w:val="4D2379" w:themeColor="accent4"/>
    </w:rPr>
  </w:style>
  <w:style w:type="paragraph" w:styleId="ListParagraph">
    <w:name w:val="List Paragraph"/>
    <w:basedOn w:val="Normal"/>
    <w:uiPriority w:val="34"/>
    <w:qFormat/>
    <w:rsid w:val="00A1728D"/>
    <w:pPr>
      <w:ind w:left="720"/>
      <w:contextualSpacing/>
    </w:pPr>
  </w:style>
  <w:style w:type="paragraph" w:customStyle="1" w:styleId="Section2Heading1">
    <w:name w:val="Section 2 Heading 1"/>
    <w:basedOn w:val="Heading1"/>
    <w:next w:val="Normal"/>
    <w:link w:val="Section2Heading1Char"/>
    <w:uiPriority w:val="9"/>
    <w:qFormat/>
    <w:rsid w:val="006F532C"/>
    <w:rPr>
      <w:color w:val="0C818E" w:themeColor="accent1"/>
    </w:rPr>
  </w:style>
  <w:style w:type="character" w:customStyle="1" w:styleId="Section2Heading1Char">
    <w:name w:val="Section 2 Heading 1 Char"/>
    <w:basedOn w:val="Heading1Char"/>
    <w:link w:val="Section2Heading1"/>
    <w:uiPriority w:val="9"/>
    <w:rsid w:val="008F24D2"/>
    <w:rPr>
      <w:rFonts w:asciiTheme="majorHAnsi" w:eastAsiaTheme="majorEastAsia" w:hAnsiTheme="majorHAnsi" w:cstheme="majorBidi"/>
      <w:b/>
      <w:color w:val="0C818E" w:themeColor="accent1"/>
      <w:sz w:val="52"/>
      <w:szCs w:val="32"/>
    </w:rPr>
  </w:style>
  <w:style w:type="paragraph" w:customStyle="1" w:styleId="Section2Heading2">
    <w:name w:val="Section 2 Heading 2"/>
    <w:basedOn w:val="Heading2"/>
    <w:next w:val="Normal"/>
    <w:link w:val="Section2Heading2Char"/>
    <w:uiPriority w:val="9"/>
    <w:qFormat/>
    <w:rsid w:val="006F532C"/>
    <w:rPr>
      <w:color w:val="0C818E" w:themeColor="accent1"/>
    </w:rPr>
  </w:style>
  <w:style w:type="character" w:customStyle="1" w:styleId="Section2Heading2Char">
    <w:name w:val="Section 2 Heading 2 Char"/>
    <w:basedOn w:val="Heading2Char"/>
    <w:link w:val="Section2Heading2"/>
    <w:uiPriority w:val="9"/>
    <w:rsid w:val="008F24D2"/>
    <w:rPr>
      <w:rFonts w:asciiTheme="majorHAnsi" w:eastAsiaTheme="majorEastAsia" w:hAnsiTheme="majorHAnsi" w:cstheme="majorBidi"/>
      <w:b/>
      <w:color w:val="0C818E" w:themeColor="accent1"/>
      <w:sz w:val="32"/>
      <w:szCs w:val="26"/>
    </w:rPr>
  </w:style>
  <w:style w:type="paragraph" w:customStyle="1" w:styleId="Section2heading3">
    <w:name w:val="Section 2 heading 3"/>
    <w:basedOn w:val="Heading3"/>
    <w:link w:val="Section2heading3Char"/>
    <w:uiPriority w:val="9"/>
    <w:qFormat/>
    <w:rsid w:val="006F532C"/>
    <w:rPr>
      <w:color w:val="0C818E" w:themeColor="accent1"/>
    </w:rPr>
  </w:style>
  <w:style w:type="character" w:customStyle="1" w:styleId="Section2heading3Char">
    <w:name w:val="Section 2 heading 3 Char"/>
    <w:basedOn w:val="Heading3Char"/>
    <w:link w:val="Section2heading3"/>
    <w:uiPriority w:val="9"/>
    <w:rsid w:val="008F24D2"/>
    <w:rPr>
      <w:rFonts w:asciiTheme="majorHAnsi" w:eastAsiaTheme="majorEastAsia" w:hAnsiTheme="majorHAnsi" w:cstheme="majorBidi"/>
      <w:color w:val="0C818E" w:themeColor="accent1"/>
      <w:sz w:val="32"/>
      <w:szCs w:val="24"/>
    </w:rPr>
  </w:style>
  <w:style w:type="paragraph" w:customStyle="1" w:styleId="Section4Heading3">
    <w:name w:val="Section 4 Heading 3"/>
    <w:basedOn w:val="Heading3"/>
    <w:next w:val="Normal"/>
    <w:uiPriority w:val="11"/>
    <w:qFormat/>
    <w:rsid w:val="00065884"/>
    <w:rPr>
      <w:color w:val="4D2379" w:themeColor="accent4"/>
    </w:rPr>
  </w:style>
  <w:style w:type="paragraph" w:customStyle="1" w:styleId="Section5Heading1">
    <w:name w:val="Section 5 Heading 1"/>
    <w:basedOn w:val="Heading1"/>
    <w:next w:val="Normal"/>
    <w:link w:val="Section5Heading1Char"/>
    <w:uiPriority w:val="12"/>
    <w:qFormat/>
    <w:rsid w:val="0049539E"/>
    <w:rPr>
      <w:color w:val="006060" w:themeColor="accent5"/>
    </w:rPr>
  </w:style>
  <w:style w:type="character" w:customStyle="1" w:styleId="Section5Heading1Char">
    <w:name w:val="Section 5 Heading 1 Char"/>
    <w:basedOn w:val="Heading1Char"/>
    <w:link w:val="Section5Heading1"/>
    <w:uiPriority w:val="12"/>
    <w:rsid w:val="008F24D2"/>
    <w:rPr>
      <w:rFonts w:asciiTheme="majorHAnsi" w:eastAsiaTheme="majorEastAsia" w:hAnsiTheme="majorHAnsi" w:cstheme="majorBidi"/>
      <w:b/>
      <w:color w:val="006060" w:themeColor="accent5"/>
      <w:sz w:val="52"/>
      <w:szCs w:val="32"/>
    </w:rPr>
  </w:style>
  <w:style w:type="paragraph" w:customStyle="1" w:styleId="Section5Heading2">
    <w:name w:val="Section 5 Heading 2"/>
    <w:basedOn w:val="Heading2"/>
    <w:link w:val="Section5Heading2Char"/>
    <w:uiPriority w:val="12"/>
    <w:qFormat/>
    <w:rsid w:val="0049539E"/>
    <w:rPr>
      <w:color w:val="006060" w:themeColor="accent5"/>
    </w:rPr>
  </w:style>
  <w:style w:type="character" w:customStyle="1" w:styleId="Section5Heading2Char">
    <w:name w:val="Section 5 Heading 2 Char"/>
    <w:basedOn w:val="Heading2Char"/>
    <w:link w:val="Section5Heading2"/>
    <w:uiPriority w:val="12"/>
    <w:rsid w:val="008F24D2"/>
    <w:rPr>
      <w:rFonts w:asciiTheme="majorHAnsi" w:eastAsiaTheme="majorEastAsia" w:hAnsiTheme="majorHAnsi" w:cstheme="majorBidi"/>
      <w:b/>
      <w:color w:val="006060" w:themeColor="accent5"/>
      <w:sz w:val="32"/>
      <w:szCs w:val="26"/>
    </w:rPr>
  </w:style>
  <w:style w:type="paragraph" w:customStyle="1" w:styleId="Section5Heading3">
    <w:name w:val="Section 5 Heading 3"/>
    <w:basedOn w:val="Heading3"/>
    <w:link w:val="Section5Heading3Char"/>
    <w:uiPriority w:val="12"/>
    <w:qFormat/>
    <w:rsid w:val="0049539E"/>
    <w:rPr>
      <w:color w:val="006060" w:themeColor="accent5"/>
    </w:rPr>
  </w:style>
  <w:style w:type="character" w:customStyle="1" w:styleId="Section5Heading3Char">
    <w:name w:val="Section 5 Heading 3 Char"/>
    <w:basedOn w:val="Heading3Char"/>
    <w:link w:val="Section5Heading3"/>
    <w:uiPriority w:val="12"/>
    <w:rsid w:val="008F24D2"/>
    <w:rPr>
      <w:rFonts w:asciiTheme="majorHAnsi" w:eastAsiaTheme="majorEastAsia" w:hAnsiTheme="majorHAnsi" w:cstheme="majorBidi"/>
      <w:color w:val="006060" w:themeColor="accent5"/>
      <w:sz w:val="32"/>
      <w:szCs w:val="24"/>
    </w:rPr>
  </w:style>
  <w:style w:type="paragraph" w:customStyle="1" w:styleId="Section6Heading1">
    <w:name w:val="Section 6 Heading 1"/>
    <w:basedOn w:val="Heading1"/>
    <w:next w:val="Normal"/>
    <w:link w:val="Section6Heading1Char"/>
    <w:uiPriority w:val="13"/>
    <w:qFormat/>
    <w:rsid w:val="0049539E"/>
    <w:rPr>
      <w:color w:val="660033" w:themeColor="accent6"/>
    </w:rPr>
  </w:style>
  <w:style w:type="character" w:customStyle="1" w:styleId="Section6Heading1Char">
    <w:name w:val="Section 6 Heading 1 Char"/>
    <w:basedOn w:val="Heading1Char"/>
    <w:link w:val="Section6Heading1"/>
    <w:uiPriority w:val="13"/>
    <w:rsid w:val="008F24D2"/>
    <w:rPr>
      <w:rFonts w:asciiTheme="majorHAnsi" w:eastAsiaTheme="majorEastAsia" w:hAnsiTheme="majorHAnsi" w:cstheme="majorBidi"/>
      <w:b/>
      <w:color w:val="660033" w:themeColor="accent6"/>
      <w:sz w:val="52"/>
      <w:szCs w:val="32"/>
    </w:rPr>
  </w:style>
  <w:style w:type="paragraph" w:customStyle="1" w:styleId="Section6Heading2">
    <w:name w:val="Section 6 Heading 2"/>
    <w:basedOn w:val="Heading2"/>
    <w:next w:val="Normal"/>
    <w:link w:val="Section6Heading2Char"/>
    <w:uiPriority w:val="13"/>
    <w:qFormat/>
    <w:rsid w:val="0049539E"/>
    <w:rPr>
      <w:color w:val="660033" w:themeColor="accent6"/>
    </w:rPr>
  </w:style>
  <w:style w:type="character" w:customStyle="1" w:styleId="Section6Heading2Char">
    <w:name w:val="Section 6 Heading 2 Char"/>
    <w:basedOn w:val="Heading2Char"/>
    <w:link w:val="Section6Heading2"/>
    <w:uiPriority w:val="13"/>
    <w:rsid w:val="008F24D2"/>
    <w:rPr>
      <w:rFonts w:asciiTheme="majorHAnsi" w:eastAsiaTheme="majorEastAsia" w:hAnsiTheme="majorHAnsi" w:cstheme="majorBidi"/>
      <w:b/>
      <w:color w:val="660033" w:themeColor="accent6"/>
      <w:sz w:val="32"/>
      <w:szCs w:val="26"/>
    </w:rPr>
  </w:style>
  <w:style w:type="paragraph" w:customStyle="1" w:styleId="Section6Heading3">
    <w:name w:val="Section 6 Heading 3"/>
    <w:basedOn w:val="Heading3"/>
    <w:next w:val="Normal"/>
    <w:link w:val="Section6Heading3Char"/>
    <w:uiPriority w:val="13"/>
    <w:qFormat/>
    <w:rsid w:val="0049539E"/>
    <w:rPr>
      <w:color w:val="660033" w:themeColor="accent6"/>
    </w:rPr>
  </w:style>
  <w:style w:type="character" w:customStyle="1" w:styleId="Section6Heading3Char">
    <w:name w:val="Section 6 Heading 3 Char"/>
    <w:basedOn w:val="Heading3Char"/>
    <w:link w:val="Section6Heading3"/>
    <w:uiPriority w:val="13"/>
    <w:rsid w:val="008F24D2"/>
    <w:rPr>
      <w:rFonts w:asciiTheme="majorHAnsi" w:eastAsiaTheme="majorEastAsia" w:hAnsiTheme="majorHAnsi" w:cstheme="majorBidi"/>
      <w:color w:val="660033" w:themeColor="accent6"/>
      <w:sz w:val="32"/>
      <w:szCs w:val="24"/>
    </w:rPr>
  </w:style>
  <w:style w:type="paragraph" w:customStyle="1" w:styleId="Bulletpoint">
    <w:name w:val="Bullet point"/>
    <w:basedOn w:val="Normal"/>
    <w:next w:val="Normal"/>
    <w:link w:val="BulletpointChar"/>
    <w:uiPriority w:val="1"/>
    <w:qFormat/>
    <w:rsid w:val="006E1AF8"/>
    <w:pPr>
      <w:numPr>
        <w:numId w:val="8"/>
      </w:numPr>
    </w:pPr>
  </w:style>
  <w:style w:type="character" w:customStyle="1" w:styleId="BulletpointChar">
    <w:name w:val="Bullet point Char"/>
    <w:basedOn w:val="DefaultParagraphFont"/>
    <w:link w:val="Bulletpoint"/>
    <w:uiPriority w:val="1"/>
    <w:rsid w:val="008F24D2"/>
    <w:rPr>
      <w:sz w:val="24"/>
    </w:rPr>
  </w:style>
  <w:style w:type="table" w:customStyle="1" w:styleId="HealthNewZealand">
    <w:name w:val="Health New Zealand"/>
    <w:basedOn w:val="TableNormal"/>
    <w:uiPriority w:val="99"/>
    <w:rsid w:val="004A146F"/>
    <w:pPr>
      <w:spacing w:after="0" w:line="240" w:lineRule="auto"/>
    </w:pPr>
    <w:tblPr/>
  </w:style>
  <w:style w:type="paragraph" w:styleId="IntenseQuote">
    <w:name w:val="Intense Quote"/>
    <w:aliases w:val="Fancy Quote"/>
    <w:basedOn w:val="Normal"/>
    <w:next w:val="Normal"/>
    <w:link w:val="IntenseQuoteChar"/>
    <w:uiPriority w:val="30"/>
    <w:qFormat/>
    <w:rsid w:val="006C3CC4"/>
    <w:pPr>
      <w:pBdr>
        <w:top w:val="single" w:sz="4" w:space="10" w:color="28A1AC" w:themeColor="accent2"/>
        <w:bottom w:val="single" w:sz="4" w:space="10" w:color="28A1AC" w:themeColor="accent2"/>
      </w:pBdr>
      <w:spacing w:before="360" w:after="360" w:line="360" w:lineRule="auto"/>
      <w:ind w:left="567" w:right="284"/>
    </w:pPr>
    <w:rPr>
      <w:rFonts w:ascii="Arial" w:hAnsi="Arial"/>
      <w:iCs/>
      <w:color w:val="474C55"/>
      <w:sz w:val="22"/>
    </w:rPr>
  </w:style>
  <w:style w:type="character" w:customStyle="1" w:styleId="IntenseQuoteChar">
    <w:name w:val="Intense Quote Char"/>
    <w:aliases w:val="Fancy Quote Char"/>
    <w:basedOn w:val="DefaultParagraphFont"/>
    <w:link w:val="IntenseQuote"/>
    <w:uiPriority w:val="30"/>
    <w:rsid w:val="006C3CC4"/>
    <w:rPr>
      <w:rFonts w:ascii="Arial" w:hAnsi="Arial"/>
      <w:iCs/>
      <w:color w:val="474C55"/>
    </w:rPr>
  </w:style>
  <w:style w:type="paragraph" w:styleId="List">
    <w:name w:val="List"/>
    <w:aliases w:val="Bullet level 1"/>
    <w:basedOn w:val="Normal"/>
    <w:uiPriority w:val="99"/>
    <w:unhideWhenUsed/>
    <w:qFormat/>
    <w:rsid w:val="006C3CC4"/>
    <w:pPr>
      <w:ind w:left="283" w:hanging="283"/>
      <w:contextualSpacing/>
    </w:pPr>
  </w:style>
  <w:style w:type="character" w:customStyle="1" w:styleId="cf01">
    <w:name w:val="cf01"/>
    <w:basedOn w:val="DefaultParagraphFont"/>
    <w:rsid w:val="006C3CC4"/>
    <w:rPr>
      <w:rFonts w:ascii="Segoe UI" w:hAnsi="Segoe UI" w:cs="Segoe UI" w:hint="default"/>
      <w:sz w:val="18"/>
      <w:szCs w:val="18"/>
    </w:rPr>
  </w:style>
  <w:style w:type="paragraph" w:customStyle="1" w:styleId="Bodycopy">
    <w:name w:val="Body copy"/>
    <w:basedOn w:val="Normal"/>
    <w:qFormat/>
    <w:rsid w:val="006C3CC4"/>
    <w:rPr>
      <w:rFonts w:ascii="Arial" w:hAnsi="Arial"/>
      <w:sz w:val="22"/>
      <w:szCs w:val="28"/>
    </w:rPr>
  </w:style>
  <w:style w:type="paragraph" w:styleId="Caption">
    <w:name w:val="caption"/>
    <w:basedOn w:val="Normal"/>
    <w:next w:val="Normal"/>
    <w:uiPriority w:val="35"/>
    <w:unhideWhenUsed/>
    <w:qFormat/>
    <w:rsid w:val="00542E8E"/>
    <w:pPr>
      <w:spacing w:after="200"/>
    </w:pPr>
    <w:rPr>
      <w:rFonts w:ascii="Arial" w:hAnsi="Arial"/>
      <w:color w:val="474C55"/>
      <w:sz w:val="18"/>
      <w:szCs w:val="18"/>
    </w:rPr>
  </w:style>
  <w:style w:type="table" w:styleId="GridTable4-Accent2">
    <w:name w:val="Grid Table 4 Accent 2"/>
    <w:basedOn w:val="TableNormal"/>
    <w:uiPriority w:val="49"/>
    <w:rsid w:val="00701C21"/>
    <w:pPr>
      <w:spacing w:after="0" w:line="240" w:lineRule="auto"/>
    </w:pPr>
    <w:rPr>
      <w:rFonts w:eastAsia="MS Mincho"/>
    </w:rPr>
    <w:tblPr>
      <w:tblStyleRowBandSize w:val="1"/>
      <w:tblStyleColBandSize w:val="1"/>
      <w:tblBorders>
        <w:top w:val="single" w:sz="4" w:space="0" w:color="6DD3DD" w:themeColor="accent2" w:themeTint="99"/>
        <w:left w:val="single" w:sz="4" w:space="0" w:color="6DD3DD" w:themeColor="accent2" w:themeTint="99"/>
        <w:bottom w:val="single" w:sz="4" w:space="0" w:color="6DD3DD" w:themeColor="accent2" w:themeTint="99"/>
        <w:right w:val="single" w:sz="4" w:space="0" w:color="6DD3DD" w:themeColor="accent2" w:themeTint="99"/>
        <w:insideH w:val="single" w:sz="4" w:space="0" w:color="6DD3DD" w:themeColor="accent2" w:themeTint="99"/>
        <w:insideV w:val="single" w:sz="4" w:space="0" w:color="6DD3DD" w:themeColor="accent2" w:themeTint="99"/>
      </w:tblBorders>
    </w:tblPr>
    <w:tblStylePr w:type="firstRow">
      <w:rPr>
        <w:b/>
        <w:bCs/>
        <w:color w:val="FFFFFF" w:themeColor="background1"/>
      </w:rPr>
      <w:tblPr/>
      <w:tcPr>
        <w:tcBorders>
          <w:top w:val="single" w:sz="4" w:space="0" w:color="28A1AC" w:themeColor="accent2"/>
          <w:left w:val="single" w:sz="4" w:space="0" w:color="28A1AC" w:themeColor="accent2"/>
          <w:bottom w:val="single" w:sz="4" w:space="0" w:color="28A1AC" w:themeColor="accent2"/>
          <w:right w:val="single" w:sz="4" w:space="0" w:color="28A1AC" w:themeColor="accent2"/>
          <w:insideH w:val="nil"/>
          <w:insideV w:val="nil"/>
        </w:tcBorders>
        <w:shd w:val="clear" w:color="auto" w:fill="28A1AC" w:themeFill="accent2"/>
      </w:tcPr>
    </w:tblStylePr>
    <w:tblStylePr w:type="lastRow">
      <w:rPr>
        <w:b/>
        <w:bCs/>
      </w:rPr>
      <w:tblPr/>
      <w:tcPr>
        <w:tcBorders>
          <w:top w:val="double" w:sz="4" w:space="0" w:color="28A1AC" w:themeColor="accent2"/>
        </w:tcBorders>
      </w:tcPr>
    </w:tblStylePr>
    <w:tblStylePr w:type="firstCol">
      <w:rPr>
        <w:b/>
        <w:bCs/>
      </w:rPr>
    </w:tblStylePr>
    <w:tblStylePr w:type="lastCol">
      <w:rPr>
        <w:b/>
        <w:bCs/>
      </w:rPr>
    </w:tblStylePr>
    <w:tblStylePr w:type="band1Vert">
      <w:tblPr/>
      <w:tcPr>
        <w:shd w:val="clear" w:color="auto" w:fill="CEF0F3" w:themeFill="accent2" w:themeFillTint="33"/>
      </w:tcPr>
    </w:tblStylePr>
    <w:tblStylePr w:type="band1Horz">
      <w:tblPr/>
      <w:tcPr>
        <w:shd w:val="clear" w:color="auto" w:fill="F2F2F2" w:themeFill="background1" w:themeFillShade="F2"/>
      </w:tcPr>
    </w:tblStylePr>
  </w:style>
  <w:style w:type="character" w:customStyle="1" w:styleId="normaltextrun">
    <w:name w:val="normaltextrun"/>
    <w:basedOn w:val="DefaultParagraphFont"/>
    <w:rsid w:val="00DB3E59"/>
  </w:style>
  <w:style w:type="table" w:styleId="GridTable4-Accent3">
    <w:name w:val="Grid Table 4 Accent 3"/>
    <w:basedOn w:val="TableNormal"/>
    <w:uiPriority w:val="49"/>
    <w:rsid w:val="00BE750A"/>
    <w:pPr>
      <w:spacing w:after="0" w:line="240" w:lineRule="auto"/>
    </w:pPr>
    <w:tblPr>
      <w:tblStyleRowBandSize w:val="1"/>
      <w:tblStyleColBandSize w:val="1"/>
      <w:tblBorders>
        <w:top w:val="single" w:sz="4" w:space="0" w:color="2870FF" w:themeColor="accent3" w:themeTint="99"/>
        <w:left w:val="single" w:sz="4" w:space="0" w:color="2870FF" w:themeColor="accent3" w:themeTint="99"/>
        <w:bottom w:val="single" w:sz="4" w:space="0" w:color="2870FF" w:themeColor="accent3" w:themeTint="99"/>
        <w:right w:val="single" w:sz="4" w:space="0" w:color="2870FF" w:themeColor="accent3" w:themeTint="99"/>
        <w:insideH w:val="single" w:sz="4" w:space="0" w:color="2870FF" w:themeColor="accent3" w:themeTint="99"/>
        <w:insideV w:val="single" w:sz="4" w:space="0" w:color="2870FF" w:themeColor="accent3" w:themeTint="99"/>
      </w:tblBorders>
    </w:tblPr>
    <w:tblStylePr w:type="firstRow">
      <w:rPr>
        <w:b/>
        <w:bCs/>
        <w:color w:val="FFFFFF" w:themeColor="background1"/>
      </w:rPr>
      <w:tblPr/>
      <w:tcPr>
        <w:tcBorders>
          <w:top w:val="single" w:sz="4" w:space="0" w:color="003399" w:themeColor="accent3"/>
          <w:left w:val="single" w:sz="4" w:space="0" w:color="003399" w:themeColor="accent3"/>
          <w:bottom w:val="single" w:sz="4" w:space="0" w:color="003399" w:themeColor="accent3"/>
          <w:right w:val="single" w:sz="4" w:space="0" w:color="003399" w:themeColor="accent3"/>
          <w:insideH w:val="nil"/>
          <w:insideV w:val="nil"/>
        </w:tcBorders>
        <w:shd w:val="clear" w:color="auto" w:fill="003399" w:themeFill="accent3"/>
      </w:tcPr>
    </w:tblStylePr>
    <w:tblStylePr w:type="lastRow">
      <w:rPr>
        <w:b/>
        <w:bCs/>
      </w:rPr>
      <w:tblPr/>
      <w:tcPr>
        <w:tcBorders>
          <w:top w:val="double" w:sz="4" w:space="0" w:color="003399" w:themeColor="accent3"/>
        </w:tcBorders>
      </w:tcPr>
    </w:tblStylePr>
    <w:tblStylePr w:type="firstCol">
      <w:rPr>
        <w:b/>
        <w:bCs/>
      </w:rPr>
    </w:tblStylePr>
    <w:tblStylePr w:type="lastCol">
      <w:rPr>
        <w:b/>
        <w:bCs/>
      </w:rPr>
    </w:tblStylePr>
    <w:tblStylePr w:type="band1Vert">
      <w:tblPr/>
      <w:tcPr>
        <w:shd w:val="clear" w:color="auto" w:fill="B7CFFF" w:themeFill="accent3" w:themeFillTint="33"/>
      </w:tcPr>
    </w:tblStylePr>
    <w:tblStylePr w:type="band1Horz">
      <w:tblPr/>
      <w:tcPr>
        <w:shd w:val="clear" w:color="auto" w:fill="F2F2F2" w:themeFill="background1" w:themeFillShade="F2"/>
      </w:tcPr>
    </w:tblStylePr>
  </w:style>
  <w:style w:type="character" w:customStyle="1" w:styleId="eop">
    <w:name w:val="eop"/>
    <w:basedOn w:val="DefaultParagraphFont"/>
    <w:rsid w:val="005146BD"/>
  </w:style>
  <w:style w:type="paragraph" w:styleId="TableofFigures">
    <w:name w:val="table of figures"/>
    <w:basedOn w:val="Normal"/>
    <w:next w:val="Normal"/>
    <w:uiPriority w:val="99"/>
    <w:unhideWhenUsed/>
    <w:rsid w:val="006501A7"/>
    <w:pPr>
      <w:spacing w:after="0"/>
    </w:pPr>
    <w:rPr>
      <w:rFonts w:ascii="Arial" w:hAnsi="Arial"/>
      <w:sz w:val="22"/>
      <w:szCs w:val="28"/>
    </w:rPr>
  </w:style>
  <w:style w:type="table" w:styleId="GridTable2">
    <w:name w:val="Grid Table 2"/>
    <w:basedOn w:val="TableNormal"/>
    <w:uiPriority w:val="47"/>
    <w:rsid w:val="00AC1BE1"/>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Accent3">
    <w:name w:val="Grid Table 5 Dark Accent 3"/>
    <w:basedOn w:val="TableNormal"/>
    <w:uiPriority w:val="50"/>
    <w:rsid w:val="00A5585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CF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339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339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339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3399" w:themeFill="accent3"/>
      </w:tcPr>
    </w:tblStylePr>
    <w:tblStylePr w:type="band1Vert">
      <w:tblPr/>
      <w:tcPr>
        <w:shd w:val="clear" w:color="auto" w:fill="709FFF" w:themeFill="accent3" w:themeFillTint="66"/>
      </w:tcPr>
    </w:tblStylePr>
    <w:tblStylePr w:type="band1Horz">
      <w:tblPr/>
      <w:tcPr>
        <w:shd w:val="clear" w:color="auto" w:fill="709FFF" w:themeFill="accent3" w:themeFillTint="66"/>
      </w:tcPr>
    </w:tblStylePr>
  </w:style>
  <w:style w:type="paragraph" w:customStyle="1" w:styleId="paragraph">
    <w:name w:val="paragraph"/>
    <w:basedOn w:val="Normal"/>
    <w:rsid w:val="00264103"/>
    <w:pPr>
      <w:spacing w:before="100" w:beforeAutospacing="1" w:after="100" w:afterAutospacing="1" w:line="240" w:lineRule="auto"/>
    </w:pPr>
    <w:rPr>
      <w:rFonts w:ascii="Times New Roman" w:eastAsia="Times New Roman" w:hAnsi="Times New Roman" w:cs="Times New Roman"/>
      <w:szCs w:val="24"/>
      <w:lang w:eastAsia="en-NZ"/>
    </w:rPr>
  </w:style>
  <w:style w:type="character" w:styleId="UnresolvedMention">
    <w:name w:val="Unresolved Mention"/>
    <w:basedOn w:val="DefaultParagraphFont"/>
    <w:uiPriority w:val="99"/>
    <w:semiHidden/>
    <w:unhideWhenUsed/>
    <w:rsid w:val="00184E67"/>
    <w:rPr>
      <w:color w:val="605E5C"/>
      <w:shd w:val="clear" w:color="auto" w:fill="E1DFDD"/>
    </w:rPr>
  </w:style>
  <w:style w:type="character" w:customStyle="1" w:styleId="ui-provider">
    <w:name w:val="ui-provider"/>
    <w:basedOn w:val="DefaultParagraphFont"/>
    <w:rsid w:val="002961FA"/>
  </w:style>
  <w:style w:type="paragraph" w:styleId="Bibliography">
    <w:name w:val="Bibliography"/>
    <w:basedOn w:val="Normal"/>
    <w:next w:val="Normal"/>
    <w:uiPriority w:val="37"/>
    <w:semiHidden/>
    <w:unhideWhenUsed/>
    <w:rsid w:val="00A378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3608102">
      <w:bodyDiv w:val="1"/>
      <w:marLeft w:val="0"/>
      <w:marRight w:val="0"/>
      <w:marTop w:val="0"/>
      <w:marBottom w:val="0"/>
      <w:divBdr>
        <w:top w:val="none" w:sz="0" w:space="0" w:color="auto"/>
        <w:left w:val="none" w:sz="0" w:space="0" w:color="auto"/>
        <w:bottom w:val="none" w:sz="0" w:space="0" w:color="auto"/>
        <w:right w:val="none" w:sz="0" w:space="0" w:color="auto"/>
      </w:divBdr>
      <w:divsChild>
        <w:div w:id="666326827">
          <w:marLeft w:val="0"/>
          <w:marRight w:val="0"/>
          <w:marTop w:val="60"/>
          <w:marBottom w:val="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tepou.co.nz" TargetMode="External"/><Relationship Id="rId21" Type="http://schemas.openxmlformats.org/officeDocument/2006/relationships/diagramColors" Target="diagrams/colors1.xml"/><Relationship Id="rId42" Type="http://schemas.openxmlformats.org/officeDocument/2006/relationships/hyperlink" Target="https://d2ew8vb2gktr0m.cloudfront.net/files/resources/AOD-screening-manual-WEB.pdf" TargetMode="External"/><Relationship Id="rId63" Type="http://schemas.openxmlformats.org/officeDocument/2006/relationships/hyperlink" Target="https://www.acc.co.nz/assets/contracts/concussion-og.pdf" TargetMode="External"/><Relationship Id="rId84" Type="http://schemas.openxmlformats.org/officeDocument/2006/relationships/hyperlink" Target="http://www.health.govt.nz" TargetMode="External"/><Relationship Id="rId138" Type="http://schemas.openxmlformats.org/officeDocument/2006/relationships/hyperlink" Target="http://www.parent2parent.org.nz" TargetMode="External"/><Relationship Id="rId159" Type="http://schemas.openxmlformats.org/officeDocument/2006/relationships/image" Target="media/image30.jpeg"/><Relationship Id="rId107" Type="http://schemas.openxmlformats.org/officeDocument/2006/relationships/hyperlink" Target="http://www.tepou.co.nz" TargetMode="External"/><Relationship Id="rId11" Type="http://schemas.openxmlformats.org/officeDocument/2006/relationships/image" Target="media/image3.png"/><Relationship Id="rId32" Type="http://schemas.openxmlformats.org/officeDocument/2006/relationships/image" Target="media/image12.jpeg"/><Relationship Id="rId53" Type="http://schemas.openxmlformats.org/officeDocument/2006/relationships/hyperlink" Target="https://www.hdc.org.nz/your-rights/about-the-code/code-of-health-and-disability-services-consumers-rights/" TargetMode="External"/><Relationship Id="rId74" Type="http://schemas.openxmlformats.org/officeDocument/2006/relationships/header" Target="header5.xml"/><Relationship Id="rId128" Type="http://schemas.openxmlformats.org/officeDocument/2006/relationships/hyperlink" Target="http://www.autismnz.org.nz" TargetMode="External"/><Relationship Id="rId149" Type="http://schemas.openxmlformats.org/officeDocument/2006/relationships/image" Target="cid:image003.png@01D9F097.444A2CA0" TargetMode="External"/><Relationship Id="rId5" Type="http://schemas.openxmlformats.org/officeDocument/2006/relationships/webSettings" Target="webSettings.xml"/><Relationship Id="rId95" Type="http://schemas.openxmlformats.org/officeDocument/2006/relationships/hyperlink" Target="https://www.ecald.com/" TargetMode="External"/><Relationship Id="rId160" Type="http://schemas.openxmlformats.org/officeDocument/2006/relationships/header" Target="header8.xml"/><Relationship Id="rId22" Type="http://schemas.microsoft.com/office/2007/relationships/diagramDrawing" Target="diagrams/drawing1.xml"/><Relationship Id="rId43" Type="http://schemas.openxmlformats.org/officeDocument/2006/relationships/hyperlink" Target="https://www.health.govt.nz/system/files/documents/publications/te-ariari-o-te-orang-teariari-13-04-10.pdf" TargetMode="External"/><Relationship Id="rId64" Type="http://schemas.openxmlformats.org/officeDocument/2006/relationships/hyperlink" Target="https://www.majortrauma.nz/assets/TBI-Adult-acute-flowchart-with-revisions-20-July-2021-v1.pdf" TargetMode="External"/><Relationship Id="rId118" Type="http://schemas.openxmlformats.org/officeDocument/2006/relationships/hyperlink" Target="http://www.tepou.co.nz" TargetMode="External"/><Relationship Id="rId139" Type="http://schemas.openxmlformats.org/officeDocument/2006/relationships/hyperlink" Target="http://www.stroke.org.nz" TargetMode="External"/><Relationship Id="rId85" Type="http://schemas.openxmlformats.org/officeDocument/2006/relationships/hyperlink" Target="http://www.health.govt.nz" TargetMode="External"/><Relationship Id="rId150" Type="http://schemas.openxmlformats.org/officeDocument/2006/relationships/image" Target="media/image27.jp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hyperlink" Target="https://officeforseniors.govt.nz/our-work/promoting-enduring-power-of-attorney/changing-or-ending-an-epa/" TargetMode="External"/><Relationship Id="rId59" Type="http://schemas.openxmlformats.org/officeDocument/2006/relationships/hyperlink" Target="https://www.health.govt.nz/publication/eating-and-activity-guidelines-new-zealand-adults" TargetMode="External"/><Relationship Id="rId103" Type="http://schemas.openxmlformats.org/officeDocument/2006/relationships/hyperlink" Target="http://www.tepou.co.nz" TargetMode="External"/><Relationship Id="rId108" Type="http://schemas.openxmlformats.org/officeDocument/2006/relationships/hyperlink" Target="http://www.insideout.org.nz" TargetMode="External"/><Relationship Id="rId124" Type="http://schemas.openxmlformats.org/officeDocument/2006/relationships/hyperlink" Target="http://www.acc.co.nz" TargetMode="External"/><Relationship Id="rId129" Type="http://schemas.openxmlformats.org/officeDocument/2006/relationships/hyperlink" Target="http://www.brain-injury.nz" TargetMode="External"/><Relationship Id="rId54" Type="http://schemas.openxmlformats.org/officeDocument/2006/relationships/image" Target="media/image16.jpeg"/><Relationship Id="rId70" Type="http://schemas.openxmlformats.org/officeDocument/2006/relationships/footer" Target="footer3.xml"/><Relationship Id="rId75" Type="http://schemas.openxmlformats.org/officeDocument/2006/relationships/footer" Target="footer5.xml"/><Relationship Id="rId91" Type="http://schemas.openxmlformats.org/officeDocument/2006/relationships/hyperlink" Target="http://www.realskills.wharaurau.org.nz" TargetMode="External"/><Relationship Id="rId96" Type="http://schemas.openxmlformats.org/officeDocument/2006/relationships/hyperlink" Target="http://www.leva.co.nz" TargetMode="External"/><Relationship Id="rId140" Type="http://schemas.openxmlformats.org/officeDocument/2006/relationships/hyperlink" Target="http://www.heartsandminds.org.nz" TargetMode="External"/><Relationship Id="rId145" Type="http://schemas.openxmlformats.org/officeDocument/2006/relationships/hyperlink" Target="http://www.health.govt.nz" TargetMode="External"/><Relationship Id="rId16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tewhatuora.govt.nz/publications/fetal-alcohol-spectrum-disorder-fasd-diagnostic-guidelines/" TargetMode="External"/><Relationship Id="rId28" Type="http://schemas.openxmlformats.org/officeDocument/2006/relationships/diagramColors" Target="diagrams/colors2.xml"/><Relationship Id="rId49" Type="http://schemas.openxmlformats.org/officeDocument/2006/relationships/hyperlink" Target="https://www.parinc.com/Products/Pkey/25" TargetMode="External"/><Relationship Id="rId114" Type="http://schemas.openxmlformats.org/officeDocument/2006/relationships/hyperlink" Target="http://www.tepou.co.nz" TargetMode="External"/><Relationship Id="rId119" Type="http://schemas.openxmlformats.org/officeDocument/2006/relationships/hyperlink" Target="www.health.govt.nz" TargetMode="External"/><Relationship Id="rId44" Type="http://schemas.openxmlformats.org/officeDocument/2006/relationships/hyperlink" Target="https://mocacognition.com/paper/" TargetMode="External"/><Relationship Id="rId60" Type="http://schemas.openxmlformats.org/officeDocument/2006/relationships/image" Target="media/image20.png"/><Relationship Id="rId65" Type="http://schemas.openxmlformats.org/officeDocument/2006/relationships/hyperlink" Target="https://www.nznasca.co.nz/regions/" TargetMode="External"/><Relationship Id="rId81" Type="http://schemas.openxmlformats.org/officeDocument/2006/relationships/hyperlink" Target="http://www.tpk.govt.nz" TargetMode="External"/><Relationship Id="rId86" Type="http://schemas.openxmlformats.org/officeDocument/2006/relationships/hyperlink" Target="dapaanz.org.nz" TargetMode="External"/><Relationship Id="rId130" Type="http://schemas.openxmlformats.org/officeDocument/2006/relationships/hyperlink" Target="http://www.burnettfoundation.org.nz" TargetMode="External"/><Relationship Id="rId135" Type="http://schemas.openxmlformats.org/officeDocument/2006/relationships/hyperlink" Target="http://www.whaikaha.govt.nz" TargetMode="External"/><Relationship Id="rId151" Type="http://schemas.openxmlformats.org/officeDocument/2006/relationships/hyperlink" Target="https://www.google.com/url?sa=t&amp;rct=j&amp;q=&amp;esrc=s&amp;source=web&amp;cd=&amp;cad=rja&amp;uact=8&amp;ved=2ahUKEwj3jPyHwsKBAxXJhVYBHQMWALsQFnoECBYQAQ&amp;url=https%3A%2F%2Fwww.nzgp-webdirectory.co.nz%2Fsite%2Fnzgp-webdirectory2%2Ffiles%2Fpdfs%2Fforms%2FKessler_10.pdf&amp;usg=AOvVaw1xb27Rs4SfCxzLvm8OTB0e&amp;opi=89978449" TargetMode="External"/><Relationship Id="rId156" Type="http://schemas.openxmlformats.org/officeDocument/2006/relationships/header" Target="header7.xml"/><Relationship Id="rId13" Type="http://schemas.openxmlformats.org/officeDocument/2006/relationships/image" Target="media/image5.png"/><Relationship Id="rId18" Type="http://schemas.openxmlformats.org/officeDocument/2006/relationships/diagramData" Target="diagrams/data1.xml"/><Relationship Id="rId39" Type="http://schemas.openxmlformats.org/officeDocument/2006/relationships/hyperlink" Target="https://www.publictrust.co.nz/products-and-services/enduring-power-of-attorney/" TargetMode="External"/><Relationship Id="rId109" Type="http://schemas.openxmlformats.org/officeDocument/2006/relationships/hyperlink" Target="http://www.mpp.govt.nz" TargetMode="External"/><Relationship Id="rId34" Type="http://schemas.openxmlformats.org/officeDocument/2006/relationships/hyperlink" Target="https://officeforseniors.govt.nz/our-work/promoting-enduring-power-of-attorney/how-to-create-an-enduring-power-of-attorney/" TargetMode="External"/><Relationship Id="rId50" Type="http://schemas.openxmlformats.org/officeDocument/2006/relationships/hyperlink" Target="https://searchregister.psychologistsboard.org.nz/" TargetMode="External"/><Relationship Id="rId55" Type="http://schemas.openxmlformats.org/officeDocument/2006/relationships/hyperlink" Target="https://www.wellbeingsupport.health.nz/" TargetMode="External"/><Relationship Id="rId76" Type="http://schemas.openxmlformats.org/officeDocument/2006/relationships/image" Target="media/image25.jpg"/><Relationship Id="rId97" Type="http://schemas.openxmlformats.org/officeDocument/2006/relationships/hyperlink" Target="https://groundwork.org.nz/" TargetMode="External"/><Relationship Id="rId104" Type="http://schemas.openxmlformats.org/officeDocument/2006/relationships/hyperlink" Target="http://www.terauora.com" TargetMode="External"/><Relationship Id="rId120" Type="http://schemas.openxmlformats.org/officeDocument/2006/relationships/hyperlink" Target="http://www.tepou.co.nz" TargetMode="External"/><Relationship Id="rId125" Type="http://schemas.openxmlformats.org/officeDocument/2006/relationships/hyperlink" Target="http://www.adhd.org.nz" TargetMode="External"/><Relationship Id="rId141" Type="http://schemas.openxmlformats.org/officeDocument/2006/relationships/hyperlink" Target="http://www.vakatautua.co.nz" TargetMode="External"/><Relationship Id="rId146" Type="http://schemas.openxmlformats.org/officeDocument/2006/relationships/hyperlink" Target="http://www.peoplefirst.org.nz" TargetMode="External"/><Relationship Id="rId7" Type="http://schemas.openxmlformats.org/officeDocument/2006/relationships/endnotes" Target="endnotes.xml"/><Relationship Id="rId71" Type="http://schemas.openxmlformats.org/officeDocument/2006/relationships/image" Target="media/image23.jpg"/><Relationship Id="rId92" Type="http://schemas.openxmlformats.org/officeDocument/2006/relationships/hyperlink" Target="http://www.leva.co.nz" TargetMode="External"/><Relationship Id="rId162" Type="http://schemas.openxmlformats.org/officeDocument/2006/relationships/header" Target="header9.xml"/><Relationship Id="rId2" Type="http://schemas.openxmlformats.org/officeDocument/2006/relationships/numbering" Target="numbering.xml"/><Relationship Id="rId29" Type="http://schemas.microsoft.com/office/2007/relationships/diagramDrawing" Target="diagrams/drawing2.xml"/><Relationship Id="rId24" Type="http://schemas.openxmlformats.org/officeDocument/2006/relationships/image" Target="media/image10.png"/><Relationship Id="rId40" Type="http://schemas.openxmlformats.org/officeDocument/2006/relationships/image" Target="media/image14.png"/><Relationship Id="rId45" Type="http://schemas.openxmlformats.org/officeDocument/2006/relationships/hyperlink" Target="https://healthify.nz/tools/m/mini-ace/" TargetMode="External"/><Relationship Id="rId66" Type="http://schemas.openxmlformats.org/officeDocument/2006/relationships/image" Target="media/image21.jpeg"/><Relationship Id="rId87" Type="http://schemas.openxmlformats.org/officeDocument/2006/relationships/hyperlink" Target="http://www.tepou.co.nz" TargetMode="External"/><Relationship Id="rId110" Type="http://schemas.openxmlformats.org/officeDocument/2006/relationships/hyperlink" Target="http://www.tepou.co.nz" TargetMode="External"/><Relationship Id="rId115" Type="http://schemas.openxmlformats.org/officeDocument/2006/relationships/hyperlink" Target="http://www.wharetukutuku.com" TargetMode="External"/><Relationship Id="rId131" Type="http://schemas.openxmlformats.org/officeDocument/2006/relationships/hyperlink" Target="http://www.dementia.nz" TargetMode="External"/><Relationship Id="rId136" Type="http://schemas.openxmlformats.org/officeDocument/2006/relationships/hyperlink" Target="http://www.mentalhealth.org.nz" TargetMode="External"/><Relationship Id="rId157" Type="http://schemas.openxmlformats.org/officeDocument/2006/relationships/footer" Target="footer7.xml"/><Relationship Id="rId61" Type="http://schemas.openxmlformats.org/officeDocument/2006/relationships/hyperlink" Target="https://www.acc.co.nz/contact/request-for-personal-information/request-personal-information-for-someone-else/" TargetMode="External"/><Relationship Id="rId82" Type="http://schemas.openxmlformats.org/officeDocument/2006/relationships/hyperlink" Target="http://www.health.govt.nz" TargetMode="External"/><Relationship Id="rId152" Type="http://schemas.openxmlformats.org/officeDocument/2006/relationships/hyperlink" Target="https://d2ew8vb2gktr0m.cloudfront.net/files/resources/AOD-screening-manual-WEB.pdf" TargetMode="External"/><Relationship Id="rId19" Type="http://schemas.openxmlformats.org/officeDocument/2006/relationships/diagramLayout" Target="diagrams/layout1.xml"/><Relationship Id="rId14" Type="http://schemas.openxmlformats.org/officeDocument/2006/relationships/image" Target="media/image6.jpg"/><Relationship Id="rId30" Type="http://schemas.openxmlformats.org/officeDocument/2006/relationships/header" Target="header1.xml"/><Relationship Id="rId35" Type="http://schemas.openxmlformats.org/officeDocument/2006/relationships/hyperlink" Target="https://officeforseniors.govt.nz/our-work/promoting-enduring-power-of-attorney/changing-or-ending-an-epa/" TargetMode="External"/><Relationship Id="rId56" Type="http://schemas.openxmlformats.org/officeDocument/2006/relationships/image" Target="media/image17.jpeg"/><Relationship Id="rId77" Type="http://schemas.openxmlformats.org/officeDocument/2006/relationships/hyperlink" Target="http://www.hdc.org.nz/" TargetMode="External"/><Relationship Id="rId100" Type="http://schemas.openxmlformats.org/officeDocument/2006/relationships/hyperlink" Target="www.tepou.co.nz" TargetMode="External"/><Relationship Id="rId105" Type="http://schemas.openxmlformats.org/officeDocument/2006/relationships/hyperlink" Target="http://www.wharaurau.org.nz" TargetMode="External"/><Relationship Id="rId126" Type="http://schemas.openxmlformats.org/officeDocument/2006/relationships/hyperlink" Target="www.asianfamilyservices.nz" TargetMode="External"/><Relationship Id="rId147" Type="http://schemas.openxmlformats.org/officeDocument/2006/relationships/hyperlink" Target="mailto:makeiteasy@peoplefirst.org.nz" TargetMode="External"/><Relationship Id="rId8" Type="http://schemas.openxmlformats.org/officeDocument/2006/relationships/image" Target="media/image1.png"/><Relationship Id="rId51" Type="http://schemas.openxmlformats.org/officeDocument/2006/relationships/hyperlink" Target="https://www.nzccp.co.nz/for-the-public/find-a-clinical-psychologist/" TargetMode="External"/><Relationship Id="rId72" Type="http://schemas.openxmlformats.org/officeDocument/2006/relationships/header" Target="header4.xml"/><Relationship Id="rId93" Type="http://schemas.openxmlformats.org/officeDocument/2006/relationships/hyperlink" Target="http://www.terauora.com" TargetMode="External"/><Relationship Id="rId98" Type="http://schemas.openxmlformats.org/officeDocument/2006/relationships/hyperlink" Target="http://www.terauora.com" TargetMode="External"/><Relationship Id="rId121" Type="http://schemas.openxmlformats.org/officeDocument/2006/relationships/hyperlink" Target="http://www.tepou.co.nz" TargetMode="External"/><Relationship Id="rId142" Type="http://schemas.openxmlformats.org/officeDocument/2006/relationships/hyperlink" Target="http://www.hepatitisfoundation.org.nz" TargetMode="External"/><Relationship Id="rId163" Type="http://schemas.openxmlformats.org/officeDocument/2006/relationships/footer" Target="footer9.xml"/><Relationship Id="rId3" Type="http://schemas.openxmlformats.org/officeDocument/2006/relationships/styles" Target="styles.xml"/><Relationship Id="rId25" Type="http://schemas.openxmlformats.org/officeDocument/2006/relationships/diagramData" Target="diagrams/data2.xml"/><Relationship Id="rId46" Type="http://schemas.openxmlformats.org/officeDocument/2006/relationships/hyperlink" Target="https://aci.health.nsw.gov.au/projects/ace-program/screening-and-assessment" TargetMode="External"/><Relationship Id="rId67" Type="http://schemas.openxmlformats.org/officeDocument/2006/relationships/header" Target="header2.xml"/><Relationship Id="rId116" Type="http://schemas.openxmlformats.org/officeDocument/2006/relationships/hyperlink" Target="http://www.tepou.co.nz" TargetMode="External"/><Relationship Id="rId137" Type="http://schemas.openxmlformats.org/officeDocument/2006/relationships/hyperlink" Target="http://www.nzdsn.org.nz" TargetMode="External"/><Relationship Id="rId158" Type="http://schemas.openxmlformats.org/officeDocument/2006/relationships/hyperlink" Target="https://www.health.govt.nz/system/files/documents/publications/supporting-parents-healthy-children-sep15.docx" TargetMode="External"/><Relationship Id="rId20" Type="http://schemas.openxmlformats.org/officeDocument/2006/relationships/diagramQuickStyle" Target="diagrams/quickStyle1.xml"/><Relationship Id="rId41" Type="http://schemas.openxmlformats.org/officeDocument/2006/relationships/image" Target="media/image15.png"/><Relationship Id="rId62" Type="http://schemas.openxmlformats.org/officeDocument/2006/relationships/hyperlink" Target="https://www.acc.co.nz/for-providers/lodging-claims/understanding-claims-and-cover/" TargetMode="External"/><Relationship Id="rId83" Type="http://schemas.openxmlformats.org/officeDocument/2006/relationships/hyperlink" Target="http://www.health.govt.nz" TargetMode="External"/><Relationship Id="rId88" Type="http://schemas.openxmlformats.org/officeDocument/2006/relationships/hyperlink" Target="http://www.health.govt.nz" TargetMode="External"/><Relationship Id="rId111" Type="http://schemas.openxmlformats.org/officeDocument/2006/relationships/hyperlink" Target="http://www.wharetukutuku.com" TargetMode="External"/><Relationship Id="rId132" Type="http://schemas.openxmlformats.org/officeDocument/2006/relationships/hyperlink" Target="http://www.fasd-can.org.nz" TargetMode="External"/><Relationship Id="rId153" Type="http://schemas.openxmlformats.org/officeDocument/2006/relationships/image" Target="media/image28.jpeg"/><Relationship Id="rId15" Type="http://schemas.openxmlformats.org/officeDocument/2006/relationships/image" Target="media/image7.jpg"/><Relationship Id="rId36" Type="http://schemas.openxmlformats.org/officeDocument/2006/relationships/hyperlink" Target="https://www.publictrust.co.nz/products-and-services/enduring-power-of-attorney/" TargetMode="External"/><Relationship Id="rId57" Type="http://schemas.openxmlformats.org/officeDocument/2006/relationships/image" Target="media/image18.jpeg"/><Relationship Id="rId106" Type="http://schemas.openxmlformats.org/officeDocument/2006/relationships/hyperlink" Target="http://www.tepou.co.nz" TargetMode="External"/><Relationship Id="rId127" Type="http://schemas.openxmlformats.org/officeDocument/2006/relationships/hyperlink" Target="http://www.alzheimers.org.nz" TargetMode="External"/><Relationship Id="rId10" Type="http://schemas.openxmlformats.org/officeDocument/2006/relationships/hyperlink" Target="https://www.tewhatuora.govt.nz/" TargetMode="External"/><Relationship Id="rId31" Type="http://schemas.openxmlformats.org/officeDocument/2006/relationships/footer" Target="footer1.xml"/><Relationship Id="rId52" Type="http://schemas.openxmlformats.org/officeDocument/2006/relationships/hyperlink" Target="https://www.health.govt.nz/system/files/2024-05/guideline-assessing-capacity-make-decisions-treatment-severe-substance-addiction-nov17.pdf" TargetMode="External"/><Relationship Id="rId73" Type="http://schemas.openxmlformats.org/officeDocument/2006/relationships/footer" Target="footer4.xml"/><Relationship Id="rId78" Type="http://schemas.openxmlformats.org/officeDocument/2006/relationships/hyperlink" Target="http://www.privacy.org.nz" TargetMode="External"/><Relationship Id="rId94" Type="http://schemas.openxmlformats.org/officeDocument/2006/relationships/hyperlink" Target="http://www.aasb.org" TargetMode="External"/><Relationship Id="rId99" Type="http://schemas.openxmlformats.org/officeDocument/2006/relationships/hyperlink" Target="http://www.ethniccommunities.govt.nz" TargetMode="External"/><Relationship Id="rId101" Type="http://schemas.openxmlformats.org/officeDocument/2006/relationships/hyperlink" Target="http://www.wharaurau.org.nz" TargetMode="External"/><Relationship Id="rId122" Type="http://schemas.openxmlformats.org/officeDocument/2006/relationships/hyperlink" Target="http://www.health.govt.nz" TargetMode="External"/><Relationship Id="rId143" Type="http://schemas.openxmlformats.org/officeDocument/2006/relationships/hyperlink" Target="http://www.whaikaha.govt.nz" TargetMode="External"/><Relationship Id="rId148" Type="http://schemas.openxmlformats.org/officeDocument/2006/relationships/image" Target="media/image26.png"/><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diagramLayout" Target="diagrams/layout2.xml"/><Relationship Id="rId47" Type="http://schemas.openxmlformats.org/officeDocument/2006/relationships/hyperlink" Target="https://www.sydney.edu.au/brain-mind/resources-for-clinicians/dementia-test.html" TargetMode="External"/><Relationship Id="rId68" Type="http://schemas.openxmlformats.org/officeDocument/2006/relationships/footer" Target="footer2.xml"/><Relationship Id="rId89" Type="http://schemas.openxmlformats.org/officeDocument/2006/relationships/hyperlink" Target="http://www.tepou.co.nz" TargetMode="External"/><Relationship Id="rId112" Type="http://schemas.openxmlformats.org/officeDocument/2006/relationships/hyperlink" Target="https://www.tereohapai.nz/" TargetMode="External"/><Relationship Id="rId133" Type="http://schemas.openxmlformats.org/officeDocument/2006/relationships/hyperlink" Target="http://www.idea.org.nz" TargetMode="External"/><Relationship Id="rId154" Type="http://schemas.openxmlformats.org/officeDocument/2006/relationships/header" Target="header6.xml"/><Relationship Id="rId16" Type="http://schemas.openxmlformats.org/officeDocument/2006/relationships/image" Target="media/image8.png"/><Relationship Id="rId37" Type="http://schemas.openxmlformats.org/officeDocument/2006/relationships/hyperlink" Target="https://officeforseniors.govt.nz/our-work/promoting-enduring-power-of-attorney/how-to-create-an-enduring-power-of-attorney/" TargetMode="External"/><Relationship Id="rId58" Type="http://schemas.openxmlformats.org/officeDocument/2006/relationships/image" Target="media/image19.jpeg"/><Relationship Id="rId79" Type="http://schemas.openxmlformats.org/officeDocument/2006/relationships/hyperlink" Target="http://www.health.govt.nz" TargetMode="External"/><Relationship Id="rId102" Type="http://schemas.openxmlformats.org/officeDocument/2006/relationships/hyperlink" Target="http://www.ethniccommunities.govt.nz" TargetMode="External"/><Relationship Id="rId123" Type="http://schemas.openxmlformats.org/officeDocument/2006/relationships/hyperlink" Target="http://www.health.govt.nz" TargetMode="External"/><Relationship Id="rId144" Type="http://schemas.openxmlformats.org/officeDocument/2006/relationships/hyperlink" Target="http://www.wharaurau.org.nz" TargetMode="External"/><Relationship Id="rId90" Type="http://schemas.openxmlformats.org/officeDocument/2006/relationships/hyperlink" Target="http://www.tepou.co.nz" TargetMode="External"/><Relationship Id="rId165" Type="http://schemas.openxmlformats.org/officeDocument/2006/relationships/theme" Target="theme/theme1.xml"/><Relationship Id="rId27" Type="http://schemas.openxmlformats.org/officeDocument/2006/relationships/diagramQuickStyle" Target="diagrams/quickStyle2.xml"/><Relationship Id="rId48" Type="http://schemas.openxmlformats.org/officeDocument/2006/relationships/hyperlink" Target="https://aci.health.nsw.gov.au/projects/ace-program/screening-and-assessment" TargetMode="External"/><Relationship Id="rId69" Type="http://schemas.openxmlformats.org/officeDocument/2006/relationships/header" Target="header3.xml"/><Relationship Id="rId113" Type="http://schemas.openxmlformats.org/officeDocument/2006/relationships/hyperlink" Target="http://www.tepou.co.nz" TargetMode="External"/><Relationship Id="rId134" Type="http://schemas.openxmlformats.org/officeDocument/2006/relationships/hyperlink" Target="http://www.ihc.org.nz" TargetMode="External"/><Relationship Id="rId80" Type="http://schemas.openxmlformats.org/officeDocument/2006/relationships/hyperlink" Target="http://www.odi.govt.nz" TargetMode="External"/><Relationship Id="rId155" Type="http://schemas.openxmlformats.org/officeDocument/2006/relationships/footer" Target="footer6.xml"/></Relationships>
</file>

<file path=word/_rels/footnotes.xml.rels><?xml version="1.0" encoding="UTF-8" standalone="yes"?>
<Relationships xmlns="http://schemas.openxmlformats.org/package/2006/relationships"><Relationship Id="rId2" Type="http://schemas.openxmlformats.org/officeDocument/2006/relationships/hyperlink" Target="https://www.nzdementia.org/MANA" TargetMode="External"/><Relationship Id="rId1" Type="http://schemas.openxmlformats.org/officeDocument/2006/relationships/hyperlink" Target="https://www.acc.co.nz/assets/provider/supplementary-faqs-provided-prior-to-hui.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1" Type="http://schemas.openxmlformats.org/officeDocument/2006/relationships/image" Target="media/image22.jpg"/></Relationships>
</file>

<file path=word/_rels/header4.xml.rels><?xml version="1.0" encoding="UTF-8" standalone="yes"?>
<Relationships xmlns="http://schemas.openxmlformats.org/package/2006/relationships"><Relationship Id="rId1" Type="http://schemas.openxmlformats.org/officeDocument/2006/relationships/image" Target="media/image24.jpg"/></Relationships>
</file>

<file path=word/_rels/header6.xml.rels><?xml version="1.0" encoding="UTF-8" standalone="yes"?>
<Relationships xmlns="http://schemas.openxmlformats.org/package/2006/relationships"><Relationship Id="rId1" Type="http://schemas.openxmlformats.org/officeDocument/2006/relationships/image" Target="media/image29.jpg"/></Relationships>
</file>

<file path=word/_rels/header8.xml.rels><?xml version="1.0" encoding="UTF-8" standalone="yes"?>
<Relationships xmlns="http://schemas.openxmlformats.org/package/2006/relationships"><Relationship Id="rId1" Type="http://schemas.openxmlformats.org/officeDocument/2006/relationships/image" Target="media/image11.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2A4A660-7739-4B47-AE6E-0188A2D11EB7}" type="doc">
      <dgm:prSet loTypeId="urn:microsoft.com/office/officeart/2005/8/layout/cycle1" loCatId="cycle" qsTypeId="urn:microsoft.com/office/officeart/2005/8/quickstyle/simple1" qsCatId="simple" csTypeId="urn:microsoft.com/office/officeart/2005/8/colors/accent1_2" csCatId="accent1" phldr="1"/>
      <dgm:spPr/>
      <dgm:t>
        <a:bodyPr/>
        <a:lstStyle/>
        <a:p>
          <a:endParaRPr lang="en-NZ"/>
        </a:p>
      </dgm:t>
    </dgm:pt>
    <dgm:pt modelId="{31C11549-0723-4FEA-95D8-37CEE4B2B55C}">
      <dgm:prSet phldrT="[Text]"/>
      <dgm:spPr/>
      <dgm:t>
        <a:bodyPr/>
        <a:lstStyle/>
        <a:p>
          <a:r>
            <a:rPr lang="en-NZ"/>
            <a:t>Problematic substance use</a:t>
          </a:r>
        </a:p>
      </dgm:t>
    </dgm:pt>
    <dgm:pt modelId="{9F26BEAB-EAB0-4419-8947-0A62863A831A}" type="parTrans" cxnId="{42BAF647-EAB8-4638-82FB-D4F42923A18A}">
      <dgm:prSet/>
      <dgm:spPr/>
      <dgm:t>
        <a:bodyPr/>
        <a:lstStyle/>
        <a:p>
          <a:endParaRPr lang="en-NZ"/>
        </a:p>
      </dgm:t>
    </dgm:pt>
    <dgm:pt modelId="{6EF608AD-7C4A-4AE1-AF25-5154E663ACFD}" type="sibTrans" cxnId="{42BAF647-EAB8-4638-82FB-D4F42923A18A}">
      <dgm:prSet/>
      <dgm:spPr>
        <a:solidFill>
          <a:schemeClr val="accent2"/>
        </a:solidFill>
      </dgm:spPr>
      <dgm:t>
        <a:bodyPr/>
        <a:lstStyle/>
        <a:p>
          <a:endParaRPr lang="en-NZ"/>
        </a:p>
      </dgm:t>
    </dgm:pt>
    <dgm:pt modelId="{098AD744-8F57-4DAF-89E4-D8DCF5125A6C}">
      <dgm:prSet phldrT="[Text]"/>
      <dgm:spPr/>
      <dgm:t>
        <a:bodyPr/>
        <a:lstStyle/>
        <a:p>
          <a:r>
            <a:rPr lang="en-NZ"/>
            <a:t>Cognitive impairment</a:t>
          </a:r>
        </a:p>
      </dgm:t>
    </dgm:pt>
    <dgm:pt modelId="{D63E0E77-0E8C-4ACC-ACD2-FEF7B49CD196}" type="parTrans" cxnId="{60751AC8-E460-4FA5-917C-8A2A0A03E91A}">
      <dgm:prSet/>
      <dgm:spPr/>
      <dgm:t>
        <a:bodyPr/>
        <a:lstStyle/>
        <a:p>
          <a:endParaRPr lang="en-NZ"/>
        </a:p>
      </dgm:t>
    </dgm:pt>
    <dgm:pt modelId="{EB91241C-D49A-4CC0-910A-80058BDD3B43}" type="sibTrans" cxnId="{60751AC8-E460-4FA5-917C-8A2A0A03E91A}">
      <dgm:prSet/>
      <dgm:spPr>
        <a:solidFill>
          <a:schemeClr val="accent2"/>
        </a:solidFill>
      </dgm:spPr>
      <dgm:t>
        <a:bodyPr/>
        <a:lstStyle/>
        <a:p>
          <a:endParaRPr lang="en-NZ"/>
        </a:p>
      </dgm:t>
    </dgm:pt>
    <dgm:pt modelId="{F49CF143-F114-4DF8-824C-FC653C8BFDF2}" type="pres">
      <dgm:prSet presAssocID="{B2A4A660-7739-4B47-AE6E-0188A2D11EB7}" presName="cycle" presStyleCnt="0">
        <dgm:presLayoutVars>
          <dgm:dir/>
          <dgm:resizeHandles val="exact"/>
        </dgm:presLayoutVars>
      </dgm:prSet>
      <dgm:spPr/>
    </dgm:pt>
    <dgm:pt modelId="{EC67C361-21BA-4D05-941B-997C21ED8E36}" type="pres">
      <dgm:prSet presAssocID="{31C11549-0723-4FEA-95D8-37CEE4B2B55C}" presName="dummy" presStyleCnt="0"/>
      <dgm:spPr/>
    </dgm:pt>
    <dgm:pt modelId="{36DE1D83-04E2-46E5-94EA-787E216A02D7}" type="pres">
      <dgm:prSet presAssocID="{31C11549-0723-4FEA-95D8-37CEE4B2B55C}" presName="node" presStyleLbl="revTx" presStyleIdx="0" presStyleCnt="2">
        <dgm:presLayoutVars>
          <dgm:bulletEnabled val="1"/>
        </dgm:presLayoutVars>
      </dgm:prSet>
      <dgm:spPr/>
    </dgm:pt>
    <dgm:pt modelId="{729C9301-0188-4D76-84B2-AB6656A88989}" type="pres">
      <dgm:prSet presAssocID="{6EF608AD-7C4A-4AE1-AF25-5154E663ACFD}" presName="sibTrans" presStyleLbl="node1" presStyleIdx="0" presStyleCnt="2"/>
      <dgm:spPr/>
    </dgm:pt>
    <dgm:pt modelId="{3FF3BB3A-74A1-427C-9844-01A410842D7B}" type="pres">
      <dgm:prSet presAssocID="{098AD744-8F57-4DAF-89E4-D8DCF5125A6C}" presName="dummy" presStyleCnt="0"/>
      <dgm:spPr/>
    </dgm:pt>
    <dgm:pt modelId="{CCA9BA6C-CC74-4DB5-ADCE-EF2FFE877469}" type="pres">
      <dgm:prSet presAssocID="{098AD744-8F57-4DAF-89E4-D8DCF5125A6C}" presName="node" presStyleLbl="revTx" presStyleIdx="1" presStyleCnt="2">
        <dgm:presLayoutVars>
          <dgm:bulletEnabled val="1"/>
        </dgm:presLayoutVars>
      </dgm:prSet>
      <dgm:spPr/>
    </dgm:pt>
    <dgm:pt modelId="{33A3F92F-D336-46F0-ACF5-CD711C4E8B32}" type="pres">
      <dgm:prSet presAssocID="{EB91241C-D49A-4CC0-910A-80058BDD3B43}" presName="sibTrans" presStyleLbl="node1" presStyleIdx="1" presStyleCnt="2"/>
      <dgm:spPr/>
    </dgm:pt>
  </dgm:ptLst>
  <dgm:cxnLst>
    <dgm:cxn modelId="{36DA775F-3215-4290-BCB8-2ADEE73683F2}" type="presOf" srcId="{31C11549-0723-4FEA-95D8-37CEE4B2B55C}" destId="{36DE1D83-04E2-46E5-94EA-787E216A02D7}" srcOrd="0" destOrd="0" presId="urn:microsoft.com/office/officeart/2005/8/layout/cycle1"/>
    <dgm:cxn modelId="{42BAF647-EAB8-4638-82FB-D4F42923A18A}" srcId="{B2A4A660-7739-4B47-AE6E-0188A2D11EB7}" destId="{31C11549-0723-4FEA-95D8-37CEE4B2B55C}" srcOrd="0" destOrd="0" parTransId="{9F26BEAB-EAB0-4419-8947-0A62863A831A}" sibTransId="{6EF608AD-7C4A-4AE1-AF25-5154E663ACFD}"/>
    <dgm:cxn modelId="{C1EB02A4-3DB2-4154-8049-C51A97E6B91B}" type="presOf" srcId="{098AD744-8F57-4DAF-89E4-D8DCF5125A6C}" destId="{CCA9BA6C-CC74-4DB5-ADCE-EF2FFE877469}" srcOrd="0" destOrd="0" presId="urn:microsoft.com/office/officeart/2005/8/layout/cycle1"/>
    <dgm:cxn modelId="{60751AC8-E460-4FA5-917C-8A2A0A03E91A}" srcId="{B2A4A660-7739-4B47-AE6E-0188A2D11EB7}" destId="{098AD744-8F57-4DAF-89E4-D8DCF5125A6C}" srcOrd="1" destOrd="0" parTransId="{D63E0E77-0E8C-4ACC-ACD2-FEF7B49CD196}" sibTransId="{EB91241C-D49A-4CC0-910A-80058BDD3B43}"/>
    <dgm:cxn modelId="{B18782DB-DBA6-43FE-A1FB-51F17A725E2B}" type="presOf" srcId="{6EF608AD-7C4A-4AE1-AF25-5154E663ACFD}" destId="{729C9301-0188-4D76-84B2-AB6656A88989}" srcOrd="0" destOrd="0" presId="urn:microsoft.com/office/officeart/2005/8/layout/cycle1"/>
    <dgm:cxn modelId="{BC0161EB-8336-43FD-8D1F-B4D5B97DB6BE}" type="presOf" srcId="{B2A4A660-7739-4B47-AE6E-0188A2D11EB7}" destId="{F49CF143-F114-4DF8-824C-FC653C8BFDF2}" srcOrd="0" destOrd="0" presId="urn:microsoft.com/office/officeart/2005/8/layout/cycle1"/>
    <dgm:cxn modelId="{612731F0-57B1-411E-BD19-52D10CEFBA8D}" type="presOf" srcId="{EB91241C-D49A-4CC0-910A-80058BDD3B43}" destId="{33A3F92F-D336-46F0-ACF5-CD711C4E8B32}" srcOrd="0" destOrd="0" presId="urn:microsoft.com/office/officeart/2005/8/layout/cycle1"/>
    <dgm:cxn modelId="{3C10594D-CC84-4194-AB7B-72BD30C5FB7A}" type="presParOf" srcId="{F49CF143-F114-4DF8-824C-FC653C8BFDF2}" destId="{EC67C361-21BA-4D05-941B-997C21ED8E36}" srcOrd="0" destOrd="0" presId="urn:microsoft.com/office/officeart/2005/8/layout/cycle1"/>
    <dgm:cxn modelId="{BF19DA2D-4EB2-4CFF-AEA7-8DD46807A820}" type="presParOf" srcId="{F49CF143-F114-4DF8-824C-FC653C8BFDF2}" destId="{36DE1D83-04E2-46E5-94EA-787E216A02D7}" srcOrd="1" destOrd="0" presId="urn:microsoft.com/office/officeart/2005/8/layout/cycle1"/>
    <dgm:cxn modelId="{1C1151F5-09AE-4F07-AF68-C621958207FF}" type="presParOf" srcId="{F49CF143-F114-4DF8-824C-FC653C8BFDF2}" destId="{729C9301-0188-4D76-84B2-AB6656A88989}" srcOrd="2" destOrd="0" presId="urn:microsoft.com/office/officeart/2005/8/layout/cycle1"/>
    <dgm:cxn modelId="{38D7C9D1-EBDF-4346-ADDD-B98DAB71A0F3}" type="presParOf" srcId="{F49CF143-F114-4DF8-824C-FC653C8BFDF2}" destId="{3FF3BB3A-74A1-427C-9844-01A410842D7B}" srcOrd="3" destOrd="0" presId="urn:microsoft.com/office/officeart/2005/8/layout/cycle1"/>
    <dgm:cxn modelId="{9F318FD0-CD26-41CD-B224-14B8A6456075}" type="presParOf" srcId="{F49CF143-F114-4DF8-824C-FC653C8BFDF2}" destId="{CCA9BA6C-CC74-4DB5-ADCE-EF2FFE877469}" srcOrd="4" destOrd="0" presId="urn:microsoft.com/office/officeart/2005/8/layout/cycle1"/>
    <dgm:cxn modelId="{CCEF7041-FF2D-4DAA-97F8-EE5E9AB23781}" type="presParOf" srcId="{F49CF143-F114-4DF8-824C-FC653C8BFDF2}" destId="{33A3F92F-D336-46F0-ACF5-CD711C4E8B32}" srcOrd="5" destOrd="0" presId="urn:microsoft.com/office/officeart/2005/8/layout/cycle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92948F0-8384-47F6-9809-3D708915B461}" type="doc">
      <dgm:prSet loTypeId="urn:microsoft.com/office/officeart/2005/8/layout/default" loCatId="list" qsTypeId="urn:microsoft.com/office/officeart/2005/8/quickstyle/simple2" qsCatId="simple" csTypeId="urn:microsoft.com/office/officeart/2005/8/colors/accent2_2" csCatId="accent2" phldr="1"/>
      <dgm:spPr/>
      <dgm:t>
        <a:bodyPr/>
        <a:lstStyle/>
        <a:p>
          <a:endParaRPr lang="en-NZ"/>
        </a:p>
      </dgm:t>
    </dgm:pt>
    <dgm:pt modelId="{C25EF6C7-E889-4BD1-9098-7E90691D2F40}">
      <dgm:prSet phldrT="[Text]" custT="1"/>
      <dgm:spPr>
        <a:solidFill>
          <a:schemeClr val="accent2">
            <a:hueOff val="0"/>
            <a:satOff val="0"/>
            <a:lumOff val="0"/>
            <a:alpha val="10000"/>
          </a:schemeClr>
        </a:solidFill>
      </dgm:spPr>
      <dgm:t>
        <a:bodyPr/>
        <a:lstStyle/>
        <a:p>
          <a:pPr algn="ctr">
            <a:buFont typeface="Courier New" panose="02070309020205020404" pitchFamily="49" charset="0"/>
            <a:buChar char="o"/>
          </a:pPr>
          <a:r>
            <a:rPr lang="mi-NZ" sz="1200" dirty="0">
              <a:solidFill>
                <a:sysClr val="windowText" lastClr="000000"/>
              </a:solidFill>
            </a:rPr>
            <a:t>Strong attentional preferences for substances that often occur automatically</a:t>
          </a:r>
          <a:endParaRPr lang="en-NZ" sz="1200" dirty="0">
            <a:solidFill>
              <a:sysClr val="windowText" lastClr="000000"/>
            </a:solidFill>
          </a:endParaRPr>
        </a:p>
      </dgm:t>
    </dgm:pt>
    <dgm:pt modelId="{CA457EC7-2CFC-435A-908E-F2B94DB33D55}" type="parTrans" cxnId="{5256E22B-E881-4734-AE73-E50FCBF9E86B}">
      <dgm:prSet/>
      <dgm:spPr/>
      <dgm:t>
        <a:bodyPr/>
        <a:lstStyle/>
        <a:p>
          <a:pPr algn="ctr"/>
          <a:endParaRPr lang="en-NZ">
            <a:solidFill>
              <a:schemeClr val="tx2"/>
            </a:solidFill>
          </a:endParaRPr>
        </a:p>
      </dgm:t>
    </dgm:pt>
    <dgm:pt modelId="{0AD9F1F2-FFAD-4A50-A054-0215ED235C39}" type="sibTrans" cxnId="{5256E22B-E881-4734-AE73-E50FCBF9E86B}">
      <dgm:prSet/>
      <dgm:spPr/>
      <dgm:t>
        <a:bodyPr/>
        <a:lstStyle/>
        <a:p>
          <a:pPr algn="ctr"/>
          <a:endParaRPr lang="en-NZ">
            <a:solidFill>
              <a:schemeClr val="tx2"/>
            </a:solidFill>
          </a:endParaRPr>
        </a:p>
      </dgm:t>
    </dgm:pt>
    <dgm:pt modelId="{927F014F-047E-4A4D-9D6A-027CF0A51454}">
      <dgm:prSet phldrT="[Text]" custT="1"/>
      <dgm:spPr>
        <a:solidFill>
          <a:schemeClr val="accent2">
            <a:hueOff val="0"/>
            <a:satOff val="0"/>
            <a:lumOff val="0"/>
            <a:alpha val="10000"/>
          </a:schemeClr>
        </a:solidFill>
      </dgm:spPr>
      <dgm:t>
        <a:bodyPr/>
        <a:lstStyle/>
        <a:p>
          <a:pPr algn="ctr"/>
          <a:r>
            <a:rPr lang="mi-NZ" sz="1200" dirty="0">
              <a:solidFill>
                <a:sysClr val="windowText" lastClr="000000"/>
              </a:solidFill>
            </a:rPr>
            <a:t>Increasing impulsivity and risk taking, difficulty reasoning, and continuing to use substances despite negative consequences</a:t>
          </a:r>
          <a:endParaRPr lang="en-NZ" sz="1200" dirty="0">
            <a:solidFill>
              <a:sysClr val="windowText" lastClr="000000"/>
            </a:solidFill>
          </a:endParaRPr>
        </a:p>
      </dgm:t>
    </dgm:pt>
    <dgm:pt modelId="{6123E994-D1F0-4F5B-AA5A-A8CAE491ADDB}" type="parTrans" cxnId="{1F9D039D-3667-402F-A790-227D0E015A0D}">
      <dgm:prSet/>
      <dgm:spPr/>
      <dgm:t>
        <a:bodyPr/>
        <a:lstStyle/>
        <a:p>
          <a:pPr algn="ctr"/>
          <a:endParaRPr lang="en-NZ">
            <a:solidFill>
              <a:schemeClr val="tx2"/>
            </a:solidFill>
          </a:endParaRPr>
        </a:p>
      </dgm:t>
    </dgm:pt>
    <dgm:pt modelId="{2AC2F6D9-428A-45BB-A439-46C0183E8D8C}" type="sibTrans" cxnId="{1F9D039D-3667-402F-A790-227D0E015A0D}">
      <dgm:prSet/>
      <dgm:spPr/>
      <dgm:t>
        <a:bodyPr/>
        <a:lstStyle/>
        <a:p>
          <a:pPr algn="ctr"/>
          <a:endParaRPr lang="en-NZ">
            <a:solidFill>
              <a:schemeClr val="tx2"/>
            </a:solidFill>
          </a:endParaRPr>
        </a:p>
      </dgm:t>
    </dgm:pt>
    <dgm:pt modelId="{B3237A07-3E39-401C-A6AF-8700EB0A13A6}">
      <dgm:prSet phldrT="[Text]" custT="1"/>
      <dgm:spPr>
        <a:solidFill>
          <a:schemeClr val="accent2">
            <a:hueOff val="0"/>
            <a:satOff val="0"/>
            <a:lumOff val="0"/>
            <a:alpha val="9000"/>
          </a:schemeClr>
        </a:solidFill>
      </dgm:spPr>
      <dgm:t>
        <a:bodyPr/>
        <a:lstStyle/>
        <a:p>
          <a:pPr algn="ctr"/>
          <a:r>
            <a:rPr lang="mi-NZ" sz="1200" dirty="0">
              <a:solidFill>
                <a:sysClr val="windowText" lastClr="000000"/>
              </a:solidFill>
            </a:rPr>
            <a:t>Difficulty seeing any negative impacts of substance use </a:t>
          </a:r>
          <a:r>
            <a:rPr lang="mi-NZ" sz="1200">
              <a:solidFill>
                <a:sysClr val="windowText" lastClr="000000"/>
              </a:solidFill>
            </a:rPr>
            <a:t>on oneself </a:t>
          </a:r>
          <a:r>
            <a:rPr lang="mi-NZ" sz="1200" dirty="0">
              <a:solidFill>
                <a:sysClr val="windowText" lastClr="000000"/>
              </a:solidFill>
            </a:rPr>
            <a:t>or others</a:t>
          </a:r>
          <a:endParaRPr lang="en-NZ" sz="1200" dirty="0">
            <a:solidFill>
              <a:sysClr val="windowText" lastClr="000000"/>
            </a:solidFill>
          </a:endParaRPr>
        </a:p>
      </dgm:t>
    </dgm:pt>
    <dgm:pt modelId="{AD7B7611-A502-4A88-80AD-905F9B617FC8}" type="parTrans" cxnId="{0B34FB92-AD6B-4B87-A2B9-7EAE72ACBB73}">
      <dgm:prSet/>
      <dgm:spPr/>
      <dgm:t>
        <a:bodyPr/>
        <a:lstStyle/>
        <a:p>
          <a:pPr algn="ctr"/>
          <a:endParaRPr lang="en-NZ">
            <a:solidFill>
              <a:schemeClr val="tx2"/>
            </a:solidFill>
          </a:endParaRPr>
        </a:p>
      </dgm:t>
    </dgm:pt>
    <dgm:pt modelId="{A0CF44EA-C0E5-4514-918C-DFDA377A054F}" type="sibTrans" cxnId="{0B34FB92-AD6B-4B87-A2B9-7EAE72ACBB73}">
      <dgm:prSet/>
      <dgm:spPr/>
      <dgm:t>
        <a:bodyPr/>
        <a:lstStyle/>
        <a:p>
          <a:pPr algn="ctr"/>
          <a:endParaRPr lang="en-NZ">
            <a:solidFill>
              <a:schemeClr val="tx2"/>
            </a:solidFill>
          </a:endParaRPr>
        </a:p>
      </dgm:t>
    </dgm:pt>
    <dgm:pt modelId="{2E4EA2AB-4670-43ED-8C2E-3838F776FFAD}">
      <dgm:prSet phldrT="[Text]" custT="1"/>
      <dgm:spPr>
        <a:solidFill>
          <a:schemeClr val="accent2">
            <a:hueOff val="0"/>
            <a:satOff val="0"/>
            <a:lumOff val="0"/>
            <a:alpha val="10000"/>
          </a:schemeClr>
        </a:solidFill>
      </dgm:spPr>
      <dgm:t>
        <a:bodyPr/>
        <a:lstStyle/>
        <a:p>
          <a:pPr algn="ctr"/>
          <a:r>
            <a:rPr lang="mi-NZ" sz="1200" dirty="0">
              <a:solidFill>
                <a:sysClr val="windowText" lastClr="000000"/>
              </a:solidFill>
            </a:rPr>
            <a:t>Difficulty reducing or stopping substance use, and making relapse more likely</a:t>
          </a:r>
          <a:endParaRPr lang="en-NZ" sz="1200" dirty="0">
            <a:solidFill>
              <a:sysClr val="windowText" lastClr="000000"/>
            </a:solidFill>
          </a:endParaRPr>
        </a:p>
      </dgm:t>
    </dgm:pt>
    <dgm:pt modelId="{0AE0F3F7-EBF9-4EB9-9EEC-F1E59928396F}" type="parTrans" cxnId="{1FEC81B2-9716-43AF-8607-298E162C65C5}">
      <dgm:prSet/>
      <dgm:spPr/>
      <dgm:t>
        <a:bodyPr/>
        <a:lstStyle/>
        <a:p>
          <a:pPr algn="ctr"/>
          <a:endParaRPr lang="en-NZ">
            <a:solidFill>
              <a:schemeClr val="tx2"/>
            </a:solidFill>
          </a:endParaRPr>
        </a:p>
      </dgm:t>
    </dgm:pt>
    <dgm:pt modelId="{5CE0FA82-E948-4FD7-AC26-EC5BC9F144A9}" type="sibTrans" cxnId="{1FEC81B2-9716-43AF-8607-298E162C65C5}">
      <dgm:prSet/>
      <dgm:spPr/>
      <dgm:t>
        <a:bodyPr/>
        <a:lstStyle/>
        <a:p>
          <a:pPr algn="ctr"/>
          <a:endParaRPr lang="en-NZ">
            <a:solidFill>
              <a:schemeClr val="tx2"/>
            </a:solidFill>
          </a:endParaRPr>
        </a:p>
      </dgm:t>
    </dgm:pt>
    <dgm:pt modelId="{201821BF-032A-4A45-BA66-C2561EFC2145}" type="pres">
      <dgm:prSet presAssocID="{492948F0-8384-47F6-9809-3D708915B461}" presName="diagram" presStyleCnt="0">
        <dgm:presLayoutVars>
          <dgm:dir/>
          <dgm:resizeHandles val="exact"/>
        </dgm:presLayoutVars>
      </dgm:prSet>
      <dgm:spPr/>
    </dgm:pt>
    <dgm:pt modelId="{68A97FB8-C09A-49E7-9264-60C82F90905D}" type="pres">
      <dgm:prSet presAssocID="{C25EF6C7-E889-4BD1-9098-7E90691D2F40}" presName="node" presStyleLbl="node1" presStyleIdx="0" presStyleCnt="4" custScaleX="125317" custLinFactNeighborX="-7412" custLinFactNeighborY="6539">
        <dgm:presLayoutVars>
          <dgm:bulletEnabled val="1"/>
        </dgm:presLayoutVars>
      </dgm:prSet>
      <dgm:spPr>
        <a:prstGeom prst="roundRect">
          <a:avLst/>
        </a:prstGeom>
      </dgm:spPr>
    </dgm:pt>
    <dgm:pt modelId="{3121AA1A-ADD7-4ED0-9D99-C0231E0651C1}" type="pres">
      <dgm:prSet presAssocID="{0AD9F1F2-FFAD-4A50-A054-0215ED235C39}" presName="sibTrans" presStyleCnt="0"/>
      <dgm:spPr/>
    </dgm:pt>
    <dgm:pt modelId="{B99C6165-0BEB-40B2-8068-2384264778EC}" type="pres">
      <dgm:prSet presAssocID="{927F014F-047E-4A4D-9D6A-027CF0A51454}" presName="node" presStyleLbl="node1" presStyleIdx="1" presStyleCnt="4" custScaleX="131609" custLinFactNeighborX="-4411" custLinFactNeighborY="5463">
        <dgm:presLayoutVars>
          <dgm:bulletEnabled val="1"/>
        </dgm:presLayoutVars>
      </dgm:prSet>
      <dgm:spPr>
        <a:prstGeom prst="roundRect">
          <a:avLst/>
        </a:prstGeom>
      </dgm:spPr>
    </dgm:pt>
    <dgm:pt modelId="{10E4F4CB-070F-4BCC-B47F-61446F306350}" type="pres">
      <dgm:prSet presAssocID="{2AC2F6D9-428A-45BB-A439-46C0183E8D8C}" presName="sibTrans" presStyleCnt="0"/>
      <dgm:spPr/>
    </dgm:pt>
    <dgm:pt modelId="{108C3DA5-5665-4241-8289-1AF7EF9E92F7}" type="pres">
      <dgm:prSet presAssocID="{B3237A07-3E39-401C-A6AF-8700EB0A13A6}" presName="node" presStyleLbl="node1" presStyleIdx="2" presStyleCnt="4" custScaleX="125871" custLinFactNeighborX="-7411" custLinFactNeighborY="-2720">
        <dgm:presLayoutVars>
          <dgm:bulletEnabled val="1"/>
        </dgm:presLayoutVars>
      </dgm:prSet>
      <dgm:spPr>
        <a:prstGeom prst="roundRect">
          <a:avLst/>
        </a:prstGeom>
      </dgm:spPr>
    </dgm:pt>
    <dgm:pt modelId="{AFDFF436-F05E-48ED-B6C7-076DE1208C70}" type="pres">
      <dgm:prSet presAssocID="{A0CF44EA-C0E5-4514-918C-DFDA377A054F}" presName="sibTrans" presStyleCnt="0"/>
      <dgm:spPr/>
    </dgm:pt>
    <dgm:pt modelId="{9964C77E-7D05-4AE7-B2F7-F87E705D52DC}" type="pres">
      <dgm:prSet presAssocID="{2E4EA2AB-4670-43ED-8C2E-3838F776FFAD}" presName="node" presStyleLbl="node1" presStyleIdx="3" presStyleCnt="4" custScaleX="131087" custLinFactNeighborX="-3308" custLinFactNeighborY="-3676">
        <dgm:presLayoutVars>
          <dgm:bulletEnabled val="1"/>
        </dgm:presLayoutVars>
      </dgm:prSet>
      <dgm:spPr>
        <a:prstGeom prst="roundRect">
          <a:avLst/>
        </a:prstGeom>
      </dgm:spPr>
    </dgm:pt>
  </dgm:ptLst>
  <dgm:cxnLst>
    <dgm:cxn modelId="{23985200-1003-4109-BEF7-D64A35E55817}" type="presOf" srcId="{492948F0-8384-47F6-9809-3D708915B461}" destId="{201821BF-032A-4A45-BA66-C2561EFC2145}" srcOrd="0" destOrd="0" presId="urn:microsoft.com/office/officeart/2005/8/layout/default"/>
    <dgm:cxn modelId="{5256E22B-E881-4734-AE73-E50FCBF9E86B}" srcId="{492948F0-8384-47F6-9809-3D708915B461}" destId="{C25EF6C7-E889-4BD1-9098-7E90691D2F40}" srcOrd="0" destOrd="0" parTransId="{CA457EC7-2CFC-435A-908E-F2B94DB33D55}" sibTransId="{0AD9F1F2-FFAD-4A50-A054-0215ED235C39}"/>
    <dgm:cxn modelId="{791B9F53-00A2-467E-8B8E-C10645BC551E}" type="presOf" srcId="{927F014F-047E-4A4D-9D6A-027CF0A51454}" destId="{B99C6165-0BEB-40B2-8068-2384264778EC}" srcOrd="0" destOrd="0" presId="urn:microsoft.com/office/officeart/2005/8/layout/default"/>
    <dgm:cxn modelId="{AF0C1085-4A78-4D77-BE41-AD9700D7007F}" type="presOf" srcId="{C25EF6C7-E889-4BD1-9098-7E90691D2F40}" destId="{68A97FB8-C09A-49E7-9264-60C82F90905D}" srcOrd="0" destOrd="0" presId="urn:microsoft.com/office/officeart/2005/8/layout/default"/>
    <dgm:cxn modelId="{0B34FB92-AD6B-4B87-A2B9-7EAE72ACBB73}" srcId="{492948F0-8384-47F6-9809-3D708915B461}" destId="{B3237A07-3E39-401C-A6AF-8700EB0A13A6}" srcOrd="2" destOrd="0" parTransId="{AD7B7611-A502-4A88-80AD-905F9B617FC8}" sibTransId="{A0CF44EA-C0E5-4514-918C-DFDA377A054F}"/>
    <dgm:cxn modelId="{1F9D039D-3667-402F-A790-227D0E015A0D}" srcId="{492948F0-8384-47F6-9809-3D708915B461}" destId="{927F014F-047E-4A4D-9D6A-027CF0A51454}" srcOrd="1" destOrd="0" parTransId="{6123E994-D1F0-4F5B-AA5A-A8CAE491ADDB}" sibTransId="{2AC2F6D9-428A-45BB-A439-46C0183E8D8C}"/>
    <dgm:cxn modelId="{1FEC81B2-9716-43AF-8607-298E162C65C5}" srcId="{492948F0-8384-47F6-9809-3D708915B461}" destId="{2E4EA2AB-4670-43ED-8C2E-3838F776FFAD}" srcOrd="3" destOrd="0" parTransId="{0AE0F3F7-EBF9-4EB9-9EEC-F1E59928396F}" sibTransId="{5CE0FA82-E948-4FD7-AC26-EC5BC9F144A9}"/>
    <dgm:cxn modelId="{399723BF-0CC5-42C0-B949-3C52D3EC2AA0}" type="presOf" srcId="{B3237A07-3E39-401C-A6AF-8700EB0A13A6}" destId="{108C3DA5-5665-4241-8289-1AF7EF9E92F7}" srcOrd="0" destOrd="0" presId="urn:microsoft.com/office/officeart/2005/8/layout/default"/>
    <dgm:cxn modelId="{A4C84BEA-CE54-4CB3-84D7-E66D9358B19E}" type="presOf" srcId="{2E4EA2AB-4670-43ED-8C2E-3838F776FFAD}" destId="{9964C77E-7D05-4AE7-B2F7-F87E705D52DC}" srcOrd="0" destOrd="0" presId="urn:microsoft.com/office/officeart/2005/8/layout/default"/>
    <dgm:cxn modelId="{273CE9B7-E4CB-4B7E-B474-8FFAEF561D61}" type="presParOf" srcId="{201821BF-032A-4A45-BA66-C2561EFC2145}" destId="{68A97FB8-C09A-49E7-9264-60C82F90905D}" srcOrd="0" destOrd="0" presId="urn:microsoft.com/office/officeart/2005/8/layout/default"/>
    <dgm:cxn modelId="{2C11B918-091B-4F29-9DCC-7AB11ACD2F45}" type="presParOf" srcId="{201821BF-032A-4A45-BA66-C2561EFC2145}" destId="{3121AA1A-ADD7-4ED0-9D99-C0231E0651C1}" srcOrd="1" destOrd="0" presId="urn:microsoft.com/office/officeart/2005/8/layout/default"/>
    <dgm:cxn modelId="{A782755F-06D6-44E1-8AB6-152470E9F640}" type="presParOf" srcId="{201821BF-032A-4A45-BA66-C2561EFC2145}" destId="{B99C6165-0BEB-40B2-8068-2384264778EC}" srcOrd="2" destOrd="0" presId="urn:microsoft.com/office/officeart/2005/8/layout/default"/>
    <dgm:cxn modelId="{FC1FA7FD-BBFF-4487-93A1-9B613156A624}" type="presParOf" srcId="{201821BF-032A-4A45-BA66-C2561EFC2145}" destId="{10E4F4CB-070F-4BCC-B47F-61446F306350}" srcOrd="3" destOrd="0" presId="urn:microsoft.com/office/officeart/2005/8/layout/default"/>
    <dgm:cxn modelId="{C02BCE7F-9326-44BE-B35B-E61A50F4D77F}" type="presParOf" srcId="{201821BF-032A-4A45-BA66-C2561EFC2145}" destId="{108C3DA5-5665-4241-8289-1AF7EF9E92F7}" srcOrd="4" destOrd="0" presId="urn:microsoft.com/office/officeart/2005/8/layout/default"/>
    <dgm:cxn modelId="{E2E5162E-9020-47C4-9B1E-241406156B6A}" type="presParOf" srcId="{201821BF-032A-4A45-BA66-C2561EFC2145}" destId="{AFDFF436-F05E-48ED-B6C7-076DE1208C70}" srcOrd="5" destOrd="0" presId="urn:microsoft.com/office/officeart/2005/8/layout/default"/>
    <dgm:cxn modelId="{9602B595-40CB-432E-833F-41440FC35891}" type="presParOf" srcId="{201821BF-032A-4A45-BA66-C2561EFC2145}" destId="{9964C77E-7D05-4AE7-B2F7-F87E705D52DC}" srcOrd="6" destOrd="0" presId="urn:microsoft.com/office/officeart/2005/8/layout/default"/>
  </dgm:cxnLst>
  <dgm:bg>
    <a:solidFill>
      <a:schemeClr val="bg1"/>
    </a:solidFill>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DE1D83-04E2-46E5-94EA-787E216A02D7}">
      <dsp:nvSpPr>
        <dsp:cNvPr id="0" name=""/>
        <dsp:cNvSpPr/>
      </dsp:nvSpPr>
      <dsp:spPr>
        <a:xfrm>
          <a:off x="2628872" y="536418"/>
          <a:ext cx="1018052" cy="10180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NZ" sz="1400" kern="1200"/>
            <a:t>Problematic substance use</a:t>
          </a:r>
        </a:p>
      </dsp:txBody>
      <dsp:txXfrm>
        <a:off x="2628872" y="536418"/>
        <a:ext cx="1018052" cy="1018052"/>
      </dsp:txXfrm>
    </dsp:sp>
    <dsp:sp modelId="{729C9301-0188-4D76-84B2-AB6656A88989}">
      <dsp:nvSpPr>
        <dsp:cNvPr id="0" name=""/>
        <dsp:cNvSpPr/>
      </dsp:nvSpPr>
      <dsp:spPr>
        <a:xfrm>
          <a:off x="1259806" y="-1132"/>
          <a:ext cx="2093155" cy="2093155"/>
        </a:xfrm>
        <a:prstGeom prst="circularArrow">
          <a:avLst>
            <a:gd name="adj1" fmla="val 9484"/>
            <a:gd name="adj2" fmla="val 685088"/>
            <a:gd name="adj3" fmla="val 7850127"/>
            <a:gd name="adj4" fmla="val 2264785"/>
            <a:gd name="adj5" fmla="val 11065"/>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CA9BA6C-CC74-4DB5-ADCE-EF2FFE877469}">
      <dsp:nvSpPr>
        <dsp:cNvPr id="0" name=""/>
        <dsp:cNvSpPr/>
      </dsp:nvSpPr>
      <dsp:spPr>
        <a:xfrm>
          <a:off x="965843" y="536418"/>
          <a:ext cx="1018052" cy="10180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NZ" sz="1400" kern="1200"/>
            <a:t>Cognitive impairment</a:t>
          </a:r>
        </a:p>
      </dsp:txBody>
      <dsp:txXfrm>
        <a:off x="965843" y="536418"/>
        <a:ext cx="1018052" cy="1018052"/>
      </dsp:txXfrm>
    </dsp:sp>
    <dsp:sp modelId="{33A3F92F-D336-46F0-ACF5-CD711C4E8B32}">
      <dsp:nvSpPr>
        <dsp:cNvPr id="0" name=""/>
        <dsp:cNvSpPr/>
      </dsp:nvSpPr>
      <dsp:spPr>
        <a:xfrm>
          <a:off x="1259806" y="-1132"/>
          <a:ext cx="2093155" cy="2093155"/>
        </a:xfrm>
        <a:prstGeom prst="circularArrow">
          <a:avLst>
            <a:gd name="adj1" fmla="val 9484"/>
            <a:gd name="adj2" fmla="val 685088"/>
            <a:gd name="adj3" fmla="val 18650127"/>
            <a:gd name="adj4" fmla="val 13064785"/>
            <a:gd name="adj5" fmla="val 11065"/>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A97FB8-C09A-49E7-9264-60C82F90905D}">
      <dsp:nvSpPr>
        <dsp:cNvPr id="0" name=""/>
        <dsp:cNvSpPr/>
      </dsp:nvSpPr>
      <dsp:spPr>
        <a:xfrm>
          <a:off x="355856" y="73629"/>
          <a:ext cx="2301623" cy="1101984"/>
        </a:xfrm>
        <a:prstGeom prst="roundRect">
          <a:avLst/>
        </a:prstGeom>
        <a:solidFill>
          <a:schemeClr val="accent2">
            <a:hueOff val="0"/>
            <a:satOff val="0"/>
            <a:lumOff val="0"/>
            <a:alpha val="10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Font typeface="Courier New" panose="02070309020205020404" pitchFamily="49" charset="0"/>
            <a:buNone/>
          </a:pPr>
          <a:r>
            <a:rPr lang="mi-NZ" sz="1200" kern="1200" dirty="0">
              <a:solidFill>
                <a:sysClr val="windowText" lastClr="000000"/>
              </a:solidFill>
            </a:rPr>
            <a:t>Strong attentional preferences for substances that often occur automatically</a:t>
          </a:r>
          <a:endParaRPr lang="en-NZ" sz="1200" kern="1200" dirty="0">
            <a:solidFill>
              <a:sysClr val="windowText" lastClr="000000"/>
            </a:solidFill>
          </a:endParaRPr>
        </a:p>
      </dsp:txBody>
      <dsp:txXfrm>
        <a:off x="409650" y="127423"/>
        <a:ext cx="2194035" cy="994396"/>
      </dsp:txXfrm>
    </dsp:sp>
    <dsp:sp modelId="{B99C6165-0BEB-40B2-8068-2384264778EC}">
      <dsp:nvSpPr>
        <dsp:cNvPr id="0" name=""/>
        <dsp:cNvSpPr/>
      </dsp:nvSpPr>
      <dsp:spPr>
        <a:xfrm>
          <a:off x="2896262" y="61772"/>
          <a:ext cx="2417185" cy="1101984"/>
        </a:xfrm>
        <a:prstGeom prst="roundRect">
          <a:avLst/>
        </a:prstGeom>
        <a:solidFill>
          <a:schemeClr val="accent2">
            <a:hueOff val="0"/>
            <a:satOff val="0"/>
            <a:lumOff val="0"/>
            <a:alpha val="10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mi-NZ" sz="1200" kern="1200" dirty="0">
              <a:solidFill>
                <a:sysClr val="windowText" lastClr="000000"/>
              </a:solidFill>
            </a:rPr>
            <a:t>Increasing impulsivity and risk taking, difficulty reasoning, and continuing to use substances despite negative consequences</a:t>
          </a:r>
          <a:endParaRPr lang="en-NZ" sz="1200" kern="1200" dirty="0">
            <a:solidFill>
              <a:sysClr val="windowText" lastClr="000000"/>
            </a:solidFill>
          </a:endParaRPr>
        </a:p>
      </dsp:txBody>
      <dsp:txXfrm>
        <a:off x="2950056" y="115566"/>
        <a:ext cx="2309597" cy="994396"/>
      </dsp:txXfrm>
    </dsp:sp>
    <dsp:sp modelId="{108C3DA5-5665-4241-8289-1AF7EF9E92F7}">
      <dsp:nvSpPr>
        <dsp:cNvPr id="0" name=""/>
        <dsp:cNvSpPr/>
      </dsp:nvSpPr>
      <dsp:spPr>
        <a:xfrm>
          <a:off x="355580" y="1257245"/>
          <a:ext cx="2311798" cy="1101984"/>
        </a:xfrm>
        <a:prstGeom prst="roundRect">
          <a:avLst/>
        </a:prstGeom>
        <a:solidFill>
          <a:schemeClr val="accent2">
            <a:hueOff val="0"/>
            <a:satOff val="0"/>
            <a:lumOff val="0"/>
            <a:alpha val="9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mi-NZ" sz="1200" kern="1200" dirty="0">
              <a:solidFill>
                <a:sysClr val="windowText" lastClr="000000"/>
              </a:solidFill>
            </a:rPr>
            <a:t>Difficulty seeing any negative impacts of substance use </a:t>
          </a:r>
          <a:r>
            <a:rPr lang="mi-NZ" sz="1200" kern="1200">
              <a:solidFill>
                <a:sysClr val="windowText" lastClr="000000"/>
              </a:solidFill>
            </a:rPr>
            <a:t>on oneself </a:t>
          </a:r>
          <a:r>
            <a:rPr lang="mi-NZ" sz="1200" kern="1200" dirty="0">
              <a:solidFill>
                <a:sysClr val="windowText" lastClr="000000"/>
              </a:solidFill>
            </a:rPr>
            <a:t>or others</a:t>
          </a:r>
          <a:endParaRPr lang="en-NZ" sz="1200" kern="1200" dirty="0">
            <a:solidFill>
              <a:sysClr val="windowText" lastClr="000000"/>
            </a:solidFill>
          </a:endParaRPr>
        </a:p>
      </dsp:txBody>
      <dsp:txXfrm>
        <a:off x="409374" y="1311039"/>
        <a:ext cx="2204210" cy="994396"/>
      </dsp:txXfrm>
    </dsp:sp>
    <dsp:sp modelId="{9964C77E-7D05-4AE7-B2F7-F87E705D52DC}">
      <dsp:nvSpPr>
        <dsp:cNvPr id="0" name=""/>
        <dsp:cNvSpPr/>
      </dsp:nvSpPr>
      <dsp:spPr>
        <a:xfrm>
          <a:off x="2926401" y="1246710"/>
          <a:ext cx="2407598" cy="1101984"/>
        </a:xfrm>
        <a:prstGeom prst="roundRect">
          <a:avLst/>
        </a:prstGeom>
        <a:solidFill>
          <a:schemeClr val="accent2">
            <a:hueOff val="0"/>
            <a:satOff val="0"/>
            <a:lumOff val="0"/>
            <a:alpha val="10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mi-NZ" sz="1200" kern="1200" dirty="0">
              <a:solidFill>
                <a:sysClr val="windowText" lastClr="000000"/>
              </a:solidFill>
            </a:rPr>
            <a:t>Difficulty reducing or stopping substance use, and making relapse more likely</a:t>
          </a:r>
          <a:endParaRPr lang="en-NZ" sz="1200" kern="1200" dirty="0">
            <a:solidFill>
              <a:sysClr val="windowText" lastClr="000000"/>
            </a:solidFill>
          </a:endParaRPr>
        </a:p>
      </dsp:txBody>
      <dsp:txXfrm>
        <a:off x="2980195" y="1300504"/>
        <a:ext cx="2300010" cy="994396"/>
      </dsp:txXfrm>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HNZ">
      <a:dk1>
        <a:sysClr val="windowText" lastClr="000000"/>
      </a:dk1>
      <a:lt1>
        <a:sysClr val="window" lastClr="FFFFFF"/>
      </a:lt1>
      <a:dk2>
        <a:srgbClr val="15284C"/>
      </a:dk2>
      <a:lt2>
        <a:srgbClr val="F6F4EC"/>
      </a:lt2>
      <a:accent1>
        <a:srgbClr val="0C818E"/>
      </a:accent1>
      <a:accent2>
        <a:srgbClr val="28A1AC"/>
      </a:accent2>
      <a:accent3>
        <a:srgbClr val="003399"/>
      </a:accent3>
      <a:accent4>
        <a:srgbClr val="4D2379"/>
      </a:accent4>
      <a:accent5>
        <a:srgbClr val="006060"/>
      </a:accent5>
      <a:accent6>
        <a:srgbClr val="660033"/>
      </a:accent6>
      <a:hlink>
        <a:srgbClr val="0072BC"/>
      </a:hlink>
      <a:folHlink>
        <a:srgbClr val="0072BC"/>
      </a:folHlink>
    </a:clrScheme>
    <a:fontScheme name="Custo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4E7769-C04B-4B5A-AF0B-C841613E0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144</Pages>
  <Words>120989</Words>
  <Characters>689643</Characters>
  <Application>Microsoft Office Word</Application>
  <DocSecurity>0</DocSecurity>
  <Lines>5747</Lines>
  <Paragraphs>1618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809014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2024-10-22T22:38:00Z</dcterms:created>
  <dcterms:modified xsi:type="dcterms:W3CDTF">2024-10-23T19:39:00Z</dcterms:modified>
</cp:coreProperties>
</file>