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7F769" w14:textId="4011A983" w:rsidR="00C86248" w:rsidRDefault="00E75A02" w:rsidP="00E75A02">
      <w:pPr>
        <w:pStyle w:val="Title"/>
        <w:ind w:right="2835"/>
      </w:pPr>
      <w:bookmarkStart w:id="0" w:name="_GoBack"/>
      <w:bookmarkEnd w:id="0"/>
      <w:r>
        <w:t>Induction of Labour in Aotearoa New Zealand</w:t>
      </w:r>
    </w:p>
    <w:p w14:paraId="784B5720" w14:textId="77777777" w:rsidR="00D27922" w:rsidRDefault="00E75A02" w:rsidP="00D27922">
      <w:pPr>
        <w:pStyle w:val="Subhead"/>
      </w:pPr>
      <w:r>
        <w:t>A clinical practice guideline</w:t>
      </w:r>
    </w:p>
    <w:p w14:paraId="7D5A5A9C" w14:textId="77777777" w:rsidR="00D27922" w:rsidRPr="00D27922" w:rsidRDefault="00E75A02" w:rsidP="00D27922">
      <w:pPr>
        <w:pStyle w:val="Year"/>
      </w:pPr>
      <w:r>
        <w:t>2019</w:t>
      </w:r>
    </w:p>
    <w:p w14:paraId="0E5319C5" w14:textId="77777777" w:rsidR="00C05132" w:rsidRDefault="00C05132" w:rsidP="00A06BE4"/>
    <w:p w14:paraId="2510613A"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2C90A67E" w14:textId="77777777" w:rsidR="00CF17E3" w:rsidRPr="002A0BA1" w:rsidRDefault="00CF17E3" w:rsidP="00CF17E3">
      <w:pPr>
        <w:rPr>
          <w:rFonts w:asciiTheme="minorHAnsi" w:hAnsiTheme="minorHAnsi" w:cstheme="minorHAnsi"/>
          <w:b/>
          <w:spacing w:val="10"/>
          <w:sz w:val="36"/>
          <w:szCs w:val="36"/>
        </w:rPr>
      </w:pPr>
      <w:r w:rsidRPr="002A0BA1">
        <w:rPr>
          <w:rFonts w:asciiTheme="minorHAnsi" w:hAnsiTheme="minorHAnsi" w:cstheme="minorHAnsi"/>
          <w:b/>
          <w:spacing w:val="10"/>
          <w:sz w:val="36"/>
          <w:szCs w:val="36"/>
        </w:rPr>
        <w:lastRenderedPageBreak/>
        <w:t>Acknowledgements</w:t>
      </w:r>
    </w:p>
    <w:p w14:paraId="280511A6" w14:textId="6D39C8AD" w:rsidR="00CF17E3" w:rsidRPr="00CF17E3" w:rsidRDefault="00CF17E3" w:rsidP="00CF17E3">
      <w:pPr>
        <w:spacing w:before="120"/>
        <w:rPr>
          <w:rFonts w:cs="Segoe UI"/>
          <w:sz w:val="18"/>
          <w:szCs w:val="18"/>
        </w:rPr>
      </w:pPr>
      <w:r w:rsidRPr="00CF17E3">
        <w:rPr>
          <w:rFonts w:cs="Segoe UI"/>
          <w:sz w:val="18"/>
          <w:szCs w:val="18"/>
        </w:rPr>
        <w:t>This guideline provides evidence-based guidance for health professionals providing care to pregnant women and for people who are pregnant. For simplicity of language, the term ‘woman/women’ is used throughout the guideline, but this should be taken to</w:t>
      </w:r>
      <w:r w:rsidR="003F4E6E">
        <w:rPr>
          <w:rFonts w:cs="Segoe UI"/>
          <w:sz w:val="18"/>
          <w:szCs w:val="18"/>
        </w:rPr>
        <w:t xml:space="preserve"> also</w:t>
      </w:r>
      <w:r w:rsidRPr="00CF17E3">
        <w:rPr>
          <w:rFonts w:cs="Segoe UI"/>
          <w:sz w:val="18"/>
          <w:szCs w:val="18"/>
        </w:rPr>
        <w:t xml:space="preserve"> include all people who are pregnant, in labour and in the postnatal period.</w:t>
      </w:r>
    </w:p>
    <w:p w14:paraId="2A18E6B5" w14:textId="7B89ACC0" w:rsidR="00CF17E3" w:rsidRPr="002A0BA1" w:rsidRDefault="00CF17E3" w:rsidP="00CF17E3">
      <w:pPr>
        <w:spacing w:before="120"/>
        <w:rPr>
          <w:rFonts w:cs="Segoe UI"/>
          <w:sz w:val="18"/>
          <w:szCs w:val="18"/>
        </w:rPr>
      </w:pPr>
      <w:r w:rsidRPr="00CF17E3">
        <w:rPr>
          <w:rFonts w:cs="Segoe UI"/>
          <w:sz w:val="18"/>
          <w:szCs w:val="18"/>
        </w:rPr>
        <w:t>If you are pregnant and don’t identify as a woman, please tell your Lead Maternity Carer and other health professionals the pronouns you use so that they can use them in your records and throughout your care.</w:t>
      </w:r>
      <w:r w:rsidRPr="002A0BA1">
        <w:rPr>
          <w:rFonts w:cs="Segoe UI"/>
          <w:sz w:val="18"/>
          <w:szCs w:val="18"/>
        </w:rPr>
        <w:t xml:space="preserve"> </w:t>
      </w:r>
    </w:p>
    <w:p w14:paraId="006EAC91" w14:textId="77777777"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E75A02">
        <w:rPr>
          <w:rFonts w:cs="Segoe UI"/>
        </w:rPr>
        <w:t>2019</w:t>
      </w:r>
      <w:r w:rsidR="00442C1C" w:rsidRPr="00C05132">
        <w:rPr>
          <w:rFonts w:cs="Segoe UI"/>
        </w:rPr>
        <w:t xml:space="preserve">. </w:t>
      </w:r>
      <w:r w:rsidR="00E75A02">
        <w:rPr>
          <w:rFonts w:cs="Segoe UI"/>
          <w:i/>
        </w:rPr>
        <w:t>Induction of Labour in Aotearoa New Zealand</w:t>
      </w:r>
      <w:r w:rsidR="00D27922">
        <w:rPr>
          <w:rFonts w:cs="Segoe UI"/>
          <w:i/>
        </w:rPr>
        <w:t xml:space="preserve">: </w:t>
      </w:r>
      <w:r w:rsidR="00E75A02">
        <w:rPr>
          <w:rFonts w:cs="Segoe UI"/>
          <w:i/>
        </w:rPr>
        <w:t>A clinical practice guideline</w:t>
      </w:r>
      <w:r w:rsidR="00442C1C" w:rsidRPr="00C05132">
        <w:rPr>
          <w:rFonts w:cs="Segoe UI"/>
        </w:rPr>
        <w:t>. Wellington: Ministry of Health.</w:t>
      </w:r>
    </w:p>
    <w:p w14:paraId="30DED686" w14:textId="5B86086B" w:rsidR="00C86248" w:rsidRDefault="00C86248">
      <w:pPr>
        <w:pStyle w:val="Imprint"/>
      </w:pPr>
      <w:r>
        <w:t xml:space="preserve">Published in </w:t>
      </w:r>
      <w:r w:rsidR="003F4E6E">
        <w:t>July</w:t>
      </w:r>
      <w:r w:rsidR="00E75A02">
        <w:t xml:space="preserve"> </w:t>
      </w:r>
      <w:r w:rsidR="003235C6">
        <w:t>20</w:t>
      </w:r>
      <w:r w:rsidR="008017B4">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FD88DB9" w14:textId="6E41E117" w:rsidR="00082CD6" w:rsidRPr="009C0F2D" w:rsidRDefault="00D863D0" w:rsidP="00082CD6">
      <w:pPr>
        <w:pStyle w:val="Imprint"/>
      </w:pPr>
      <w:r>
        <w:t>ISBN</w:t>
      </w:r>
      <w:r w:rsidR="00442C1C">
        <w:t xml:space="preserve"> </w:t>
      </w:r>
      <w:r w:rsidR="003F4E6E" w:rsidRPr="003F4E6E">
        <w:t>978-1-99-100726-1</w:t>
      </w:r>
      <w:r w:rsidR="002B7BEC">
        <w:t xml:space="preserve"> </w:t>
      </w:r>
      <w:r>
        <w:t>(</w:t>
      </w:r>
      <w:r w:rsidR="00442C1C">
        <w:t>online</w:t>
      </w:r>
      <w:r>
        <w:t>)</w:t>
      </w:r>
      <w:r w:rsidR="00082CD6">
        <w:br/>
      </w:r>
      <w:r w:rsidR="00082CD6" w:rsidRPr="009C0F2D">
        <w:t xml:space="preserve">HP </w:t>
      </w:r>
      <w:r w:rsidR="00BB58C3">
        <w:t>7727</w:t>
      </w:r>
    </w:p>
    <w:p w14:paraId="61C1DCA4" w14:textId="77777777" w:rsidR="00C86248" w:rsidRDefault="008C64C4" w:rsidP="00D27922">
      <w:pPr>
        <w:spacing w:before="360"/>
      </w:pPr>
      <w:r>
        <w:rPr>
          <w:noProof/>
          <w:lang w:eastAsia="en-NZ"/>
        </w:rPr>
        <w:drawing>
          <wp:inline distT="0" distB="0" distL="0" distR="0" wp14:anchorId="2014D581" wp14:editId="2E98E662">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53A6D7F" w14:textId="77777777" w:rsidR="00A63DFF" w:rsidRDefault="00A63DFF" w:rsidP="00A63DFF">
      <w:pPr>
        <w:pStyle w:val="Imprint"/>
        <w:spacing w:before="240" w:after="480"/>
      </w:pPr>
      <w:r>
        <w:t xml:space="preserve">This document is available at </w:t>
      </w:r>
      <w:hyperlink r:id="rId14"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11418909" w14:textId="77777777" w:rsidTr="00A63DFF">
        <w:trPr>
          <w:cantSplit/>
        </w:trPr>
        <w:tc>
          <w:tcPr>
            <w:tcW w:w="1526" w:type="dxa"/>
          </w:tcPr>
          <w:p w14:paraId="0D878CE3"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5018F56" wp14:editId="17E4ACD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4349B96"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1A32D2F2" w14:textId="77777777" w:rsidR="007E74F1" w:rsidRPr="001F45A7" w:rsidRDefault="007E74F1" w:rsidP="006E2886">
      <w:pPr>
        <w:pStyle w:val="Imprint"/>
      </w:pPr>
    </w:p>
    <w:p w14:paraId="2AD35BFE"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097CDD18" w14:textId="77777777" w:rsidR="00C86248" w:rsidRDefault="00C86248" w:rsidP="00025A6F">
      <w:pPr>
        <w:pStyle w:val="IntroHead"/>
      </w:pPr>
      <w:bookmarkStart w:id="1" w:name="_Toc405792991"/>
      <w:bookmarkStart w:id="2" w:name="_Toc405793224"/>
      <w:r>
        <w:lastRenderedPageBreak/>
        <w:t>Contents</w:t>
      </w:r>
      <w:bookmarkEnd w:id="1"/>
      <w:bookmarkEnd w:id="2"/>
    </w:p>
    <w:p w14:paraId="2A2D81AC" w14:textId="5C7188CA" w:rsidR="003F4E6E" w:rsidRDefault="003F4E6E">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"1-1" \h \z \t "Heading 2,2,Heading 2 - Appendices,2" </w:instrText>
      </w:r>
      <w:r>
        <w:rPr>
          <w:b/>
        </w:rPr>
        <w:fldChar w:fldCharType="separate"/>
      </w:r>
      <w:hyperlink w:anchor="_Toc75787953" w:history="1">
        <w:r w:rsidRPr="00291D73">
          <w:rPr>
            <w:rStyle w:val="Hyperlink"/>
            <w:noProof/>
          </w:rPr>
          <w:t>Executive summary</w:t>
        </w:r>
        <w:r>
          <w:rPr>
            <w:noProof/>
            <w:webHidden/>
          </w:rPr>
          <w:tab/>
        </w:r>
        <w:r>
          <w:rPr>
            <w:noProof/>
            <w:webHidden/>
          </w:rPr>
          <w:fldChar w:fldCharType="begin"/>
        </w:r>
        <w:r>
          <w:rPr>
            <w:noProof/>
            <w:webHidden/>
          </w:rPr>
          <w:instrText xml:space="preserve"> PAGEREF _Toc75787953 \h </w:instrText>
        </w:r>
        <w:r>
          <w:rPr>
            <w:noProof/>
            <w:webHidden/>
          </w:rPr>
        </w:r>
        <w:r>
          <w:rPr>
            <w:noProof/>
            <w:webHidden/>
          </w:rPr>
          <w:fldChar w:fldCharType="separate"/>
        </w:r>
        <w:r w:rsidR="00C04A3F">
          <w:rPr>
            <w:noProof/>
            <w:webHidden/>
          </w:rPr>
          <w:t>vii</w:t>
        </w:r>
        <w:r>
          <w:rPr>
            <w:noProof/>
            <w:webHidden/>
          </w:rPr>
          <w:fldChar w:fldCharType="end"/>
        </w:r>
      </w:hyperlink>
    </w:p>
    <w:p w14:paraId="2ED45D7B" w14:textId="01AB74CD" w:rsidR="003F4E6E" w:rsidRDefault="004D0EDF">
      <w:pPr>
        <w:pStyle w:val="TOC2"/>
        <w:rPr>
          <w:rFonts w:asciiTheme="minorHAnsi" w:eastAsiaTheme="minorEastAsia" w:hAnsiTheme="minorHAnsi" w:cstheme="minorBidi"/>
          <w:noProof/>
          <w:sz w:val="22"/>
          <w:szCs w:val="22"/>
          <w:lang w:eastAsia="en-NZ"/>
        </w:rPr>
      </w:pPr>
      <w:hyperlink w:anchor="_Toc75787954" w:history="1">
        <w:r w:rsidR="003F4E6E" w:rsidRPr="00291D73">
          <w:rPr>
            <w:rStyle w:val="Hyperlink"/>
            <w:noProof/>
          </w:rPr>
          <w:t>Recommendations in brief</w:t>
        </w:r>
        <w:r w:rsidR="003F4E6E">
          <w:rPr>
            <w:noProof/>
            <w:webHidden/>
          </w:rPr>
          <w:tab/>
        </w:r>
        <w:r w:rsidR="003F4E6E">
          <w:rPr>
            <w:noProof/>
            <w:webHidden/>
          </w:rPr>
          <w:fldChar w:fldCharType="begin"/>
        </w:r>
        <w:r w:rsidR="003F4E6E">
          <w:rPr>
            <w:noProof/>
            <w:webHidden/>
          </w:rPr>
          <w:instrText xml:space="preserve"> PAGEREF _Toc75787954 \h </w:instrText>
        </w:r>
        <w:r w:rsidR="003F4E6E">
          <w:rPr>
            <w:noProof/>
            <w:webHidden/>
          </w:rPr>
        </w:r>
        <w:r w:rsidR="003F4E6E">
          <w:rPr>
            <w:noProof/>
            <w:webHidden/>
          </w:rPr>
          <w:fldChar w:fldCharType="separate"/>
        </w:r>
        <w:r w:rsidR="00C04A3F">
          <w:rPr>
            <w:noProof/>
            <w:webHidden/>
          </w:rPr>
          <w:t>viii</w:t>
        </w:r>
        <w:r w:rsidR="003F4E6E">
          <w:rPr>
            <w:noProof/>
            <w:webHidden/>
          </w:rPr>
          <w:fldChar w:fldCharType="end"/>
        </w:r>
      </w:hyperlink>
    </w:p>
    <w:p w14:paraId="241301CA" w14:textId="5E99523D" w:rsidR="003F4E6E" w:rsidRDefault="004D0EDF">
      <w:pPr>
        <w:pStyle w:val="TOC1"/>
        <w:rPr>
          <w:rFonts w:asciiTheme="minorHAnsi" w:eastAsiaTheme="minorEastAsia" w:hAnsiTheme="minorHAnsi" w:cstheme="minorBidi"/>
          <w:noProof/>
          <w:sz w:val="22"/>
          <w:szCs w:val="22"/>
          <w:lang w:eastAsia="en-NZ"/>
        </w:rPr>
      </w:pPr>
      <w:hyperlink w:anchor="_Toc75787955" w:history="1">
        <w:r w:rsidR="003F4E6E" w:rsidRPr="00291D73">
          <w:rPr>
            <w:rStyle w:val="Hyperlink"/>
            <w:noProof/>
          </w:rPr>
          <w:t>Summary of findings</w:t>
        </w:r>
        <w:r w:rsidR="003F4E6E">
          <w:rPr>
            <w:noProof/>
            <w:webHidden/>
          </w:rPr>
          <w:tab/>
        </w:r>
        <w:r w:rsidR="003F4E6E">
          <w:rPr>
            <w:noProof/>
            <w:webHidden/>
          </w:rPr>
          <w:fldChar w:fldCharType="begin"/>
        </w:r>
        <w:r w:rsidR="003F4E6E">
          <w:rPr>
            <w:noProof/>
            <w:webHidden/>
          </w:rPr>
          <w:instrText xml:space="preserve"> PAGEREF _Toc75787955 \h </w:instrText>
        </w:r>
        <w:r w:rsidR="003F4E6E">
          <w:rPr>
            <w:noProof/>
            <w:webHidden/>
          </w:rPr>
        </w:r>
        <w:r w:rsidR="003F4E6E">
          <w:rPr>
            <w:noProof/>
            <w:webHidden/>
          </w:rPr>
          <w:fldChar w:fldCharType="separate"/>
        </w:r>
        <w:r w:rsidR="00C04A3F">
          <w:rPr>
            <w:noProof/>
            <w:webHidden/>
          </w:rPr>
          <w:t>1</w:t>
        </w:r>
        <w:r w:rsidR="003F4E6E">
          <w:rPr>
            <w:noProof/>
            <w:webHidden/>
          </w:rPr>
          <w:fldChar w:fldCharType="end"/>
        </w:r>
      </w:hyperlink>
    </w:p>
    <w:p w14:paraId="08386E84" w14:textId="5FEAE8A8" w:rsidR="003F4E6E" w:rsidRDefault="004D0EDF">
      <w:pPr>
        <w:pStyle w:val="TOC1"/>
        <w:rPr>
          <w:rFonts w:asciiTheme="minorHAnsi" w:eastAsiaTheme="minorEastAsia" w:hAnsiTheme="minorHAnsi" w:cstheme="minorBidi"/>
          <w:noProof/>
          <w:sz w:val="22"/>
          <w:szCs w:val="22"/>
          <w:lang w:eastAsia="en-NZ"/>
        </w:rPr>
      </w:pPr>
      <w:hyperlink w:anchor="_Toc75787956" w:history="1">
        <w:r w:rsidR="003F4E6E" w:rsidRPr="00291D73">
          <w:rPr>
            <w:rStyle w:val="Hyperlink"/>
            <w:noProof/>
          </w:rPr>
          <w:t>Consumer foreword</w:t>
        </w:r>
        <w:r w:rsidR="003F4E6E">
          <w:rPr>
            <w:noProof/>
            <w:webHidden/>
          </w:rPr>
          <w:tab/>
        </w:r>
        <w:r w:rsidR="003F4E6E">
          <w:rPr>
            <w:noProof/>
            <w:webHidden/>
          </w:rPr>
          <w:fldChar w:fldCharType="begin"/>
        </w:r>
        <w:r w:rsidR="003F4E6E">
          <w:rPr>
            <w:noProof/>
            <w:webHidden/>
          </w:rPr>
          <w:instrText xml:space="preserve"> PAGEREF _Toc75787956 \h </w:instrText>
        </w:r>
        <w:r w:rsidR="003F4E6E">
          <w:rPr>
            <w:noProof/>
            <w:webHidden/>
          </w:rPr>
        </w:r>
        <w:r w:rsidR="003F4E6E">
          <w:rPr>
            <w:noProof/>
            <w:webHidden/>
          </w:rPr>
          <w:fldChar w:fldCharType="separate"/>
        </w:r>
        <w:r w:rsidR="00C04A3F">
          <w:rPr>
            <w:noProof/>
            <w:webHidden/>
          </w:rPr>
          <w:t>6</w:t>
        </w:r>
        <w:r w:rsidR="003F4E6E">
          <w:rPr>
            <w:noProof/>
            <w:webHidden/>
          </w:rPr>
          <w:fldChar w:fldCharType="end"/>
        </w:r>
      </w:hyperlink>
    </w:p>
    <w:p w14:paraId="77F4600B" w14:textId="732FE072" w:rsidR="003F4E6E" w:rsidRDefault="004D0EDF">
      <w:pPr>
        <w:pStyle w:val="TOC1"/>
        <w:rPr>
          <w:rFonts w:asciiTheme="minorHAnsi" w:eastAsiaTheme="minorEastAsia" w:hAnsiTheme="minorHAnsi" w:cstheme="minorBidi"/>
          <w:noProof/>
          <w:sz w:val="22"/>
          <w:szCs w:val="22"/>
          <w:lang w:eastAsia="en-NZ"/>
        </w:rPr>
      </w:pPr>
      <w:hyperlink w:anchor="_Toc75787957" w:history="1">
        <w:r w:rsidR="003F4E6E" w:rsidRPr="00291D73">
          <w:rPr>
            <w:rStyle w:val="Hyperlink"/>
            <w:noProof/>
          </w:rPr>
          <w:t>Message from the Chair</w:t>
        </w:r>
        <w:r w:rsidR="003F4E6E">
          <w:rPr>
            <w:noProof/>
            <w:webHidden/>
          </w:rPr>
          <w:tab/>
        </w:r>
        <w:r w:rsidR="003F4E6E">
          <w:rPr>
            <w:noProof/>
            <w:webHidden/>
          </w:rPr>
          <w:fldChar w:fldCharType="begin"/>
        </w:r>
        <w:r w:rsidR="003F4E6E">
          <w:rPr>
            <w:noProof/>
            <w:webHidden/>
          </w:rPr>
          <w:instrText xml:space="preserve"> PAGEREF _Toc75787957 \h </w:instrText>
        </w:r>
        <w:r w:rsidR="003F4E6E">
          <w:rPr>
            <w:noProof/>
            <w:webHidden/>
          </w:rPr>
        </w:r>
        <w:r w:rsidR="003F4E6E">
          <w:rPr>
            <w:noProof/>
            <w:webHidden/>
          </w:rPr>
          <w:fldChar w:fldCharType="separate"/>
        </w:r>
        <w:r w:rsidR="00C04A3F">
          <w:rPr>
            <w:noProof/>
            <w:webHidden/>
          </w:rPr>
          <w:t>8</w:t>
        </w:r>
        <w:r w:rsidR="003F4E6E">
          <w:rPr>
            <w:noProof/>
            <w:webHidden/>
          </w:rPr>
          <w:fldChar w:fldCharType="end"/>
        </w:r>
      </w:hyperlink>
    </w:p>
    <w:p w14:paraId="751578A2" w14:textId="543E2AB2" w:rsidR="003F4E6E" w:rsidRDefault="004D0EDF">
      <w:pPr>
        <w:pStyle w:val="TOC1"/>
        <w:rPr>
          <w:rFonts w:asciiTheme="minorHAnsi" w:eastAsiaTheme="minorEastAsia" w:hAnsiTheme="minorHAnsi" w:cstheme="minorBidi"/>
          <w:noProof/>
          <w:sz w:val="22"/>
          <w:szCs w:val="22"/>
          <w:lang w:eastAsia="en-NZ"/>
        </w:rPr>
      </w:pPr>
      <w:hyperlink w:anchor="_Toc75787958" w:history="1">
        <w:r w:rsidR="003F4E6E" w:rsidRPr="00291D73">
          <w:rPr>
            <w:rStyle w:val="Hyperlink"/>
            <w:noProof/>
          </w:rPr>
          <w:t>Purpose and scope of the guideline</w:t>
        </w:r>
        <w:r w:rsidR="003F4E6E">
          <w:rPr>
            <w:noProof/>
            <w:webHidden/>
          </w:rPr>
          <w:tab/>
        </w:r>
        <w:r w:rsidR="003F4E6E">
          <w:rPr>
            <w:noProof/>
            <w:webHidden/>
          </w:rPr>
          <w:fldChar w:fldCharType="begin"/>
        </w:r>
        <w:r w:rsidR="003F4E6E">
          <w:rPr>
            <w:noProof/>
            <w:webHidden/>
          </w:rPr>
          <w:instrText xml:space="preserve"> PAGEREF _Toc75787958 \h </w:instrText>
        </w:r>
        <w:r w:rsidR="003F4E6E">
          <w:rPr>
            <w:noProof/>
            <w:webHidden/>
          </w:rPr>
        </w:r>
        <w:r w:rsidR="003F4E6E">
          <w:rPr>
            <w:noProof/>
            <w:webHidden/>
          </w:rPr>
          <w:fldChar w:fldCharType="separate"/>
        </w:r>
        <w:r w:rsidR="00C04A3F">
          <w:rPr>
            <w:noProof/>
            <w:webHidden/>
          </w:rPr>
          <w:t>10</w:t>
        </w:r>
        <w:r w:rsidR="003F4E6E">
          <w:rPr>
            <w:noProof/>
            <w:webHidden/>
          </w:rPr>
          <w:fldChar w:fldCharType="end"/>
        </w:r>
      </w:hyperlink>
    </w:p>
    <w:p w14:paraId="53C1DBC2" w14:textId="367E6B0B" w:rsidR="003F4E6E" w:rsidRDefault="004D0EDF">
      <w:pPr>
        <w:pStyle w:val="TOC2"/>
        <w:rPr>
          <w:rFonts w:asciiTheme="minorHAnsi" w:eastAsiaTheme="minorEastAsia" w:hAnsiTheme="minorHAnsi" w:cstheme="minorBidi"/>
          <w:noProof/>
          <w:sz w:val="22"/>
          <w:szCs w:val="22"/>
          <w:lang w:eastAsia="en-NZ"/>
        </w:rPr>
      </w:pPr>
      <w:hyperlink w:anchor="_Toc75787959" w:history="1">
        <w:r w:rsidR="003F4E6E" w:rsidRPr="00291D73">
          <w:rPr>
            <w:rStyle w:val="Hyperlink"/>
            <w:noProof/>
          </w:rPr>
          <w:t>Purpose</w:t>
        </w:r>
        <w:r w:rsidR="003F4E6E">
          <w:rPr>
            <w:noProof/>
            <w:webHidden/>
          </w:rPr>
          <w:tab/>
        </w:r>
        <w:r w:rsidR="003F4E6E">
          <w:rPr>
            <w:noProof/>
            <w:webHidden/>
          </w:rPr>
          <w:fldChar w:fldCharType="begin"/>
        </w:r>
        <w:r w:rsidR="003F4E6E">
          <w:rPr>
            <w:noProof/>
            <w:webHidden/>
          </w:rPr>
          <w:instrText xml:space="preserve"> PAGEREF _Toc75787959 \h </w:instrText>
        </w:r>
        <w:r w:rsidR="003F4E6E">
          <w:rPr>
            <w:noProof/>
            <w:webHidden/>
          </w:rPr>
        </w:r>
        <w:r w:rsidR="003F4E6E">
          <w:rPr>
            <w:noProof/>
            <w:webHidden/>
          </w:rPr>
          <w:fldChar w:fldCharType="separate"/>
        </w:r>
        <w:r w:rsidR="00C04A3F">
          <w:rPr>
            <w:noProof/>
            <w:webHidden/>
          </w:rPr>
          <w:t>10</w:t>
        </w:r>
        <w:r w:rsidR="003F4E6E">
          <w:rPr>
            <w:noProof/>
            <w:webHidden/>
          </w:rPr>
          <w:fldChar w:fldCharType="end"/>
        </w:r>
      </w:hyperlink>
    </w:p>
    <w:p w14:paraId="4F187386" w14:textId="0A104378" w:rsidR="003F4E6E" w:rsidRDefault="004D0EDF">
      <w:pPr>
        <w:pStyle w:val="TOC2"/>
        <w:rPr>
          <w:rFonts w:asciiTheme="minorHAnsi" w:eastAsiaTheme="minorEastAsia" w:hAnsiTheme="minorHAnsi" w:cstheme="minorBidi"/>
          <w:noProof/>
          <w:sz w:val="22"/>
          <w:szCs w:val="22"/>
          <w:lang w:eastAsia="en-NZ"/>
        </w:rPr>
      </w:pPr>
      <w:hyperlink w:anchor="_Toc75787960" w:history="1">
        <w:r w:rsidR="003F4E6E" w:rsidRPr="00291D73">
          <w:rPr>
            <w:rStyle w:val="Hyperlink"/>
            <w:noProof/>
          </w:rPr>
          <w:t>Definition of induction of labour</w:t>
        </w:r>
        <w:r w:rsidR="003F4E6E">
          <w:rPr>
            <w:noProof/>
            <w:webHidden/>
          </w:rPr>
          <w:tab/>
        </w:r>
        <w:r w:rsidR="003F4E6E">
          <w:rPr>
            <w:noProof/>
            <w:webHidden/>
          </w:rPr>
          <w:fldChar w:fldCharType="begin"/>
        </w:r>
        <w:r w:rsidR="003F4E6E">
          <w:rPr>
            <w:noProof/>
            <w:webHidden/>
          </w:rPr>
          <w:instrText xml:space="preserve"> PAGEREF _Toc75787960 \h </w:instrText>
        </w:r>
        <w:r w:rsidR="003F4E6E">
          <w:rPr>
            <w:noProof/>
            <w:webHidden/>
          </w:rPr>
        </w:r>
        <w:r w:rsidR="003F4E6E">
          <w:rPr>
            <w:noProof/>
            <w:webHidden/>
          </w:rPr>
          <w:fldChar w:fldCharType="separate"/>
        </w:r>
        <w:r w:rsidR="00C04A3F">
          <w:rPr>
            <w:noProof/>
            <w:webHidden/>
          </w:rPr>
          <w:t>10</w:t>
        </w:r>
        <w:r w:rsidR="003F4E6E">
          <w:rPr>
            <w:noProof/>
            <w:webHidden/>
          </w:rPr>
          <w:fldChar w:fldCharType="end"/>
        </w:r>
      </w:hyperlink>
    </w:p>
    <w:p w14:paraId="7814B18B" w14:textId="68AFAF1B" w:rsidR="003F4E6E" w:rsidRDefault="004D0EDF">
      <w:pPr>
        <w:pStyle w:val="TOC2"/>
        <w:rPr>
          <w:rFonts w:asciiTheme="minorHAnsi" w:eastAsiaTheme="minorEastAsia" w:hAnsiTheme="minorHAnsi" w:cstheme="minorBidi"/>
          <w:noProof/>
          <w:sz w:val="22"/>
          <w:szCs w:val="22"/>
          <w:lang w:eastAsia="en-NZ"/>
        </w:rPr>
      </w:pPr>
      <w:hyperlink w:anchor="_Toc75787961" w:history="1">
        <w:r w:rsidR="003F4E6E" w:rsidRPr="00291D73">
          <w:rPr>
            <w:rStyle w:val="Hyperlink"/>
            <w:noProof/>
          </w:rPr>
          <w:t>The need for the guideline</w:t>
        </w:r>
        <w:r w:rsidR="003F4E6E">
          <w:rPr>
            <w:noProof/>
            <w:webHidden/>
          </w:rPr>
          <w:tab/>
        </w:r>
        <w:r w:rsidR="003F4E6E">
          <w:rPr>
            <w:noProof/>
            <w:webHidden/>
          </w:rPr>
          <w:fldChar w:fldCharType="begin"/>
        </w:r>
        <w:r w:rsidR="003F4E6E">
          <w:rPr>
            <w:noProof/>
            <w:webHidden/>
          </w:rPr>
          <w:instrText xml:space="preserve"> PAGEREF _Toc75787961 \h </w:instrText>
        </w:r>
        <w:r w:rsidR="003F4E6E">
          <w:rPr>
            <w:noProof/>
            <w:webHidden/>
          </w:rPr>
        </w:r>
        <w:r w:rsidR="003F4E6E">
          <w:rPr>
            <w:noProof/>
            <w:webHidden/>
          </w:rPr>
          <w:fldChar w:fldCharType="separate"/>
        </w:r>
        <w:r w:rsidR="00C04A3F">
          <w:rPr>
            <w:noProof/>
            <w:webHidden/>
          </w:rPr>
          <w:t>10</w:t>
        </w:r>
        <w:r w:rsidR="003F4E6E">
          <w:rPr>
            <w:noProof/>
            <w:webHidden/>
          </w:rPr>
          <w:fldChar w:fldCharType="end"/>
        </w:r>
      </w:hyperlink>
    </w:p>
    <w:p w14:paraId="4CEC27D8" w14:textId="6BC5EED1" w:rsidR="003F4E6E" w:rsidRDefault="004D0EDF">
      <w:pPr>
        <w:pStyle w:val="TOC2"/>
        <w:rPr>
          <w:rFonts w:asciiTheme="minorHAnsi" w:eastAsiaTheme="minorEastAsia" w:hAnsiTheme="minorHAnsi" w:cstheme="minorBidi"/>
          <w:noProof/>
          <w:sz w:val="22"/>
          <w:szCs w:val="22"/>
          <w:lang w:eastAsia="en-NZ"/>
        </w:rPr>
      </w:pPr>
      <w:hyperlink w:anchor="_Toc75787962" w:history="1">
        <w:r w:rsidR="003F4E6E" w:rsidRPr="00291D73">
          <w:rPr>
            <w:rStyle w:val="Hyperlink"/>
            <w:noProof/>
          </w:rPr>
          <w:t>Scope of the guideline</w:t>
        </w:r>
        <w:r w:rsidR="003F4E6E">
          <w:rPr>
            <w:noProof/>
            <w:webHidden/>
          </w:rPr>
          <w:tab/>
        </w:r>
        <w:r w:rsidR="003F4E6E">
          <w:rPr>
            <w:noProof/>
            <w:webHidden/>
          </w:rPr>
          <w:fldChar w:fldCharType="begin"/>
        </w:r>
        <w:r w:rsidR="003F4E6E">
          <w:rPr>
            <w:noProof/>
            <w:webHidden/>
          </w:rPr>
          <w:instrText xml:space="preserve"> PAGEREF _Toc75787962 \h </w:instrText>
        </w:r>
        <w:r w:rsidR="003F4E6E">
          <w:rPr>
            <w:noProof/>
            <w:webHidden/>
          </w:rPr>
        </w:r>
        <w:r w:rsidR="003F4E6E">
          <w:rPr>
            <w:noProof/>
            <w:webHidden/>
          </w:rPr>
          <w:fldChar w:fldCharType="separate"/>
        </w:r>
        <w:r w:rsidR="00C04A3F">
          <w:rPr>
            <w:noProof/>
            <w:webHidden/>
          </w:rPr>
          <w:t>11</w:t>
        </w:r>
        <w:r w:rsidR="003F4E6E">
          <w:rPr>
            <w:noProof/>
            <w:webHidden/>
          </w:rPr>
          <w:fldChar w:fldCharType="end"/>
        </w:r>
      </w:hyperlink>
    </w:p>
    <w:p w14:paraId="1AC1572C" w14:textId="5C2E117F" w:rsidR="003F4E6E" w:rsidRDefault="004D0EDF">
      <w:pPr>
        <w:pStyle w:val="TOC2"/>
        <w:rPr>
          <w:rFonts w:asciiTheme="minorHAnsi" w:eastAsiaTheme="minorEastAsia" w:hAnsiTheme="minorHAnsi" w:cstheme="minorBidi"/>
          <w:noProof/>
          <w:sz w:val="22"/>
          <w:szCs w:val="22"/>
          <w:lang w:eastAsia="en-NZ"/>
        </w:rPr>
      </w:pPr>
      <w:hyperlink w:anchor="_Toc75787963" w:history="1">
        <w:r w:rsidR="003F4E6E" w:rsidRPr="00291D73">
          <w:rPr>
            <w:rStyle w:val="Hyperlink"/>
            <w:noProof/>
          </w:rPr>
          <w:t>Target audience</w:t>
        </w:r>
        <w:r w:rsidR="003F4E6E">
          <w:rPr>
            <w:noProof/>
            <w:webHidden/>
          </w:rPr>
          <w:tab/>
        </w:r>
        <w:r w:rsidR="003F4E6E">
          <w:rPr>
            <w:noProof/>
            <w:webHidden/>
          </w:rPr>
          <w:fldChar w:fldCharType="begin"/>
        </w:r>
        <w:r w:rsidR="003F4E6E">
          <w:rPr>
            <w:noProof/>
            <w:webHidden/>
          </w:rPr>
          <w:instrText xml:space="preserve"> PAGEREF _Toc75787963 \h </w:instrText>
        </w:r>
        <w:r w:rsidR="003F4E6E">
          <w:rPr>
            <w:noProof/>
            <w:webHidden/>
          </w:rPr>
        </w:r>
        <w:r w:rsidR="003F4E6E">
          <w:rPr>
            <w:noProof/>
            <w:webHidden/>
          </w:rPr>
          <w:fldChar w:fldCharType="separate"/>
        </w:r>
        <w:r w:rsidR="00C04A3F">
          <w:rPr>
            <w:noProof/>
            <w:webHidden/>
          </w:rPr>
          <w:t>12</w:t>
        </w:r>
        <w:r w:rsidR="003F4E6E">
          <w:rPr>
            <w:noProof/>
            <w:webHidden/>
          </w:rPr>
          <w:fldChar w:fldCharType="end"/>
        </w:r>
      </w:hyperlink>
    </w:p>
    <w:p w14:paraId="0639F453" w14:textId="45FBDAED" w:rsidR="003F4E6E" w:rsidRDefault="004D0EDF">
      <w:pPr>
        <w:pStyle w:val="TOC2"/>
        <w:rPr>
          <w:rFonts w:asciiTheme="minorHAnsi" w:eastAsiaTheme="minorEastAsia" w:hAnsiTheme="minorHAnsi" w:cstheme="minorBidi"/>
          <w:noProof/>
          <w:sz w:val="22"/>
          <w:szCs w:val="22"/>
          <w:lang w:eastAsia="en-NZ"/>
        </w:rPr>
      </w:pPr>
      <w:hyperlink w:anchor="_Toc75787964" w:history="1">
        <w:r w:rsidR="003F4E6E" w:rsidRPr="00291D73">
          <w:rPr>
            <w:rStyle w:val="Hyperlink"/>
            <w:noProof/>
          </w:rPr>
          <w:t>The research questions</w:t>
        </w:r>
        <w:r w:rsidR="003F4E6E">
          <w:rPr>
            <w:noProof/>
            <w:webHidden/>
          </w:rPr>
          <w:tab/>
        </w:r>
        <w:r w:rsidR="003F4E6E">
          <w:rPr>
            <w:noProof/>
            <w:webHidden/>
          </w:rPr>
          <w:fldChar w:fldCharType="begin"/>
        </w:r>
        <w:r w:rsidR="003F4E6E">
          <w:rPr>
            <w:noProof/>
            <w:webHidden/>
          </w:rPr>
          <w:instrText xml:space="preserve"> PAGEREF _Toc75787964 \h </w:instrText>
        </w:r>
        <w:r w:rsidR="003F4E6E">
          <w:rPr>
            <w:noProof/>
            <w:webHidden/>
          </w:rPr>
        </w:r>
        <w:r w:rsidR="003F4E6E">
          <w:rPr>
            <w:noProof/>
            <w:webHidden/>
          </w:rPr>
          <w:fldChar w:fldCharType="separate"/>
        </w:r>
        <w:r w:rsidR="00C04A3F">
          <w:rPr>
            <w:noProof/>
            <w:webHidden/>
          </w:rPr>
          <w:t>12</w:t>
        </w:r>
        <w:r w:rsidR="003F4E6E">
          <w:rPr>
            <w:noProof/>
            <w:webHidden/>
          </w:rPr>
          <w:fldChar w:fldCharType="end"/>
        </w:r>
      </w:hyperlink>
    </w:p>
    <w:p w14:paraId="785ED69C" w14:textId="34D5DE1E" w:rsidR="003F4E6E" w:rsidRDefault="004D0EDF">
      <w:pPr>
        <w:pStyle w:val="TOC2"/>
        <w:rPr>
          <w:rFonts w:asciiTheme="minorHAnsi" w:eastAsiaTheme="minorEastAsia" w:hAnsiTheme="minorHAnsi" w:cstheme="minorBidi"/>
          <w:noProof/>
          <w:sz w:val="22"/>
          <w:szCs w:val="22"/>
          <w:lang w:eastAsia="en-NZ"/>
        </w:rPr>
      </w:pPr>
      <w:hyperlink w:anchor="_Toc75787965" w:history="1">
        <w:r w:rsidR="003F4E6E" w:rsidRPr="00291D73">
          <w:rPr>
            <w:rStyle w:val="Hyperlink"/>
            <w:noProof/>
          </w:rPr>
          <w:t>Guideline development process</w:t>
        </w:r>
        <w:r w:rsidR="003F4E6E">
          <w:rPr>
            <w:noProof/>
            <w:webHidden/>
          </w:rPr>
          <w:tab/>
        </w:r>
        <w:r w:rsidR="003F4E6E">
          <w:rPr>
            <w:noProof/>
            <w:webHidden/>
          </w:rPr>
          <w:fldChar w:fldCharType="begin"/>
        </w:r>
        <w:r w:rsidR="003F4E6E">
          <w:rPr>
            <w:noProof/>
            <w:webHidden/>
          </w:rPr>
          <w:instrText xml:space="preserve"> PAGEREF _Toc75787965 \h </w:instrText>
        </w:r>
        <w:r w:rsidR="003F4E6E">
          <w:rPr>
            <w:noProof/>
            <w:webHidden/>
          </w:rPr>
        </w:r>
        <w:r w:rsidR="003F4E6E">
          <w:rPr>
            <w:noProof/>
            <w:webHidden/>
          </w:rPr>
          <w:fldChar w:fldCharType="separate"/>
        </w:r>
        <w:r w:rsidR="00C04A3F">
          <w:rPr>
            <w:noProof/>
            <w:webHidden/>
          </w:rPr>
          <w:t>13</w:t>
        </w:r>
        <w:r w:rsidR="003F4E6E">
          <w:rPr>
            <w:noProof/>
            <w:webHidden/>
          </w:rPr>
          <w:fldChar w:fldCharType="end"/>
        </w:r>
      </w:hyperlink>
    </w:p>
    <w:p w14:paraId="695C234B" w14:textId="023599EE" w:rsidR="003F4E6E" w:rsidRDefault="004D0EDF">
      <w:pPr>
        <w:pStyle w:val="TOC2"/>
        <w:rPr>
          <w:rFonts w:asciiTheme="minorHAnsi" w:eastAsiaTheme="minorEastAsia" w:hAnsiTheme="minorHAnsi" w:cstheme="minorBidi"/>
          <w:noProof/>
          <w:sz w:val="22"/>
          <w:szCs w:val="22"/>
          <w:lang w:eastAsia="en-NZ"/>
        </w:rPr>
      </w:pPr>
      <w:hyperlink w:anchor="_Toc75787966" w:history="1">
        <w:r w:rsidR="003F4E6E" w:rsidRPr="00291D73">
          <w:rPr>
            <w:rStyle w:val="Hyperlink"/>
            <w:noProof/>
          </w:rPr>
          <w:t>Conflicts of interest</w:t>
        </w:r>
        <w:r w:rsidR="003F4E6E">
          <w:rPr>
            <w:noProof/>
            <w:webHidden/>
          </w:rPr>
          <w:tab/>
        </w:r>
        <w:r w:rsidR="003F4E6E">
          <w:rPr>
            <w:noProof/>
            <w:webHidden/>
          </w:rPr>
          <w:fldChar w:fldCharType="begin"/>
        </w:r>
        <w:r w:rsidR="003F4E6E">
          <w:rPr>
            <w:noProof/>
            <w:webHidden/>
          </w:rPr>
          <w:instrText xml:space="preserve"> PAGEREF _Toc75787966 \h </w:instrText>
        </w:r>
        <w:r w:rsidR="003F4E6E">
          <w:rPr>
            <w:noProof/>
            <w:webHidden/>
          </w:rPr>
        </w:r>
        <w:r w:rsidR="003F4E6E">
          <w:rPr>
            <w:noProof/>
            <w:webHidden/>
          </w:rPr>
          <w:fldChar w:fldCharType="separate"/>
        </w:r>
        <w:r w:rsidR="00C04A3F">
          <w:rPr>
            <w:noProof/>
            <w:webHidden/>
          </w:rPr>
          <w:t>17</w:t>
        </w:r>
        <w:r w:rsidR="003F4E6E">
          <w:rPr>
            <w:noProof/>
            <w:webHidden/>
          </w:rPr>
          <w:fldChar w:fldCharType="end"/>
        </w:r>
      </w:hyperlink>
    </w:p>
    <w:p w14:paraId="0EC2E192" w14:textId="1BD792AE" w:rsidR="003F4E6E" w:rsidRDefault="004D0EDF">
      <w:pPr>
        <w:pStyle w:val="TOC2"/>
        <w:rPr>
          <w:rFonts w:asciiTheme="minorHAnsi" w:eastAsiaTheme="minorEastAsia" w:hAnsiTheme="minorHAnsi" w:cstheme="minorBidi"/>
          <w:noProof/>
          <w:sz w:val="22"/>
          <w:szCs w:val="22"/>
          <w:lang w:eastAsia="en-NZ"/>
        </w:rPr>
      </w:pPr>
      <w:hyperlink w:anchor="_Toc75787967" w:history="1">
        <w:r w:rsidR="003F4E6E" w:rsidRPr="00291D73">
          <w:rPr>
            <w:rStyle w:val="Hyperlink"/>
            <w:noProof/>
          </w:rPr>
          <w:t>Funding</w:t>
        </w:r>
        <w:r w:rsidR="003F4E6E">
          <w:rPr>
            <w:noProof/>
            <w:webHidden/>
          </w:rPr>
          <w:tab/>
        </w:r>
        <w:r w:rsidR="003F4E6E">
          <w:rPr>
            <w:noProof/>
            <w:webHidden/>
          </w:rPr>
          <w:fldChar w:fldCharType="begin"/>
        </w:r>
        <w:r w:rsidR="003F4E6E">
          <w:rPr>
            <w:noProof/>
            <w:webHidden/>
          </w:rPr>
          <w:instrText xml:space="preserve"> PAGEREF _Toc75787967 \h </w:instrText>
        </w:r>
        <w:r w:rsidR="003F4E6E">
          <w:rPr>
            <w:noProof/>
            <w:webHidden/>
          </w:rPr>
        </w:r>
        <w:r w:rsidR="003F4E6E">
          <w:rPr>
            <w:noProof/>
            <w:webHidden/>
          </w:rPr>
          <w:fldChar w:fldCharType="separate"/>
        </w:r>
        <w:r w:rsidR="00C04A3F">
          <w:rPr>
            <w:noProof/>
            <w:webHidden/>
          </w:rPr>
          <w:t>17</w:t>
        </w:r>
        <w:r w:rsidR="003F4E6E">
          <w:rPr>
            <w:noProof/>
            <w:webHidden/>
          </w:rPr>
          <w:fldChar w:fldCharType="end"/>
        </w:r>
      </w:hyperlink>
    </w:p>
    <w:p w14:paraId="6554520A" w14:textId="2AC0E0B5" w:rsidR="003F4E6E" w:rsidRDefault="004D0EDF">
      <w:pPr>
        <w:pStyle w:val="TOC1"/>
        <w:rPr>
          <w:rFonts w:asciiTheme="minorHAnsi" w:eastAsiaTheme="minorEastAsia" w:hAnsiTheme="minorHAnsi" w:cstheme="minorBidi"/>
          <w:noProof/>
          <w:sz w:val="22"/>
          <w:szCs w:val="22"/>
          <w:lang w:eastAsia="en-NZ"/>
        </w:rPr>
      </w:pPr>
      <w:hyperlink w:anchor="_Toc75787968" w:history="1">
        <w:r w:rsidR="003F4E6E" w:rsidRPr="00291D73">
          <w:rPr>
            <w:rStyle w:val="Hyperlink"/>
            <w:noProof/>
          </w:rPr>
          <w:t>Chapter 1 : Introduction</w:t>
        </w:r>
        <w:r w:rsidR="003F4E6E">
          <w:rPr>
            <w:noProof/>
            <w:webHidden/>
          </w:rPr>
          <w:tab/>
        </w:r>
        <w:r w:rsidR="003F4E6E">
          <w:rPr>
            <w:noProof/>
            <w:webHidden/>
          </w:rPr>
          <w:fldChar w:fldCharType="begin"/>
        </w:r>
        <w:r w:rsidR="003F4E6E">
          <w:rPr>
            <w:noProof/>
            <w:webHidden/>
          </w:rPr>
          <w:instrText xml:space="preserve"> PAGEREF _Toc75787968 \h </w:instrText>
        </w:r>
        <w:r w:rsidR="003F4E6E">
          <w:rPr>
            <w:noProof/>
            <w:webHidden/>
          </w:rPr>
        </w:r>
        <w:r w:rsidR="003F4E6E">
          <w:rPr>
            <w:noProof/>
            <w:webHidden/>
          </w:rPr>
          <w:fldChar w:fldCharType="separate"/>
        </w:r>
        <w:r w:rsidR="00C04A3F">
          <w:rPr>
            <w:noProof/>
            <w:webHidden/>
          </w:rPr>
          <w:t>18</w:t>
        </w:r>
        <w:r w:rsidR="003F4E6E">
          <w:rPr>
            <w:noProof/>
            <w:webHidden/>
          </w:rPr>
          <w:fldChar w:fldCharType="end"/>
        </w:r>
      </w:hyperlink>
    </w:p>
    <w:p w14:paraId="6EDC25B8" w14:textId="7A0B0074" w:rsidR="003F4E6E" w:rsidRDefault="004D0EDF">
      <w:pPr>
        <w:pStyle w:val="TOC2"/>
        <w:rPr>
          <w:rFonts w:asciiTheme="minorHAnsi" w:eastAsiaTheme="minorEastAsia" w:hAnsiTheme="minorHAnsi" w:cstheme="minorBidi"/>
          <w:noProof/>
          <w:sz w:val="22"/>
          <w:szCs w:val="22"/>
          <w:lang w:eastAsia="en-NZ"/>
        </w:rPr>
      </w:pPr>
      <w:hyperlink w:anchor="_Toc75787969" w:history="1">
        <w:r w:rsidR="003F4E6E" w:rsidRPr="00291D73">
          <w:rPr>
            <w:rStyle w:val="Hyperlink"/>
            <w:noProof/>
          </w:rPr>
          <w:t>Risk factors for perinatal death</w:t>
        </w:r>
        <w:r w:rsidR="003F4E6E">
          <w:rPr>
            <w:noProof/>
            <w:webHidden/>
          </w:rPr>
          <w:tab/>
        </w:r>
        <w:r w:rsidR="003F4E6E">
          <w:rPr>
            <w:noProof/>
            <w:webHidden/>
          </w:rPr>
          <w:fldChar w:fldCharType="begin"/>
        </w:r>
        <w:r w:rsidR="003F4E6E">
          <w:rPr>
            <w:noProof/>
            <w:webHidden/>
          </w:rPr>
          <w:instrText xml:space="preserve"> PAGEREF _Toc75787969 \h </w:instrText>
        </w:r>
        <w:r w:rsidR="003F4E6E">
          <w:rPr>
            <w:noProof/>
            <w:webHidden/>
          </w:rPr>
        </w:r>
        <w:r w:rsidR="003F4E6E">
          <w:rPr>
            <w:noProof/>
            <w:webHidden/>
          </w:rPr>
          <w:fldChar w:fldCharType="separate"/>
        </w:r>
        <w:r w:rsidR="00C04A3F">
          <w:rPr>
            <w:noProof/>
            <w:webHidden/>
          </w:rPr>
          <w:t>18</w:t>
        </w:r>
        <w:r w:rsidR="003F4E6E">
          <w:rPr>
            <w:noProof/>
            <w:webHidden/>
          </w:rPr>
          <w:fldChar w:fldCharType="end"/>
        </w:r>
      </w:hyperlink>
    </w:p>
    <w:p w14:paraId="0E9FE6C1" w14:textId="69443C6F" w:rsidR="003F4E6E" w:rsidRDefault="004D0EDF">
      <w:pPr>
        <w:pStyle w:val="TOC2"/>
        <w:rPr>
          <w:rFonts w:asciiTheme="minorHAnsi" w:eastAsiaTheme="minorEastAsia" w:hAnsiTheme="minorHAnsi" w:cstheme="minorBidi"/>
          <w:noProof/>
          <w:sz w:val="22"/>
          <w:szCs w:val="22"/>
          <w:lang w:eastAsia="en-NZ"/>
        </w:rPr>
      </w:pPr>
      <w:hyperlink w:anchor="_Toc75787970" w:history="1">
        <w:r w:rsidR="003F4E6E" w:rsidRPr="00291D73">
          <w:rPr>
            <w:rStyle w:val="Hyperlink"/>
            <w:noProof/>
          </w:rPr>
          <w:t>Principles of decision-making</w:t>
        </w:r>
        <w:r w:rsidR="003F4E6E">
          <w:rPr>
            <w:noProof/>
            <w:webHidden/>
          </w:rPr>
          <w:tab/>
        </w:r>
        <w:r w:rsidR="003F4E6E">
          <w:rPr>
            <w:noProof/>
            <w:webHidden/>
          </w:rPr>
          <w:fldChar w:fldCharType="begin"/>
        </w:r>
        <w:r w:rsidR="003F4E6E">
          <w:rPr>
            <w:noProof/>
            <w:webHidden/>
          </w:rPr>
          <w:instrText xml:space="preserve"> PAGEREF _Toc75787970 \h </w:instrText>
        </w:r>
        <w:r w:rsidR="003F4E6E">
          <w:rPr>
            <w:noProof/>
            <w:webHidden/>
          </w:rPr>
        </w:r>
        <w:r w:rsidR="003F4E6E">
          <w:rPr>
            <w:noProof/>
            <w:webHidden/>
          </w:rPr>
          <w:fldChar w:fldCharType="separate"/>
        </w:r>
        <w:r w:rsidR="00C04A3F">
          <w:rPr>
            <w:noProof/>
            <w:webHidden/>
          </w:rPr>
          <w:t>18</w:t>
        </w:r>
        <w:r w:rsidR="003F4E6E">
          <w:rPr>
            <w:noProof/>
            <w:webHidden/>
          </w:rPr>
          <w:fldChar w:fldCharType="end"/>
        </w:r>
      </w:hyperlink>
    </w:p>
    <w:p w14:paraId="27642499" w14:textId="252C2A17" w:rsidR="003F4E6E" w:rsidRDefault="004D0EDF">
      <w:pPr>
        <w:pStyle w:val="TOC1"/>
        <w:rPr>
          <w:rFonts w:asciiTheme="minorHAnsi" w:eastAsiaTheme="minorEastAsia" w:hAnsiTheme="minorHAnsi" w:cstheme="minorBidi"/>
          <w:noProof/>
          <w:sz w:val="22"/>
          <w:szCs w:val="22"/>
          <w:lang w:eastAsia="en-NZ"/>
        </w:rPr>
      </w:pPr>
      <w:hyperlink w:anchor="_Toc75787971" w:history="1">
        <w:r w:rsidR="003F4E6E" w:rsidRPr="00291D73">
          <w:rPr>
            <w:rStyle w:val="Hyperlink"/>
            <w:noProof/>
          </w:rPr>
          <w:t>Chapter 2 : Neonatal risks of planned birth &lt;39 weeks’ gestation</w:t>
        </w:r>
        <w:r w:rsidR="003F4E6E">
          <w:rPr>
            <w:noProof/>
            <w:webHidden/>
          </w:rPr>
          <w:tab/>
        </w:r>
        <w:r w:rsidR="003F4E6E">
          <w:rPr>
            <w:noProof/>
            <w:webHidden/>
          </w:rPr>
          <w:fldChar w:fldCharType="begin"/>
        </w:r>
        <w:r w:rsidR="003F4E6E">
          <w:rPr>
            <w:noProof/>
            <w:webHidden/>
          </w:rPr>
          <w:instrText xml:space="preserve"> PAGEREF _Toc75787971 \h </w:instrText>
        </w:r>
        <w:r w:rsidR="003F4E6E">
          <w:rPr>
            <w:noProof/>
            <w:webHidden/>
          </w:rPr>
        </w:r>
        <w:r w:rsidR="003F4E6E">
          <w:rPr>
            <w:noProof/>
            <w:webHidden/>
          </w:rPr>
          <w:fldChar w:fldCharType="separate"/>
        </w:r>
        <w:r w:rsidR="00C04A3F">
          <w:rPr>
            <w:noProof/>
            <w:webHidden/>
          </w:rPr>
          <w:t>20</w:t>
        </w:r>
        <w:r w:rsidR="003F4E6E">
          <w:rPr>
            <w:noProof/>
            <w:webHidden/>
          </w:rPr>
          <w:fldChar w:fldCharType="end"/>
        </w:r>
      </w:hyperlink>
    </w:p>
    <w:p w14:paraId="47DCDB0C" w14:textId="76DDE08C" w:rsidR="003F4E6E" w:rsidRDefault="004D0EDF">
      <w:pPr>
        <w:pStyle w:val="TOC2"/>
        <w:rPr>
          <w:rFonts w:asciiTheme="minorHAnsi" w:eastAsiaTheme="minorEastAsia" w:hAnsiTheme="minorHAnsi" w:cstheme="minorBidi"/>
          <w:noProof/>
          <w:sz w:val="22"/>
          <w:szCs w:val="22"/>
          <w:lang w:eastAsia="en-NZ"/>
        </w:rPr>
      </w:pPr>
      <w:hyperlink w:anchor="_Toc75787972" w:history="1">
        <w:r w:rsidR="003F4E6E" w:rsidRPr="00291D73">
          <w:rPr>
            <w:rStyle w:val="Hyperlink"/>
            <w:noProof/>
          </w:rPr>
          <w:t>Summary of evidence</w:t>
        </w:r>
        <w:r w:rsidR="003F4E6E">
          <w:rPr>
            <w:noProof/>
            <w:webHidden/>
          </w:rPr>
          <w:tab/>
        </w:r>
        <w:r w:rsidR="003F4E6E">
          <w:rPr>
            <w:noProof/>
            <w:webHidden/>
          </w:rPr>
          <w:fldChar w:fldCharType="begin"/>
        </w:r>
        <w:r w:rsidR="003F4E6E">
          <w:rPr>
            <w:noProof/>
            <w:webHidden/>
          </w:rPr>
          <w:instrText xml:space="preserve"> PAGEREF _Toc75787972 \h </w:instrText>
        </w:r>
        <w:r w:rsidR="003F4E6E">
          <w:rPr>
            <w:noProof/>
            <w:webHidden/>
          </w:rPr>
        </w:r>
        <w:r w:rsidR="003F4E6E">
          <w:rPr>
            <w:noProof/>
            <w:webHidden/>
          </w:rPr>
          <w:fldChar w:fldCharType="separate"/>
        </w:r>
        <w:r w:rsidR="00C04A3F">
          <w:rPr>
            <w:noProof/>
            <w:webHidden/>
          </w:rPr>
          <w:t>20</w:t>
        </w:r>
        <w:r w:rsidR="003F4E6E">
          <w:rPr>
            <w:noProof/>
            <w:webHidden/>
          </w:rPr>
          <w:fldChar w:fldCharType="end"/>
        </w:r>
      </w:hyperlink>
    </w:p>
    <w:p w14:paraId="7ECC308D" w14:textId="42D9D699" w:rsidR="003F4E6E" w:rsidRDefault="004D0EDF">
      <w:pPr>
        <w:pStyle w:val="TOC2"/>
        <w:rPr>
          <w:rFonts w:asciiTheme="minorHAnsi" w:eastAsiaTheme="minorEastAsia" w:hAnsiTheme="minorHAnsi" w:cstheme="minorBidi"/>
          <w:noProof/>
          <w:sz w:val="22"/>
          <w:szCs w:val="22"/>
          <w:lang w:eastAsia="en-NZ"/>
        </w:rPr>
      </w:pPr>
      <w:hyperlink w:anchor="_Toc75787973" w:history="1">
        <w:r w:rsidR="003F4E6E" w:rsidRPr="00291D73">
          <w:rPr>
            <w:rStyle w:val="Hyperlink"/>
            <w:noProof/>
          </w:rPr>
          <w:t>Discussion</w:t>
        </w:r>
        <w:r w:rsidR="003F4E6E">
          <w:rPr>
            <w:noProof/>
            <w:webHidden/>
          </w:rPr>
          <w:tab/>
        </w:r>
        <w:r w:rsidR="003F4E6E">
          <w:rPr>
            <w:noProof/>
            <w:webHidden/>
          </w:rPr>
          <w:fldChar w:fldCharType="begin"/>
        </w:r>
        <w:r w:rsidR="003F4E6E">
          <w:rPr>
            <w:noProof/>
            <w:webHidden/>
          </w:rPr>
          <w:instrText xml:space="preserve"> PAGEREF _Toc75787973 \h </w:instrText>
        </w:r>
        <w:r w:rsidR="003F4E6E">
          <w:rPr>
            <w:noProof/>
            <w:webHidden/>
          </w:rPr>
        </w:r>
        <w:r w:rsidR="003F4E6E">
          <w:rPr>
            <w:noProof/>
            <w:webHidden/>
          </w:rPr>
          <w:fldChar w:fldCharType="separate"/>
        </w:r>
        <w:r w:rsidR="00C04A3F">
          <w:rPr>
            <w:noProof/>
            <w:webHidden/>
          </w:rPr>
          <w:t>20</w:t>
        </w:r>
        <w:r w:rsidR="003F4E6E">
          <w:rPr>
            <w:noProof/>
            <w:webHidden/>
          </w:rPr>
          <w:fldChar w:fldCharType="end"/>
        </w:r>
      </w:hyperlink>
    </w:p>
    <w:p w14:paraId="7A6F7F37" w14:textId="3DBF13A9" w:rsidR="003F4E6E" w:rsidRDefault="004D0EDF">
      <w:pPr>
        <w:pStyle w:val="TOC1"/>
        <w:rPr>
          <w:rFonts w:asciiTheme="minorHAnsi" w:eastAsiaTheme="minorEastAsia" w:hAnsiTheme="minorHAnsi" w:cstheme="minorBidi"/>
          <w:noProof/>
          <w:sz w:val="22"/>
          <w:szCs w:val="22"/>
          <w:lang w:eastAsia="en-NZ"/>
        </w:rPr>
      </w:pPr>
      <w:hyperlink w:anchor="_Toc75787974" w:history="1">
        <w:r w:rsidR="003F4E6E" w:rsidRPr="00291D73">
          <w:rPr>
            <w:rStyle w:val="Hyperlink"/>
            <w:noProof/>
          </w:rPr>
          <w:t>Chapter 3 : Membrane sweeping at term to reduce the need for induction of labour</w:t>
        </w:r>
        <w:r w:rsidR="003F4E6E">
          <w:rPr>
            <w:noProof/>
            <w:webHidden/>
          </w:rPr>
          <w:tab/>
        </w:r>
        <w:r w:rsidR="003F4E6E">
          <w:rPr>
            <w:noProof/>
            <w:webHidden/>
          </w:rPr>
          <w:fldChar w:fldCharType="begin"/>
        </w:r>
        <w:r w:rsidR="003F4E6E">
          <w:rPr>
            <w:noProof/>
            <w:webHidden/>
          </w:rPr>
          <w:instrText xml:space="preserve"> PAGEREF _Toc75787974 \h </w:instrText>
        </w:r>
        <w:r w:rsidR="003F4E6E">
          <w:rPr>
            <w:noProof/>
            <w:webHidden/>
          </w:rPr>
        </w:r>
        <w:r w:rsidR="003F4E6E">
          <w:rPr>
            <w:noProof/>
            <w:webHidden/>
          </w:rPr>
          <w:fldChar w:fldCharType="separate"/>
        </w:r>
        <w:r w:rsidR="00C04A3F">
          <w:rPr>
            <w:noProof/>
            <w:webHidden/>
          </w:rPr>
          <w:t>21</w:t>
        </w:r>
        <w:r w:rsidR="003F4E6E">
          <w:rPr>
            <w:noProof/>
            <w:webHidden/>
          </w:rPr>
          <w:fldChar w:fldCharType="end"/>
        </w:r>
      </w:hyperlink>
    </w:p>
    <w:p w14:paraId="227053B3" w14:textId="5BD471C9" w:rsidR="003F4E6E" w:rsidRDefault="004D0EDF">
      <w:pPr>
        <w:pStyle w:val="TOC2"/>
        <w:rPr>
          <w:rFonts w:asciiTheme="minorHAnsi" w:eastAsiaTheme="minorEastAsia" w:hAnsiTheme="minorHAnsi" w:cstheme="minorBidi"/>
          <w:noProof/>
          <w:sz w:val="22"/>
          <w:szCs w:val="22"/>
          <w:lang w:eastAsia="en-NZ"/>
        </w:rPr>
      </w:pPr>
      <w:hyperlink w:anchor="_Toc75787975" w:history="1">
        <w:r w:rsidR="003F4E6E" w:rsidRPr="00291D73">
          <w:rPr>
            <w:rStyle w:val="Hyperlink"/>
            <w:noProof/>
          </w:rPr>
          <w:t>Summary of evidence</w:t>
        </w:r>
        <w:r w:rsidR="003F4E6E">
          <w:rPr>
            <w:noProof/>
            <w:webHidden/>
          </w:rPr>
          <w:tab/>
        </w:r>
        <w:r w:rsidR="003F4E6E">
          <w:rPr>
            <w:noProof/>
            <w:webHidden/>
          </w:rPr>
          <w:fldChar w:fldCharType="begin"/>
        </w:r>
        <w:r w:rsidR="003F4E6E">
          <w:rPr>
            <w:noProof/>
            <w:webHidden/>
          </w:rPr>
          <w:instrText xml:space="preserve"> PAGEREF _Toc75787975 \h </w:instrText>
        </w:r>
        <w:r w:rsidR="003F4E6E">
          <w:rPr>
            <w:noProof/>
            <w:webHidden/>
          </w:rPr>
        </w:r>
        <w:r w:rsidR="003F4E6E">
          <w:rPr>
            <w:noProof/>
            <w:webHidden/>
          </w:rPr>
          <w:fldChar w:fldCharType="separate"/>
        </w:r>
        <w:r w:rsidR="00C04A3F">
          <w:rPr>
            <w:noProof/>
            <w:webHidden/>
          </w:rPr>
          <w:t>21</w:t>
        </w:r>
        <w:r w:rsidR="003F4E6E">
          <w:rPr>
            <w:noProof/>
            <w:webHidden/>
          </w:rPr>
          <w:fldChar w:fldCharType="end"/>
        </w:r>
      </w:hyperlink>
    </w:p>
    <w:p w14:paraId="4A47B119" w14:textId="1E3A9369" w:rsidR="003F4E6E" w:rsidRDefault="004D0EDF">
      <w:pPr>
        <w:pStyle w:val="TOC2"/>
        <w:rPr>
          <w:rFonts w:asciiTheme="minorHAnsi" w:eastAsiaTheme="minorEastAsia" w:hAnsiTheme="minorHAnsi" w:cstheme="minorBidi"/>
          <w:noProof/>
          <w:sz w:val="22"/>
          <w:szCs w:val="22"/>
          <w:lang w:eastAsia="en-NZ"/>
        </w:rPr>
      </w:pPr>
      <w:hyperlink w:anchor="_Toc75787976" w:history="1">
        <w:r w:rsidR="003F4E6E" w:rsidRPr="00291D73">
          <w:rPr>
            <w:rStyle w:val="Hyperlink"/>
            <w:noProof/>
          </w:rPr>
          <w:t>Discussion</w:t>
        </w:r>
        <w:r w:rsidR="003F4E6E">
          <w:rPr>
            <w:noProof/>
            <w:webHidden/>
          </w:rPr>
          <w:tab/>
        </w:r>
        <w:r w:rsidR="003F4E6E">
          <w:rPr>
            <w:noProof/>
            <w:webHidden/>
          </w:rPr>
          <w:fldChar w:fldCharType="begin"/>
        </w:r>
        <w:r w:rsidR="003F4E6E">
          <w:rPr>
            <w:noProof/>
            <w:webHidden/>
          </w:rPr>
          <w:instrText xml:space="preserve"> PAGEREF _Toc75787976 \h </w:instrText>
        </w:r>
        <w:r w:rsidR="003F4E6E">
          <w:rPr>
            <w:noProof/>
            <w:webHidden/>
          </w:rPr>
        </w:r>
        <w:r w:rsidR="003F4E6E">
          <w:rPr>
            <w:noProof/>
            <w:webHidden/>
          </w:rPr>
          <w:fldChar w:fldCharType="separate"/>
        </w:r>
        <w:r w:rsidR="00C04A3F">
          <w:rPr>
            <w:noProof/>
            <w:webHidden/>
          </w:rPr>
          <w:t>22</w:t>
        </w:r>
        <w:r w:rsidR="003F4E6E">
          <w:rPr>
            <w:noProof/>
            <w:webHidden/>
          </w:rPr>
          <w:fldChar w:fldCharType="end"/>
        </w:r>
      </w:hyperlink>
    </w:p>
    <w:p w14:paraId="3B61F954" w14:textId="56FE34B8" w:rsidR="003F4E6E" w:rsidRDefault="004D0EDF">
      <w:pPr>
        <w:pStyle w:val="TOC1"/>
        <w:rPr>
          <w:rFonts w:asciiTheme="minorHAnsi" w:eastAsiaTheme="minorEastAsia" w:hAnsiTheme="minorHAnsi" w:cstheme="minorBidi"/>
          <w:noProof/>
          <w:sz w:val="22"/>
          <w:szCs w:val="22"/>
          <w:lang w:eastAsia="en-NZ"/>
        </w:rPr>
      </w:pPr>
      <w:hyperlink w:anchor="_Toc75787977" w:history="1">
        <w:r w:rsidR="003F4E6E" w:rsidRPr="00291D73">
          <w:rPr>
            <w:rStyle w:val="Hyperlink"/>
            <w:noProof/>
          </w:rPr>
          <w:t>Chapter 4 : Indications and timing of induction of labour</w:t>
        </w:r>
        <w:r w:rsidR="003F4E6E">
          <w:rPr>
            <w:noProof/>
            <w:webHidden/>
          </w:rPr>
          <w:tab/>
        </w:r>
        <w:r w:rsidR="003F4E6E">
          <w:rPr>
            <w:noProof/>
            <w:webHidden/>
          </w:rPr>
          <w:fldChar w:fldCharType="begin"/>
        </w:r>
        <w:r w:rsidR="003F4E6E">
          <w:rPr>
            <w:noProof/>
            <w:webHidden/>
          </w:rPr>
          <w:instrText xml:space="preserve"> PAGEREF _Toc75787977 \h </w:instrText>
        </w:r>
        <w:r w:rsidR="003F4E6E">
          <w:rPr>
            <w:noProof/>
            <w:webHidden/>
          </w:rPr>
        </w:r>
        <w:r w:rsidR="003F4E6E">
          <w:rPr>
            <w:noProof/>
            <w:webHidden/>
          </w:rPr>
          <w:fldChar w:fldCharType="separate"/>
        </w:r>
        <w:r w:rsidR="00C04A3F">
          <w:rPr>
            <w:noProof/>
            <w:webHidden/>
          </w:rPr>
          <w:t>23</w:t>
        </w:r>
        <w:r w:rsidR="003F4E6E">
          <w:rPr>
            <w:noProof/>
            <w:webHidden/>
          </w:rPr>
          <w:fldChar w:fldCharType="end"/>
        </w:r>
      </w:hyperlink>
    </w:p>
    <w:p w14:paraId="38A6DEE9" w14:textId="42D58D56" w:rsidR="003F4E6E" w:rsidRDefault="004D0EDF">
      <w:pPr>
        <w:pStyle w:val="TOC2"/>
        <w:rPr>
          <w:rFonts w:asciiTheme="minorHAnsi" w:eastAsiaTheme="minorEastAsia" w:hAnsiTheme="minorHAnsi" w:cstheme="minorBidi"/>
          <w:noProof/>
          <w:sz w:val="22"/>
          <w:szCs w:val="22"/>
          <w:lang w:eastAsia="en-NZ"/>
        </w:rPr>
      </w:pPr>
      <w:hyperlink w:anchor="_Toc75787978" w:history="1">
        <w:r w:rsidR="003F4E6E" w:rsidRPr="00291D73">
          <w:rPr>
            <w:rStyle w:val="Hyperlink"/>
            <w:noProof/>
          </w:rPr>
          <w:t>Introduction</w:t>
        </w:r>
        <w:r w:rsidR="003F4E6E">
          <w:rPr>
            <w:noProof/>
            <w:webHidden/>
          </w:rPr>
          <w:tab/>
        </w:r>
        <w:r w:rsidR="003F4E6E">
          <w:rPr>
            <w:noProof/>
            <w:webHidden/>
          </w:rPr>
          <w:fldChar w:fldCharType="begin"/>
        </w:r>
        <w:r w:rsidR="003F4E6E">
          <w:rPr>
            <w:noProof/>
            <w:webHidden/>
          </w:rPr>
          <w:instrText xml:space="preserve"> PAGEREF _Toc75787978 \h </w:instrText>
        </w:r>
        <w:r w:rsidR="003F4E6E">
          <w:rPr>
            <w:noProof/>
            <w:webHidden/>
          </w:rPr>
        </w:r>
        <w:r w:rsidR="003F4E6E">
          <w:rPr>
            <w:noProof/>
            <w:webHidden/>
          </w:rPr>
          <w:fldChar w:fldCharType="separate"/>
        </w:r>
        <w:r w:rsidR="00C04A3F">
          <w:rPr>
            <w:noProof/>
            <w:webHidden/>
          </w:rPr>
          <w:t>23</w:t>
        </w:r>
        <w:r w:rsidR="003F4E6E">
          <w:rPr>
            <w:noProof/>
            <w:webHidden/>
          </w:rPr>
          <w:fldChar w:fldCharType="end"/>
        </w:r>
      </w:hyperlink>
    </w:p>
    <w:p w14:paraId="74C270D9" w14:textId="1A679EE0" w:rsidR="003F4E6E" w:rsidRDefault="004D0EDF">
      <w:pPr>
        <w:pStyle w:val="TOC2"/>
        <w:rPr>
          <w:rFonts w:asciiTheme="minorHAnsi" w:eastAsiaTheme="minorEastAsia" w:hAnsiTheme="minorHAnsi" w:cstheme="minorBidi"/>
          <w:noProof/>
          <w:sz w:val="22"/>
          <w:szCs w:val="22"/>
          <w:lang w:eastAsia="en-NZ"/>
        </w:rPr>
      </w:pPr>
      <w:hyperlink w:anchor="_Toc75787979" w:history="1">
        <w:r w:rsidR="003F4E6E" w:rsidRPr="00291D73">
          <w:rPr>
            <w:rStyle w:val="Hyperlink"/>
            <w:noProof/>
          </w:rPr>
          <w:t>Mobilisation and physical restrictions during labour and birth</w:t>
        </w:r>
        <w:r w:rsidR="003F4E6E">
          <w:rPr>
            <w:noProof/>
            <w:webHidden/>
          </w:rPr>
          <w:tab/>
        </w:r>
        <w:r w:rsidR="003F4E6E">
          <w:rPr>
            <w:noProof/>
            <w:webHidden/>
          </w:rPr>
          <w:fldChar w:fldCharType="begin"/>
        </w:r>
        <w:r w:rsidR="003F4E6E">
          <w:rPr>
            <w:noProof/>
            <w:webHidden/>
          </w:rPr>
          <w:instrText xml:space="preserve"> PAGEREF _Toc75787979 \h </w:instrText>
        </w:r>
        <w:r w:rsidR="003F4E6E">
          <w:rPr>
            <w:noProof/>
            <w:webHidden/>
          </w:rPr>
        </w:r>
        <w:r w:rsidR="003F4E6E">
          <w:rPr>
            <w:noProof/>
            <w:webHidden/>
          </w:rPr>
          <w:fldChar w:fldCharType="separate"/>
        </w:r>
        <w:r w:rsidR="00C04A3F">
          <w:rPr>
            <w:noProof/>
            <w:webHidden/>
          </w:rPr>
          <w:t>24</w:t>
        </w:r>
        <w:r w:rsidR="003F4E6E">
          <w:rPr>
            <w:noProof/>
            <w:webHidden/>
          </w:rPr>
          <w:fldChar w:fldCharType="end"/>
        </w:r>
      </w:hyperlink>
    </w:p>
    <w:p w14:paraId="62703DB9" w14:textId="75B94301" w:rsidR="003F4E6E" w:rsidRDefault="004D0EDF">
      <w:pPr>
        <w:pStyle w:val="TOC2"/>
        <w:rPr>
          <w:rFonts w:asciiTheme="minorHAnsi" w:eastAsiaTheme="minorEastAsia" w:hAnsiTheme="minorHAnsi" w:cstheme="minorBidi"/>
          <w:noProof/>
          <w:sz w:val="22"/>
          <w:szCs w:val="22"/>
          <w:lang w:eastAsia="en-NZ"/>
        </w:rPr>
      </w:pPr>
      <w:hyperlink w:anchor="_Toc75787980" w:history="1">
        <w:r w:rsidR="003F4E6E" w:rsidRPr="00291D73">
          <w:rPr>
            <w:rStyle w:val="Hyperlink"/>
            <w:noProof/>
          </w:rPr>
          <w:t>Pregnancy lasting longer than</w:t>
        </w:r>
        <w:r w:rsidR="003F4E6E" w:rsidRPr="00291D73">
          <w:rPr>
            <w:rStyle w:val="Hyperlink"/>
            <w:rFonts w:ascii="Times New Roman" w:hAnsi="Times New Roman"/>
            <w:noProof/>
          </w:rPr>
          <w:t xml:space="preserve"> </w:t>
        </w:r>
        <w:r w:rsidR="003F4E6E" w:rsidRPr="00291D73">
          <w:rPr>
            <w:rStyle w:val="Hyperlink"/>
            <w:noProof/>
          </w:rPr>
          <w:t>41 weeks’</w:t>
        </w:r>
        <w:r w:rsidR="003F4E6E" w:rsidRPr="00291D73">
          <w:rPr>
            <w:rStyle w:val="Hyperlink"/>
            <w:noProof/>
            <w:spacing w:val="-14"/>
          </w:rPr>
          <w:t xml:space="preserve"> </w:t>
        </w:r>
        <w:r w:rsidR="003F4E6E" w:rsidRPr="00291D73">
          <w:rPr>
            <w:rStyle w:val="Hyperlink"/>
            <w:noProof/>
          </w:rPr>
          <w:t>gestation</w:t>
        </w:r>
        <w:r w:rsidR="003F4E6E">
          <w:rPr>
            <w:noProof/>
            <w:webHidden/>
          </w:rPr>
          <w:tab/>
        </w:r>
        <w:r w:rsidR="003F4E6E">
          <w:rPr>
            <w:noProof/>
            <w:webHidden/>
          </w:rPr>
          <w:fldChar w:fldCharType="begin"/>
        </w:r>
        <w:r w:rsidR="003F4E6E">
          <w:rPr>
            <w:noProof/>
            <w:webHidden/>
          </w:rPr>
          <w:instrText xml:space="preserve"> PAGEREF _Toc75787980 \h </w:instrText>
        </w:r>
        <w:r w:rsidR="003F4E6E">
          <w:rPr>
            <w:noProof/>
            <w:webHidden/>
          </w:rPr>
        </w:r>
        <w:r w:rsidR="003F4E6E">
          <w:rPr>
            <w:noProof/>
            <w:webHidden/>
          </w:rPr>
          <w:fldChar w:fldCharType="separate"/>
        </w:r>
        <w:r w:rsidR="00C04A3F">
          <w:rPr>
            <w:noProof/>
            <w:webHidden/>
          </w:rPr>
          <w:t>24</w:t>
        </w:r>
        <w:r w:rsidR="003F4E6E">
          <w:rPr>
            <w:noProof/>
            <w:webHidden/>
          </w:rPr>
          <w:fldChar w:fldCharType="end"/>
        </w:r>
      </w:hyperlink>
    </w:p>
    <w:p w14:paraId="06FCDD05" w14:textId="112CDB73" w:rsidR="003F4E6E" w:rsidRDefault="004D0EDF">
      <w:pPr>
        <w:pStyle w:val="TOC2"/>
        <w:rPr>
          <w:rFonts w:asciiTheme="minorHAnsi" w:eastAsiaTheme="minorEastAsia" w:hAnsiTheme="minorHAnsi" w:cstheme="minorBidi"/>
          <w:noProof/>
          <w:sz w:val="22"/>
          <w:szCs w:val="22"/>
          <w:lang w:eastAsia="en-NZ"/>
        </w:rPr>
      </w:pPr>
      <w:hyperlink w:anchor="_Toc75787981" w:history="1">
        <w:r w:rsidR="003F4E6E" w:rsidRPr="00291D73">
          <w:rPr>
            <w:rStyle w:val="Hyperlink"/>
            <w:noProof/>
          </w:rPr>
          <w:t>Pre-labour rupture of membranes at 37 weeks’</w:t>
        </w:r>
        <w:r w:rsidR="003F4E6E" w:rsidRPr="00291D73">
          <w:rPr>
            <w:rStyle w:val="Hyperlink"/>
            <w:noProof/>
            <w:spacing w:val="-14"/>
          </w:rPr>
          <w:t xml:space="preserve"> or more </w:t>
        </w:r>
        <w:r w:rsidR="003F4E6E" w:rsidRPr="00291D73">
          <w:rPr>
            <w:rStyle w:val="Hyperlink"/>
            <w:noProof/>
          </w:rPr>
          <w:t>gestation</w:t>
        </w:r>
        <w:r w:rsidR="003F4E6E">
          <w:rPr>
            <w:noProof/>
            <w:webHidden/>
          </w:rPr>
          <w:tab/>
        </w:r>
        <w:r w:rsidR="003F4E6E">
          <w:rPr>
            <w:noProof/>
            <w:webHidden/>
          </w:rPr>
          <w:fldChar w:fldCharType="begin"/>
        </w:r>
        <w:r w:rsidR="003F4E6E">
          <w:rPr>
            <w:noProof/>
            <w:webHidden/>
          </w:rPr>
          <w:instrText xml:space="preserve"> PAGEREF _Toc75787981 \h </w:instrText>
        </w:r>
        <w:r w:rsidR="003F4E6E">
          <w:rPr>
            <w:noProof/>
            <w:webHidden/>
          </w:rPr>
        </w:r>
        <w:r w:rsidR="003F4E6E">
          <w:rPr>
            <w:noProof/>
            <w:webHidden/>
          </w:rPr>
          <w:fldChar w:fldCharType="separate"/>
        </w:r>
        <w:r w:rsidR="00C04A3F">
          <w:rPr>
            <w:noProof/>
            <w:webHidden/>
          </w:rPr>
          <w:t>27</w:t>
        </w:r>
        <w:r w:rsidR="003F4E6E">
          <w:rPr>
            <w:noProof/>
            <w:webHidden/>
          </w:rPr>
          <w:fldChar w:fldCharType="end"/>
        </w:r>
      </w:hyperlink>
    </w:p>
    <w:p w14:paraId="2DB7B121" w14:textId="63EA45B5" w:rsidR="003F4E6E" w:rsidRDefault="004D0EDF">
      <w:pPr>
        <w:pStyle w:val="TOC2"/>
        <w:rPr>
          <w:rFonts w:asciiTheme="minorHAnsi" w:eastAsiaTheme="minorEastAsia" w:hAnsiTheme="minorHAnsi" w:cstheme="minorBidi"/>
          <w:noProof/>
          <w:sz w:val="22"/>
          <w:szCs w:val="22"/>
          <w:lang w:eastAsia="en-NZ"/>
        </w:rPr>
      </w:pPr>
      <w:hyperlink w:anchor="_Toc75787982" w:history="1">
        <w:r w:rsidR="003F4E6E" w:rsidRPr="00291D73">
          <w:rPr>
            <w:rStyle w:val="Hyperlink"/>
            <w:noProof/>
          </w:rPr>
          <w:t>Suspected small for gestational age / fetal growth restriction</w:t>
        </w:r>
        <w:r w:rsidR="003F4E6E">
          <w:rPr>
            <w:noProof/>
            <w:webHidden/>
          </w:rPr>
          <w:tab/>
        </w:r>
        <w:r w:rsidR="003F4E6E">
          <w:rPr>
            <w:noProof/>
            <w:webHidden/>
          </w:rPr>
          <w:fldChar w:fldCharType="begin"/>
        </w:r>
        <w:r w:rsidR="003F4E6E">
          <w:rPr>
            <w:noProof/>
            <w:webHidden/>
          </w:rPr>
          <w:instrText xml:space="preserve"> PAGEREF _Toc75787982 \h </w:instrText>
        </w:r>
        <w:r w:rsidR="003F4E6E">
          <w:rPr>
            <w:noProof/>
            <w:webHidden/>
          </w:rPr>
        </w:r>
        <w:r w:rsidR="003F4E6E">
          <w:rPr>
            <w:noProof/>
            <w:webHidden/>
          </w:rPr>
          <w:fldChar w:fldCharType="separate"/>
        </w:r>
        <w:r w:rsidR="00C04A3F">
          <w:rPr>
            <w:noProof/>
            <w:webHidden/>
          </w:rPr>
          <w:t>29</w:t>
        </w:r>
        <w:r w:rsidR="003F4E6E">
          <w:rPr>
            <w:noProof/>
            <w:webHidden/>
          </w:rPr>
          <w:fldChar w:fldCharType="end"/>
        </w:r>
      </w:hyperlink>
    </w:p>
    <w:p w14:paraId="7B130E2F" w14:textId="4E20BC95" w:rsidR="003F4E6E" w:rsidRDefault="004D0EDF">
      <w:pPr>
        <w:pStyle w:val="TOC2"/>
        <w:rPr>
          <w:rFonts w:asciiTheme="minorHAnsi" w:eastAsiaTheme="minorEastAsia" w:hAnsiTheme="minorHAnsi" w:cstheme="minorBidi"/>
          <w:noProof/>
          <w:sz w:val="22"/>
          <w:szCs w:val="22"/>
          <w:lang w:eastAsia="en-NZ"/>
        </w:rPr>
      </w:pPr>
      <w:hyperlink w:anchor="_Toc75787983" w:history="1">
        <w:r w:rsidR="003F4E6E" w:rsidRPr="00291D73">
          <w:rPr>
            <w:rStyle w:val="Hyperlink"/>
            <w:noProof/>
          </w:rPr>
          <w:t>Diabetes in</w:t>
        </w:r>
        <w:r w:rsidR="003F4E6E" w:rsidRPr="00291D73">
          <w:rPr>
            <w:rStyle w:val="Hyperlink"/>
            <w:noProof/>
            <w:spacing w:val="-4"/>
          </w:rPr>
          <w:t xml:space="preserve"> </w:t>
        </w:r>
        <w:r w:rsidR="003F4E6E" w:rsidRPr="00291D73">
          <w:rPr>
            <w:rStyle w:val="Hyperlink"/>
            <w:noProof/>
          </w:rPr>
          <w:t>pregnancy</w:t>
        </w:r>
        <w:r w:rsidR="003F4E6E">
          <w:rPr>
            <w:noProof/>
            <w:webHidden/>
          </w:rPr>
          <w:tab/>
        </w:r>
        <w:r w:rsidR="003F4E6E">
          <w:rPr>
            <w:noProof/>
            <w:webHidden/>
          </w:rPr>
          <w:fldChar w:fldCharType="begin"/>
        </w:r>
        <w:r w:rsidR="003F4E6E">
          <w:rPr>
            <w:noProof/>
            <w:webHidden/>
          </w:rPr>
          <w:instrText xml:space="preserve"> PAGEREF _Toc75787983 \h </w:instrText>
        </w:r>
        <w:r w:rsidR="003F4E6E">
          <w:rPr>
            <w:noProof/>
            <w:webHidden/>
          </w:rPr>
        </w:r>
        <w:r w:rsidR="003F4E6E">
          <w:rPr>
            <w:noProof/>
            <w:webHidden/>
          </w:rPr>
          <w:fldChar w:fldCharType="separate"/>
        </w:r>
        <w:r w:rsidR="00C04A3F">
          <w:rPr>
            <w:noProof/>
            <w:webHidden/>
          </w:rPr>
          <w:t>31</w:t>
        </w:r>
        <w:r w:rsidR="003F4E6E">
          <w:rPr>
            <w:noProof/>
            <w:webHidden/>
          </w:rPr>
          <w:fldChar w:fldCharType="end"/>
        </w:r>
      </w:hyperlink>
    </w:p>
    <w:p w14:paraId="2514210E" w14:textId="769FAB55" w:rsidR="003F4E6E" w:rsidRDefault="004D0EDF">
      <w:pPr>
        <w:pStyle w:val="TOC2"/>
        <w:rPr>
          <w:rFonts w:asciiTheme="minorHAnsi" w:eastAsiaTheme="minorEastAsia" w:hAnsiTheme="minorHAnsi" w:cstheme="minorBidi"/>
          <w:noProof/>
          <w:sz w:val="22"/>
          <w:szCs w:val="22"/>
          <w:lang w:eastAsia="en-NZ"/>
        </w:rPr>
      </w:pPr>
      <w:hyperlink w:anchor="_Toc75787984" w:history="1">
        <w:r w:rsidR="003F4E6E" w:rsidRPr="00291D73">
          <w:rPr>
            <w:rStyle w:val="Hyperlink"/>
            <w:noProof/>
          </w:rPr>
          <w:t>Maternal</w:t>
        </w:r>
        <w:r w:rsidR="003F4E6E" w:rsidRPr="00291D73">
          <w:rPr>
            <w:rStyle w:val="Hyperlink"/>
            <w:noProof/>
            <w:spacing w:val="-4"/>
          </w:rPr>
          <w:t xml:space="preserve"> </w:t>
        </w:r>
        <w:r w:rsidR="003F4E6E" w:rsidRPr="00291D73">
          <w:rPr>
            <w:rStyle w:val="Hyperlink"/>
            <w:noProof/>
          </w:rPr>
          <w:t>obesity</w:t>
        </w:r>
        <w:r w:rsidR="003F4E6E">
          <w:rPr>
            <w:noProof/>
            <w:webHidden/>
          </w:rPr>
          <w:tab/>
        </w:r>
        <w:r w:rsidR="003F4E6E">
          <w:rPr>
            <w:noProof/>
            <w:webHidden/>
          </w:rPr>
          <w:fldChar w:fldCharType="begin"/>
        </w:r>
        <w:r w:rsidR="003F4E6E">
          <w:rPr>
            <w:noProof/>
            <w:webHidden/>
          </w:rPr>
          <w:instrText xml:space="preserve"> PAGEREF _Toc75787984 \h </w:instrText>
        </w:r>
        <w:r w:rsidR="003F4E6E">
          <w:rPr>
            <w:noProof/>
            <w:webHidden/>
          </w:rPr>
        </w:r>
        <w:r w:rsidR="003F4E6E">
          <w:rPr>
            <w:noProof/>
            <w:webHidden/>
          </w:rPr>
          <w:fldChar w:fldCharType="separate"/>
        </w:r>
        <w:r w:rsidR="00C04A3F">
          <w:rPr>
            <w:noProof/>
            <w:webHidden/>
          </w:rPr>
          <w:t>35</w:t>
        </w:r>
        <w:r w:rsidR="003F4E6E">
          <w:rPr>
            <w:noProof/>
            <w:webHidden/>
          </w:rPr>
          <w:fldChar w:fldCharType="end"/>
        </w:r>
      </w:hyperlink>
    </w:p>
    <w:p w14:paraId="1044D2DB" w14:textId="5C118609" w:rsidR="003F4E6E" w:rsidRDefault="004D0EDF">
      <w:pPr>
        <w:pStyle w:val="TOC2"/>
        <w:rPr>
          <w:rFonts w:asciiTheme="minorHAnsi" w:eastAsiaTheme="minorEastAsia" w:hAnsiTheme="minorHAnsi" w:cstheme="minorBidi"/>
          <w:noProof/>
          <w:sz w:val="22"/>
          <w:szCs w:val="22"/>
          <w:lang w:eastAsia="en-NZ"/>
        </w:rPr>
      </w:pPr>
      <w:hyperlink w:anchor="_Toc75787985" w:history="1">
        <w:r w:rsidR="003F4E6E" w:rsidRPr="00291D73">
          <w:rPr>
            <w:rStyle w:val="Hyperlink"/>
            <w:noProof/>
          </w:rPr>
          <w:t>Advanced maternal</w:t>
        </w:r>
        <w:r w:rsidR="003F4E6E" w:rsidRPr="00291D73">
          <w:rPr>
            <w:rStyle w:val="Hyperlink"/>
            <w:noProof/>
            <w:spacing w:val="-2"/>
          </w:rPr>
          <w:t xml:space="preserve"> </w:t>
        </w:r>
        <w:r w:rsidR="003F4E6E" w:rsidRPr="00291D73">
          <w:rPr>
            <w:rStyle w:val="Hyperlink"/>
            <w:noProof/>
          </w:rPr>
          <w:t>age</w:t>
        </w:r>
        <w:r w:rsidR="003F4E6E">
          <w:rPr>
            <w:noProof/>
            <w:webHidden/>
          </w:rPr>
          <w:tab/>
        </w:r>
        <w:r w:rsidR="003F4E6E">
          <w:rPr>
            <w:noProof/>
            <w:webHidden/>
          </w:rPr>
          <w:fldChar w:fldCharType="begin"/>
        </w:r>
        <w:r w:rsidR="003F4E6E">
          <w:rPr>
            <w:noProof/>
            <w:webHidden/>
          </w:rPr>
          <w:instrText xml:space="preserve"> PAGEREF _Toc75787985 \h </w:instrText>
        </w:r>
        <w:r w:rsidR="003F4E6E">
          <w:rPr>
            <w:noProof/>
            <w:webHidden/>
          </w:rPr>
        </w:r>
        <w:r w:rsidR="003F4E6E">
          <w:rPr>
            <w:noProof/>
            <w:webHidden/>
          </w:rPr>
          <w:fldChar w:fldCharType="separate"/>
        </w:r>
        <w:r w:rsidR="00C04A3F">
          <w:rPr>
            <w:noProof/>
            <w:webHidden/>
          </w:rPr>
          <w:t>36</w:t>
        </w:r>
        <w:r w:rsidR="003F4E6E">
          <w:rPr>
            <w:noProof/>
            <w:webHidden/>
          </w:rPr>
          <w:fldChar w:fldCharType="end"/>
        </w:r>
      </w:hyperlink>
    </w:p>
    <w:p w14:paraId="3B59DAF3" w14:textId="3E3F638F" w:rsidR="003F4E6E" w:rsidRDefault="004D0EDF">
      <w:pPr>
        <w:pStyle w:val="TOC2"/>
        <w:rPr>
          <w:rFonts w:asciiTheme="minorHAnsi" w:eastAsiaTheme="minorEastAsia" w:hAnsiTheme="minorHAnsi" w:cstheme="minorBidi"/>
          <w:noProof/>
          <w:sz w:val="22"/>
          <w:szCs w:val="22"/>
          <w:lang w:eastAsia="en-NZ"/>
        </w:rPr>
      </w:pPr>
      <w:hyperlink w:anchor="_Toc75787986" w:history="1">
        <w:r w:rsidR="003F4E6E" w:rsidRPr="00291D73">
          <w:rPr>
            <w:rStyle w:val="Hyperlink"/>
            <w:noProof/>
          </w:rPr>
          <w:t>Reduced fetal</w:t>
        </w:r>
        <w:r w:rsidR="003F4E6E" w:rsidRPr="00291D73">
          <w:rPr>
            <w:rStyle w:val="Hyperlink"/>
            <w:noProof/>
            <w:spacing w:val="-6"/>
          </w:rPr>
          <w:t xml:space="preserve"> </w:t>
        </w:r>
        <w:r w:rsidR="003F4E6E" w:rsidRPr="00291D73">
          <w:rPr>
            <w:rStyle w:val="Hyperlink"/>
            <w:noProof/>
          </w:rPr>
          <w:t>movements</w:t>
        </w:r>
        <w:r w:rsidR="003F4E6E">
          <w:rPr>
            <w:noProof/>
            <w:webHidden/>
          </w:rPr>
          <w:tab/>
        </w:r>
        <w:r w:rsidR="003F4E6E">
          <w:rPr>
            <w:noProof/>
            <w:webHidden/>
          </w:rPr>
          <w:fldChar w:fldCharType="begin"/>
        </w:r>
        <w:r w:rsidR="003F4E6E">
          <w:rPr>
            <w:noProof/>
            <w:webHidden/>
          </w:rPr>
          <w:instrText xml:space="preserve"> PAGEREF _Toc75787986 \h </w:instrText>
        </w:r>
        <w:r w:rsidR="003F4E6E">
          <w:rPr>
            <w:noProof/>
            <w:webHidden/>
          </w:rPr>
        </w:r>
        <w:r w:rsidR="003F4E6E">
          <w:rPr>
            <w:noProof/>
            <w:webHidden/>
          </w:rPr>
          <w:fldChar w:fldCharType="separate"/>
        </w:r>
        <w:r w:rsidR="00C04A3F">
          <w:rPr>
            <w:noProof/>
            <w:webHidden/>
          </w:rPr>
          <w:t>37</w:t>
        </w:r>
        <w:r w:rsidR="003F4E6E">
          <w:rPr>
            <w:noProof/>
            <w:webHidden/>
          </w:rPr>
          <w:fldChar w:fldCharType="end"/>
        </w:r>
      </w:hyperlink>
    </w:p>
    <w:p w14:paraId="01316962" w14:textId="176BECE4" w:rsidR="003F4E6E" w:rsidRDefault="004D0EDF">
      <w:pPr>
        <w:pStyle w:val="TOC2"/>
        <w:rPr>
          <w:rFonts w:asciiTheme="minorHAnsi" w:eastAsiaTheme="minorEastAsia" w:hAnsiTheme="minorHAnsi" w:cstheme="minorBidi"/>
          <w:noProof/>
          <w:sz w:val="22"/>
          <w:szCs w:val="22"/>
          <w:lang w:eastAsia="en-NZ"/>
        </w:rPr>
      </w:pPr>
      <w:hyperlink w:anchor="_Toc75787987" w:history="1">
        <w:r w:rsidR="003F4E6E" w:rsidRPr="00291D73">
          <w:rPr>
            <w:rStyle w:val="Hyperlink"/>
            <w:noProof/>
          </w:rPr>
          <w:t>Hypertension in</w:t>
        </w:r>
        <w:r w:rsidR="003F4E6E" w:rsidRPr="00291D73">
          <w:rPr>
            <w:rStyle w:val="Hyperlink"/>
            <w:noProof/>
            <w:spacing w:val="-7"/>
          </w:rPr>
          <w:t xml:space="preserve"> </w:t>
        </w:r>
        <w:r w:rsidR="003F4E6E" w:rsidRPr="00291D73">
          <w:rPr>
            <w:rStyle w:val="Hyperlink"/>
            <w:noProof/>
          </w:rPr>
          <w:t>pregnancy</w:t>
        </w:r>
        <w:r w:rsidR="003F4E6E">
          <w:rPr>
            <w:noProof/>
            <w:webHidden/>
          </w:rPr>
          <w:tab/>
        </w:r>
        <w:r w:rsidR="003F4E6E">
          <w:rPr>
            <w:noProof/>
            <w:webHidden/>
          </w:rPr>
          <w:fldChar w:fldCharType="begin"/>
        </w:r>
        <w:r w:rsidR="003F4E6E">
          <w:rPr>
            <w:noProof/>
            <w:webHidden/>
          </w:rPr>
          <w:instrText xml:space="preserve"> PAGEREF _Toc75787987 \h </w:instrText>
        </w:r>
        <w:r w:rsidR="003F4E6E">
          <w:rPr>
            <w:noProof/>
            <w:webHidden/>
          </w:rPr>
        </w:r>
        <w:r w:rsidR="003F4E6E">
          <w:rPr>
            <w:noProof/>
            <w:webHidden/>
          </w:rPr>
          <w:fldChar w:fldCharType="separate"/>
        </w:r>
        <w:r w:rsidR="00C04A3F">
          <w:rPr>
            <w:noProof/>
            <w:webHidden/>
          </w:rPr>
          <w:t>39</w:t>
        </w:r>
        <w:r w:rsidR="003F4E6E">
          <w:rPr>
            <w:noProof/>
            <w:webHidden/>
          </w:rPr>
          <w:fldChar w:fldCharType="end"/>
        </w:r>
      </w:hyperlink>
    </w:p>
    <w:p w14:paraId="5FA4848E" w14:textId="18446EE5" w:rsidR="003F4E6E" w:rsidRDefault="004D0EDF">
      <w:pPr>
        <w:pStyle w:val="TOC2"/>
        <w:rPr>
          <w:rFonts w:asciiTheme="minorHAnsi" w:eastAsiaTheme="minorEastAsia" w:hAnsiTheme="minorHAnsi" w:cstheme="minorBidi"/>
          <w:noProof/>
          <w:sz w:val="22"/>
          <w:szCs w:val="22"/>
          <w:lang w:eastAsia="en-NZ"/>
        </w:rPr>
      </w:pPr>
      <w:hyperlink w:anchor="_Toc75787988" w:history="1">
        <w:r w:rsidR="003F4E6E" w:rsidRPr="00291D73">
          <w:rPr>
            <w:rStyle w:val="Hyperlink"/>
            <w:noProof/>
          </w:rPr>
          <w:t>Antepartum haemorrhage of unknown</w:t>
        </w:r>
        <w:r w:rsidR="003F4E6E" w:rsidRPr="00291D73">
          <w:rPr>
            <w:rStyle w:val="Hyperlink"/>
            <w:noProof/>
            <w:spacing w:val="-14"/>
          </w:rPr>
          <w:t xml:space="preserve"> </w:t>
        </w:r>
        <w:r w:rsidR="003F4E6E" w:rsidRPr="00291D73">
          <w:rPr>
            <w:rStyle w:val="Hyperlink"/>
            <w:noProof/>
          </w:rPr>
          <w:t>origin</w:t>
        </w:r>
        <w:r w:rsidR="003F4E6E">
          <w:rPr>
            <w:noProof/>
            <w:webHidden/>
          </w:rPr>
          <w:tab/>
        </w:r>
        <w:r w:rsidR="003F4E6E">
          <w:rPr>
            <w:noProof/>
            <w:webHidden/>
          </w:rPr>
          <w:fldChar w:fldCharType="begin"/>
        </w:r>
        <w:r w:rsidR="003F4E6E">
          <w:rPr>
            <w:noProof/>
            <w:webHidden/>
          </w:rPr>
          <w:instrText xml:space="preserve"> PAGEREF _Toc75787988 \h </w:instrText>
        </w:r>
        <w:r w:rsidR="003F4E6E">
          <w:rPr>
            <w:noProof/>
            <w:webHidden/>
          </w:rPr>
        </w:r>
        <w:r w:rsidR="003F4E6E">
          <w:rPr>
            <w:noProof/>
            <w:webHidden/>
          </w:rPr>
          <w:fldChar w:fldCharType="separate"/>
        </w:r>
        <w:r w:rsidR="00C04A3F">
          <w:rPr>
            <w:noProof/>
            <w:webHidden/>
          </w:rPr>
          <w:t>41</w:t>
        </w:r>
        <w:r w:rsidR="003F4E6E">
          <w:rPr>
            <w:noProof/>
            <w:webHidden/>
          </w:rPr>
          <w:fldChar w:fldCharType="end"/>
        </w:r>
      </w:hyperlink>
    </w:p>
    <w:p w14:paraId="457E1F04" w14:textId="1BAC1952" w:rsidR="003F4E6E" w:rsidRDefault="004D0EDF">
      <w:pPr>
        <w:pStyle w:val="TOC2"/>
        <w:rPr>
          <w:rFonts w:asciiTheme="minorHAnsi" w:eastAsiaTheme="minorEastAsia" w:hAnsiTheme="minorHAnsi" w:cstheme="minorBidi"/>
          <w:noProof/>
          <w:sz w:val="22"/>
          <w:szCs w:val="22"/>
          <w:lang w:eastAsia="en-NZ"/>
        </w:rPr>
      </w:pPr>
      <w:hyperlink w:anchor="_Toc75787989" w:history="1">
        <w:r w:rsidR="003F4E6E" w:rsidRPr="00291D73">
          <w:rPr>
            <w:rStyle w:val="Hyperlink"/>
            <w:noProof/>
          </w:rPr>
          <w:t>Assisted reproductive technology</w:t>
        </w:r>
        <w:r w:rsidR="003F4E6E">
          <w:rPr>
            <w:noProof/>
            <w:webHidden/>
          </w:rPr>
          <w:tab/>
        </w:r>
        <w:r w:rsidR="003F4E6E">
          <w:rPr>
            <w:noProof/>
            <w:webHidden/>
          </w:rPr>
          <w:fldChar w:fldCharType="begin"/>
        </w:r>
        <w:r w:rsidR="003F4E6E">
          <w:rPr>
            <w:noProof/>
            <w:webHidden/>
          </w:rPr>
          <w:instrText xml:space="preserve"> PAGEREF _Toc75787989 \h </w:instrText>
        </w:r>
        <w:r w:rsidR="003F4E6E">
          <w:rPr>
            <w:noProof/>
            <w:webHidden/>
          </w:rPr>
        </w:r>
        <w:r w:rsidR="003F4E6E">
          <w:rPr>
            <w:noProof/>
            <w:webHidden/>
          </w:rPr>
          <w:fldChar w:fldCharType="separate"/>
        </w:r>
        <w:r w:rsidR="00C04A3F">
          <w:rPr>
            <w:noProof/>
            <w:webHidden/>
          </w:rPr>
          <w:t>42</w:t>
        </w:r>
        <w:r w:rsidR="003F4E6E">
          <w:rPr>
            <w:noProof/>
            <w:webHidden/>
          </w:rPr>
          <w:fldChar w:fldCharType="end"/>
        </w:r>
      </w:hyperlink>
    </w:p>
    <w:p w14:paraId="1278C32F" w14:textId="19F4195E" w:rsidR="003F4E6E" w:rsidRDefault="004D0EDF">
      <w:pPr>
        <w:pStyle w:val="TOC2"/>
        <w:rPr>
          <w:rFonts w:asciiTheme="minorHAnsi" w:eastAsiaTheme="minorEastAsia" w:hAnsiTheme="minorHAnsi" w:cstheme="minorBidi"/>
          <w:noProof/>
          <w:sz w:val="22"/>
          <w:szCs w:val="22"/>
          <w:lang w:eastAsia="en-NZ"/>
        </w:rPr>
      </w:pPr>
      <w:hyperlink w:anchor="_Toc75787990" w:history="1">
        <w:r w:rsidR="003F4E6E" w:rsidRPr="00291D73">
          <w:rPr>
            <w:rStyle w:val="Hyperlink"/>
            <w:noProof/>
          </w:rPr>
          <w:t>Suspected fetal</w:t>
        </w:r>
        <w:r w:rsidR="003F4E6E" w:rsidRPr="00291D73">
          <w:rPr>
            <w:rStyle w:val="Hyperlink"/>
            <w:noProof/>
            <w:spacing w:val="-6"/>
          </w:rPr>
          <w:t xml:space="preserve"> </w:t>
        </w:r>
        <w:r w:rsidR="003F4E6E" w:rsidRPr="00291D73">
          <w:rPr>
            <w:rStyle w:val="Hyperlink"/>
            <w:noProof/>
          </w:rPr>
          <w:t>macrosomia</w:t>
        </w:r>
        <w:r w:rsidR="003F4E6E">
          <w:rPr>
            <w:noProof/>
            <w:webHidden/>
          </w:rPr>
          <w:tab/>
        </w:r>
        <w:r w:rsidR="003F4E6E">
          <w:rPr>
            <w:noProof/>
            <w:webHidden/>
          </w:rPr>
          <w:fldChar w:fldCharType="begin"/>
        </w:r>
        <w:r w:rsidR="003F4E6E">
          <w:rPr>
            <w:noProof/>
            <w:webHidden/>
          </w:rPr>
          <w:instrText xml:space="preserve"> PAGEREF _Toc75787990 \h </w:instrText>
        </w:r>
        <w:r w:rsidR="003F4E6E">
          <w:rPr>
            <w:noProof/>
            <w:webHidden/>
          </w:rPr>
        </w:r>
        <w:r w:rsidR="003F4E6E">
          <w:rPr>
            <w:noProof/>
            <w:webHidden/>
          </w:rPr>
          <w:fldChar w:fldCharType="separate"/>
        </w:r>
        <w:r w:rsidR="00C04A3F">
          <w:rPr>
            <w:noProof/>
            <w:webHidden/>
          </w:rPr>
          <w:t>43</w:t>
        </w:r>
        <w:r w:rsidR="003F4E6E">
          <w:rPr>
            <w:noProof/>
            <w:webHidden/>
          </w:rPr>
          <w:fldChar w:fldCharType="end"/>
        </w:r>
      </w:hyperlink>
    </w:p>
    <w:p w14:paraId="3DE496AD" w14:textId="2CF4C4BD" w:rsidR="003F4E6E" w:rsidRDefault="004D0EDF">
      <w:pPr>
        <w:pStyle w:val="TOC2"/>
        <w:rPr>
          <w:rFonts w:asciiTheme="minorHAnsi" w:eastAsiaTheme="minorEastAsia" w:hAnsiTheme="minorHAnsi" w:cstheme="minorBidi"/>
          <w:noProof/>
          <w:sz w:val="22"/>
          <w:szCs w:val="22"/>
          <w:lang w:eastAsia="en-NZ"/>
        </w:rPr>
      </w:pPr>
      <w:hyperlink w:anchor="_Toc75787991" w:history="1">
        <w:r w:rsidR="003F4E6E" w:rsidRPr="00291D73">
          <w:rPr>
            <w:rStyle w:val="Hyperlink"/>
            <w:noProof/>
          </w:rPr>
          <w:t>Multiple pregnancy</w:t>
        </w:r>
        <w:r w:rsidR="003F4E6E">
          <w:rPr>
            <w:noProof/>
            <w:webHidden/>
          </w:rPr>
          <w:tab/>
        </w:r>
        <w:r w:rsidR="003F4E6E">
          <w:rPr>
            <w:noProof/>
            <w:webHidden/>
          </w:rPr>
          <w:fldChar w:fldCharType="begin"/>
        </w:r>
        <w:r w:rsidR="003F4E6E">
          <w:rPr>
            <w:noProof/>
            <w:webHidden/>
          </w:rPr>
          <w:instrText xml:space="preserve"> PAGEREF _Toc75787991 \h </w:instrText>
        </w:r>
        <w:r w:rsidR="003F4E6E">
          <w:rPr>
            <w:noProof/>
            <w:webHidden/>
          </w:rPr>
        </w:r>
        <w:r w:rsidR="003F4E6E">
          <w:rPr>
            <w:noProof/>
            <w:webHidden/>
          </w:rPr>
          <w:fldChar w:fldCharType="separate"/>
        </w:r>
        <w:r w:rsidR="00C04A3F">
          <w:rPr>
            <w:noProof/>
            <w:webHidden/>
          </w:rPr>
          <w:t>45</w:t>
        </w:r>
        <w:r w:rsidR="003F4E6E">
          <w:rPr>
            <w:noProof/>
            <w:webHidden/>
          </w:rPr>
          <w:fldChar w:fldCharType="end"/>
        </w:r>
      </w:hyperlink>
    </w:p>
    <w:p w14:paraId="057531F5" w14:textId="4D8B3934" w:rsidR="003F4E6E" w:rsidRDefault="004D0EDF">
      <w:pPr>
        <w:pStyle w:val="TOC2"/>
        <w:rPr>
          <w:rFonts w:asciiTheme="minorHAnsi" w:eastAsiaTheme="minorEastAsia" w:hAnsiTheme="minorHAnsi" w:cstheme="minorBidi"/>
          <w:noProof/>
          <w:sz w:val="22"/>
          <w:szCs w:val="22"/>
          <w:lang w:eastAsia="en-NZ"/>
        </w:rPr>
      </w:pPr>
      <w:hyperlink w:anchor="_Toc75787992" w:history="1">
        <w:r w:rsidR="003F4E6E" w:rsidRPr="00291D73">
          <w:rPr>
            <w:rStyle w:val="Hyperlink"/>
            <w:noProof/>
          </w:rPr>
          <w:t>Reduced liquor under 41 weeks’</w:t>
        </w:r>
        <w:r w:rsidR="003F4E6E" w:rsidRPr="00291D73">
          <w:rPr>
            <w:rStyle w:val="Hyperlink"/>
            <w:noProof/>
            <w:spacing w:val="-7"/>
          </w:rPr>
          <w:t xml:space="preserve"> </w:t>
        </w:r>
        <w:r w:rsidR="003F4E6E" w:rsidRPr="00291D73">
          <w:rPr>
            <w:rStyle w:val="Hyperlink"/>
            <w:noProof/>
          </w:rPr>
          <w:t>gestation</w:t>
        </w:r>
        <w:r w:rsidR="003F4E6E">
          <w:rPr>
            <w:noProof/>
            <w:webHidden/>
          </w:rPr>
          <w:tab/>
        </w:r>
        <w:r w:rsidR="003F4E6E">
          <w:rPr>
            <w:noProof/>
            <w:webHidden/>
          </w:rPr>
          <w:fldChar w:fldCharType="begin"/>
        </w:r>
        <w:r w:rsidR="003F4E6E">
          <w:rPr>
            <w:noProof/>
            <w:webHidden/>
          </w:rPr>
          <w:instrText xml:space="preserve"> PAGEREF _Toc75787992 \h </w:instrText>
        </w:r>
        <w:r w:rsidR="003F4E6E">
          <w:rPr>
            <w:noProof/>
            <w:webHidden/>
          </w:rPr>
        </w:r>
        <w:r w:rsidR="003F4E6E">
          <w:rPr>
            <w:noProof/>
            <w:webHidden/>
          </w:rPr>
          <w:fldChar w:fldCharType="separate"/>
        </w:r>
        <w:r w:rsidR="00C04A3F">
          <w:rPr>
            <w:noProof/>
            <w:webHidden/>
          </w:rPr>
          <w:t>47</w:t>
        </w:r>
        <w:r w:rsidR="003F4E6E">
          <w:rPr>
            <w:noProof/>
            <w:webHidden/>
          </w:rPr>
          <w:fldChar w:fldCharType="end"/>
        </w:r>
      </w:hyperlink>
    </w:p>
    <w:p w14:paraId="7C0A45F0" w14:textId="3678F4AE" w:rsidR="003F4E6E" w:rsidRDefault="004D0EDF">
      <w:pPr>
        <w:pStyle w:val="TOC2"/>
        <w:rPr>
          <w:rFonts w:asciiTheme="minorHAnsi" w:eastAsiaTheme="minorEastAsia" w:hAnsiTheme="minorHAnsi" w:cstheme="minorBidi"/>
          <w:noProof/>
          <w:sz w:val="22"/>
          <w:szCs w:val="22"/>
          <w:lang w:eastAsia="en-NZ"/>
        </w:rPr>
      </w:pPr>
      <w:hyperlink w:anchor="_Toc75787993" w:history="1">
        <w:r w:rsidR="003F4E6E" w:rsidRPr="00291D73">
          <w:rPr>
            <w:rStyle w:val="Hyperlink"/>
            <w:noProof/>
          </w:rPr>
          <w:t>Obstetric</w:t>
        </w:r>
        <w:r w:rsidR="003F4E6E" w:rsidRPr="00291D73">
          <w:rPr>
            <w:rStyle w:val="Hyperlink"/>
            <w:noProof/>
            <w:spacing w:val="-3"/>
          </w:rPr>
          <w:t xml:space="preserve"> </w:t>
        </w:r>
        <w:r w:rsidR="003F4E6E" w:rsidRPr="00291D73">
          <w:rPr>
            <w:rStyle w:val="Hyperlink"/>
            <w:noProof/>
          </w:rPr>
          <w:t>cholestasis</w:t>
        </w:r>
        <w:r w:rsidR="003F4E6E">
          <w:rPr>
            <w:noProof/>
            <w:webHidden/>
          </w:rPr>
          <w:tab/>
        </w:r>
        <w:r w:rsidR="003F4E6E">
          <w:rPr>
            <w:noProof/>
            <w:webHidden/>
          </w:rPr>
          <w:fldChar w:fldCharType="begin"/>
        </w:r>
        <w:r w:rsidR="003F4E6E">
          <w:rPr>
            <w:noProof/>
            <w:webHidden/>
          </w:rPr>
          <w:instrText xml:space="preserve"> PAGEREF _Toc75787993 \h </w:instrText>
        </w:r>
        <w:r w:rsidR="003F4E6E">
          <w:rPr>
            <w:noProof/>
            <w:webHidden/>
          </w:rPr>
        </w:r>
        <w:r w:rsidR="003F4E6E">
          <w:rPr>
            <w:noProof/>
            <w:webHidden/>
          </w:rPr>
          <w:fldChar w:fldCharType="separate"/>
        </w:r>
        <w:r w:rsidR="00C04A3F">
          <w:rPr>
            <w:noProof/>
            <w:webHidden/>
          </w:rPr>
          <w:t>48</w:t>
        </w:r>
        <w:r w:rsidR="003F4E6E">
          <w:rPr>
            <w:noProof/>
            <w:webHidden/>
          </w:rPr>
          <w:fldChar w:fldCharType="end"/>
        </w:r>
      </w:hyperlink>
    </w:p>
    <w:p w14:paraId="312A0266" w14:textId="5D28E9A2" w:rsidR="003F4E6E" w:rsidRDefault="004D0EDF">
      <w:pPr>
        <w:pStyle w:val="TOC2"/>
        <w:rPr>
          <w:rFonts w:asciiTheme="minorHAnsi" w:eastAsiaTheme="minorEastAsia" w:hAnsiTheme="minorHAnsi" w:cstheme="minorBidi"/>
          <w:noProof/>
          <w:sz w:val="22"/>
          <w:szCs w:val="22"/>
          <w:lang w:eastAsia="en-NZ"/>
        </w:rPr>
      </w:pPr>
      <w:hyperlink w:anchor="_Toc75787994" w:history="1">
        <w:r w:rsidR="003F4E6E" w:rsidRPr="00291D73">
          <w:rPr>
            <w:rStyle w:val="Hyperlink"/>
            <w:noProof/>
          </w:rPr>
          <w:t>Previous stillbirth</w:t>
        </w:r>
        <w:r w:rsidR="003F4E6E">
          <w:rPr>
            <w:noProof/>
            <w:webHidden/>
          </w:rPr>
          <w:tab/>
        </w:r>
        <w:r w:rsidR="003F4E6E">
          <w:rPr>
            <w:noProof/>
            <w:webHidden/>
          </w:rPr>
          <w:fldChar w:fldCharType="begin"/>
        </w:r>
        <w:r w:rsidR="003F4E6E">
          <w:rPr>
            <w:noProof/>
            <w:webHidden/>
          </w:rPr>
          <w:instrText xml:space="preserve"> PAGEREF _Toc75787994 \h </w:instrText>
        </w:r>
        <w:r w:rsidR="003F4E6E">
          <w:rPr>
            <w:noProof/>
            <w:webHidden/>
          </w:rPr>
        </w:r>
        <w:r w:rsidR="003F4E6E">
          <w:rPr>
            <w:noProof/>
            <w:webHidden/>
          </w:rPr>
          <w:fldChar w:fldCharType="separate"/>
        </w:r>
        <w:r w:rsidR="00C04A3F">
          <w:rPr>
            <w:noProof/>
            <w:webHidden/>
          </w:rPr>
          <w:t>49</w:t>
        </w:r>
        <w:r w:rsidR="003F4E6E">
          <w:rPr>
            <w:noProof/>
            <w:webHidden/>
          </w:rPr>
          <w:fldChar w:fldCharType="end"/>
        </w:r>
      </w:hyperlink>
    </w:p>
    <w:p w14:paraId="33AAC06C" w14:textId="2DA70505" w:rsidR="003F4E6E" w:rsidRDefault="004D0EDF">
      <w:pPr>
        <w:pStyle w:val="TOC2"/>
        <w:rPr>
          <w:rFonts w:asciiTheme="minorHAnsi" w:eastAsiaTheme="minorEastAsia" w:hAnsiTheme="minorHAnsi" w:cstheme="minorBidi"/>
          <w:noProof/>
          <w:sz w:val="22"/>
          <w:szCs w:val="22"/>
          <w:lang w:eastAsia="en-NZ"/>
        </w:rPr>
      </w:pPr>
      <w:hyperlink w:anchor="_Toc75787995" w:history="1">
        <w:r w:rsidR="003F4E6E" w:rsidRPr="00291D73">
          <w:rPr>
            <w:rStyle w:val="Hyperlink"/>
            <w:noProof/>
          </w:rPr>
          <w:t>No medical</w:t>
        </w:r>
        <w:r w:rsidR="003F4E6E" w:rsidRPr="00291D73">
          <w:rPr>
            <w:rStyle w:val="Hyperlink"/>
            <w:noProof/>
            <w:spacing w:val="-1"/>
          </w:rPr>
          <w:t xml:space="preserve"> </w:t>
        </w:r>
        <w:r w:rsidR="003F4E6E" w:rsidRPr="00291D73">
          <w:rPr>
            <w:rStyle w:val="Hyperlink"/>
            <w:noProof/>
          </w:rPr>
          <w:t>indication</w:t>
        </w:r>
        <w:r w:rsidR="003F4E6E">
          <w:rPr>
            <w:noProof/>
            <w:webHidden/>
          </w:rPr>
          <w:tab/>
        </w:r>
        <w:r w:rsidR="003F4E6E">
          <w:rPr>
            <w:noProof/>
            <w:webHidden/>
          </w:rPr>
          <w:fldChar w:fldCharType="begin"/>
        </w:r>
        <w:r w:rsidR="003F4E6E">
          <w:rPr>
            <w:noProof/>
            <w:webHidden/>
          </w:rPr>
          <w:instrText xml:space="preserve"> PAGEREF _Toc75787995 \h </w:instrText>
        </w:r>
        <w:r w:rsidR="003F4E6E">
          <w:rPr>
            <w:noProof/>
            <w:webHidden/>
          </w:rPr>
        </w:r>
        <w:r w:rsidR="003F4E6E">
          <w:rPr>
            <w:noProof/>
            <w:webHidden/>
          </w:rPr>
          <w:fldChar w:fldCharType="separate"/>
        </w:r>
        <w:r w:rsidR="00C04A3F">
          <w:rPr>
            <w:noProof/>
            <w:webHidden/>
          </w:rPr>
          <w:t>50</w:t>
        </w:r>
        <w:r w:rsidR="003F4E6E">
          <w:rPr>
            <w:noProof/>
            <w:webHidden/>
          </w:rPr>
          <w:fldChar w:fldCharType="end"/>
        </w:r>
      </w:hyperlink>
    </w:p>
    <w:p w14:paraId="38A4C002" w14:textId="5658786D" w:rsidR="003F4E6E" w:rsidRDefault="004D0EDF">
      <w:pPr>
        <w:pStyle w:val="TOC1"/>
        <w:rPr>
          <w:rFonts w:asciiTheme="minorHAnsi" w:eastAsiaTheme="minorEastAsia" w:hAnsiTheme="minorHAnsi" w:cstheme="minorBidi"/>
          <w:noProof/>
          <w:sz w:val="22"/>
          <w:szCs w:val="22"/>
          <w:lang w:eastAsia="en-NZ"/>
        </w:rPr>
      </w:pPr>
      <w:hyperlink w:anchor="_Toc75787996" w:history="1">
        <w:r w:rsidR="003F4E6E" w:rsidRPr="00291D73">
          <w:rPr>
            <w:rStyle w:val="Hyperlink"/>
            <w:noProof/>
          </w:rPr>
          <w:t>Chapter 5 : Methods of cervical ripening</w:t>
        </w:r>
        <w:r w:rsidR="003F4E6E">
          <w:rPr>
            <w:noProof/>
            <w:webHidden/>
          </w:rPr>
          <w:tab/>
        </w:r>
        <w:r w:rsidR="003F4E6E">
          <w:rPr>
            <w:noProof/>
            <w:webHidden/>
          </w:rPr>
          <w:fldChar w:fldCharType="begin"/>
        </w:r>
        <w:r w:rsidR="003F4E6E">
          <w:rPr>
            <w:noProof/>
            <w:webHidden/>
          </w:rPr>
          <w:instrText xml:space="preserve"> PAGEREF _Toc75787996 \h </w:instrText>
        </w:r>
        <w:r w:rsidR="003F4E6E">
          <w:rPr>
            <w:noProof/>
            <w:webHidden/>
          </w:rPr>
        </w:r>
        <w:r w:rsidR="003F4E6E">
          <w:rPr>
            <w:noProof/>
            <w:webHidden/>
          </w:rPr>
          <w:fldChar w:fldCharType="separate"/>
        </w:r>
        <w:r w:rsidR="00C04A3F">
          <w:rPr>
            <w:noProof/>
            <w:webHidden/>
          </w:rPr>
          <w:t>53</w:t>
        </w:r>
        <w:r w:rsidR="003F4E6E">
          <w:rPr>
            <w:noProof/>
            <w:webHidden/>
          </w:rPr>
          <w:fldChar w:fldCharType="end"/>
        </w:r>
      </w:hyperlink>
    </w:p>
    <w:p w14:paraId="2366DF3A" w14:textId="6E6C5D99" w:rsidR="003F4E6E" w:rsidRDefault="004D0EDF">
      <w:pPr>
        <w:pStyle w:val="TOC2"/>
        <w:rPr>
          <w:rFonts w:asciiTheme="minorHAnsi" w:eastAsiaTheme="minorEastAsia" w:hAnsiTheme="minorHAnsi" w:cstheme="minorBidi"/>
          <w:noProof/>
          <w:sz w:val="22"/>
          <w:szCs w:val="22"/>
          <w:lang w:eastAsia="en-NZ"/>
        </w:rPr>
      </w:pPr>
      <w:hyperlink w:anchor="_Toc75787997" w:history="1">
        <w:r w:rsidR="003F4E6E" w:rsidRPr="00291D73">
          <w:rPr>
            <w:rStyle w:val="Hyperlink"/>
            <w:noProof/>
          </w:rPr>
          <w:t>Introduction</w:t>
        </w:r>
        <w:r w:rsidR="003F4E6E">
          <w:rPr>
            <w:noProof/>
            <w:webHidden/>
          </w:rPr>
          <w:tab/>
        </w:r>
        <w:r w:rsidR="003F4E6E">
          <w:rPr>
            <w:noProof/>
            <w:webHidden/>
          </w:rPr>
          <w:fldChar w:fldCharType="begin"/>
        </w:r>
        <w:r w:rsidR="003F4E6E">
          <w:rPr>
            <w:noProof/>
            <w:webHidden/>
          </w:rPr>
          <w:instrText xml:space="preserve"> PAGEREF _Toc75787997 \h </w:instrText>
        </w:r>
        <w:r w:rsidR="003F4E6E">
          <w:rPr>
            <w:noProof/>
            <w:webHidden/>
          </w:rPr>
        </w:r>
        <w:r w:rsidR="003F4E6E">
          <w:rPr>
            <w:noProof/>
            <w:webHidden/>
          </w:rPr>
          <w:fldChar w:fldCharType="separate"/>
        </w:r>
        <w:r w:rsidR="00C04A3F">
          <w:rPr>
            <w:noProof/>
            <w:webHidden/>
          </w:rPr>
          <w:t>53</w:t>
        </w:r>
        <w:r w:rsidR="003F4E6E">
          <w:rPr>
            <w:noProof/>
            <w:webHidden/>
          </w:rPr>
          <w:fldChar w:fldCharType="end"/>
        </w:r>
      </w:hyperlink>
    </w:p>
    <w:p w14:paraId="3C8E6706" w14:textId="60836D07" w:rsidR="003F4E6E" w:rsidRDefault="004D0EDF">
      <w:pPr>
        <w:pStyle w:val="TOC2"/>
        <w:rPr>
          <w:rFonts w:asciiTheme="minorHAnsi" w:eastAsiaTheme="minorEastAsia" w:hAnsiTheme="minorHAnsi" w:cstheme="minorBidi"/>
          <w:noProof/>
          <w:sz w:val="22"/>
          <w:szCs w:val="22"/>
          <w:lang w:eastAsia="en-NZ"/>
        </w:rPr>
      </w:pPr>
      <w:hyperlink w:anchor="_Toc75787998" w:history="1">
        <w:r w:rsidR="003F4E6E" w:rsidRPr="00291D73">
          <w:rPr>
            <w:rStyle w:val="Hyperlink"/>
            <w:noProof/>
          </w:rPr>
          <w:t>PGE2 (dinoprostone) methods of administration</w:t>
        </w:r>
        <w:r w:rsidR="003F4E6E">
          <w:rPr>
            <w:noProof/>
            <w:webHidden/>
          </w:rPr>
          <w:tab/>
        </w:r>
        <w:r w:rsidR="003F4E6E">
          <w:rPr>
            <w:noProof/>
            <w:webHidden/>
          </w:rPr>
          <w:fldChar w:fldCharType="begin"/>
        </w:r>
        <w:r w:rsidR="003F4E6E">
          <w:rPr>
            <w:noProof/>
            <w:webHidden/>
          </w:rPr>
          <w:instrText xml:space="preserve"> PAGEREF _Toc75787998 \h </w:instrText>
        </w:r>
        <w:r w:rsidR="003F4E6E">
          <w:rPr>
            <w:noProof/>
            <w:webHidden/>
          </w:rPr>
        </w:r>
        <w:r w:rsidR="003F4E6E">
          <w:rPr>
            <w:noProof/>
            <w:webHidden/>
          </w:rPr>
          <w:fldChar w:fldCharType="separate"/>
        </w:r>
        <w:r w:rsidR="00C04A3F">
          <w:rPr>
            <w:noProof/>
            <w:webHidden/>
          </w:rPr>
          <w:t>54</w:t>
        </w:r>
        <w:r w:rsidR="003F4E6E">
          <w:rPr>
            <w:noProof/>
            <w:webHidden/>
          </w:rPr>
          <w:fldChar w:fldCharType="end"/>
        </w:r>
      </w:hyperlink>
    </w:p>
    <w:p w14:paraId="3E131870" w14:textId="22B8EFF9" w:rsidR="003F4E6E" w:rsidRDefault="004D0EDF">
      <w:pPr>
        <w:pStyle w:val="TOC2"/>
        <w:rPr>
          <w:rFonts w:asciiTheme="minorHAnsi" w:eastAsiaTheme="minorEastAsia" w:hAnsiTheme="minorHAnsi" w:cstheme="minorBidi"/>
          <w:noProof/>
          <w:sz w:val="22"/>
          <w:szCs w:val="22"/>
          <w:lang w:eastAsia="en-NZ"/>
        </w:rPr>
      </w:pPr>
      <w:hyperlink w:anchor="_Toc75787999" w:history="1">
        <w:r w:rsidR="003F4E6E" w:rsidRPr="00291D73">
          <w:rPr>
            <w:rStyle w:val="Hyperlink"/>
            <w:noProof/>
          </w:rPr>
          <w:t>PGE1 analogue (misoprostol)</w:t>
        </w:r>
        <w:r w:rsidR="003F4E6E">
          <w:rPr>
            <w:noProof/>
            <w:webHidden/>
          </w:rPr>
          <w:tab/>
        </w:r>
        <w:r w:rsidR="003F4E6E">
          <w:rPr>
            <w:noProof/>
            <w:webHidden/>
          </w:rPr>
          <w:fldChar w:fldCharType="begin"/>
        </w:r>
        <w:r w:rsidR="003F4E6E">
          <w:rPr>
            <w:noProof/>
            <w:webHidden/>
          </w:rPr>
          <w:instrText xml:space="preserve"> PAGEREF _Toc75787999 \h </w:instrText>
        </w:r>
        <w:r w:rsidR="003F4E6E">
          <w:rPr>
            <w:noProof/>
            <w:webHidden/>
          </w:rPr>
        </w:r>
        <w:r w:rsidR="003F4E6E">
          <w:rPr>
            <w:noProof/>
            <w:webHidden/>
          </w:rPr>
          <w:fldChar w:fldCharType="separate"/>
        </w:r>
        <w:r w:rsidR="00C04A3F">
          <w:rPr>
            <w:noProof/>
            <w:webHidden/>
          </w:rPr>
          <w:t>54</w:t>
        </w:r>
        <w:r w:rsidR="003F4E6E">
          <w:rPr>
            <w:noProof/>
            <w:webHidden/>
          </w:rPr>
          <w:fldChar w:fldCharType="end"/>
        </w:r>
      </w:hyperlink>
    </w:p>
    <w:p w14:paraId="7D9D508F" w14:textId="0629785A" w:rsidR="003F4E6E" w:rsidRDefault="004D0EDF">
      <w:pPr>
        <w:pStyle w:val="TOC2"/>
        <w:rPr>
          <w:rFonts w:asciiTheme="minorHAnsi" w:eastAsiaTheme="minorEastAsia" w:hAnsiTheme="minorHAnsi" w:cstheme="minorBidi"/>
          <w:noProof/>
          <w:sz w:val="22"/>
          <w:szCs w:val="22"/>
          <w:lang w:eastAsia="en-NZ"/>
        </w:rPr>
      </w:pPr>
      <w:hyperlink w:anchor="_Toc75788000" w:history="1">
        <w:r w:rsidR="003F4E6E" w:rsidRPr="00291D73">
          <w:rPr>
            <w:rStyle w:val="Hyperlink"/>
            <w:noProof/>
          </w:rPr>
          <w:t>Discussion on prostaglandins</w:t>
        </w:r>
        <w:r w:rsidR="003F4E6E">
          <w:rPr>
            <w:noProof/>
            <w:webHidden/>
          </w:rPr>
          <w:tab/>
        </w:r>
        <w:r w:rsidR="003F4E6E">
          <w:rPr>
            <w:noProof/>
            <w:webHidden/>
          </w:rPr>
          <w:fldChar w:fldCharType="begin"/>
        </w:r>
        <w:r w:rsidR="003F4E6E">
          <w:rPr>
            <w:noProof/>
            <w:webHidden/>
          </w:rPr>
          <w:instrText xml:space="preserve"> PAGEREF _Toc75788000 \h </w:instrText>
        </w:r>
        <w:r w:rsidR="003F4E6E">
          <w:rPr>
            <w:noProof/>
            <w:webHidden/>
          </w:rPr>
        </w:r>
        <w:r w:rsidR="003F4E6E">
          <w:rPr>
            <w:noProof/>
            <w:webHidden/>
          </w:rPr>
          <w:fldChar w:fldCharType="separate"/>
        </w:r>
        <w:r w:rsidR="00C04A3F">
          <w:rPr>
            <w:noProof/>
            <w:webHidden/>
          </w:rPr>
          <w:t>55</w:t>
        </w:r>
        <w:r w:rsidR="003F4E6E">
          <w:rPr>
            <w:noProof/>
            <w:webHidden/>
          </w:rPr>
          <w:fldChar w:fldCharType="end"/>
        </w:r>
      </w:hyperlink>
    </w:p>
    <w:p w14:paraId="17286FEB" w14:textId="5422E30B" w:rsidR="003F4E6E" w:rsidRDefault="004D0EDF">
      <w:pPr>
        <w:pStyle w:val="TOC2"/>
        <w:rPr>
          <w:rFonts w:asciiTheme="minorHAnsi" w:eastAsiaTheme="minorEastAsia" w:hAnsiTheme="minorHAnsi" w:cstheme="minorBidi"/>
          <w:noProof/>
          <w:sz w:val="22"/>
          <w:szCs w:val="22"/>
          <w:lang w:eastAsia="en-NZ"/>
        </w:rPr>
      </w:pPr>
      <w:hyperlink w:anchor="_Toc75788001" w:history="1">
        <w:r w:rsidR="003F4E6E" w:rsidRPr="00291D73">
          <w:rPr>
            <w:rStyle w:val="Hyperlink"/>
            <w:noProof/>
          </w:rPr>
          <w:t>Balloon</w:t>
        </w:r>
        <w:r w:rsidR="003F4E6E" w:rsidRPr="00291D73">
          <w:rPr>
            <w:rStyle w:val="Hyperlink"/>
            <w:noProof/>
            <w:spacing w:val="-4"/>
          </w:rPr>
          <w:t xml:space="preserve"> </w:t>
        </w:r>
        <w:r w:rsidR="003F4E6E" w:rsidRPr="00291D73">
          <w:rPr>
            <w:rStyle w:val="Hyperlink"/>
            <w:noProof/>
          </w:rPr>
          <w:t>catheter</w:t>
        </w:r>
        <w:r w:rsidR="003F4E6E">
          <w:rPr>
            <w:noProof/>
            <w:webHidden/>
          </w:rPr>
          <w:tab/>
        </w:r>
        <w:r w:rsidR="003F4E6E">
          <w:rPr>
            <w:noProof/>
            <w:webHidden/>
          </w:rPr>
          <w:fldChar w:fldCharType="begin"/>
        </w:r>
        <w:r w:rsidR="003F4E6E">
          <w:rPr>
            <w:noProof/>
            <w:webHidden/>
          </w:rPr>
          <w:instrText xml:space="preserve"> PAGEREF _Toc75788001 \h </w:instrText>
        </w:r>
        <w:r w:rsidR="003F4E6E">
          <w:rPr>
            <w:noProof/>
            <w:webHidden/>
          </w:rPr>
        </w:r>
        <w:r w:rsidR="003F4E6E">
          <w:rPr>
            <w:noProof/>
            <w:webHidden/>
          </w:rPr>
          <w:fldChar w:fldCharType="separate"/>
        </w:r>
        <w:r w:rsidR="00C04A3F">
          <w:rPr>
            <w:noProof/>
            <w:webHidden/>
          </w:rPr>
          <w:t>57</w:t>
        </w:r>
        <w:r w:rsidR="003F4E6E">
          <w:rPr>
            <w:noProof/>
            <w:webHidden/>
          </w:rPr>
          <w:fldChar w:fldCharType="end"/>
        </w:r>
      </w:hyperlink>
    </w:p>
    <w:p w14:paraId="055A487E" w14:textId="436BCB3E" w:rsidR="003F4E6E" w:rsidRDefault="004D0EDF">
      <w:pPr>
        <w:pStyle w:val="TOC2"/>
        <w:rPr>
          <w:rFonts w:asciiTheme="minorHAnsi" w:eastAsiaTheme="minorEastAsia" w:hAnsiTheme="minorHAnsi" w:cstheme="minorBidi"/>
          <w:noProof/>
          <w:sz w:val="22"/>
          <w:szCs w:val="22"/>
          <w:lang w:eastAsia="en-NZ"/>
        </w:rPr>
      </w:pPr>
      <w:hyperlink w:anchor="_Toc75788002" w:history="1">
        <w:r w:rsidR="003F4E6E" w:rsidRPr="00291D73">
          <w:rPr>
            <w:rStyle w:val="Hyperlink"/>
            <w:noProof/>
          </w:rPr>
          <w:t>Methods of IOL for women with previous caesarean</w:t>
        </w:r>
        <w:r w:rsidR="003F4E6E" w:rsidRPr="00291D73">
          <w:rPr>
            <w:rStyle w:val="Hyperlink"/>
            <w:noProof/>
            <w:spacing w:val="-18"/>
          </w:rPr>
          <w:t xml:space="preserve"> </w:t>
        </w:r>
        <w:r w:rsidR="003F4E6E" w:rsidRPr="00291D73">
          <w:rPr>
            <w:rStyle w:val="Hyperlink"/>
            <w:noProof/>
          </w:rPr>
          <w:t>section</w:t>
        </w:r>
        <w:r w:rsidR="003F4E6E">
          <w:rPr>
            <w:noProof/>
            <w:webHidden/>
          </w:rPr>
          <w:tab/>
        </w:r>
        <w:r w:rsidR="003F4E6E">
          <w:rPr>
            <w:noProof/>
            <w:webHidden/>
          </w:rPr>
          <w:fldChar w:fldCharType="begin"/>
        </w:r>
        <w:r w:rsidR="003F4E6E">
          <w:rPr>
            <w:noProof/>
            <w:webHidden/>
          </w:rPr>
          <w:instrText xml:space="preserve"> PAGEREF _Toc75788002 \h </w:instrText>
        </w:r>
        <w:r w:rsidR="003F4E6E">
          <w:rPr>
            <w:noProof/>
            <w:webHidden/>
          </w:rPr>
        </w:r>
        <w:r w:rsidR="003F4E6E">
          <w:rPr>
            <w:noProof/>
            <w:webHidden/>
          </w:rPr>
          <w:fldChar w:fldCharType="separate"/>
        </w:r>
        <w:r w:rsidR="00C04A3F">
          <w:rPr>
            <w:noProof/>
            <w:webHidden/>
          </w:rPr>
          <w:t>61</w:t>
        </w:r>
        <w:r w:rsidR="003F4E6E">
          <w:rPr>
            <w:noProof/>
            <w:webHidden/>
          </w:rPr>
          <w:fldChar w:fldCharType="end"/>
        </w:r>
      </w:hyperlink>
    </w:p>
    <w:p w14:paraId="739BAD23" w14:textId="35DF6E5F" w:rsidR="003F4E6E" w:rsidRDefault="004D0EDF">
      <w:pPr>
        <w:pStyle w:val="TOC1"/>
        <w:rPr>
          <w:rFonts w:asciiTheme="minorHAnsi" w:eastAsiaTheme="minorEastAsia" w:hAnsiTheme="minorHAnsi" w:cstheme="minorBidi"/>
          <w:noProof/>
          <w:sz w:val="22"/>
          <w:szCs w:val="22"/>
          <w:lang w:eastAsia="en-NZ"/>
        </w:rPr>
      </w:pPr>
      <w:hyperlink w:anchor="_Toc75788003" w:history="1">
        <w:r w:rsidR="003F4E6E" w:rsidRPr="00291D73">
          <w:rPr>
            <w:rStyle w:val="Hyperlink"/>
            <w:noProof/>
          </w:rPr>
          <w:t>Chapter 6 : Methods of induction of labour</w:t>
        </w:r>
        <w:r w:rsidR="003F4E6E">
          <w:rPr>
            <w:noProof/>
            <w:webHidden/>
          </w:rPr>
          <w:tab/>
        </w:r>
        <w:r w:rsidR="003F4E6E">
          <w:rPr>
            <w:noProof/>
            <w:webHidden/>
          </w:rPr>
          <w:fldChar w:fldCharType="begin"/>
        </w:r>
        <w:r w:rsidR="003F4E6E">
          <w:rPr>
            <w:noProof/>
            <w:webHidden/>
          </w:rPr>
          <w:instrText xml:space="preserve"> PAGEREF _Toc75788003 \h </w:instrText>
        </w:r>
        <w:r w:rsidR="003F4E6E">
          <w:rPr>
            <w:noProof/>
            <w:webHidden/>
          </w:rPr>
        </w:r>
        <w:r w:rsidR="003F4E6E">
          <w:rPr>
            <w:noProof/>
            <w:webHidden/>
          </w:rPr>
          <w:fldChar w:fldCharType="separate"/>
        </w:r>
        <w:r w:rsidR="00C04A3F">
          <w:rPr>
            <w:noProof/>
            <w:webHidden/>
          </w:rPr>
          <w:t>62</w:t>
        </w:r>
        <w:r w:rsidR="003F4E6E">
          <w:rPr>
            <w:noProof/>
            <w:webHidden/>
          </w:rPr>
          <w:fldChar w:fldCharType="end"/>
        </w:r>
      </w:hyperlink>
    </w:p>
    <w:p w14:paraId="364E0DBA" w14:textId="4999C43B" w:rsidR="003F4E6E" w:rsidRDefault="004D0EDF">
      <w:pPr>
        <w:pStyle w:val="TOC2"/>
        <w:rPr>
          <w:rFonts w:asciiTheme="minorHAnsi" w:eastAsiaTheme="minorEastAsia" w:hAnsiTheme="minorHAnsi" w:cstheme="minorBidi"/>
          <w:noProof/>
          <w:sz w:val="22"/>
          <w:szCs w:val="22"/>
          <w:lang w:eastAsia="en-NZ"/>
        </w:rPr>
      </w:pPr>
      <w:hyperlink w:anchor="_Toc75788004" w:history="1">
        <w:r w:rsidR="003F4E6E" w:rsidRPr="00291D73">
          <w:rPr>
            <w:rStyle w:val="Hyperlink"/>
            <w:noProof/>
          </w:rPr>
          <w:t>Introduction</w:t>
        </w:r>
        <w:r w:rsidR="003F4E6E">
          <w:rPr>
            <w:noProof/>
            <w:webHidden/>
          </w:rPr>
          <w:tab/>
        </w:r>
        <w:r w:rsidR="003F4E6E">
          <w:rPr>
            <w:noProof/>
            <w:webHidden/>
          </w:rPr>
          <w:fldChar w:fldCharType="begin"/>
        </w:r>
        <w:r w:rsidR="003F4E6E">
          <w:rPr>
            <w:noProof/>
            <w:webHidden/>
          </w:rPr>
          <w:instrText xml:space="preserve"> PAGEREF _Toc75788004 \h </w:instrText>
        </w:r>
        <w:r w:rsidR="003F4E6E">
          <w:rPr>
            <w:noProof/>
            <w:webHidden/>
          </w:rPr>
        </w:r>
        <w:r w:rsidR="003F4E6E">
          <w:rPr>
            <w:noProof/>
            <w:webHidden/>
          </w:rPr>
          <w:fldChar w:fldCharType="separate"/>
        </w:r>
        <w:r w:rsidR="00C04A3F">
          <w:rPr>
            <w:noProof/>
            <w:webHidden/>
          </w:rPr>
          <w:t>62</w:t>
        </w:r>
        <w:r w:rsidR="003F4E6E">
          <w:rPr>
            <w:noProof/>
            <w:webHidden/>
          </w:rPr>
          <w:fldChar w:fldCharType="end"/>
        </w:r>
      </w:hyperlink>
    </w:p>
    <w:p w14:paraId="6B7175B4" w14:textId="386520CE" w:rsidR="003F4E6E" w:rsidRDefault="004D0EDF">
      <w:pPr>
        <w:pStyle w:val="TOC2"/>
        <w:rPr>
          <w:rFonts w:asciiTheme="minorHAnsi" w:eastAsiaTheme="minorEastAsia" w:hAnsiTheme="minorHAnsi" w:cstheme="minorBidi"/>
          <w:noProof/>
          <w:sz w:val="22"/>
          <w:szCs w:val="22"/>
          <w:lang w:eastAsia="en-NZ"/>
        </w:rPr>
      </w:pPr>
      <w:hyperlink w:anchor="_Toc75788005" w:history="1">
        <w:r w:rsidR="003F4E6E" w:rsidRPr="00291D73">
          <w:rPr>
            <w:rStyle w:val="Hyperlink"/>
            <w:noProof/>
          </w:rPr>
          <w:t>Combining ARM with oxytocin</w:t>
        </w:r>
        <w:r w:rsidR="003F4E6E">
          <w:rPr>
            <w:noProof/>
            <w:webHidden/>
          </w:rPr>
          <w:tab/>
        </w:r>
        <w:r w:rsidR="003F4E6E">
          <w:rPr>
            <w:noProof/>
            <w:webHidden/>
          </w:rPr>
          <w:fldChar w:fldCharType="begin"/>
        </w:r>
        <w:r w:rsidR="003F4E6E">
          <w:rPr>
            <w:noProof/>
            <w:webHidden/>
          </w:rPr>
          <w:instrText xml:space="preserve"> PAGEREF _Toc75788005 \h </w:instrText>
        </w:r>
        <w:r w:rsidR="003F4E6E">
          <w:rPr>
            <w:noProof/>
            <w:webHidden/>
          </w:rPr>
        </w:r>
        <w:r w:rsidR="003F4E6E">
          <w:rPr>
            <w:noProof/>
            <w:webHidden/>
          </w:rPr>
          <w:fldChar w:fldCharType="separate"/>
        </w:r>
        <w:r w:rsidR="00C04A3F">
          <w:rPr>
            <w:noProof/>
            <w:webHidden/>
          </w:rPr>
          <w:t>62</w:t>
        </w:r>
        <w:r w:rsidR="003F4E6E">
          <w:rPr>
            <w:noProof/>
            <w:webHidden/>
          </w:rPr>
          <w:fldChar w:fldCharType="end"/>
        </w:r>
      </w:hyperlink>
    </w:p>
    <w:p w14:paraId="7ABD721F" w14:textId="47533709" w:rsidR="003F4E6E" w:rsidRDefault="004D0EDF">
      <w:pPr>
        <w:pStyle w:val="TOC2"/>
        <w:rPr>
          <w:rFonts w:asciiTheme="minorHAnsi" w:eastAsiaTheme="minorEastAsia" w:hAnsiTheme="minorHAnsi" w:cstheme="minorBidi"/>
          <w:noProof/>
          <w:sz w:val="22"/>
          <w:szCs w:val="22"/>
          <w:lang w:eastAsia="en-NZ"/>
        </w:rPr>
      </w:pPr>
      <w:hyperlink w:anchor="_Toc75788006" w:history="1">
        <w:r w:rsidR="003F4E6E" w:rsidRPr="00291D73">
          <w:rPr>
            <w:rStyle w:val="Hyperlink"/>
            <w:noProof/>
          </w:rPr>
          <w:t>Oxytocin</w:t>
        </w:r>
        <w:r w:rsidR="003F4E6E" w:rsidRPr="00291D73">
          <w:rPr>
            <w:rStyle w:val="Hyperlink"/>
            <w:noProof/>
            <w:spacing w:val="-4"/>
          </w:rPr>
          <w:t xml:space="preserve"> </w:t>
        </w:r>
        <w:r w:rsidR="003F4E6E" w:rsidRPr="00291D73">
          <w:rPr>
            <w:rStyle w:val="Hyperlink"/>
            <w:noProof/>
          </w:rPr>
          <w:t>protocol</w:t>
        </w:r>
        <w:r w:rsidR="003F4E6E">
          <w:rPr>
            <w:noProof/>
            <w:webHidden/>
          </w:rPr>
          <w:tab/>
        </w:r>
        <w:r w:rsidR="003F4E6E">
          <w:rPr>
            <w:noProof/>
            <w:webHidden/>
          </w:rPr>
          <w:fldChar w:fldCharType="begin"/>
        </w:r>
        <w:r w:rsidR="003F4E6E">
          <w:rPr>
            <w:noProof/>
            <w:webHidden/>
          </w:rPr>
          <w:instrText xml:space="preserve"> PAGEREF _Toc75788006 \h </w:instrText>
        </w:r>
        <w:r w:rsidR="003F4E6E">
          <w:rPr>
            <w:noProof/>
            <w:webHidden/>
          </w:rPr>
        </w:r>
        <w:r w:rsidR="003F4E6E">
          <w:rPr>
            <w:noProof/>
            <w:webHidden/>
          </w:rPr>
          <w:fldChar w:fldCharType="separate"/>
        </w:r>
        <w:r w:rsidR="00C04A3F">
          <w:rPr>
            <w:noProof/>
            <w:webHidden/>
          </w:rPr>
          <w:t>64</w:t>
        </w:r>
        <w:r w:rsidR="003F4E6E">
          <w:rPr>
            <w:noProof/>
            <w:webHidden/>
          </w:rPr>
          <w:fldChar w:fldCharType="end"/>
        </w:r>
      </w:hyperlink>
    </w:p>
    <w:p w14:paraId="50D019A7" w14:textId="0623DE2C" w:rsidR="003F4E6E" w:rsidRDefault="004D0EDF">
      <w:pPr>
        <w:pStyle w:val="TOC1"/>
        <w:rPr>
          <w:rFonts w:asciiTheme="minorHAnsi" w:eastAsiaTheme="minorEastAsia" w:hAnsiTheme="minorHAnsi" w:cstheme="minorBidi"/>
          <w:noProof/>
          <w:sz w:val="22"/>
          <w:szCs w:val="22"/>
          <w:lang w:eastAsia="en-NZ"/>
        </w:rPr>
      </w:pPr>
      <w:hyperlink w:anchor="_Toc75788007" w:history="1">
        <w:r w:rsidR="003F4E6E" w:rsidRPr="00291D73">
          <w:rPr>
            <w:rStyle w:val="Hyperlink"/>
            <w:noProof/>
          </w:rPr>
          <w:t>Chapter 7 : Setting for induction of labour</w:t>
        </w:r>
        <w:r w:rsidR="003F4E6E">
          <w:rPr>
            <w:noProof/>
            <w:webHidden/>
          </w:rPr>
          <w:tab/>
        </w:r>
        <w:r w:rsidR="003F4E6E">
          <w:rPr>
            <w:noProof/>
            <w:webHidden/>
          </w:rPr>
          <w:fldChar w:fldCharType="begin"/>
        </w:r>
        <w:r w:rsidR="003F4E6E">
          <w:rPr>
            <w:noProof/>
            <w:webHidden/>
          </w:rPr>
          <w:instrText xml:space="preserve"> PAGEREF _Toc75788007 \h </w:instrText>
        </w:r>
        <w:r w:rsidR="003F4E6E">
          <w:rPr>
            <w:noProof/>
            <w:webHidden/>
          </w:rPr>
        </w:r>
        <w:r w:rsidR="003F4E6E">
          <w:rPr>
            <w:noProof/>
            <w:webHidden/>
          </w:rPr>
          <w:fldChar w:fldCharType="separate"/>
        </w:r>
        <w:r w:rsidR="00C04A3F">
          <w:rPr>
            <w:noProof/>
            <w:webHidden/>
          </w:rPr>
          <w:t>67</w:t>
        </w:r>
        <w:r w:rsidR="003F4E6E">
          <w:rPr>
            <w:noProof/>
            <w:webHidden/>
          </w:rPr>
          <w:fldChar w:fldCharType="end"/>
        </w:r>
      </w:hyperlink>
    </w:p>
    <w:p w14:paraId="5A750863" w14:textId="3D520D8A" w:rsidR="003F4E6E" w:rsidRDefault="004D0EDF">
      <w:pPr>
        <w:pStyle w:val="TOC2"/>
        <w:rPr>
          <w:rFonts w:asciiTheme="minorHAnsi" w:eastAsiaTheme="minorEastAsia" w:hAnsiTheme="minorHAnsi" w:cstheme="minorBidi"/>
          <w:noProof/>
          <w:sz w:val="22"/>
          <w:szCs w:val="22"/>
          <w:lang w:eastAsia="en-NZ"/>
        </w:rPr>
      </w:pPr>
      <w:hyperlink w:anchor="_Toc75788008" w:history="1">
        <w:r w:rsidR="003F4E6E" w:rsidRPr="00291D73">
          <w:rPr>
            <w:rStyle w:val="Hyperlink"/>
            <w:noProof/>
          </w:rPr>
          <w:t>Summary of evidence</w:t>
        </w:r>
        <w:r w:rsidR="003F4E6E">
          <w:rPr>
            <w:noProof/>
            <w:webHidden/>
          </w:rPr>
          <w:tab/>
        </w:r>
        <w:r w:rsidR="003F4E6E">
          <w:rPr>
            <w:noProof/>
            <w:webHidden/>
          </w:rPr>
          <w:fldChar w:fldCharType="begin"/>
        </w:r>
        <w:r w:rsidR="003F4E6E">
          <w:rPr>
            <w:noProof/>
            <w:webHidden/>
          </w:rPr>
          <w:instrText xml:space="preserve"> PAGEREF _Toc75788008 \h </w:instrText>
        </w:r>
        <w:r w:rsidR="003F4E6E">
          <w:rPr>
            <w:noProof/>
            <w:webHidden/>
          </w:rPr>
        </w:r>
        <w:r w:rsidR="003F4E6E">
          <w:rPr>
            <w:noProof/>
            <w:webHidden/>
          </w:rPr>
          <w:fldChar w:fldCharType="separate"/>
        </w:r>
        <w:r w:rsidR="00C04A3F">
          <w:rPr>
            <w:noProof/>
            <w:webHidden/>
          </w:rPr>
          <w:t>67</w:t>
        </w:r>
        <w:r w:rsidR="003F4E6E">
          <w:rPr>
            <w:noProof/>
            <w:webHidden/>
          </w:rPr>
          <w:fldChar w:fldCharType="end"/>
        </w:r>
      </w:hyperlink>
    </w:p>
    <w:p w14:paraId="56CFAD4F" w14:textId="5C5E22E7" w:rsidR="003F4E6E" w:rsidRDefault="004D0EDF">
      <w:pPr>
        <w:pStyle w:val="TOC1"/>
        <w:rPr>
          <w:rFonts w:asciiTheme="minorHAnsi" w:eastAsiaTheme="minorEastAsia" w:hAnsiTheme="minorHAnsi" w:cstheme="minorBidi"/>
          <w:noProof/>
          <w:sz w:val="22"/>
          <w:szCs w:val="22"/>
          <w:lang w:eastAsia="en-NZ"/>
        </w:rPr>
      </w:pPr>
      <w:hyperlink w:anchor="_Toc75788009" w:history="1">
        <w:r w:rsidR="003F4E6E" w:rsidRPr="00291D73">
          <w:rPr>
            <w:rStyle w:val="Hyperlink"/>
            <w:noProof/>
          </w:rPr>
          <w:t>Abbreviations</w:t>
        </w:r>
        <w:r w:rsidR="003F4E6E">
          <w:rPr>
            <w:noProof/>
            <w:webHidden/>
          </w:rPr>
          <w:tab/>
        </w:r>
        <w:r w:rsidR="003F4E6E">
          <w:rPr>
            <w:noProof/>
            <w:webHidden/>
          </w:rPr>
          <w:fldChar w:fldCharType="begin"/>
        </w:r>
        <w:r w:rsidR="003F4E6E">
          <w:rPr>
            <w:noProof/>
            <w:webHidden/>
          </w:rPr>
          <w:instrText xml:space="preserve"> PAGEREF _Toc75788009 \h </w:instrText>
        </w:r>
        <w:r w:rsidR="003F4E6E">
          <w:rPr>
            <w:noProof/>
            <w:webHidden/>
          </w:rPr>
        </w:r>
        <w:r w:rsidR="003F4E6E">
          <w:rPr>
            <w:noProof/>
            <w:webHidden/>
          </w:rPr>
          <w:fldChar w:fldCharType="separate"/>
        </w:r>
        <w:r w:rsidR="00C04A3F">
          <w:rPr>
            <w:noProof/>
            <w:webHidden/>
          </w:rPr>
          <w:t>69</w:t>
        </w:r>
        <w:r w:rsidR="003F4E6E">
          <w:rPr>
            <w:noProof/>
            <w:webHidden/>
          </w:rPr>
          <w:fldChar w:fldCharType="end"/>
        </w:r>
      </w:hyperlink>
    </w:p>
    <w:p w14:paraId="78388663" w14:textId="6DB8273F" w:rsidR="003F4E6E" w:rsidRDefault="004D0EDF">
      <w:pPr>
        <w:pStyle w:val="TOC1"/>
        <w:rPr>
          <w:rFonts w:asciiTheme="minorHAnsi" w:eastAsiaTheme="minorEastAsia" w:hAnsiTheme="minorHAnsi" w:cstheme="minorBidi"/>
          <w:noProof/>
          <w:sz w:val="22"/>
          <w:szCs w:val="22"/>
          <w:lang w:eastAsia="en-NZ"/>
        </w:rPr>
      </w:pPr>
      <w:hyperlink w:anchor="_Toc75788010" w:history="1">
        <w:r w:rsidR="003F4E6E" w:rsidRPr="00291D73">
          <w:rPr>
            <w:rStyle w:val="Hyperlink"/>
            <w:noProof/>
          </w:rPr>
          <w:t>Appendices</w:t>
        </w:r>
        <w:r w:rsidR="003F4E6E">
          <w:rPr>
            <w:noProof/>
            <w:webHidden/>
          </w:rPr>
          <w:tab/>
        </w:r>
        <w:r w:rsidR="003F4E6E">
          <w:rPr>
            <w:noProof/>
            <w:webHidden/>
          </w:rPr>
          <w:fldChar w:fldCharType="begin"/>
        </w:r>
        <w:r w:rsidR="003F4E6E">
          <w:rPr>
            <w:noProof/>
            <w:webHidden/>
          </w:rPr>
          <w:instrText xml:space="preserve"> PAGEREF _Toc75788010 \h </w:instrText>
        </w:r>
        <w:r w:rsidR="003F4E6E">
          <w:rPr>
            <w:noProof/>
            <w:webHidden/>
          </w:rPr>
        </w:r>
        <w:r w:rsidR="003F4E6E">
          <w:rPr>
            <w:noProof/>
            <w:webHidden/>
          </w:rPr>
          <w:fldChar w:fldCharType="separate"/>
        </w:r>
        <w:r w:rsidR="00C04A3F">
          <w:rPr>
            <w:noProof/>
            <w:webHidden/>
          </w:rPr>
          <w:t>70</w:t>
        </w:r>
        <w:r w:rsidR="003F4E6E">
          <w:rPr>
            <w:noProof/>
            <w:webHidden/>
          </w:rPr>
          <w:fldChar w:fldCharType="end"/>
        </w:r>
      </w:hyperlink>
    </w:p>
    <w:p w14:paraId="2B888A3D" w14:textId="75AD6628" w:rsidR="003F4E6E" w:rsidRDefault="004D0EDF">
      <w:pPr>
        <w:pStyle w:val="TOC2"/>
        <w:rPr>
          <w:rFonts w:asciiTheme="minorHAnsi" w:eastAsiaTheme="minorEastAsia" w:hAnsiTheme="minorHAnsi" w:cstheme="minorBidi"/>
          <w:noProof/>
          <w:sz w:val="22"/>
          <w:szCs w:val="22"/>
          <w:lang w:eastAsia="en-NZ"/>
        </w:rPr>
      </w:pPr>
      <w:hyperlink w:anchor="_Toc75788011" w:history="1">
        <w:r w:rsidR="003F4E6E" w:rsidRPr="00291D73">
          <w:rPr>
            <w:rStyle w:val="Hyperlink"/>
            <w:noProof/>
          </w:rPr>
          <w:t>Appendix A: The panel that developed this clinical practice guideline</w:t>
        </w:r>
        <w:r w:rsidR="003F4E6E">
          <w:rPr>
            <w:noProof/>
            <w:webHidden/>
          </w:rPr>
          <w:tab/>
        </w:r>
        <w:r w:rsidR="003F4E6E">
          <w:rPr>
            <w:noProof/>
            <w:webHidden/>
          </w:rPr>
          <w:fldChar w:fldCharType="begin"/>
        </w:r>
        <w:r w:rsidR="003F4E6E">
          <w:rPr>
            <w:noProof/>
            <w:webHidden/>
          </w:rPr>
          <w:instrText xml:space="preserve"> PAGEREF _Toc75788011 \h </w:instrText>
        </w:r>
        <w:r w:rsidR="003F4E6E">
          <w:rPr>
            <w:noProof/>
            <w:webHidden/>
          </w:rPr>
        </w:r>
        <w:r w:rsidR="003F4E6E">
          <w:rPr>
            <w:noProof/>
            <w:webHidden/>
          </w:rPr>
          <w:fldChar w:fldCharType="separate"/>
        </w:r>
        <w:r w:rsidR="00C04A3F">
          <w:rPr>
            <w:noProof/>
            <w:webHidden/>
          </w:rPr>
          <w:t>70</w:t>
        </w:r>
        <w:r w:rsidR="003F4E6E">
          <w:rPr>
            <w:noProof/>
            <w:webHidden/>
          </w:rPr>
          <w:fldChar w:fldCharType="end"/>
        </w:r>
      </w:hyperlink>
    </w:p>
    <w:p w14:paraId="302C0CD2" w14:textId="46A0B52F" w:rsidR="003F4E6E" w:rsidRDefault="004D0EDF">
      <w:pPr>
        <w:pStyle w:val="TOC2"/>
        <w:rPr>
          <w:rFonts w:asciiTheme="minorHAnsi" w:eastAsiaTheme="minorEastAsia" w:hAnsiTheme="minorHAnsi" w:cstheme="minorBidi"/>
          <w:noProof/>
          <w:sz w:val="22"/>
          <w:szCs w:val="22"/>
          <w:lang w:eastAsia="en-NZ"/>
        </w:rPr>
      </w:pPr>
      <w:hyperlink w:anchor="_Toc75788012" w:history="1">
        <w:r w:rsidR="003F4E6E" w:rsidRPr="00291D73">
          <w:rPr>
            <w:rStyle w:val="Hyperlink"/>
            <w:noProof/>
          </w:rPr>
          <w:t>Appendix B: Search methods</w:t>
        </w:r>
        <w:r w:rsidR="003F4E6E">
          <w:rPr>
            <w:noProof/>
            <w:webHidden/>
          </w:rPr>
          <w:tab/>
        </w:r>
        <w:r w:rsidR="003F4E6E">
          <w:rPr>
            <w:noProof/>
            <w:webHidden/>
          </w:rPr>
          <w:fldChar w:fldCharType="begin"/>
        </w:r>
        <w:r w:rsidR="003F4E6E">
          <w:rPr>
            <w:noProof/>
            <w:webHidden/>
          </w:rPr>
          <w:instrText xml:space="preserve"> PAGEREF _Toc75788012 \h </w:instrText>
        </w:r>
        <w:r w:rsidR="003F4E6E">
          <w:rPr>
            <w:noProof/>
            <w:webHidden/>
          </w:rPr>
        </w:r>
        <w:r w:rsidR="003F4E6E">
          <w:rPr>
            <w:noProof/>
            <w:webHidden/>
          </w:rPr>
          <w:fldChar w:fldCharType="separate"/>
        </w:r>
        <w:r w:rsidR="00C04A3F">
          <w:rPr>
            <w:noProof/>
            <w:webHidden/>
          </w:rPr>
          <w:t>72</w:t>
        </w:r>
        <w:r w:rsidR="003F4E6E">
          <w:rPr>
            <w:noProof/>
            <w:webHidden/>
          </w:rPr>
          <w:fldChar w:fldCharType="end"/>
        </w:r>
      </w:hyperlink>
    </w:p>
    <w:p w14:paraId="24F492C8" w14:textId="0A24F2C7" w:rsidR="003F4E6E" w:rsidRDefault="004D0EDF">
      <w:pPr>
        <w:pStyle w:val="TOC2"/>
        <w:rPr>
          <w:rFonts w:asciiTheme="minorHAnsi" w:eastAsiaTheme="minorEastAsia" w:hAnsiTheme="minorHAnsi" w:cstheme="minorBidi"/>
          <w:noProof/>
          <w:sz w:val="22"/>
          <w:szCs w:val="22"/>
          <w:lang w:eastAsia="en-NZ"/>
        </w:rPr>
      </w:pPr>
      <w:hyperlink w:anchor="_Toc75788013" w:history="1">
        <w:r w:rsidR="003F4E6E" w:rsidRPr="00291D73">
          <w:rPr>
            <w:rStyle w:val="Hyperlink"/>
            <w:noProof/>
          </w:rPr>
          <w:t>Appendix C: Observational studies</w:t>
        </w:r>
        <w:r w:rsidR="003F4E6E">
          <w:rPr>
            <w:noProof/>
            <w:webHidden/>
          </w:rPr>
          <w:tab/>
        </w:r>
        <w:r w:rsidR="003F4E6E">
          <w:rPr>
            <w:noProof/>
            <w:webHidden/>
          </w:rPr>
          <w:fldChar w:fldCharType="begin"/>
        </w:r>
        <w:r w:rsidR="003F4E6E">
          <w:rPr>
            <w:noProof/>
            <w:webHidden/>
          </w:rPr>
          <w:instrText xml:space="preserve"> PAGEREF _Toc75788013 \h </w:instrText>
        </w:r>
        <w:r w:rsidR="003F4E6E">
          <w:rPr>
            <w:noProof/>
            <w:webHidden/>
          </w:rPr>
        </w:r>
        <w:r w:rsidR="003F4E6E">
          <w:rPr>
            <w:noProof/>
            <w:webHidden/>
          </w:rPr>
          <w:fldChar w:fldCharType="separate"/>
        </w:r>
        <w:r w:rsidR="00C04A3F">
          <w:rPr>
            <w:noProof/>
            <w:webHidden/>
          </w:rPr>
          <w:t>82</w:t>
        </w:r>
        <w:r w:rsidR="003F4E6E">
          <w:rPr>
            <w:noProof/>
            <w:webHidden/>
          </w:rPr>
          <w:fldChar w:fldCharType="end"/>
        </w:r>
      </w:hyperlink>
    </w:p>
    <w:p w14:paraId="55AFC8DD" w14:textId="16627A98" w:rsidR="003F4E6E" w:rsidRDefault="004D0EDF">
      <w:pPr>
        <w:pStyle w:val="TOC2"/>
        <w:rPr>
          <w:rFonts w:asciiTheme="minorHAnsi" w:eastAsiaTheme="minorEastAsia" w:hAnsiTheme="minorHAnsi" w:cstheme="minorBidi"/>
          <w:noProof/>
          <w:sz w:val="22"/>
          <w:szCs w:val="22"/>
          <w:lang w:eastAsia="en-NZ"/>
        </w:rPr>
      </w:pPr>
      <w:hyperlink w:anchor="_Toc75788014" w:history="1">
        <w:r w:rsidR="003F4E6E" w:rsidRPr="00291D73">
          <w:rPr>
            <w:rStyle w:val="Hyperlink"/>
            <w:noProof/>
          </w:rPr>
          <w:t>Appendix D: Comparisons of cervical ripening and methods of induction of labour</w:t>
        </w:r>
        <w:r w:rsidR="003F4E6E">
          <w:rPr>
            <w:noProof/>
            <w:webHidden/>
          </w:rPr>
          <w:tab/>
        </w:r>
        <w:r w:rsidR="003F4E6E">
          <w:rPr>
            <w:noProof/>
            <w:webHidden/>
          </w:rPr>
          <w:fldChar w:fldCharType="begin"/>
        </w:r>
        <w:r w:rsidR="003F4E6E">
          <w:rPr>
            <w:noProof/>
            <w:webHidden/>
          </w:rPr>
          <w:instrText xml:space="preserve"> PAGEREF _Toc75788014 \h </w:instrText>
        </w:r>
        <w:r w:rsidR="003F4E6E">
          <w:rPr>
            <w:noProof/>
            <w:webHidden/>
          </w:rPr>
        </w:r>
        <w:r w:rsidR="003F4E6E">
          <w:rPr>
            <w:noProof/>
            <w:webHidden/>
          </w:rPr>
          <w:fldChar w:fldCharType="separate"/>
        </w:r>
        <w:r w:rsidR="00C04A3F">
          <w:rPr>
            <w:noProof/>
            <w:webHidden/>
          </w:rPr>
          <w:t>91</w:t>
        </w:r>
        <w:r w:rsidR="003F4E6E">
          <w:rPr>
            <w:noProof/>
            <w:webHidden/>
          </w:rPr>
          <w:fldChar w:fldCharType="end"/>
        </w:r>
      </w:hyperlink>
    </w:p>
    <w:p w14:paraId="53B9A7B1" w14:textId="087C3AFC" w:rsidR="003F4E6E" w:rsidRDefault="004D0EDF">
      <w:pPr>
        <w:pStyle w:val="TOC2"/>
        <w:rPr>
          <w:rFonts w:asciiTheme="minorHAnsi" w:eastAsiaTheme="minorEastAsia" w:hAnsiTheme="minorHAnsi" w:cstheme="minorBidi"/>
          <w:noProof/>
          <w:sz w:val="22"/>
          <w:szCs w:val="22"/>
          <w:lang w:eastAsia="en-NZ"/>
        </w:rPr>
      </w:pPr>
      <w:hyperlink w:anchor="_Toc75788015" w:history="1">
        <w:r w:rsidR="003F4E6E" w:rsidRPr="00291D73">
          <w:rPr>
            <w:rStyle w:val="Hyperlink"/>
            <w:noProof/>
          </w:rPr>
          <w:t>Appendix E: Examples of preparation of oral misoprostol for cervical ripening</w:t>
        </w:r>
        <w:r w:rsidR="003F4E6E">
          <w:rPr>
            <w:noProof/>
            <w:webHidden/>
          </w:rPr>
          <w:tab/>
        </w:r>
        <w:r w:rsidR="003F4E6E">
          <w:rPr>
            <w:noProof/>
            <w:webHidden/>
          </w:rPr>
          <w:fldChar w:fldCharType="begin"/>
        </w:r>
        <w:r w:rsidR="003F4E6E">
          <w:rPr>
            <w:noProof/>
            <w:webHidden/>
          </w:rPr>
          <w:instrText xml:space="preserve"> PAGEREF _Toc75788015 \h </w:instrText>
        </w:r>
        <w:r w:rsidR="003F4E6E">
          <w:rPr>
            <w:noProof/>
            <w:webHidden/>
          </w:rPr>
        </w:r>
        <w:r w:rsidR="003F4E6E">
          <w:rPr>
            <w:noProof/>
            <w:webHidden/>
          </w:rPr>
          <w:fldChar w:fldCharType="separate"/>
        </w:r>
        <w:r w:rsidR="00C04A3F">
          <w:rPr>
            <w:noProof/>
            <w:webHidden/>
          </w:rPr>
          <w:t>92</w:t>
        </w:r>
        <w:r w:rsidR="003F4E6E">
          <w:rPr>
            <w:noProof/>
            <w:webHidden/>
          </w:rPr>
          <w:fldChar w:fldCharType="end"/>
        </w:r>
      </w:hyperlink>
    </w:p>
    <w:p w14:paraId="1463103D" w14:textId="236DBA11" w:rsidR="003F4E6E" w:rsidRDefault="004D0EDF">
      <w:pPr>
        <w:pStyle w:val="TOC1"/>
        <w:rPr>
          <w:rFonts w:asciiTheme="minorHAnsi" w:eastAsiaTheme="minorEastAsia" w:hAnsiTheme="minorHAnsi" w:cstheme="minorBidi"/>
          <w:noProof/>
          <w:sz w:val="22"/>
          <w:szCs w:val="22"/>
          <w:lang w:eastAsia="en-NZ"/>
        </w:rPr>
      </w:pPr>
      <w:hyperlink w:anchor="_Toc75788016" w:history="1">
        <w:r w:rsidR="003F4E6E" w:rsidRPr="00291D73">
          <w:rPr>
            <w:rStyle w:val="Hyperlink"/>
            <w:noProof/>
          </w:rPr>
          <w:t>References</w:t>
        </w:r>
        <w:r w:rsidR="003F4E6E">
          <w:rPr>
            <w:noProof/>
            <w:webHidden/>
          </w:rPr>
          <w:tab/>
        </w:r>
        <w:r w:rsidR="003F4E6E">
          <w:rPr>
            <w:noProof/>
            <w:webHidden/>
          </w:rPr>
          <w:fldChar w:fldCharType="begin"/>
        </w:r>
        <w:r w:rsidR="003F4E6E">
          <w:rPr>
            <w:noProof/>
            <w:webHidden/>
          </w:rPr>
          <w:instrText xml:space="preserve"> PAGEREF _Toc75788016 \h </w:instrText>
        </w:r>
        <w:r w:rsidR="003F4E6E">
          <w:rPr>
            <w:noProof/>
            <w:webHidden/>
          </w:rPr>
        </w:r>
        <w:r w:rsidR="003F4E6E">
          <w:rPr>
            <w:noProof/>
            <w:webHidden/>
          </w:rPr>
          <w:fldChar w:fldCharType="separate"/>
        </w:r>
        <w:r w:rsidR="00C04A3F">
          <w:rPr>
            <w:noProof/>
            <w:webHidden/>
          </w:rPr>
          <w:t>95</w:t>
        </w:r>
        <w:r w:rsidR="003F4E6E">
          <w:rPr>
            <w:noProof/>
            <w:webHidden/>
          </w:rPr>
          <w:fldChar w:fldCharType="end"/>
        </w:r>
      </w:hyperlink>
    </w:p>
    <w:p w14:paraId="5BB06626" w14:textId="3772ACF5" w:rsidR="00C86248" w:rsidRDefault="003F4E6E">
      <w:r>
        <w:rPr>
          <w:rFonts w:ascii="Segoe UI Semibold" w:hAnsi="Segoe UI Semibold"/>
          <w:b/>
          <w:sz w:val="24"/>
        </w:rPr>
        <w:fldChar w:fldCharType="end"/>
      </w:r>
    </w:p>
    <w:p w14:paraId="194BAFAD" w14:textId="77777777" w:rsidR="002B76A7" w:rsidRDefault="002B76A7" w:rsidP="002B76A7">
      <w:pPr>
        <w:pStyle w:val="TOC1"/>
        <w:keepNext/>
      </w:pPr>
      <w:r>
        <w:lastRenderedPageBreak/>
        <w:t>List of Tables</w:t>
      </w:r>
    </w:p>
    <w:p w14:paraId="079F3A98" w14:textId="5157F95D" w:rsidR="002122EA"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2122EA">
        <w:rPr>
          <w:noProof/>
        </w:rPr>
        <w:t>Table 1:</w:t>
      </w:r>
      <w:r w:rsidR="00E6567B">
        <w:rPr>
          <w:noProof/>
        </w:rPr>
        <w:tab/>
      </w:r>
      <w:r w:rsidR="002122EA">
        <w:rPr>
          <w:noProof/>
        </w:rPr>
        <w:t>Summary of recommendations and practice points</w:t>
      </w:r>
      <w:r w:rsidR="002122EA">
        <w:rPr>
          <w:noProof/>
        </w:rPr>
        <w:tab/>
      </w:r>
      <w:r w:rsidR="002122EA">
        <w:rPr>
          <w:noProof/>
        </w:rPr>
        <w:fldChar w:fldCharType="begin"/>
      </w:r>
      <w:r w:rsidR="002122EA">
        <w:rPr>
          <w:noProof/>
        </w:rPr>
        <w:instrText xml:space="preserve"> PAGEREF _Toc72488607 \h </w:instrText>
      </w:r>
      <w:r w:rsidR="002122EA">
        <w:rPr>
          <w:noProof/>
        </w:rPr>
      </w:r>
      <w:r w:rsidR="002122EA">
        <w:rPr>
          <w:noProof/>
        </w:rPr>
        <w:fldChar w:fldCharType="separate"/>
      </w:r>
      <w:r w:rsidR="00C04A3F">
        <w:rPr>
          <w:noProof/>
        </w:rPr>
        <w:t>1</w:t>
      </w:r>
      <w:r w:rsidR="002122EA">
        <w:rPr>
          <w:noProof/>
        </w:rPr>
        <w:fldChar w:fldCharType="end"/>
      </w:r>
    </w:p>
    <w:p w14:paraId="02979C49" w14:textId="04B47C47" w:rsidR="002122EA" w:rsidRDefault="002122EA">
      <w:pPr>
        <w:pStyle w:val="TOC3"/>
        <w:rPr>
          <w:rFonts w:asciiTheme="minorHAnsi" w:eastAsiaTheme="minorEastAsia" w:hAnsiTheme="minorHAnsi" w:cstheme="minorBidi"/>
          <w:noProof/>
          <w:sz w:val="22"/>
          <w:szCs w:val="22"/>
          <w:lang w:eastAsia="en-NZ"/>
        </w:rPr>
      </w:pPr>
      <w:r>
        <w:rPr>
          <w:noProof/>
        </w:rPr>
        <w:t>Table 2:</w:t>
      </w:r>
      <w:r w:rsidR="00E6567B">
        <w:rPr>
          <w:noProof/>
        </w:rPr>
        <w:tab/>
      </w:r>
      <w:r>
        <w:rPr>
          <w:noProof/>
        </w:rPr>
        <w:t>NICE levels of evidence and categories of papers</w:t>
      </w:r>
      <w:r>
        <w:rPr>
          <w:noProof/>
        </w:rPr>
        <w:tab/>
      </w:r>
      <w:r>
        <w:rPr>
          <w:noProof/>
        </w:rPr>
        <w:fldChar w:fldCharType="begin"/>
      </w:r>
      <w:r>
        <w:rPr>
          <w:noProof/>
        </w:rPr>
        <w:instrText xml:space="preserve"> PAGEREF _Toc72488608 \h </w:instrText>
      </w:r>
      <w:r>
        <w:rPr>
          <w:noProof/>
        </w:rPr>
      </w:r>
      <w:r>
        <w:rPr>
          <w:noProof/>
        </w:rPr>
        <w:fldChar w:fldCharType="separate"/>
      </w:r>
      <w:r w:rsidR="00C04A3F">
        <w:rPr>
          <w:noProof/>
        </w:rPr>
        <w:t>14</w:t>
      </w:r>
      <w:r>
        <w:rPr>
          <w:noProof/>
        </w:rPr>
        <w:fldChar w:fldCharType="end"/>
      </w:r>
    </w:p>
    <w:p w14:paraId="0D533F71" w14:textId="5CF4144D" w:rsidR="002122EA" w:rsidRDefault="002122EA">
      <w:pPr>
        <w:pStyle w:val="TOC3"/>
        <w:rPr>
          <w:rFonts w:asciiTheme="minorHAnsi" w:eastAsiaTheme="minorEastAsia" w:hAnsiTheme="minorHAnsi" w:cstheme="minorBidi"/>
          <w:noProof/>
          <w:sz w:val="22"/>
          <w:szCs w:val="22"/>
          <w:lang w:eastAsia="en-NZ"/>
        </w:rPr>
      </w:pPr>
      <w:r>
        <w:rPr>
          <w:noProof/>
        </w:rPr>
        <w:t>Table 3:</w:t>
      </w:r>
      <w:r w:rsidR="00E6567B">
        <w:rPr>
          <w:noProof/>
        </w:rPr>
        <w:tab/>
      </w:r>
      <w:r>
        <w:rPr>
          <w:noProof/>
        </w:rPr>
        <w:t>GRADE quality rating for evidence and strength of recommendations</w:t>
      </w:r>
      <w:r>
        <w:rPr>
          <w:noProof/>
        </w:rPr>
        <w:tab/>
      </w:r>
      <w:r>
        <w:rPr>
          <w:noProof/>
        </w:rPr>
        <w:fldChar w:fldCharType="begin"/>
      </w:r>
      <w:r>
        <w:rPr>
          <w:noProof/>
        </w:rPr>
        <w:instrText xml:space="preserve"> PAGEREF _Toc72488609 \h </w:instrText>
      </w:r>
      <w:r>
        <w:rPr>
          <w:noProof/>
        </w:rPr>
      </w:r>
      <w:r>
        <w:rPr>
          <w:noProof/>
        </w:rPr>
        <w:fldChar w:fldCharType="separate"/>
      </w:r>
      <w:r w:rsidR="00C04A3F">
        <w:rPr>
          <w:noProof/>
        </w:rPr>
        <w:t>14</w:t>
      </w:r>
      <w:r>
        <w:rPr>
          <w:noProof/>
        </w:rPr>
        <w:fldChar w:fldCharType="end"/>
      </w:r>
    </w:p>
    <w:p w14:paraId="4DB577E4" w14:textId="2C8643B6" w:rsidR="002122EA" w:rsidRDefault="002122EA">
      <w:pPr>
        <w:pStyle w:val="TOC3"/>
        <w:rPr>
          <w:rFonts w:asciiTheme="minorHAnsi" w:eastAsiaTheme="minorEastAsia" w:hAnsiTheme="minorHAnsi" w:cstheme="minorBidi"/>
          <w:noProof/>
          <w:sz w:val="22"/>
          <w:szCs w:val="22"/>
          <w:lang w:eastAsia="en-NZ"/>
        </w:rPr>
      </w:pPr>
      <w:r>
        <w:rPr>
          <w:noProof/>
        </w:rPr>
        <w:t>Table B1:</w:t>
      </w:r>
      <w:r w:rsidR="00E6567B">
        <w:rPr>
          <w:noProof/>
        </w:rPr>
        <w:tab/>
      </w:r>
      <w:r>
        <w:rPr>
          <w:noProof/>
        </w:rPr>
        <w:t>Results of searches</w:t>
      </w:r>
      <w:r>
        <w:rPr>
          <w:noProof/>
        </w:rPr>
        <w:tab/>
      </w:r>
      <w:r>
        <w:rPr>
          <w:noProof/>
        </w:rPr>
        <w:fldChar w:fldCharType="begin"/>
      </w:r>
      <w:r>
        <w:rPr>
          <w:noProof/>
        </w:rPr>
        <w:instrText xml:space="preserve"> PAGEREF _Toc72488610 \h </w:instrText>
      </w:r>
      <w:r>
        <w:rPr>
          <w:noProof/>
        </w:rPr>
      </w:r>
      <w:r>
        <w:rPr>
          <w:noProof/>
        </w:rPr>
        <w:fldChar w:fldCharType="separate"/>
      </w:r>
      <w:r w:rsidR="00C04A3F">
        <w:rPr>
          <w:noProof/>
        </w:rPr>
        <w:t>74</w:t>
      </w:r>
      <w:r>
        <w:rPr>
          <w:noProof/>
        </w:rPr>
        <w:fldChar w:fldCharType="end"/>
      </w:r>
    </w:p>
    <w:p w14:paraId="45C54C3F" w14:textId="7AD0F9C2" w:rsidR="002122EA" w:rsidRDefault="002122EA">
      <w:pPr>
        <w:pStyle w:val="TOC3"/>
        <w:rPr>
          <w:rFonts w:asciiTheme="minorHAnsi" w:eastAsiaTheme="minorEastAsia" w:hAnsiTheme="minorHAnsi" w:cstheme="minorBidi"/>
          <w:noProof/>
          <w:sz w:val="22"/>
          <w:szCs w:val="22"/>
          <w:lang w:eastAsia="en-NZ"/>
        </w:rPr>
      </w:pPr>
      <w:r>
        <w:rPr>
          <w:noProof/>
        </w:rPr>
        <w:t>Table B2:</w:t>
      </w:r>
      <w:r w:rsidR="00E6567B">
        <w:rPr>
          <w:noProof/>
        </w:rPr>
        <w:tab/>
      </w:r>
      <w:r>
        <w:rPr>
          <w:noProof/>
        </w:rPr>
        <w:t>Recruiting trials for indications and methods of induction of labour</w:t>
      </w:r>
      <w:r>
        <w:rPr>
          <w:noProof/>
        </w:rPr>
        <w:tab/>
      </w:r>
      <w:r>
        <w:rPr>
          <w:noProof/>
        </w:rPr>
        <w:fldChar w:fldCharType="begin"/>
      </w:r>
      <w:r>
        <w:rPr>
          <w:noProof/>
        </w:rPr>
        <w:instrText xml:space="preserve"> PAGEREF _Toc72488611 \h </w:instrText>
      </w:r>
      <w:r>
        <w:rPr>
          <w:noProof/>
        </w:rPr>
      </w:r>
      <w:r>
        <w:rPr>
          <w:noProof/>
        </w:rPr>
        <w:fldChar w:fldCharType="separate"/>
      </w:r>
      <w:r w:rsidR="00C04A3F">
        <w:rPr>
          <w:noProof/>
        </w:rPr>
        <w:t>77</w:t>
      </w:r>
      <w:r>
        <w:rPr>
          <w:noProof/>
        </w:rPr>
        <w:fldChar w:fldCharType="end"/>
      </w:r>
    </w:p>
    <w:p w14:paraId="3D0AE30E" w14:textId="31AE3672" w:rsidR="002122EA" w:rsidRDefault="002122EA">
      <w:pPr>
        <w:pStyle w:val="TOC3"/>
        <w:rPr>
          <w:rFonts w:asciiTheme="minorHAnsi" w:eastAsiaTheme="minorEastAsia" w:hAnsiTheme="minorHAnsi" w:cstheme="minorBidi"/>
          <w:noProof/>
          <w:sz w:val="22"/>
          <w:szCs w:val="22"/>
          <w:lang w:eastAsia="en-NZ"/>
        </w:rPr>
      </w:pPr>
      <w:r>
        <w:rPr>
          <w:noProof/>
        </w:rPr>
        <w:t>Table B3:</w:t>
      </w:r>
      <w:r w:rsidR="00E6567B">
        <w:rPr>
          <w:noProof/>
        </w:rPr>
        <w:tab/>
      </w:r>
      <w:r>
        <w:rPr>
          <w:noProof/>
        </w:rPr>
        <w:t>Recruiting trials looking at outpatient methods of induction of labour</w:t>
      </w:r>
      <w:r>
        <w:rPr>
          <w:noProof/>
        </w:rPr>
        <w:tab/>
      </w:r>
      <w:r>
        <w:rPr>
          <w:noProof/>
        </w:rPr>
        <w:fldChar w:fldCharType="begin"/>
      </w:r>
      <w:r>
        <w:rPr>
          <w:noProof/>
        </w:rPr>
        <w:instrText xml:space="preserve"> PAGEREF _Toc72488612 \h </w:instrText>
      </w:r>
      <w:r>
        <w:rPr>
          <w:noProof/>
        </w:rPr>
      </w:r>
      <w:r>
        <w:rPr>
          <w:noProof/>
        </w:rPr>
        <w:fldChar w:fldCharType="separate"/>
      </w:r>
      <w:r w:rsidR="00C04A3F">
        <w:rPr>
          <w:noProof/>
        </w:rPr>
        <w:t>80</w:t>
      </w:r>
      <w:r>
        <w:rPr>
          <w:noProof/>
        </w:rPr>
        <w:fldChar w:fldCharType="end"/>
      </w:r>
    </w:p>
    <w:p w14:paraId="65B56594" w14:textId="4BCF998F" w:rsidR="002122EA" w:rsidRDefault="002122EA">
      <w:pPr>
        <w:pStyle w:val="TOC3"/>
        <w:rPr>
          <w:rFonts w:asciiTheme="minorHAnsi" w:eastAsiaTheme="minorEastAsia" w:hAnsiTheme="minorHAnsi" w:cstheme="minorBidi"/>
          <w:noProof/>
          <w:sz w:val="22"/>
          <w:szCs w:val="22"/>
          <w:lang w:eastAsia="en-NZ"/>
        </w:rPr>
      </w:pPr>
      <w:r>
        <w:rPr>
          <w:noProof/>
        </w:rPr>
        <w:t>Table C1:</w:t>
      </w:r>
      <w:r w:rsidR="00E6567B">
        <w:rPr>
          <w:noProof/>
        </w:rPr>
        <w:tab/>
      </w:r>
      <w:r>
        <w:rPr>
          <w:noProof/>
        </w:rPr>
        <w:t>Adjusted odds ratio for perinatal related mortality, termination of pregnancy, stillbirth and neonatal death 2011-2015 in New Zealand</w:t>
      </w:r>
      <w:r>
        <w:rPr>
          <w:noProof/>
        </w:rPr>
        <w:tab/>
      </w:r>
      <w:r>
        <w:rPr>
          <w:noProof/>
        </w:rPr>
        <w:fldChar w:fldCharType="begin"/>
      </w:r>
      <w:r>
        <w:rPr>
          <w:noProof/>
        </w:rPr>
        <w:instrText xml:space="preserve"> PAGEREF _Toc72488613 \h </w:instrText>
      </w:r>
      <w:r>
        <w:rPr>
          <w:noProof/>
        </w:rPr>
      </w:r>
      <w:r>
        <w:rPr>
          <w:noProof/>
        </w:rPr>
        <w:fldChar w:fldCharType="separate"/>
      </w:r>
      <w:r w:rsidR="00C04A3F">
        <w:rPr>
          <w:noProof/>
        </w:rPr>
        <w:t>82</w:t>
      </w:r>
      <w:r>
        <w:rPr>
          <w:noProof/>
        </w:rPr>
        <w:fldChar w:fldCharType="end"/>
      </w:r>
    </w:p>
    <w:p w14:paraId="7B06C244" w14:textId="7DA1689D" w:rsidR="002122EA" w:rsidRDefault="002122EA">
      <w:pPr>
        <w:pStyle w:val="TOC3"/>
        <w:rPr>
          <w:rFonts w:asciiTheme="minorHAnsi" w:eastAsiaTheme="minorEastAsia" w:hAnsiTheme="minorHAnsi" w:cstheme="minorBidi"/>
          <w:noProof/>
          <w:sz w:val="22"/>
          <w:szCs w:val="22"/>
          <w:lang w:eastAsia="en-NZ"/>
        </w:rPr>
      </w:pPr>
      <w:r>
        <w:rPr>
          <w:noProof/>
        </w:rPr>
        <w:t>Table C2:</w:t>
      </w:r>
      <w:r w:rsidR="00E6567B">
        <w:rPr>
          <w:noProof/>
        </w:rPr>
        <w:tab/>
      </w:r>
      <w:r>
        <w:rPr>
          <w:noProof/>
        </w:rPr>
        <w:t>Risk factors and attributable stillbirth in selected high-income countries</w:t>
      </w:r>
      <w:r>
        <w:rPr>
          <w:noProof/>
        </w:rPr>
        <w:tab/>
      </w:r>
      <w:r>
        <w:rPr>
          <w:noProof/>
        </w:rPr>
        <w:fldChar w:fldCharType="begin"/>
      </w:r>
      <w:r>
        <w:rPr>
          <w:noProof/>
        </w:rPr>
        <w:instrText xml:space="preserve"> PAGEREF _Toc72488614 \h </w:instrText>
      </w:r>
      <w:r>
        <w:rPr>
          <w:noProof/>
        </w:rPr>
      </w:r>
      <w:r>
        <w:rPr>
          <w:noProof/>
        </w:rPr>
        <w:fldChar w:fldCharType="separate"/>
      </w:r>
      <w:r w:rsidR="00C04A3F">
        <w:rPr>
          <w:noProof/>
        </w:rPr>
        <w:t>83</w:t>
      </w:r>
      <w:r>
        <w:rPr>
          <w:noProof/>
        </w:rPr>
        <w:fldChar w:fldCharType="end"/>
      </w:r>
    </w:p>
    <w:p w14:paraId="4D57B34C" w14:textId="46A8C2C6" w:rsidR="002122EA" w:rsidRDefault="002122EA">
      <w:pPr>
        <w:pStyle w:val="TOC3"/>
        <w:rPr>
          <w:rFonts w:asciiTheme="minorHAnsi" w:eastAsiaTheme="minorEastAsia" w:hAnsiTheme="minorHAnsi" w:cstheme="minorBidi"/>
          <w:noProof/>
          <w:sz w:val="22"/>
          <w:szCs w:val="22"/>
          <w:lang w:eastAsia="en-NZ"/>
        </w:rPr>
      </w:pPr>
      <w:r>
        <w:rPr>
          <w:noProof/>
        </w:rPr>
        <w:t>Table C3:</w:t>
      </w:r>
      <w:r w:rsidR="00E6567B">
        <w:rPr>
          <w:noProof/>
        </w:rPr>
        <w:tab/>
      </w:r>
      <w:r>
        <w:rPr>
          <w:noProof/>
        </w:rPr>
        <w:t>Population-attributable risk for stillbirth in selected high-income countries</w:t>
      </w:r>
      <w:r>
        <w:rPr>
          <w:noProof/>
        </w:rPr>
        <w:tab/>
      </w:r>
      <w:r>
        <w:rPr>
          <w:noProof/>
        </w:rPr>
        <w:fldChar w:fldCharType="begin"/>
      </w:r>
      <w:r>
        <w:rPr>
          <w:noProof/>
        </w:rPr>
        <w:instrText xml:space="preserve"> PAGEREF _Toc72488615 \h </w:instrText>
      </w:r>
      <w:r>
        <w:rPr>
          <w:noProof/>
        </w:rPr>
      </w:r>
      <w:r>
        <w:rPr>
          <w:noProof/>
        </w:rPr>
        <w:fldChar w:fldCharType="separate"/>
      </w:r>
      <w:r w:rsidR="00C04A3F">
        <w:rPr>
          <w:noProof/>
        </w:rPr>
        <w:t>83</w:t>
      </w:r>
      <w:r>
        <w:rPr>
          <w:noProof/>
        </w:rPr>
        <w:fldChar w:fldCharType="end"/>
      </w:r>
    </w:p>
    <w:p w14:paraId="3886498B" w14:textId="17183122" w:rsidR="002122EA" w:rsidRDefault="002122EA">
      <w:pPr>
        <w:pStyle w:val="TOC3"/>
        <w:rPr>
          <w:rFonts w:asciiTheme="minorHAnsi" w:eastAsiaTheme="minorEastAsia" w:hAnsiTheme="minorHAnsi" w:cstheme="minorBidi"/>
          <w:noProof/>
          <w:sz w:val="22"/>
          <w:szCs w:val="22"/>
          <w:lang w:eastAsia="en-NZ"/>
        </w:rPr>
      </w:pPr>
      <w:r>
        <w:rPr>
          <w:noProof/>
        </w:rPr>
        <w:t>Table C4:</w:t>
      </w:r>
      <w:r w:rsidR="00E6567B">
        <w:rPr>
          <w:noProof/>
        </w:rPr>
        <w:tab/>
      </w:r>
      <w:r>
        <w:rPr>
          <w:noProof/>
        </w:rPr>
        <w:t>Association of maternal factors with antepartum stillbirth (INTERGROWTH-21 Project)</w:t>
      </w:r>
      <w:r>
        <w:rPr>
          <w:noProof/>
        </w:rPr>
        <w:tab/>
      </w:r>
      <w:r>
        <w:rPr>
          <w:noProof/>
        </w:rPr>
        <w:fldChar w:fldCharType="begin"/>
      </w:r>
      <w:r>
        <w:rPr>
          <w:noProof/>
        </w:rPr>
        <w:instrText xml:space="preserve"> PAGEREF _Toc72488616 \h </w:instrText>
      </w:r>
      <w:r>
        <w:rPr>
          <w:noProof/>
        </w:rPr>
      </w:r>
      <w:r>
        <w:rPr>
          <w:noProof/>
        </w:rPr>
        <w:fldChar w:fldCharType="separate"/>
      </w:r>
      <w:r w:rsidR="00C04A3F">
        <w:rPr>
          <w:noProof/>
        </w:rPr>
        <w:t>84</w:t>
      </w:r>
      <w:r>
        <w:rPr>
          <w:noProof/>
        </w:rPr>
        <w:fldChar w:fldCharType="end"/>
      </w:r>
    </w:p>
    <w:p w14:paraId="12C038A8" w14:textId="77777777" w:rsidR="002B76A7" w:rsidRDefault="002B76A7" w:rsidP="003A5FEA">
      <w:r>
        <w:fldChar w:fldCharType="end"/>
      </w:r>
    </w:p>
    <w:p w14:paraId="734A52BB" w14:textId="77777777" w:rsidR="0033448B" w:rsidRDefault="0033448B" w:rsidP="0033448B">
      <w:pPr>
        <w:pStyle w:val="TOC1"/>
        <w:keepNext/>
      </w:pPr>
      <w:r>
        <w:t>List of Figures</w:t>
      </w:r>
    </w:p>
    <w:p w14:paraId="0554B7A3" w14:textId="21F3AE8F" w:rsidR="002122EA"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2122EA">
        <w:rPr>
          <w:noProof/>
        </w:rPr>
        <w:t>Figure C1:</w:t>
      </w:r>
      <w:r w:rsidR="00E6567B">
        <w:rPr>
          <w:noProof/>
        </w:rPr>
        <w:tab/>
      </w:r>
      <w:r w:rsidR="002122EA">
        <w:rPr>
          <w:noProof/>
        </w:rPr>
        <w:t>Association of stillbirth with gestational age, United States data</w:t>
      </w:r>
      <w:r w:rsidR="002122EA">
        <w:rPr>
          <w:noProof/>
        </w:rPr>
        <w:tab/>
      </w:r>
      <w:r w:rsidR="002122EA">
        <w:rPr>
          <w:noProof/>
        </w:rPr>
        <w:fldChar w:fldCharType="begin"/>
      </w:r>
      <w:r w:rsidR="002122EA">
        <w:rPr>
          <w:noProof/>
        </w:rPr>
        <w:instrText xml:space="preserve"> PAGEREF _Toc72488617 \h </w:instrText>
      </w:r>
      <w:r w:rsidR="002122EA">
        <w:rPr>
          <w:noProof/>
        </w:rPr>
      </w:r>
      <w:r w:rsidR="002122EA">
        <w:rPr>
          <w:noProof/>
        </w:rPr>
        <w:fldChar w:fldCharType="separate"/>
      </w:r>
      <w:r w:rsidR="00C04A3F">
        <w:rPr>
          <w:noProof/>
        </w:rPr>
        <w:t>84</w:t>
      </w:r>
      <w:r w:rsidR="002122EA">
        <w:rPr>
          <w:noProof/>
        </w:rPr>
        <w:fldChar w:fldCharType="end"/>
      </w:r>
    </w:p>
    <w:p w14:paraId="1E15AAAE" w14:textId="6E4327F1" w:rsidR="002122EA" w:rsidRDefault="002122EA">
      <w:pPr>
        <w:pStyle w:val="TOC3"/>
        <w:rPr>
          <w:rFonts w:asciiTheme="minorHAnsi" w:eastAsiaTheme="minorEastAsia" w:hAnsiTheme="minorHAnsi" w:cstheme="minorBidi"/>
          <w:noProof/>
          <w:sz w:val="22"/>
          <w:szCs w:val="22"/>
          <w:lang w:eastAsia="en-NZ"/>
        </w:rPr>
      </w:pPr>
      <w:r>
        <w:rPr>
          <w:noProof/>
        </w:rPr>
        <w:t>Figure C2:</w:t>
      </w:r>
      <w:r w:rsidR="00E6567B">
        <w:rPr>
          <w:noProof/>
        </w:rPr>
        <w:tab/>
      </w:r>
      <w:r>
        <w:rPr>
          <w:noProof/>
        </w:rPr>
        <w:t>Association of BMI and fetal death</w:t>
      </w:r>
      <w:r>
        <w:rPr>
          <w:noProof/>
        </w:rPr>
        <w:tab/>
      </w:r>
      <w:r>
        <w:rPr>
          <w:noProof/>
        </w:rPr>
        <w:fldChar w:fldCharType="begin"/>
      </w:r>
      <w:r>
        <w:rPr>
          <w:noProof/>
        </w:rPr>
        <w:instrText xml:space="preserve"> PAGEREF _Toc72488618 \h </w:instrText>
      </w:r>
      <w:r>
        <w:rPr>
          <w:noProof/>
        </w:rPr>
      </w:r>
      <w:r>
        <w:rPr>
          <w:noProof/>
        </w:rPr>
        <w:fldChar w:fldCharType="separate"/>
      </w:r>
      <w:r w:rsidR="00C04A3F">
        <w:rPr>
          <w:noProof/>
        </w:rPr>
        <w:t>85</w:t>
      </w:r>
      <w:r>
        <w:rPr>
          <w:noProof/>
        </w:rPr>
        <w:fldChar w:fldCharType="end"/>
      </w:r>
    </w:p>
    <w:p w14:paraId="40418D1C" w14:textId="0330642E" w:rsidR="002122EA" w:rsidRDefault="002122EA">
      <w:pPr>
        <w:pStyle w:val="TOC3"/>
        <w:rPr>
          <w:rFonts w:asciiTheme="minorHAnsi" w:eastAsiaTheme="minorEastAsia" w:hAnsiTheme="minorHAnsi" w:cstheme="minorBidi"/>
          <w:noProof/>
          <w:sz w:val="22"/>
          <w:szCs w:val="22"/>
          <w:lang w:eastAsia="en-NZ"/>
        </w:rPr>
      </w:pPr>
      <w:r>
        <w:rPr>
          <w:noProof/>
        </w:rPr>
        <w:t>Figure C3:</w:t>
      </w:r>
      <w:r w:rsidR="00E6567B">
        <w:rPr>
          <w:noProof/>
        </w:rPr>
        <w:tab/>
      </w:r>
      <w:r>
        <w:rPr>
          <w:noProof/>
        </w:rPr>
        <w:t>Association of obesity in pregnancy and stillbirth in Washington and Texas</w:t>
      </w:r>
      <w:r>
        <w:rPr>
          <w:noProof/>
        </w:rPr>
        <w:tab/>
      </w:r>
      <w:r>
        <w:rPr>
          <w:noProof/>
        </w:rPr>
        <w:fldChar w:fldCharType="begin"/>
      </w:r>
      <w:r>
        <w:rPr>
          <w:noProof/>
        </w:rPr>
        <w:instrText xml:space="preserve"> PAGEREF _Toc72488619 \h </w:instrText>
      </w:r>
      <w:r>
        <w:rPr>
          <w:noProof/>
        </w:rPr>
      </w:r>
      <w:r>
        <w:rPr>
          <w:noProof/>
        </w:rPr>
        <w:fldChar w:fldCharType="separate"/>
      </w:r>
      <w:r w:rsidR="00C04A3F">
        <w:rPr>
          <w:noProof/>
        </w:rPr>
        <w:t>85</w:t>
      </w:r>
      <w:r>
        <w:rPr>
          <w:noProof/>
        </w:rPr>
        <w:fldChar w:fldCharType="end"/>
      </w:r>
    </w:p>
    <w:p w14:paraId="2DCF31FB" w14:textId="31EACFB9" w:rsidR="002122EA" w:rsidRDefault="002122EA">
      <w:pPr>
        <w:pStyle w:val="TOC3"/>
        <w:rPr>
          <w:rFonts w:asciiTheme="minorHAnsi" w:eastAsiaTheme="minorEastAsia" w:hAnsiTheme="minorHAnsi" w:cstheme="minorBidi"/>
          <w:noProof/>
          <w:sz w:val="22"/>
          <w:szCs w:val="22"/>
          <w:lang w:eastAsia="en-NZ"/>
        </w:rPr>
      </w:pPr>
      <w:r>
        <w:rPr>
          <w:noProof/>
        </w:rPr>
        <w:t>Figure C4:</w:t>
      </w:r>
      <w:r w:rsidR="00E6567B">
        <w:rPr>
          <w:noProof/>
        </w:rPr>
        <w:tab/>
      </w:r>
      <w:r>
        <w:rPr>
          <w:noProof/>
        </w:rPr>
        <w:t>Association of maternal age and stillbirth in the United States</w:t>
      </w:r>
      <w:r>
        <w:rPr>
          <w:noProof/>
        </w:rPr>
        <w:tab/>
      </w:r>
      <w:r>
        <w:rPr>
          <w:noProof/>
        </w:rPr>
        <w:fldChar w:fldCharType="begin"/>
      </w:r>
      <w:r>
        <w:rPr>
          <w:noProof/>
        </w:rPr>
        <w:instrText xml:space="preserve"> PAGEREF _Toc72488620 \h </w:instrText>
      </w:r>
      <w:r>
        <w:rPr>
          <w:noProof/>
        </w:rPr>
      </w:r>
      <w:r>
        <w:rPr>
          <w:noProof/>
        </w:rPr>
        <w:fldChar w:fldCharType="separate"/>
      </w:r>
      <w:r w:rsidR="00C04A3F">
        <w:rPr>
          <w:noProof/>
        </w:rPr>
        <w:t>86</w:t>
      </w:r>
      <w:r>
        <w:rPr>
          <w:noProof/>
        </w:rPr>
        <w:fldChar w:fldCharType="end"/>
      </w:r>
    </w:p>
    <w:p w14:paraId="00BD369D" w14:textId="7AAE18F6" w:rsidR="002122EA" w:rsidRDefault="002122EA">
      <w:pPr>
        <w:pStyle w:val="TOC3"/>
        <w:rPr>
          <w:rFonts w:asciiTheme="minorHAnsi" w:eastAsiaTheme="minorEastAsia" w:hAnsiTheme="minorHAnsi" w:cstheme="minorBidi"/>
          <w:noProof/>
          <w:sz w:val="22"/>
          <w:szCs w:val="22"/>
          <w:lang w:eastAsia="en-NZ"/>
        </w:rPr>
      </w:pPr>
      <w:r>
        <w:rPr>
          <w:noProof/>
        </w:rPr>
        <w:t>Figure C5:</w:t>
      </w:r>
      <w:r w:rsidR="00E6567B">
        <w:rPr>
          <w:noProof/>
        </w:rPr>
        <w:tab/>
      </w:r>
      <w:r>
        <w:rPr>
          <w:noProof/>
        </w:rPr>
        <w:t>Risk of stillbirth and neonatal complications in twin pregnancies</w:t>
      </w:r>
      <w:r>
        <w:rPr>
          <w:noProof/>
        </w:rPr>
        <w:tab/>
      </w:r>
      <w:r>
        <w:rPr>
          <w:noProof/>
        </w:rPr>
        <w:fldChar w:fldCharType="begin"/>
      </w:r>
      <w:r>
        <w:rPr>
          <w:noProof/>
        </w:rPr>
        <w:instrText xml:space="preserve"> PAGEREF _Toc72488621 \h </w:instrText>
      </w:r>
      <w:r>
        <w:rPr>
          <w:noProof/>
        </w:rPr>
      </w:r>
      <w:r>
        <w:rPr>
          <w:noProof/>
        </w:rPr>
        <w:fldChar w:fldCharType="separate"/>
      </w:r>
      <w:r w:rsidR="00C04A3F">
        <w:rPr>
          <w:noProof/>
        </w:rPr>
        <w:t>87</w:t>
      </w:r>
      <w:r>
        <w:rPr>
          <w:noProof/>
        </w:rPr>
        <w:fldChar w:fldCharType="end"/>
      </w:r>
    </w:p>
    <w:p w14:paraId="75E4E2FF" w14:textId="23EA25A3" w:rsidR="002122EA" w:rsidRDefault="002122EA">
      <w:pPr>
        <w:pStyle w:val="TOC3"/>
        <w:rPr>
          <w:rFonts w:asciiTheme="minorHAnsi" w:eastAsiaTheme="minorEastAsia" w:hAnsiTheme="minorHAnsi" w:cstheme="minorBidi"/>
          <w:noProof/>
          <w:sz w:val="22"/>
          <w:szCs w:val="22"/>
          <w:lang w:eastAsia="en-NZ"/>
        </w:rPr>
      </w:pPr>
      <w:r>
        <w:rPr>
          <w:noProof/>
        </w:rPr>
        <w:t>Figure C6:</w:t>
      </w:r>
      <w:r w:rsidR="00E6567B">
        <w:rPr>
          <w:noProof/>
        </w:rPr>
        <w:tab/>
      </w:r>
      <w:r>
        <w:rPr>
          <w:noProof/>
        </w:rPr>
        <w:t>Risk of perinatal death by gestational age and bile salt concentration in women with obstetric cholestasis</w:t>
      </w:r>
      <w:r>
        <w:rPr>
          <w:noProof/>
        </w:rPr>
        <w:tab/>
      </w:r>
      <w:r>
        <w:rPr>
          <w:noProof/>
        </w:rPr>
        <w:fldChar w:fldCharType="begin"/>
      </w:r>
      <w:r>
        <w:rPr>
          <w:noProof/>
        </w:rPr>
        <w:instrText xml:space="preserve"> PAGEREF _Toc72488622 \h </w:instrText>
      </w:r>
      <w:r>
        <w:rPr>
          <w:noProof/>
        </w:rPr>
      </w:r>
      <w:r>
        <w:rPr>
          <w:noProof/>
        </w:rPr>
        <w:fldChar w:fldCharType="separate"/>
      </w:r>
      <w:r w:rsidR="00C04A3F">
        <w:rPr>
          <w:noProof/>
        </w:rPr>
        <w:t>89</w:t>
      </w:r>
      <w:r>
        <w:rPr>
          <w:noProof/>
        </w:rPr>
        <w:fldChar w:fldCharType="end"/>
      </w:r>
    </w:p>
    <w:p w14:paraId="68E55928" w14:textId="77777777" w:rsidR="0033448B" w:rsidRPr="000A0158" w:rsidRDefault="0033448B" w:rsidP="0033448B">
      <w:r>
        <w:fldChar w:fldCharType="end"/>
      </w:r>
    </w:p>
    <w:p w14:paraId="419A36F6" w14:textId="77777777" w:rsidR="00F9272A" w:rsidRDefault="00F9272A" w:rsidP="003A5FEA">
      <w:pPr>
        <w:sectPr w:rsidR="00F9272A"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543B56A1" w14:textId="77777777" w:rsidR="00FB0A5B" w:rsidRDefault="00FB0A5B" w:rsidP="003A5FEA"/>
    <w:p w14:paraId="03774179" w14:textId="77777777" w:rsidR="00F9272A" w:rsidRDefault="00F9272A" w:rsidP="003A5FEA"/>
    <w:p w14:paraId="1117706A" w14:textId="77777777" w:rsidR="001D3E4E" w:rsidRDefault="001D3E4E" w:rsidP="003A5FEA">
      <w:pPr>
        <w:sectPr w:rsidR="001D3E4E" w:rsidSect="00925892">
          <w:footerReference w:type="even" r:id="rId22"/>
          <w:pgSz w:w="11907" w:h="16840" w:code="9"/>
          <w:pgMar w:top="1418" w:right="1701" w:bottom="1134" w:left="1843" w:header="284" w:footer="425" w:gutter="284"/>
          <w:pgNumType w:fmt="lowerRoman"/>
          <w:cols w:space="720"/>
        </w:sectPr>
      </w:pPr>
    </w:p>
    <w:p w14:paraId="4B40417D" w14:textId="77777777" w:rsidR="006E2886" w:rsidRDefault="00DA7F9E" w:rsidP="00175FB1">
      <w:pPr>
        <w:pStyle w:val="Heading1-notnumbered"/>
      </w:pPr>
      <w:bookmarkStart w:id="3" w:name="_Toc75787953"/>
      <w:r>
        <w:lastRenderedPageBreak/>
        <w:t>Executive summary</w:t>
      </w:r>
      <w:bookmarkEnd w:id="3"/>
    </w:p>
    <w:p w14:paraId="7B1D2DFA" w14:textId="77777777" w:rsidR="00E75A02" w:rsidRDefault="00E75A02" w:rsidP="00E75A02">
      <w:r>
        <w:t>This guideline provides the most recent research evidence for clinical conditions where induction of labour (IOL) at term would be considered and for methods of cervical ripening and starting IOL. A multidisciplinary panel assessed the quality of the evidence and made recommendations for the New Zealand context. This guideline is meant to be used by clinicians to inform shared decision-making with women and their partners and whānau and by district health boards (DHBs) to reflect on their current practices and align local guidelines with the national guideline to help develop consistent practices.</w:t>
      </w:r>
    </w:p>
    <w:p w14:paraId="2979BA4C" w14:textId="77777777" w:rsidR="00E75A02" w:rsidRDefault="00E75A02" w:rsidP="00E75A02"/>
    <w:p w14:paraId="3DECAD6E" w14:textId="77777777" w:rsidR="00E75A02" w:rsidRDefault="00E75A02" w:rsidP="00E75A02">
      <w:r>
        <w:t xml:space="preserve">The quality of the research evidence varied considerably. Generally, where there was sufficient level 1 evidence available, the panel made a </w:t>
      </w:r>
      <w:r w:rsidRPr="006C3CA7">
        <w:t>recommendation</w:t>
      </w:r>
      <w:r>
        <w:t xml:space="preserve"> about IOL; where</w:t>
      </w:r>
      <w:r>
        <w:rPr>
          <w:spacing w:val="-4"/>
        </w:rPr>
        <w:t xml:space="preserve"> </w:t>
      </w:r>
      <w:r>
        <w:t>there</w:t>
      </w:r>
      <w:r>
        <w:rPr>
          <w:spacing w:val="-5"/>
        </w:rPr>
        <w:t xml:space="preserve"> </w:t>
      </w:r>
      <w:r>
        <w:t>was</w:t>
      </w:r>
      <w:r>
        <w:rPr>
          <w:spacing w:val="-2"/>
        </w:rPr>
        <w:t xml:space="preserve"> </w:t>
      </w:r>
      <w:r>
        <w:t>insufficient</w:t>
      </w:r>
      <w:r>
        <w:rPr>
          <w:spacing w:val="-5"/>
        </w:rPr>
        <w:t xml:space="preserve"> </w:t>
      </w:r>
      <w:r>
        <w:t>evidence</w:t>
      </w:r>
      <w:r>
        <w:rPr>
          <w:spacing w:val="-4"/>
        </w:rPr>
        <w:t xml:space="preserve"> </w:t>
      </w:r>
      <w:r>
        <w:t>to</w:t>
      </w:r>
      <w:r>
        <w:rPr>
          <w:spacing w:val="-3"/>
        </w:rPr>
        <w:t xml:space="preserve"> </w:t>
      </w:r>
      <w:r>
        <w:t>make</w:t>
      </w:r>
      <w:r>
        <w:rPr>
          <w:spacing w:val="-5"/>
        </w:rPr>
        <w:t xml:space="preserve"> </w:t>
      </w:r>
      <w:r>
        <w:t>a</w:t>
      </w:r>
      <w:r>
        <w:rPr>
          <w:spacing w:val="-4"/>
        </w:rPr>
        <w:t xml:space="preserve"> </w:t>
      </w:r>
      <w:r>
        <w:t>recommendation</w:t>
      </w:r>
      <w:r>
        <w:rPr>
          <w:spacing w:val="-3"/>
        </w:rPr>
        <w:t xml:space="preserve"> </w:t>
      </w:r>
      <w:r>
        <w:t>(for example, suspected</w:t>
      </w:r>
      <w:r>
        <w:rPr>
          <w:spacing w:val="-4"/>
        </w:rPr>
        <w:t xml:space="preserve"> </w:t>
      </w:r>
      <w:r>
        <w:t>macrosomia) or</w:t>
      </w:r>
      <w:r>
        <w:rPr>
          <w:spacing w:val="-3"/>
        </w:rPr>
        <w:t xml:space="preserve"> </w:t>
      </w:r>
      <w:r>
        <w:t>if</w:t>
      </w:r>
      <w:r>
        <w:rPr>
          <w:spacing w:val="-3"/>
        </w:rPr>
        <w:t xml:space="preserve"> </w:t>
      </w:r>
      <w:r>
        <w:t>the</w:t>
      </w:r>
      <w:r>
        <w:rPr>
          <w:spacing w:val="-5"/>
        </w:rPr>
        <w:t xml:space="preserve"> </w:t>
      </w:r>
      <w:r>
        <w:t>evidence</w:t>
      </w:r>
      <w:r>
        <w:rPr>
          <w:spacing w:val="-4"/>
        </w:rPr>
        <w:t xml:space="preserve"> </w:t>
      </w:r>
      <w:r>
        <w:t>was</w:t>
      </w:r>
      <w:r>
        <w:rPr>
          <w:spacing w:val="-2"/>
        </w:rPr>
        <w:t xml:space="preserve"> </w:t>
      </w:r>
      <w:r>
        <w:t>rated to</w:t>
      </w:r>
      <w:r>
        <w:rPr>
          <w:spacing w:val="-12"/>
        </w:rPr>
        <w:t xml:space="preserve"> </w:t>
      </w:r>
      <w:r>
        <w:t>be</w:t>
      </w:r>
      <w:r>
        <w:rPr>
          <w:spacing w:val="-13"/>
        </w:rPr>
        <w:t xml:space="preserve"> </w:t>
      </w:r>
      <w:r>
        <w:t>of</w:t>
      </w:r>
      <w:r>
        <w:rPr>
          <w:spacing w:val="-7"/>
        </w:rPr>
        <w:t xml:space="preserve"> </w:t>
      </w:r>
      <w:r>
        <w:t>low</w:t>
      </w:r>
      <w:r>
        <w:rPr>
          <w:spacing w:val="-10"/>
        </w:rPr>
        <w:t xml:space="preserve"> </w:t>
      </w:r>
      <w:r>
        <w:t>or</w:t>
      </w:r>
      <w:r>
        <w:rPr>
          <w:spacing w:val="-11"/>
        </w:rPr>
        <w:t xml:space="preserve"> </w:t>
      </w:r>
      <w:r>
        <w:t>very</w:t>
      </w:r>
      <w:r>
        <w:rPr>
          <w:spacing w:val="-11"/>
        </w:rPr>
        <w:t xml:space="preserve"> </w:t>
      </w:r>
      <w:r>
        <w:t>low</w:t>
      </w:r>
      <w:r>
        <w:rPr>
          <w:spacing w:val="-5"/>
        </w:rPr>
        <w:t xml:space="preserve"> </w:t>
      </w:r>
      <w:r>
        <w:t>quality,</w:t>
      </w:r>
      <w:r>
        <w:rPr>
          <w:spacing w:val="-7"/>
        </w:rPr>
        <w:t xml:space="preserve"> </w:t>
      </w:r>
      <w:r>
        <w:t>then</w:t>
      </w:r>
      <w:r>
        <w:rPr>
          <w:spacing w:val="-7"/>
        </w:rPr>
        <w:t xml:space="preserve"> </w:t>
      </w:r>
      <w:r>
        <w:t>the</w:t>
      </w:r>
      <w:r>
        <w:rPr>
          <w:spacing w:val="-13"/>
        </w:rPr>
        <w:t xml:space="preserve"> p</w:t>
      </w:r>
      <w:r>
        <w:t>anel</w:t>
      </w:r>
      <w:r>
        <w:rPr>
          <w:spacing w:val="-8"/>
        </w:rPr>
        <w:t xml:space="preserve"> </w:t>
      </w:r>
      <w:r>
        <w:t>made</w:t>
      </w:r>
      <w:r>
        <w:rPr>
          <w:spacing w:val="2"/>
        </w:rPr>
        <w:t xml:space="preserve"> </w:t>
      </w:r>
      <w:r w:rsidRPr="006C3CA7">
        <w:t>practice</w:t>
      </w:r>
      <w:r w:rsidRPr="006C3CA7">
        <w:rPr>
          <w:spacing w:val="-13"/>
        </w:rPr>
        <w:t xml:space="preserve"> </w:t>
      </w:r>
      <w:r w:rsidRPr="006C3CA7">
        <w:t>points</w:t>
      </w:r>
      <w:r>
        <w:t>.</w:t>
      </w:r>
    </w:p>
    <w:p w14:paraId="3BC63B2A" w14:textId="77777777" w:rsidR="00E75A02" w:rsidRDefault="00E75A02" w:rsidP="00E75A02"/>
    <w:p w14:paraId="3ED88ACE" w14:textId="77777777" w:rsidR="00E75A02" w:rsidRDefault="00E75A02" w:rsidP="00E75A02">
      <w:r>
        <w:t>It is important to enable and respect a woman</w:t>
      </w:r>
      <w:r w:rsidR="00B0606D">
        <w:t>’</w:t>
      </w:r>
      <w:r>
        <w:t>s right to be fully informed about the quality of evidence</w:t>
      </w:r>
      <w:r>
        <w:rPr>
          <w:spacing w:val="-10"/>
        </w:rPr>
        <w:t xml:space="preserve"> </w:t>
      </w:r>
      <w:r>
        <w:t>underpinning</w:t>
      </w:r>
      <w:r>
        <w:rPr>
          <w:spacing w:val="-2"/>
        </w:rPr>
        <w:t xml:space="preserve"> </w:t>
      </w:r>
      <w:r>
        <w:t>a</w:t>
      </w:r>
      <w:r>
        <w:rPr>
          <w:spacing w:val="-9"/>
        </w:rPr>
        <w:t xml:space="preserve"> </w:t>
      </w:r>
      <w:r>
        <w:t>recommendation</w:t>
      </w:r>
      <w:r>
        <w:rPr>
          <w:spacing w:val="-9"/>
        </w:rPr>
        <w:t xml:space="preserve"> </w:t>
      </w:r>
      <w:r>
        <w:t>for</w:t>
      </w:r>
      <w:r>
        <w:rPr>
          <w:spacing w:val="-7"/>
        </w:rPr>
        <w:t xml:space="preserve"> </w:t>
      </w:r>
      <w:r>
        <w:t>IOL</w:t>
      </w:r>
      <w:r>
        <w:rPr>
          <w:spacing w:val="-7"/>
        </w:rPr>
        <w:t xml:space="preserve"> </w:t>
      </w:r>
      <w:r>
        <w:t>and</w:t>
      </w:r>
      <w:r>
        <w:rPr>
          <w:spacing w:val="-8"/>
        </w:rPr>
        <w:t xml:space="preserve"> to </w:t>
      </w:r>
      <w:r>
        <w:t>be</w:t>
      </w:r>
      <w:r>
        <w:rPr>
          <w:spacing w:val="-10"/>
        </w:rPr>
        <w:t xml:space="preserve"> </w:t>
      </w:r>
      <w:r>
        <w:t>given</w:t>
      </w:r>
      <w:r>
        <w:rPr>
          <w:spacing w:val="-2"/>
        </w:rPr>
        <w:t xml:space="preserve"> </w:t>
      </w:r>
      <w:r>
        <w:t>the</w:t>
      </w:r>
      <w:r>
        <w:rPr>
          <w:spacing w:val="-9"/>
        </w:rPr>
        <w:t xml:space="preserve"> </w:t>
      </w:r>
      <w:r>
        <w:t>opportunity to make an informed</w:t>
      </w:r>
      <w:r>
        <w:rPr>
          <w:spacing w:val="4"/>
        </w:rPr>
        <w:t xml:space="preserve"> </w:t>
      </w:r>
      <w:r>
        <w:t>choice.</w:t>
      </w:r>
    </w:p>
    <w:p w14:paraId="1451E4CB" w14:textId="77777777" w:rsidR="00E75A02" w:rsidRDefault="00E75A02" w:rsidP="00E75A02"/>
    <w:p w14:paraId="24C2FF10" w14:textId="77777777" w:rsidR="00E75A02" w:rsidRDefault="00E75A02" w:rsidP="00E75A02">
      <w:r>
        <w:t>It is important to promote and support spontaneous onset of labour and physiological labour and</w:t>
      </w:r>
      <w:r>
        <w:rPr>
          <w:spacing w:val="-8"/>
        </w:rPr>
        <w:t xml:space="preserve"> </w:t>
      </w:r>
      <w:r>
        <w:t>birth.</w:t>
      </w:r>
      <w:r>
        <w:rPr>
          <w:spacing w:val="-7"/>
        </w:rPr>
        <w:t xml:space="preserve"> </w:t>
      </w:r>
      <w:r>
        <w:t>This</w:t>
      </w:r>
      <w:r>
        <w:rPr>
          <w:spacing w:val="-5"/>
        </w:rPr>
        <w:t xml:space="preserve"> </w:t>
      </w:r>
      <w:r>
        <w:t>guiding</w:t>
      </w:r>
      <w:r>
        <w:rPr>
          <w:spacing w:val="-8"/>
        </w:rPr>
        <w:t xml:space="preserve"> </w:t>
      </w:r>
      <w:r>
        <w:t>principle</w:t>
      </w:r>
      <w:r>
        <w:rPr>
          <w:spacing w:val="-9"/>
        </w:rPr>
        <w:t xml:space="preserve"> </w:t>
      </w:r>
      <w:r>
        <w:t>aligns</w:t>
      </w:r>
      <w:r>
        <w:rPr>
          <w:spacing w:val="-5"/>
        </w:rPr>
        <w:t xml:space="preserve"> </w:t>
      </w:r>
      <w:r>
        <w:t>with</w:t>
      </w:r>
      <w:r>
        <w:rPr>
          <w:spacing w:val="-8"/>
        </w:rPr>
        <w:t xml:space="preserve"> </w:t>
      </w:r>
      <w:r>
        <w:t>the</w:t>
      </w:r>
      <w:r>
        <w:rPr>
          <w:spacing w:val="-8"/>
        </w:rPr>
        <w:t xml:space="preserve"> </w:t>
      </w:r>
      <w:r>
        <w:t>International</w:t>
      </w:r>
      <w:r>
        <w:rPr>
          <w:spacing w:val="-9"/>
        </w:rPr>
        <w:t xml:space="preserve"> </w:t>
      </w:r>
      <w:r>
        <w:t>Childbirth</w:t>
      </w:r>
      <w:r>
        <w:rPr>
          <w:spacing w:val="-8"/>
        </w:rPr>
        <w:t xml:space="preserve"> </w:t>
      </w:r>
      <w:r>
        <w:t>Initiative of 2018,</w:t>
      </w:r>
      <w:r>
        <w:rPr>
          <w:spacing w:val="-8"/>
        </w:rPr>
        <w:t xml:space="preserve"> </w:t>
      </w:r>
      <w:r>
        <w:t>which</w:t>
      </w:r>
      <w:r>
        <w:rPr>
          <w:spacing w:val="-8"/>
        </w:rPr>
        <w:t xml:space="preserve"> </w:t>
      </w:r>
      <w:r>
        <w:t xml:space="preserve">states </w:t>
      </w:r>
      <w:r w:rsidR="00B0606D">
        <w:t>“</w:t>
      </w:r>
      <w:r>
        <w:t>…</w:t>
      </w:r>
      <w:r w:rsidRPr="006C3CA7">
        <w:t xml:space="preserve"> Every </w:t>
      </w:r>
      <w:proofErr w:type="spellStart"/>
      <w:r w:rsidRPr="006C3CA7">
        <w:t>MotherBaby</w:t>
      </w:r>
      <w:proofErr w:type="spellEnd"/>
      <w:r w:rsidRPr="006C3CA7">
        <w:t xml:space="preserve"> should be protected from unnecessary and potentially harmful interventions, practices, and procedures and from both overuse and underuse of medical</w:t>
      </w:r>
      <w:r w:rsidRPr="006C3CA7">
        <w:rPr>
          <w:spacing w:val="-9"/>
        </w:rPr>
        <w:t xml:space="preserve"> </w:t>
      </w:r>
      <w:r w:rsidRPr="006C3CA7">
        <w:t>technology</w:t>
      </w:r>
      <w:r w:rsidR="00B0606D">
        <w:t>”</w:t>
      </w:r>
      <w:r>
        <w:t xml:space="preserve"> (Lalonde </w:t>
      </w:r>
      <w:r w:rsidR="000F3C98">
        <w:t>et al</w:t>
      </w:r>
      <w:r>
        <w:t xml:space="preserve"> 2018, page 4).</w:t>
      </w:r>
    </w:p>
    <w:p w14:paraId="67BFCEF1" w14:textId="77777777" w:rsidR="00E75A02" w:rsidRDefault="00E75A02" w:rsidP="00E75A02"/>
    <w:p w14:paraId="4472F45A" w14:textId="77777777" w:rsidR="00E75A02" w:rsidRDefault="00E75A02" w:rsidP="00E75A02">
      <w:r>
        <w:t>It is also important to individualise all decisions about induction. Some women do not fit into a single category that in itself warrants IOL but instead have several risk factors for adverse outcomes, which can be cumulative. Clinicians should document the rationale for recommending care that does not align with the guideline.</w:t>
      </w:r>
    </w:p>
    <w:p w14:paraId="091503C1" w14:textId="77777777" w:rsidR="00E75A02" w:rsidRDefault="00E75A02" w:rsidP="00E75A02"/>
    <w:p w14:paraId="063DBB8A" w14:textId="77777777" w:rsidR="00E75A02" w:rsidRDefault="00E75A02" w:rsidP="00E75A02">
      <w:r>
        <w:t>Early</w:t>
      </w:r>
      <w:r>
        <w:rPr>
          <w:spacing w:val="-8"/>
        </w:rPr>
        <w:t xml:space="preserve"> </w:t>
      </w:r>
      <w:r>
        <w:t>term</w:t>
      </w:r>
      <w:r>
        <w:rPr>
          <w:spacing w:val="-8"/>
        </w:rPr>
        <w:t xml:space="preserve"> </w:t>
      </w:r>
      <w:r>
        <w:t>birth</w:t>
      </w:r>
      <w:r>
        <w:rPr>
          <w:spacing w:val="-8"/>
        </w:rPr>
        <w:t xml:space="preserve"> </w:t>
      </w:r>
      <w:r>
        <w:t>(37</w:t>
      </w:r>
      <w:r>
        <w:rPr>
          <w:spacing w:val="-19"/>
        </w:rPr>
        <w:t xml:space="preserve"> </w:t>
      </w:r>
      <w:r>
        <w:t>and</w:t>
      </w:r>
      <w:r>
        <w:rPr>
          <w:spacing w:val="-8"/>
        </w:rPr>
        <w:t xml:space="preserve"> </w:t>
      </w:r>
      <w:r w:rsidR="00EB43A9">
        <w:t>38 weeks</w:t>
      </w:r>
      <w:r w:rsidR="00B0606D">
        <w:t>’</w:t>
      </w:r>
      <w:r>
        <w:rPr>
          <w:spacing w:val="-8"/>
        </w:rPr>
        <w:t xml:space="preserve"> </w:t>
      </w:r>
      <w:r>
        <w:t>gestation)</w:t>
      </w:r>
      <w:r>
        <w:rPr>
          <w:spacing w:val="-2"/>
        </w:rPr>
        <w:t xml:space="preserve"> </w:t>
      </w:r>
      <w:r>
        <w:t>is</w:t>
      </w:r>
      <w:r>
        <w:rPr>
          <w:spacing w:val="-6"/>
        </w:rPr>
        <w:t xml:space="preserve"> </w:t>
      </w:r>
      <w:r>
        <w:t>associated</w:t>
      </w:r>
      <w:r>
        <w:rPr>
          <w:spacing w:val="-7"/>
        </w:rPr>
        <w:t xml:space="preserve"> </w:t>
      </w:r>
      <w:r>
        <w:t>with</w:t>
      </w:r>
      <w:r>
        <w:rPr>
          <w:spacing w:val="-8"/>
        </w:rPr>
        <w:t xml:space="preserve"> </w:t>
      </w:r>
      <w:r>
        <w:t>poorer</w:t>
      </w:r>
      <w:r>
        <w:rPr>
          <w:spacing w:val="-7"/>
        </w:rPr>
        <w:t xml:space="preserve"> </w:t>
      </w:r>
      <w:r>
        <w:t>neonatal</w:t>
      </w:r>
      <w:r>
        <w:rPr>
          <w:spacing w:val="-2"/>
        </w:rPr>
        <w:t xml:space="preserve"> </w:t>
      </w:r>
      <w:r>
        <w:t>and</w:t>
      </w:r>
      <w:r>
        <w:rPr>
          <w:spacing w:val="-3"/>
        </w:rPr>
        <w:t xml:space="preserve"> </w:t>
      </w:r>
      <w:r>
        <w:t xml:space="preserve">childhood outcomes compared with babies born at 39 to </w:t>
      </w:r>
      <w:r w:rsidR="00EB43A9">
        <w:t>41 weeks</w:t>
      </w:r>
      <w:r w:rsidR="00B0606D">
        <w:t>’</w:t>
      </w:r>
      <w:r>
        <w:t xml:space="preserve"> gestation. Unless there is an evidence-based</w:t>
      </w:r>
      <w:r>
        <w:rPr>
          <w:spacing w:val="-14"/>
        </w:rPr>
        <w:t xml:space="preserve"> </w:t>
      </w:r>
      <w:r>
        <w:t>indication</w:t>
      </w:r>
      <w:r>
        <w:rPr>
          <w:spacing w:val="-12"/>
        </w:rPr>
        <w:t xml:space="preserve"> </w:t>
      </w:r>
      <w:r>
        <w:t>supporting</w:t>
      </w:r>
      <w:r>
        <w:rPr>
          <w:spacing w:val="-14"/>
        </w:rPr>
        <w:t xml:space="preserve"> </w:t>
      </w:r>
      <w:r>
        <w:t>earlier</w:t>
      </w:r>
      <w:r>
        <w:rPr>
          <w:spacing w:val="-13"/>
        </w:rPr>
        <w:t xml:space="preserve"> </w:t>
      </w:r>
      <w:r>
        <w:t>planned</w:t>
      </w:r>
      <w:r>
        <w:rPr>
          <w:spacing w:val="-14"/>
        </w:rPr>
        <w:t xml:space="preserve"> </w:t>
      </w:r>
      <w:r>
        <w:t>birth,</w:t>
      </w:r>
      <w:r>
        <w:rPr>
          <w:spacing w:val="-14"/>
        </w:rPr>
        <w:t xml:space="preserve"> </w:t>
      </w:r>
      <w:r>
        <w:t>continue</w:t>
      </w:r>
      <w:r>
        <w:rPr>
          <w:spacing w:val="-15"/>
        </w:rPr>
        <w:t xml:space="preserve"> </w:t>
      </w:r>
      <w:r>
        <w:t>expectant</w:t>
      </w:r>
      <w:r>
        <w:rPr>
          <w:spacing w:val="-15"/>
        </w:rPr>
        <w:t xml:space="preserve"> </w:t>
      </w:r>
      <w:r>
        <w:t>management</w:t>
      </w:r>
      <w:r>
        <w:rPr>
          <w:spacing w:val="-14"/>
        </w:rPr>
        <w:t xml:space="preserve"> </w:t>
      </w:r>
      <w:r>
        <w:t>to</w:t>
      </w:r>
      <w:r>
        <w:rPr>
          <w:spacing w:val="-14"/>
        </w:rPr>
        <w:t xml:space="preserve"> </w:t>
      </w:r>
      <w:r w:rsidR="00EB43A9">
        <w:t>39 weeks</w:t>
      </w:r>
      <w:r w:rsidR="00B0606D">
        <w:t>’</w:t>
      </w:r>
      <w:r>
        <w:t xml:space="preserve"> gestation or</w:t>
      </w:r>
      <w:r>
        <w:rPr>
          <w:spacing w:val="3"/>
        </w:rPr>
        <w:t xml:space="preserve"> </w:t>
      </w:r>
      <w:r>
        <w:t>more.</w:t>
      </w:r>
    </w:p>
    <w:p w14:paraId="095047FF" w14:textId="77777777" w:rsidR="00E75A02" w:rsidRDefault="00E75A02" w:rsidP="00E75A02"/>
    <w:p w14:paraId="67E6B137" w14:textId="77777777" w:rsidR="00E75A02" w:rsidRDefault="00E75A02" w:rsidP="00E75A02">
      <w:r>
        <w:t>The</w:t>
      </w:r>
      <w:r>
        <w:rPr>
          <w:spacing w:val="-15"/>
        </w:rPr>
        <w:t xml:space="preserve"> </w:t>
      </w:r>
      <w:r>
        <w:t>panel</w:t>
      </w:r>
      <w:r>
        <w:rPr>
          <w:spacing w:val="-14"/>
        </w:rPr>
        <w:t xml:space="preserve"> </w:t>
      </w:r>
      <w:r>
        <w:t>identified</w:t>
      </w:r>
      <w:r>
        <w:rPr>
          <w:spacing w:val="-13"/>
        </w:rPr>
        <w:t xml:space="preserve"> </w:t>
      </w:r>
      <w:r>
        <w:t>numerous</w:t>
      </w:r>
      <w:r>
        <w:rPr>
          <w:spacing w:val="-8"/>
        </w:rPr>
        <w:t xml:space="preserve"> </w:t>
      </w:r>
      <w:r>
        <w:t>research</w:t>
      </w:r>
      <w:r>
        <w:rPr>
          <w:spacing w:val="-12"/>
        </w:rPr>
        <w:t xml:space="preserve"> </w:t>
      </w:r>
      <w:r>
        <w:t>gaps</w:t>
      </w:r>
      <w:r>
        <w:rPr>
          <w:spacing w:val="-11"/>
        </w:rPr>
        <w:t xml:space="preserve"> </w:t>
      </w:r>
      <w:r>
        <w:t>and</w:t>
      </w:r>
      <w:r>
        <w:rPr>
          <w:spacing w:val="-13"/>
        </w:rPr>
        <w:t xml:space="preserve"> </w:t>
      </w:r>
      <w:r>
        <w:t>a</w:t>
      </w:r>
      <w:r>
        <w:rPr>
          <w:spacing w:val="-14"/>
        </w:rPr>
        <w:t xml:space="preserve"> </w:t>
      </w:r>
      <w:r>
        <w:t>lack</w:t>
      </w:r>
      <w:r>
        <w:rPr>
          <w:spacing w:val="-13"/>
        </w:rPr>
        <w:t xml:space="preserve"> </w:t>
      </w:r>
      <w:r>
        <w:t>of</w:t>
      </w:r>
      <w:r>
        <w:rPr>
          <w:spacing w:val="-12"/>
        </w:rPr>
        <w:t xml:space="preserve"> </w:t>
      </w:r>
      <w:r>
        <w:t>evidence for the following</w:t>
      </w:r>
      <w:r>
        <w:rPr>
          <w:spacing w:val="1"/>
        </w:rPr>
        <w:t xml:space="preserve"> </w:t>
      </w:r>
      <w:r>
        <w:t>themes:</w:t>
      </w:r>
    </w:p>
    <w:p w14:paraId="182971EF" w14:textId="77777777" w:rsidR="00E75A02" w:rsidRDefault="00E75A02" w:rsidP="00E75A02">
      <w:pPr>
        <w:pStyle w:val="Bullet"/>
      </w:pPr>
      <w:r>
        <w:t>The benefits and harms of IOL or expectant management for several specific conditions</w:t>
      </w:r>
    </w:p>
    <w:p w14:paraId="0904A755" w14:textId="77777777" w:rsidR="00E75A02" w:rsidRDefault="00E75A02" w:rsidP="00E75A02">
      <w:pPr>
        <w:pStyle w:val="Bullet"/>
      </w:pPr>
      <w:r>
        <w:t>The benefits and harms of IOL or expectant management in women who have multiple risk factors for perinatal</w:t>
      </w:r>
      <w:r>
        <w:rPr>
          <w:spacing w:val="-4"/>
        </w:rPr>
        <w:t xml:space="preserve"> </w:t>
      </w:r>
      <w:r>
        <w:t>death</w:t>
      </w:r>
    </w:p>
    <w:p w14:paraId="129422A0" w14:textId="77777777" w:rsidR="00E75A02" w:rsidRDefault="00E75A02" w:rsidP="00E75A02">
      <w:pPr>
        <w:pStyle w:val="Bullet"/>
      </w:pPr>
      <w:r>
        <w:t>Women</w:t>
      </w:r>
      <w:r w:rsidR="00B0606D">
        <w:t>’</w:t>
      </w:r>
      <w:r>
        <w:t>s perspectives and experiences of IOL or expectant</w:t>
      </w:r>
      <w:r>
        <w:rPr>
          <w:spacing w:val="-2"/>
        </w:rPr>
        <w:t xml:space="preserve"> </w:t>
      </w:r>
      <w:r>
        <w:t>management</w:t>
      </w:r>
    </w:p>
    <w:p w14:paraId="5801172F" w14:textId="77777777" w:rsidR="00E75A02" w:rsidRDefault="00E75A02" w:rsidP="00E75A02">
      <w:pPr>
        <w:pStyle w:val="Bullet"/>
      </w:pPr>
      <w:r>
        <w:t>Trials of IOL or expectant management in the New Zealand maternity health care</w:t>
      </w:r>
      <w:r>
        <w:rPr>
          <w:spacing w:val="-12"/>
        </w:rPr>
        <w:t xml:space="preserve"> </w:t>
      </w:r>
      <w:r>
        <w:t>context.</w:t>
      </w:r>
    </w:p>
    <w:p w14:paraId="3CE355B8" w14:textId="77777777" w:rsidR="00E75A02" w:rsidRDefault="00E75A02" w:rsidP="00E75A02">
      <w:pPr>
        <w:spacing w:before="240"/>
      </w:pPr>
      <w:r>
        <w:lastRenderedPageBreak/>
        <w:t xml:space="preserve">The panel </w:t>
      </w:r>
      <w:r w:rsidRPr="003948FC">
        <w:t>recommends</w:t>
      </w:r>
      <w:r>
        <w:t xml:space="preserve"> that all future research studies on IOL list outcomes in a core outcome set (Dos Santos </w:t>
      </w:r>
      <w:r w:rsidR="000F3C98">
        <w:t>et al</w:t>
      </w:r>
      <w:r>
        <w:t xml:space="preserve"> 2018), and that academics, clinicians, consumers and policymakers undertake a research agenda priority-setting process for New Zealand.</w:t>
      </w:r>
    </w:p>
    <w:p w14:paraId="785C400B" w14:textId="77777777" w:rsidR="00E75A02" w:rsidRDefault="00E75A02" w:rsidP="00E75A02"/>
    <w:p w14:paraId="0611DBCA" w14:textId="77777777" w:rsidR="00E75A02" w:rsidRDefault="00E75A02" w:rsidP="00E75A02">
      <w:pPr>
        <w:pStyle w:val="Heading2"/>
      </w:pPr>
      <w:bookmarkStart w:id="4" w:name="_Toc75787954"/>
      <w:r>
        <w:t>Recommendations in brief</w:t>
      </w:r>
      <w:bookmarkEnd w:id="4"/>
    </w:p>
    <w:p w14:paraId="7629762C" w14:textId="77777777" w:rsidR="00E75A02" w:rsidRDefault="00E75A02" w:rsidP="00E75A02">
      <w:r>
        <w:t>Membrane sweeping is the only intervention shown to reduce the need for formal IOL. Consider</w:t>
      </w:r>
      <w:r>
        <w:rPr>
          <w:spacing w:val="-18"/>
        </w:rPr>
        <w:t xml:space="preserve"> </w:t>
      </w:r>
      <w:r>
        <w:t>offering</w:t>
      </w:r>
      <w:r>
        <w:rPr>
          <w:spacing w:val="-13"/>
        </w:rPr>
        <w:t xml:space="preserve"> </w:t>
      </w:r>
      <w:r>
        <w:t>membrane</w:t>
      </w:r>
      <w:r>
        <w:rPr>
          <w:spacing w:val="-20"/>
        </w:rPr>
        <w:t xml:space="preserve"> </w:t>
      </w:r>
      <w:r>
        <w:t>sweeping</w:t>
      </w:r>
      <w:r>
        <w:rPr>
          <w:spacing w:val="-12"/>
        </w:rPr>
        <w:t xml:space="preserve"> </w:t>
      </w:r>
      <w:r>
        <w:t>at</w:t>
      </w:r>
      <w:r>
        <w:rPr>
          <w:spacing w:val="-15"/>
        </w:rPr>
        <w:t xml:space="preserve"> </w:t>
      </w:r>
      <w:r>
        <w:t>term</w:t>
      </w:r>
      <w:r>
        <w:rPr>
          <w:spacing w:val="-14"/>
        </w:rPr>
        <w:t xml:space="preserve"> </w:t>
      </w:r>
      <w:r>
        <w:t>to</w:t>
      </w:r>
      <w:r>
        <w:rPr>
          <w:spacing w:val="-19"/>
        </w:rPr>
        <w:t xml:space="preserve"> </w:t>
      </w:r>
      <w:r>
        <w:t>reduce</w:t>
      </w:r>
      <w:r>
        <w:rPr>
          <w:spacing w:val="-19"/>
        </w:rPr>
        <w:t xml:space="preserve"> </w:t>
      </w:r>
      <w:r>
        <w:t>the</w:t>
      </w:r>
      <w:r>
        <w:rPr>
          <w:spacing w:val="-14"/>
        </w:rPr>
        <w:t xml:space="preserve"> </w:t>
      </w:r>
      <w:r>
        <w:t>frequency</w:t>
      </w:r>
      <w:r>
        <w:rPr>
          <w:spacing w:val="-13"/>
        </w:rPr>
        <w:t xml:space="preserve"> </w:t>
      </w:r>
      <w:r>
        <w:t>of</w:t>
      </w:r>
      <w:r>
        <w:rPr>
          <w:spacing w:val="-18"/>
        </w:rPr>
        <w:t xml:space="preserve"> </w:t>
      </w:r>
      <w:r>
        <w:t>pregnancies</w:t>
      </w:r>
      <w:r>
        <w:rPr>
          <w:spacing w:val="-17"/>
        </w:rPr>
        <w:t xml:space="preserve"> </w:t>
      </w:r>
      <w:r>
        <w:t xml:space="preserve">continuing beyond </w:t>
      </w:r>
      <w:r w:rsidR="00EB43A9">
        <w:t>41 weeks</w:t>
      </w:r>
      <w:r w:rsidR="00B0606D">
        <w:t>’</w:t>
      </w:r>
      <w:r>
        <w:rPr>
          <w:spacing w:val="-1"/>
        </w:rPr>
        <w:t xml:space="preserve"> </w:t>
      </w:r>
      <w:r>
        <w:t>gestation.</w:t>
      </w:r>
    </w:p>
    <w:p w14:paraId="2FA7731E" w14:textId="77777777" w:rsidR="00E75A02" w:rsidRPr="003948FC" w:rsidRDefault="00E75A02" w:rsidP="00E75A02"/>
    <w:p w14:paraId="45F80690" w14:textId="77777777" w:rsidR="00E75A02" w:rsidRPr="003948FC" w:rsidRDefault="00E75A02" w:rsidP="00E75A02">
      <w:r w:rsidRPr="003948FC">
        <w:t>The only clinical indication where IOL has been shown to reduce perinatal death is in pregnancy at or beyond term. Offer IOL between 41</w:t>
      </w:r>
      <w:r>
        <w:t>+0</w:t>
      </w:r>
      <w:r w:rsidRPr="003948FC">
        <w:t xml:space="preserve"> and 42</w:t>
      </w:r>
      <w:r>
        <w:t>+0</w:t>
      </w:r>
      <w:r w:rsidRPr="003948FC">
        <w:t xml:space="preserve"> weeks</w:t>
      </w:r>
      <w:r w:rsidR="00B0606D">
        <w:t>’</w:t>
      </w:r>
      <w:r w:rsidRPr="003948FC">
        <w:t xml:space="preserve"> gestation to women with uncomplicated pregnancies.</w:t>
      </w:r>
    </w:p>
    <w:p w14:paraId="572092C9" w14:textId="77777777" w:rsidR="00E75A02" w:rsidRPr="003948FC" w:rsidRDefault="00E75A02" w:rsidP="00E75A02"/>
    <w:p w14:paraId="17AC0602" w14:textId="77777777" w:rsidR="00E75A02" w:rsidRPr="003948FC" w:rsidRDefault="00E75A02" w:rsidP="00E75A02">
      <w:r w:rsidRPr="003948FC">
        <w:t xml:space="preserve">In women with pre-labour rupture of membranes </w:t>
      </w:r>
      <w:r>
        <w:t>(PROM) at ≥</w:t>
      </w:r>
      <w:r w:rsidR="00EB43A9">
        <w:t>37 weeks</w:t>
      </w:r>
      <w:r w:rsidR="00B0606D">
        <w:t>’</w:t>
      </w:r>
      <w:r w:rsidRPr="003948FC">
        <w:t xml:space="preserve"> gestation, offer planned early birth (immediate intervention or intervention within </w:t>
      </w:r>
      <w:r w:rsidR="00EB43A9">
        <w:t>24 hours</w:t>
      </w:r>
      <w:r w:rsidRPr="003948FC">
        <w:t xml:space="preserve">), to reduce the risks of maternal infectious morbidity, definite or probable early-onset neonatal sepsis and </w:t>
      </w:r>
      <w:r>
        <w:t>n</w:t>
      </w:r>
      <w:r w:rsidRPr="003948FC">
        <w:t xml:space="preserve">eonatal </w:t>
      </w:r>
      <w:r>
        <w:t>i</w:t>
      </w:r>
      <w:r w:rsidRPr="003948FC">
        <w:t xml:space="preserve">ntensive </w:t>
      </w:r>
      <w:r>
        <w:t>c</w:t>
      </w:r>
      <w:r w:rsidRPr="003948FC">
        <w:t xml:space="preserve">are </w:t>
      </w:r>
      <w:r>
        <w:t>u</w:t>
      </w:r>
      <w:r w:rsidRPr="003948FC">
        <w:t>nit (NICU) admission.</w:t>
      </w:r>
    </w:p>
    <w:p w14:paraId="3D6F3E2A" w14:textId="77777777" w:rsidR="00E75A02" w:rsidRPr="003948FC" w:rsidRDefault="00E75A02" w:rsidP="00E75A02"/>
    <w:p w14:paraId="6FB09703" w14:textId="77777777" w:rsidR="00E75A02" w:rsidRPr="003948FC" w:rsidRDefault="00E75A02" w:rsidP="00E75A02">
      <w:r w:rsidRPr="003948FC">
        <w:t xml:space="preserve">In women with hypertension in pregnancy, the panel endorses the recommendations from the Ministry of Health clinical practice guideline, </w:t>
      </w:r>
      <w:r w:rsidRPr="00B95DCE">
        <w:rPr>
          <w:i/>
        </w:rPr>
        <w:t>Diagnosis and Treatment of Hypertension and Pre-eclampsia in Pregnancy in New Zealand: A clinical practice guideline</w:t>
      </w:r>
      <w:r w:rsidRPr="003948FC">
        <w:t xml:space="preserve"> (Ministry of Health 2018).</w:t>
      </w:r>
    </w:p>
    <w:p w14:paraId="649E5269" w14:textId="77777777" w:rsidR="00E75A02" w:rsidRPr="003948FC" w:rsidRDefault="00E75A02" w:rsidP="00E75A02"/>
    <w:p w14:paraId="28CC7DF5" w14:textId="77777777" w:rsidR="00E75A02" w:rsidRPr="003948FC" w:rsidRDefault="00E75A02" w:rsidP="00E75A02">
      <w:r w:rsidRPr="003948FC">
        <w:t>For cervical ripening, it</w:t>
      </w:r>
      <w:r>
        <w:t xml:space="preserve"> is reasonable to offer any of:</w:t>
      </w:r>
    </w:p>
    <w:p w14:paraId="4808E47D" w14:textId="77777777" w:rsidR="00E75A02" w:rsidRDefault="00E75A02" w:rsidP="00E75A02">
      <w:pPr>
        <w:pStyle w:val="Bullet"/>
      </w:pPr>
      <w:r>
        <w:t>prostaglandin (PG) E2 (vaginal gel or controlled-release pessary)</w:t>
      </w:r>
    </w:p>
    <w:p w14:paraId="18326A00" w14:textId="77777777" w:rsidR="00B0606D" w:rsidRDefault="00E75A02" w:rsidP="00E75A02">
      <w:pPr>
        <w:pStyle w:val="Bullet"/>
        <w:rPr>
          <w:spacing w:val="-16"/>
        </w:rPr>
      </w:pPr>
      <w:r>
        <w:t>PG E1 analogue (misoprostol low-dose two-hourly in oral</w:t>
      </w:r>
      <w:r>
        <w:rPr>
          <w:spacing w:val="-18"/>
        </w:rPr>
        <w:t xml:space="preserve"> </w:t>
      </w:r>
      <w:r>
        <w:t>solution)</w:t>
      </w:r>
    </w:p>
    <w:p w14:paraId="61194CA0" w14:textId="77777777" w:rsidR="00E75A02" w:rsidRPr="000538F3" w:rsidRDefault="00E75A02" w:rsidP="00E75A02">
      <w:pPr>
        <w:pStyle w:val="Bullet"/>
        <w:rPr>
          <w:spacing w:val="-16"/>
        </w:rPr>
      </w:pPr>
      <w:r>
        <w:t>balloon</w:t>
      </w:r>
      <w:r>
        <w:rPr>
          <w:spacing w:val="-12"/>
        </w:rPr>
        <w:t xml:space="preserve"> </w:t>
      </w:r>
      <w:r>
        <w:t>catheter</w:t>
      </w:r>
      <w:r>
        <w:rPr>
          <w:spacing w:val="-16"/>
        </w:rPr>
        <w:t xml:space="preserve"> </w:t>
      </w:r>
      <w:r>
        <w:t>(single-</w:t>
      </w:r>
      <w:r>
        <w:rPr>
          <w:spacing w:val="-16"/>
        </w:rPr>
        <w:t xml:space="preserve"> </w:t>
      </w:r>
      <w:r>
        <w:t>or</w:t>
      </w:r>
      <w:r>
        <w:rPr>
          <w:spacing w:val="-12"/>
        </w:rPr>
        <w:t xml:space="preserve"> </w:t>
      </w:r>
      <w:r>
        <w:t>double-balloon).</w:t>
      </w:r>
    </w:p>
    <w:p w14:paraId="229D9308" w14:textId="77777777" w:rsidR="00E75A02" w:rsidRDefault="00E75A02" w:rsidP="00E75A02"/>
    <w:p w14:paraId="121E6BE2" w14:textId="77777777" w:rsidR="00E75A02" w:rsidRDefault="00E75A02" w:rsidP="00E75A02">
      <w:r>
        <w:t>Based</w:t>
      </w:r>
      <w:r>
        <w:rPr>
          <w:spacing w:val="-17"/>
        </w:rPr>
        <w:t xml:space="preserve"> </w:t>
      </w:r>
      <w:r>
        <w:t>on</w:t>
      </w:r>
      <w:r>
        <w:rPr>
          <w:spacing w:val="-15"/>
        </w:rPr>
        <w:t xml:space="preserve"> the </w:t>
      </w:r>
      <w:r>
        <w:t>reason</w:t>
      </w:r>
      <w:r>
        <w:rPr>
          <w:spacing w:val="-17"/>
        </w:rPr>
        <w:t xml:space="preserve"> </w:t>
      </w:r>
      <w:r>
        <w:t>for</w:t>
      </w:r>
      <w:r>
        <w:rPr>
          <w:spacing w:val="-15"/>
        </w:rPr>
        <w:t xml:space="preserve"> the </w:t>
      </w:r>
      <w:r>
        <w:t>IOL,</w:t>
      </w:r>
      <w:r>
        <w:rPr>
          <w:spacing w:val="-16"/>
        </w:rPr>
        <w:t xml:space="preserve"> </w:t>
      </w:r>
      <w:r>
        <w:t>maternal values</w:t>
      </w:r>
      <w:r>
        <w:rPr>
          <w:spacing w:val="-13"/>
        </w:rPr>
        <w:t xml:space="preserve"> </w:t>
      </w:r>
      <w:r>
        <w:t>and</w:t>
      </w:r>
      <w:r>
        <w:rPr>
          <w:spacing w:val="-15"/>
        </w:rPr>
        <w:t xml:space="preserve"> </w:t>
      </w:r>
      <w:r>
        <w:t>preferences,</w:t>
      </w:r>
      <w:r>
        <w:rPr>
          <w:spacing w:val="-14"/>
        </w:rPr>
        <w:t xml:space="preserve"> </w:t>
      </w:r>
      <w:r>
        <w:t>local</w:t>
      </w:r>
      <w:r>
        <w:rPr>
          <w:spacing w:val="-16"/>
        </w:rPr>
        <w:t xml:space="preserve"> </w:t>
      </w:r>
      <w:r>
        <w:t>resources</w:t>
      </w:r>
      <w:r>
        <w:rPr>
          <w:spacing w:val="-14"/>
        </w:rPr>
        <w:t xml:space="preserve"> </w:t>
      </w:r>
      <w:r>
        <w:t>and</w:t>
      </w:r>
      <w:r>
        <w:rPr>
          <w:spacing w:val="-15"/>
        </w:rPr>
        <w:t xml:space="preserve"> </w:t>
      </w:r>
      <w:r>
        <w:t>practical</w:t>
      </w:r>
      <w:r>
        <w:rPr>
          <w:spacing w:val="-11"/>
        </w:rPr>
        <w:t xml:space="preserve"> </w:t>
      </w:r>
      <w:r>
        <w:t>considerations, eg, cost, availability and clinicians skilled at using the method. For</w:t>
      </w:r>
      <w:r>
        <w:rPr>
          <w:spacing w:val="-13"/>
        </w:rPr>
        <w:t xml:space="preserve"> </w:t>
      </w:r>
      <w:r>
        <w:t>cervical</w:t>
      </w:r>
      <w:r>
        <w:rPr>
          <w:spacing w:val="-16"/>
        </w:rPr>
        <w:t xml:space="preserve"> </w:t>
      </w:r>
      <w:r>
        <w:t>ripening</w:t>
      </w:r>
      <w:r>
        <w:rPr>
          <w:spacing w:val="-14"/>
        </w:rPr>
        <w:t xml:space="preserve"> </w:t>
      </w:r>
      <w:r>
        <w:t xml:space="preserve">with single-balloon catheter, inflate greater than 30 mL to increase the chance of vaginal birth in </w:t>
      </w:r>
      <w:r w:rsidR="00EB43A9">
        <w:t>24 hours</w:t>
      </w:r>
      <w:r>
        <w:t>.</w:t>
      </w:r>
    </w:p>
    <w:p w14:paraId="341D65A4" w14:textId="77777777" w:rsidR="00E75A02" w:rsidRDefault="00E75A02" w:rsidP="00E75A02"/>
    <w:p w14:paraId="66D10251" w14:textId="77777777" w:rsidR="002B7BEC" w:rsidRDefault="00E75A02" w:rsidP="00E75A02">
      <w:r>
        <w:t>While it is recognised that cervical ripening in the setting of IOL in childbirth has not been listed as a registered indication for misoprostol use in New Zealand, it has been widely researched internationally. Should hospitals choose to use misoprostol, it is recommended they work with their pharmacy department to develop suitable local guidelines.</w:t>
      </w:r>
    </w:p>
    <w:p w14:paraId="7B52D109" w14:textId="77777777" w:rsidR="00F16595" w:rsidRDefault="00F16595" w:rsidP="002B7BEC"/>
    <w:p w14:paraId="332A50E3" w14:textId="77777777" w:rsidR="001D3E4E" w:rsidRDefault="001D3E4E" w:rsidP="003A5FEA">
      <w:pPr>
        <w:sectPr w:rsidR="001D3E4E" w:rsidSect="00925892">
          <w:footerReference w:type="even" r:id="rId23"/>
          <w:pgSz w:w="11907" w:h="16840" w:code="9"/>
          <w:pgMar w:top="1418" w:right="1701" w:bottom="1134" w:left="1843" w:header="284" w:footer="425" w:gutter="284"/>
          <w:pgNumType w:fmt="lowerRoman"/>
          <w:cols w:space="720"/>
        </w:sectPr>
      </w:pPr>
    </w:p>
    <w:p w14:paraId="796DEFCD" w14:textId="77777777" w:rsidR="008C2973" w:rsidRDefault="00AC0F19" w:rsidP="002452D5">
      <w:pPr>
        <w:pStyle w:val="Heading1-notnumbered"/>
      </w:pPr>
      <w:bookmarkStart w:id="5" w:name="_Toc75787955"/>
      <w:r>
        <w:lastRenderedPageBreak/>
        <w:t>Summary of findings</w:t>
      </w:r>
      <w:bookmarkEnd w:id="5"/>
    </w:p>
    <w:p w14:paraId="0995756D" w14:textId="3A7A6B73" w:rsidR="00AC0F19" w:rsidRDefault="00BA1CC5" w:rsidP="00BA1CC5">
      <w:pPr>
        <w:pStyle w:val="Table"/>
      </w:pPr>
      <w:bookmarkStart w:id="6" w:name="_Toc72488607"/>
      <w:r>
        <w:t>Table </w:t>
      </w:r>
      <w:r w:rsidR="004D0EDF">
        <w:fldChar w:fldCharType="begin"/>
      </w:r>
      <w:r w:rsidR="004D0EDF">
        <w:instrText xml:space="preserve"> SEQ Table \* ARABIC </w:instrText>
      </w:r>
      <w:r w:rsidR="004D0EDF">
        <w:fldChar w:fldCharType="separate"/>
      </w:r>
      <w:r w:rsidR="00C04A3F">
        <w:rPr>
          <w:noProof/>
        </w:rPr>
        <w:t>1</w:t>
      </w:r>
      <w:r w:rsidR="004D0EDF">
        <w:rPr>
          <w:noProof/>
        </w:rPr>
        <w:fldChar w:fldCharType="end"/>
      </w:r>
      <w:r w:rsidR="00AC0F19">
        <w:t>:</w:t>
      </w:r>
      <w:r w:rsidR="004B5E38">
        <w:t xml:space="preserve"> </w:t>
      </w:r>
      <w:r w:rsidR="00AC0F19">
        <w:t>Summary of recommendations and practice points</w:t>
      </w:r>
      <w:bookmarkEnd w:id="6"/>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113B9C" w14:paraId="6BC5D6EB" w14:textId="77777777" w:rsidTr="00BA1CC5">
        <w:trPr>
          <w:cantSplit/>
        </w:trPr>
        <w:tc>
          <w:tcPr>
            <w:tcW w:w="8080" w:type="dxa"/>
            <w:tcBorders>
              <w:top w:val="nil"/>
              <w:left w:val="nil"/>
              <w:bottom w:val="nil"/>
              <w:right w:val="nil"/>
            </w:tcBorders>
            <w:shd w:val="clear" w:color="auto" w:fill="D9D9D9" w:themeFill="background1" w:themeFillShade="D9"/>
          </w:tcPr>
          <w:p w14:paraId="45C68414" w14:textId="77777777" w:rsidR="00113B9C" w:rsidRPr="004B5E38" w:rsidRDefault="00113B9C" w:rsidP="00113B9C">
            <w:pPr>
              <w:pStyle w:val="TableText"/>
              <w:rPr>
                <w:b/>
              </w:rPr>
            </w:pPr>
            <w:r>
              <w:rPr>
                <w:b/>
              </w:rPr>
              <w:t>Notes</w:t>
            </w:r>
          </w:p>
        </w:tc>
      </w:tr>
      <w:tr w:rsidR="00113B9C" w14:paraId="7E130B5A" w14:textId="77777777" w:rsidTr="00BA1CC5">
        <w:trPr>
          <w:cantSplit/>
        </w:trPr>
        <w:tc>
          <w:tcPr>
            <w:tcW w:w="8080" w:type="dxa"/>
            <w:tcBorders>
              <w:top w:val="nil"/>
              <w:left w:val="nil"/>
              <w:bottom w:val="single" w:sz="4" w:space="0" w:color="A6A6A6" w:themeColor="background1" w:themeShade="A6"/>
              <w:right w:val="nil"/>
            </w:tcBorders>
          </w:tcPr>
          <w:p w14:paraId="1FD2E58B" w14:textId="6533E263" w:rsidR="00113B9C" w:rsidRDefault="00113B9C" w:rsidP="00113B9C">
            <w:pPr>
              <w:pStyle w:val="TableText"/>
            </w:pPr>
            <w:r>
              <w:t>The</w:t>
            </w:r>
            <w:r>
              <w:rPr>
                <w:spacing w:val="-7"/>
              </w:rPr>
              <w:t xml:space="preserve"> </w:t>
            </w:r>
            <w:r>
              <w:t>GRADE</w:t>
            </w:r>
            <w:r>
              <w:rPr>
                <w:spacing w:val="-8"/>
              </w:rPr>
              <w:t xml:space="preserve"> </w:t>
            </w:r>
            <w:r>
              <w:t>system</w:t>
            </w:r>
            <w:r>
              <w:rPr>
                <w:spacing w:val="-10"/>
              </w:rPr>
              <w:t xml:space="preserve"> </w:t>
            </w:r>
            <w:r>
              <w:t>(</w:t>
            </w:r>
            <w:proofErr w:type="spellStart"/>
            <w:r w:rsidRPr="004B5E38">
              <w:t>Guyatt</w:t>
            </w:r>
            <w:proofErr w:type="spellEnd"/>
            <w:r w:rsidRPr="004B5E38">
              <w:t xml:space="preserve"> </w:t>
            </w:r>
            <w:r w:rsidR="000F3C98">
              <w:t>et al</w:t>
            </w:r>
            <w:r w:rsidRPr="004B5E38">
              <w:t xml:space="preserve"> 2008) classifies</w:t>
            </w:r>
            <w:r>
              <w:rPr>
                <w:spacing w:val="-9"/>
              </w:rPr>
              <w:t xml:space="preserve"> </w:t>
            </w:r>
            <w:r>
              <w:t>the</w:t>
            </w:r>
            <w:r>
              <w:rPr>
                <w:spacing w:val="-6"/>
              </w:rPr>
              <w:t xml:space="preserve"> </w:t>
            </w:r>
            <w:r>
              <w:t>quality</w:t>
            </w:r>
            <w:r>
              <w:rPr>
                <w:spacing w:val="-9"/>
              </w:rPr>
              <w:t xml:space="preserve"> </w:t>
            </w:r>
            <w:r>
              <w:t>of</w:t>
            </w:r>
            <w:r>
              <w:rPr>
                <w:spacing w:val="-7"/>
              </w:rPr>
              <w:t xml:space="preserve"> </w:t>
            </w:r>
            <w:r>
              <w:t>evidence</w:t>
            </w:r>
            <w:r>
              <w:rPr>
                <w:spacing w:val="-7"/>
              </w:rPr>
              <w:t xml:space="preserve"> </w:t>
            </w:r>
            <w:r>
              <w:t>in</w:t>
            </w:r>
            <w:r>
              <w:rPr>
                <w:spacing w:val="-9"/>
              </w:rPr>
              <w:t xml:space="preserve"> </w:t>
            </w:r>
            <w:r>
              <w:t>one</w:t>
            </w:r>
            <w:r>
              <w:rPr>
                <w:spacing w:val="-6"/>
              </w:rPr>
              <w:t xml:space="preserve"> </w:t>
            </w:r>
            <w:r>
              <w:t>of</w:t>
            </w:r>
            <w:r>
              <w:rPr>
                <w:spacing w:val="-12"/>
              </w:rPr>
              <w:t xml:space="preserve"> </w:t>
            </w:r>
            <w:r>
              <w:t>four</w:t>
            </w:r>
            <w:r>
              <w:rPr>
                <w:spacing w:val="-7"/>
              </w:rPr>
              <w:t xml:space="preserve"> </w:t>
            </w:r>
            <w:r>
              <w:t>levels</w:t>
            </w:r>
            <w:r>
              <w:rPr>
                <w:spacing w:val="-9"/>
              </w:rPr>
              <w:t xml:space="preserve"> </w:t>
            </w:r>
            <w:r>
              <w:t>(see</w:t>
            </w:r>
            <w:r>
              <w:rPr>
                <w:spacing w:val="-6"/>
              </w:rPr>
              <w:t xml:space="preserve"> </w:t>
            </w:r>
            <w:r w:rsidR="00770DB2">
              <w:rPr>
                <w:spacing w:val="-6"/>
              </w:rPr>
              <w:fldChar w:fldCharType="begin"/>
            </w:r>
            <w:r w:rsidR="00770DB2">
              <w:rPr>
                <w:spacing w:val="-6"/>
              </w:rPr>
              <w:instrText xml:space="preserve"> REF _Ref72414635 \h </w:instrText>
            </w:r>
            <w:r w:rsidR="00770DB2">
              <w:rPr>
                <w:spacing w:val="-6"/>
              </w:rPr>
            </w:r>
            <w:r w:rsidR="00770DB2">
              <w:rPr>
                <w:spacing w:val="-6"/>
              </w:rPr>
              <w:fldChar w:fldCharType="separate"/>
            </w:r>
            <w:r w:rsidR="00C04A3F">
              <w:t>Table </w:t>
            </w:r>
            <w:r w:rsidR="00C04A3F">
              <w:rPr>
                <w:noProof/>
              </w:rPr>
              <w:t>2</w:t>
            </w:r>
            <w:r w:rsidR="00770DB2">
              <w:rPr>
                <w:spacing w:val="-6"/>
              </w:rPr>
              <w:fldChar w:fldCharType="end"/>
            </w:r>
            <w:r>
              <w:t xml:space="preserve">) and offers two grades of recommendations (see </w:t>
            </w:r>
            <w:r w:rsidR="00770DB2">
              <w:fldChar w:fldCharType="begin"/>
            </w:r>
            <w:r w:rsidR="00770DB2">
              <w:instrText xml:space="preserve"> REF _Ref72414642 \h </w:instrText>
            </w:r>
            <w:r w:rsidR="00770DB2">
              <w:fldChar w:fldCharType="separate"/>
            </w:r>
            <w:r w:rsidR="00C04A3F">
              <w:t>Table </w:t>
            </w:r>
            <w:r w:rsidR="00C04A3F">
              <w:rPr>
                <w:noProof/>
              </w:rPr>
              <w:t>3</w:t>
            </w:r>
            <w:r w:rsidR="00770DB2">
              <w:fldChar w:fldCharType="end"/>
            </w:r>
            <w:r>
              <w:t>).</w:t>
            </w:r>
          </w:p>
          <w:p w14:paraId="78BCB5D2" w14:textId="77777777" w:rsidR="00113B9C" w:rsidRDefault="00113B9C" w:rsidP="00113B9C">
            <w:pPr>
              <w:pStyle w:val="TableBullet"/>
            </w:pPr>
            <w:r w:rsidRPr="00113B9C">
              <w:rPr>
                <w:b/>
              </w:rPr>
              <w:t>Level 1 evidence:</w:t>
            </w:r>
            <w:r>
              <w:t xml:space="preserve"> Includes meta-analyses, systematic reviews of randomised controlled trials (RCTs) or RCTs with a low risk of</w:t>
            </w:r>
            <w:r>
              <w:rPr>
                <w:spacing w:val="1"/>
              </w:rPr>
              <w:t xml:space="preserve"> </w:t>
            </w:r>
            <w:r>
              <w:t>bias.</w:t>
            </w:r>
          </w:p>
          <w:p w14:paraId="7A983F8F" w14:textId="77777777" w:rsidR="00113B9C" w:rsidRDefault="00113B9C" w:rsidP="00113B9C">
            <w:pPr>
              <w:pStyle w:val="TableBullet"/>
            </w:pPr>
            <w:r w:rsidRPr="00113B9C">
              <w:rPr>
                <w:b/>
              </w:rPr>
              <w:t>Recommendations:</w:t>
            </w:r>
            <w:r>
              <w:t xml:space="preserve"> When the desirable effects of an intervention clearly outweigh the undesirable effects, or clearly do not, the panel developing the clinical guideline (the panel) has offered ‘strong’ recommendations. When the trade-offs are less certain – either because </w:t>
            </w:r>
            <w:r>
              <w:rPr>
                <w:spacing w:val="-3"/>
              </w:rPr>
              <w:t xml:space="preserve">of the </w:t>
            </w:r>
            <w:r>
              <w:t>low quality of the evidence or because the evidence suggests that desirable and undesirable effects are closely balanced, the panel has offered ‘conditional’ recommendations.</w:t>
            </w:r>
          </w:p>
          <w:p w14:paraId="3DCB3DF8" w14:textId="77777777" w:rsidR="00113B9C" w:rsidRDefault="00113B9C" w:rsidP="00113B9C">
            <w:pPr>
              <w:pStyle w:val="TableBullet"/>
            </w:pPr>
            <w:r w:rsidRPr="00113B9C">
              <w:rPr>
                <w:b/>
              </w:rPr>
              <w:t>Practice points:</w:t>
            </w:r>
            <w:r>
              <w:t xml:space="preserve"> When recommendations are based on </w:t>
            </w:r>
            <w:r>
              <w:rPr>
                <w:spacing w:val="-3"/>
              </w:rPr>
              <w:t xml:space="preserve">low- </w:t>
            </w:r>
            <w:r>
              <w:t>or very-low-quality evidence, the panel offers practice points or important things to consider for clinical</w:t>
            </w:r>
            <w:r>
              <w:rPr>
                <w:spacing w:val="-19"/>
              </w:rPr>
              <w:t xml:space="preserve"> </w:t>
            </w:r>
            <w:r>
              <w:t>practice.</w:t>
            </w:r>
          </w:p>
          <w:p w14:paraId="39153806" w14:textId="77777777" w:rsidR="00113B9C" w:rsidRDefault="00113B9C" w:rsidP="00113B9C">
            <w:pPr>
              <w:pStyle w:val="TableText"/>
            </w:pPr>
            <w:r>
              <w:t>The guideline includes practice points aimed at encouraging further understanding and discussion about the diverse beliefs, traditions and aspirations held by many women and their partners and whānau.</w:t>
            </w:r>
          </w:p>
        </w:tc>
      </w:tr>
    </w:tbl>
    <w:p w14:paraId="3BA77F58"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113B9C" w14:paraId="1211894E" w14:textId="77777777" w:rsidTr="00BA1CC5">
        <w:trPr>
          <w:cantSplit/>
        </w:trPr>
        <w:tc>
          <w:tcPr>
            <w:tcW w:w="8080" w:type="dxa"/>
            <w:tcBorders>
              <w:top w:val="nil"/>
              <w:left w:val="nil"/>
              <w:bottom w:val="nil"/>
              <w:right w:val="nil"/>
            </w:tcBorders>
            <w:shd w:val="clear" w:color="auto" w:fill="D9D9D9" w:themeFill="background1" w:themeFillShade="D9"/>
          </w:tcPr>
          <w:p w14:paraId="23CD325B" w14:textId="77777777" w:rsidR="00113B9C" w:rsidRDefault="00113B9C" w:rsidP="00113B9C">
            <w:pPr>
              <w:pStyle w:val="TableText"/>
            </w:pPr>
            <w:r w:rsidRPr="00806252">
              <w:rPr>
                <w:b/>
              </w:rPr>
              <w:t>General principles</w:t>
            </w:r>
          </w:p>
        </w:tc>
      </w:tr>
      <w:tr w:rsidR="009467F2" w14:paraId="49E72196" w14:textId="77777777" w:rsidTr="00BA1CC5">
        <w:trPr>
          <w:cantSplit/>
        </w:trPr>
        <w:tc>
          <w:tcPr>
            <w:tcW w:w="8080" w:type="dxa"/>
            <w:tcBorders>
              <w:top w:val="nil"/>
              <w:left w:val="nil"/>
              <w:bottom w:val="single" w:sz="4" w:space="0" w:color="A6A6A6" w:themeColor="background1" w:themeShade="A6"/>
              <w:right w:val="nil"/>
            </w:tcBorders>
          </w:tcPr>
          <w:p w14:paraId="45CD2A4F" w14:textId="77777777" w:rsidR="009467F2" w:rsidRDefault="009467F2" w:rsidP="00113B9C">
            <w:pPr>
              <w:pStyle w:val="TableText"/>
            </w:pPr>
            <w:r w:rsidRPr="00806252">
              <w:rPr>
                <w:b/>
              </w:rPr>
              <w:t>Practice points</w:t>
            </w:r>
          </w:p>
          <w:p w14:paraId="6ADD02A5" w14:textId="77777777" w:rsidR="009467F2" w:rsidRPr="00806252" w:rsidRDefault="009467F2" w:rsidP="009467F2">
            <w:pPr>
              <w:pStyle w:val="TableBullet"/>
            </w:pPr>
            <w:r w:rsidRPr="00806252">
              <w:t>Promote and support spontaneous onset of labour and physiological labour and birth.</w:t>
            </w:r>
          </w:p>
          <w:p w14:paraId="3BBB6E00" w14:textId="77777777" w:rsidR="009467F2" w:rsidRPr="00806252" w:rsidRDefault="009467F2" w:rsidP="009467F2">
            <w:pPr>
              <w:pStyle w:val="TableBullet"/>
            </w:pPr>
            <w:r w:rsidRPr="00806252">
              <w:t>Enable and respect a woman’s right to be fully informed about the quality of evidence under</w:t>
            </w:r>
            <w:r w:rsidR="00BA1CC5">
              <w:t>-</w:t>
            </w:r>
            <w:r w:rsidRPr="00806252">
              <w:t>pinning a recommendation for IOL and to be given the opportunity to make an informed choice.</w:t>
            </w:r>
          </w:p>
          <w:p w14:paraId="2077CBCC" w14:textId="77777777" w:rsidR="009467F2" w:rsidRPr="00806252" w:rsidRDefault="009467F2" w:rsidP="009467F2">
            <w:pPr>
              <w:pStyle w:val="TableBullet"/>
            </w:pPr>
            <w:r w:rsidRPr="00806252">
              <w:t xml:space="preserve">Continue expectant management to </w:t>
            </w:r>
            <w:r w:rsidR="00EB43A9">
              <w:t>39 weeks</w:t>
            </w:r>
            <w:r w:rsidRPr="00806252">
              <w:t>’ gestation or more, unless there is an evidence-based indication supporting earlier planned birth.</w:t>
            </w:r>
          </w:p>
          <w:p w14:paraId="2ED203C3" w14:textId="77777777" w:rsidR="009467F2" w:rsidRDefault="009467F2" w:rsidP="009467F2">
            <w:pPr>
              <w:pStyle w:val="TableBullet"/>
            </w:pPr>
            <w:r w:rsidRPr="00806252">
              <w:t>Inform all women about the proposed method(s) of cervical ripening and IOL, the rationale for the use of such method(s) and alternative options.</w:t>
            </w:r>
          </w:p>
        </w:tc>
      </w:tr>
    </w:tbl>
    <w:p w14:paraId="430057DA"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9467F2" w14:paraId="7E792619" w14:textId="77777777" w:rsidTr="00B379B0">
        <w:trPr>
          <w:cantSplit/>
        </w:trPr>
        <w:tc>
          <w:tcPr>
            <w:tcW w:w="8080" w:type="dxa"/>
            <w:gridSpan w:val="3"/>
            <w:tcBorders>
              <w:top w:val="nil"/>
              <w:left w:val="nil"/>
              <w:bottom w:val="nil"/>
              <w:right w:val="nil"/>
            </w:tcBorders>
            <w:shd w:val="clear" w:color="auto" w:fill="D9D9D9" w:themeFill="background1" w:themeFillShade="D9"/>
          </w:tcPr>
          <w:p w14:paraId="7F37104C" w14:textId="77777777" w:rsidR="009467F2" w:rsidRDefault="009467F2" w:rsidP="00113B9C">
            <w:pPr>
              <w:pStyle w:val="TableText"/>
            </w:pPr>
            <w:r w:rsidRPr="00806252">
              <w:rPr>
                <w:b/>
              </w:rPr>
              <w:t>Membrane sweeping</w:t>
            </w:r>
          </w:p>
        </w:tc>
      </w:tr>
      <w:tr w:rsidR="0010722B" w14:paraId="386CC0E1" w14:textId="77777777" w:rsidTr="00B379B0">
        <w:trPr>
          <w:cantSplit/>
        </w:trPr>
        <w:tc>
          <w:tcPr>
            <w:tcW w:w="4678" w:type="dxa"/>
            <w:tcBorders>
              <w:top w:val="nil"/>
              <w:left w:val="nil"/>
              <w:bottom w:val="single" w:sz="4" w:space="0" w:color="A6A6A6" w:themeColor="background1" w:themeShade="A6"/>
              <w:right w:val="nil"/>
            </w:tcBorders>
          </w:tcPr>
          <w:p w14:paraId="08B77BE8" w14:textId="77777777" w:rsidR="0010722B" w:rsidRPr="00806252" w:rsidRDefault="0010722B" w:rsidP="00302632">
            <w:pPr>
              <w:pStyle w:val="TableText"/>
              <w:rPr>
                <w:b/>
              </w:rPr>
            </w:pPr>
            <w:r w:rsidRPr="00806252">
              <w:rPr>
                <w:b/>
              </w:rPr>
              <w:t>Recommendation</w:t>
            </w:r>
          </w:p>
        </w:tc>
        <w:tc>
          <w:tcPr>
            <w:tcW w:w="1701" w:type="dxa"/>
            <w:tcBorders>
              <w:top w:val="nil"/>
              <w:left w:val="nil"/>
              <w:bottom w:val="single" w:sz="4" w:space="0" w:color="A6A6A6" w:themeColor="background1" w:themeShade="A6"/>
              <w:right w:val="nil"/>
            </w:tcBorders>
          </w:tcPr>
          <w:p w14:paraId="02191946" w14:textId="77777777" w:rsidR="0010722B" w:rsidRPr="00806252" w:rsidRDefault="0010722B"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single" w:sz="4" w:space="0" w:color="A6A6A6" w:themeColor="background1" w:themeShade="A6"/>
              <w:right w:val="nil"/>
            </w:tcBorders>
          </w:tcPr>
          <w:p w14:paraId="17EB496E" w14:textId="77777777" w:rsidR="0010722B" w:rsidRPr="00806252" w:rsidRDefault="0010722B" w:rsidP="00302632">
            <w:pPr>
              <w:pStyle w:val="TableText"/>
              <w:rPr>
                <w:b/>
              </w:rPr>
            </w:pPr>
            <w:r w:rsidRPr="00806252">
              <w:rPr>
                <w:b/>
              </w:rPr>
              <w:t>Strength of recommendation</w:t>
            </w:r>
          </w:p>
        </w:tc>
      </w:tr>
      <w:tr w:rsidR="0010722B" w14:paraId="747C83A3"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3F303FE5" w14:textId="77777777" w:rsidR="0010722B" w:rsidRDefault="0010722B" w:rsidP="009B0F0B">
            <w:pPr>
              <w:pStyle w:val="TableText"/>
              <w:ind w:right="113"/>
            </w:pPr>
            <w:r>
              <w:t>Consider offering membrane sweeping at term to reduce the frequency of pregnancies continuing beyond 41+0 weeks’ gestation.</w:t>
            </w:r>
          </w:p>
        </w:tc>
        <w:tc>
          <w:tcPr>
            <w:tcW w:w="1701" w:type="dxa"/>
            <w:tcBorders>
              <w:top w:val="single" w:sz="4" w:space="0" w:color="A6A6A6" w:themeColor="background1" w:themeShade="A6"/>
              <w:left w:val="nil"/>
              <w:bottom w:val="single" w:sz="4" w:space="0" w:color="A6A6A6" w:themeColor="background1" w:themeShade="A6"/>
              <w:right w:val="nil"/>
            </w:tcBorders>
          </w:tcPr>
          <w:p w14:paraId="39100AF6" w14:textId="77777777" w:rsidR="0010722B" w:rsidRDefault="0010722B" w:rsidP="00302632">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37813FE2" w14:textId="77777777" w:rsidR="0010722B" w:rsidRDefault="0010722B" w:rsidP="00302632">
            <w:pPr>
              <w:pStyle w:val="TableText"/>
            </w:pPr>
            <w:r>
              <w:t>Conditional</w:t>
            </w:r>
          </w:p>
        </w:tc>
      </w:tr>
      <w:tr w:rsidR="00EC79BD" w14:paraId="7498FB1D" w14:textId="77777777" w:rsidTr="00BA1CC5">
        <w:trPr>
          <w:cantSplit/>
        </w:trPr>
        <w:tc>
          <w:tcPr>
            <w:tcW w:w="8080" w:type="dxa"/>
            <w:gridSpan w:val="3"/>
            <w:tcBorders>
              <w:top w:val="single" w:sz="4" w:space="0" w:color="A6A6A6" w:themeColor="background1" w:themeShade="A6"/>
              <w:left w:val="nil"/>
              <w:bottom w:val="single" w:sz="4" w:space="0" w:color="A6A6A6" w:themeColor="background1" w:themeShade="A6"/>
              <w:right w:val="nil"/>
            </w:tcBorders>
          </w:tcPr>
          <w:p w14:paraId="67D2E971" w14:textId="77777777" w:rsidR="00EC79BD" w:rsidRDefault="00EC79BD" w:rsidP="00113B9C">
            <w:pPr>
              <w:pStyle w:val="TableText"/>
            </w:pPr>
            <w:r w:rsidRPr="00806252">
              <w:rPr>
                <w:b/>
                <w:iCs/>
              </w:rPr>
              <w:t>Practice point</w:t>
            </w:r>
          </w:p>
          <w:p w14:paraId="21527D2D" w14:textId="77777777" w:rsidR="00EC79BD" w:rsidRDefault="00EC79BD" w:rsidP="0010722B">
            <w:pPr>
              <w:pStyle w:val="TableBullet"/>
            </w:pPr>
            <w:r w:rsidRPr="008E12A8">
              <w:t xml:space="preserve">If offering membrane sweeping, consider performing </w:t>
            </w:r>
            <w:r>
              <w:t xml:space="preserve">it </w:t>
            </w:r>
            <w:r w:rsidRPr="008E12A8">
              <w:t xml:space="preserve">from around </w:t>
            </w:r>
            <w:r w:rsidR="00EB43A9">
              <w:t>39 weeks</w:t>
            </w:r>
            <w:r>
              <w:t>’</w:t>
            </w:r>
            <w:r w:rsidRPr="008E12A8">
              <w:t xml:space="preserve"> gestation.</w:t>
            </w:r>
          </w:p>
        </w:tc>
      </w:tr>
    </w:tbl>
    <w:p w14:paraId="2BE68A96"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10722B" w14:paraId="558540FC" w14:textId="77777777" w:rsidTr="00B379B0">
        <w:trPr>
          <w:cantSplit/>
        </w:trPr>
        <w:tc>
          <w:tcPr>
            <w:tcW w:w="8080" w:type="dxa"/>
            <w:gridSpan w:val="3"/>
            <w:tcBorders>
              <w:top w:val="nil"/>
              <w:left w:val="nil"/>
              <w:bottom w:val="nil"/>
              <w:right w:val="nil"/>
            </w:tcBorders>
            <w:shd w:val="clear" w:color="auto" w:fill="D9D9D9" w:themeFill="background1" w:themeFillShade="D9"/>
          </w:tcPr>
          <w:p w14:paraId="465F6A7E" w14:textId="77777777" w:rsidR="0010722B" w:rsidRDefault="0010722B" w:rsidP="00113B9C">
            <w:pPr>
              <w:pStyle w:val="TableText"/>
            </w:pPr>
            <w:r w:rsidRPr="00113B9C">
              <w:rPr>
                <w:b/>
              </w:rPr>
              <w:t>Pregnancy ≥</w:t>
            </w:r>
            <w:r w:rsidR="00EB43A9">
              <w:rPr>
                <w:b/>
              </w:rPr>
              <w:t>41 weeks</w:t>
            </w:r>
            <w:r w:rsidRPr="00113B9C">
              <w:rPr>
                <w:b/>
              </w:rPr>
              <w:t>’ gestation</w:t>
            </w:r>
          </w:p>
        </w:tc>
      </w:tr>
      <w:tr w:rsidR="0010722B" w14:paraId="72516238" w14:textId="77777777" w:rsidTr="00B379B0">
        <w:trPr>
          <w:cantSplit/>
        </w:trPr>
        <w:tc>
          <w:tcPr>
            <w:tcW w:w="4678" w:type="dxa"/>
            <w:tcBorders>
              <w:top w:val="nil"/>
              <w:left w:val="nil"/>
              <w:bottom w:val="single" w:sz="4" w:space="0" w:color="A6A6A6" w:themeColor="background1" w:themeShade="A6"/>
              <w:right w:val="nil"/>
            </w:tcBorders>
          </w:tcPr>
          <w:p w14:paraId="741ADBE2" w14:textId="77777777" w:rsidR="0010722B" w:rsidRPr="00806252" w:rsidRDefault="0010722B" w:rsidP="00302632">
            <w:pPr>
              <w:pStyle w:val="TableText"/>
              <w:rPr>
                <w:b/>
              </w:rPr>
            </w:pPr>
            <w:r w:rsidRPr="00806252">
              <w:rPr>
                <w:b/>
              </w:rPr>
              <w:t>Recommendation</w:t>
            </w:r>
          </w:p>
        </w:tc>
        <w:tc>
          <w:tcPr>
            <w:tcW w:w="1701" w:type="dxa"/>
            <w:tcBorders>
              <w:top w:val="nil"/>
              <w:left w:val="nil"/>
              <w:bottom w:val="single" w:sz="4" w:space="0" w:color="A6A6A6" w:themeColor="background1" w:themeShade="A6"/>
              <w:right w:val="nil"/>
            </w:tcBorders>
          </w:tcPr>
          <w:p w14:paraId="45727339" w14:textId="77777777" w:rsidR="0010722B" w:rsidRPr="00806252" w:rsidRDefault="0010722B"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single" w:sz="4" w:space="0" w:color="A6A6A6" w:themeColor="background1" w:themeShade="A6"/>
              <w:right w:val="nil"/>
            </w:tcBorders>
          </w:tcPr>
          <w:p w14:paraId="52BB30F1" w14:textId="77777777" w:rsidR="0010722B" w:rsidRPr="00806252" w:rsidRDefault="0010722B" w:rsidP="00302632">
            <w:pPr>
              <w:pStyle w:val="TableText"/>
              <w:rPr>
                <w:b/>
              </w:rPr>
            </w:pPr>
            <w:r w:rsidRPr="00806252">
              <w:rPr>
                <w:b/>
              </w:rPr>
              <w:t>Strength of recommendation</w:t>
            </w:r>
          </w:p>
        </w:tc>
      </w:tr>
      <w:tr w:rsidR="009B0F0B" w14:paraId="58CF50C4" w14:textId="77777777" w:rsidTr="00B379B0">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3731E1ED" w14:textId="77777777" w:rsidR="009B0F0B" w:rsidRDefault="009B0F0B" w:rsidP="009B0F0B">
            <w:pPr>
              <w:pStyle w:val="TableText"/>
              <w:ind w:right="113"/>
            </w:pPr>
            <w:r>
              <w:t xml:space="preserve">Offer IOL between 41+0 and 42+0 weeks’ gestation to women with uncomplicated pregnancies, to reduce the risks of perinatal death, caesarean section, </w:t>
            </w:r>
            <w:r w:rsidR="00763E83">
              <w:t>5</w:t>
            </w:r>
            <w:r w:rsidR="00763E83">
              <w:noBreakHyphen/>
              <w:t>minute</w:t>
            </w:r>
            <w:r>
              <w:t xml:space="preserve"> Apgar &lt;7 and meconium aspiration syndrome.</w:t>
            </w:r>
          </w:p>
        </w:tc>
        <w:tc>
          <w:tcPr>
            <w:tcW w:w="1701" w:type="dxa"/>
            <w:tcBorders>
              <w:top w:val="single" w:sz="4" w:space="0" w:color="A6A6A6" w:themeColor="background1" w:themeShade="A6"/>
              <w:left w:val="nil"/>
              <w:bottom w:val="single" w:sz="4" w:space="0" w:color="A6A6A6" w:themeColor="background1" w:themeShade="A6"/>
              <w:right w:val="nil"/>
            </w:tcBorders>
          </w:tcPr>
          <w:p w14:paraId="0FB50403" w14:textId="77777777" w:rsidR="009B0F0B" w:rsidRDefault="009B0F0B" w:rsidP="00302632">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2E67A26F" w14:textId="77777777" w:rsidR="009B0F0B" w:rsidRDefault="009B0F0B" w:rsidP="00302632">
            <w:pPr>
              <w:pStyle w:val="TableText"/>
            </w:pPr>
            <w:r>
              <w:t>Conditional</w:t>
            </w:r>
          </w:p>
        </w:tc>
      </w:tr>
    </w:tbl>
    <w:p w14:paraId="245A643E"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9B0F0B" w:rsidRPr="009B0F0B" w14:paraId="1CB22BD3" w14:textId="77777777" w:rsidTr="00BA1CC5">
        <w:trPr>
          <w:cantSplit/>
        </w:trPr>
        <w:tc>
          <w:tcPr>
            <w:tcW w:w="8080" w:type="dxa"/>
            <w:gridSpan w:val="3"/>
            <w:tcBorders>
              <w:top w:val="nil"/>
              <w:left w:val="nil"/>
              <w:bottom w:val="nil"/>
              <w:right w:val="nil"/>
            </w:tcBorders>
            <w:shd w:val="clear" w:color="auto" w:fill="D9D9D9" w:themeFill="background1" w:themeFillShade="D9"/>
          </w:tcPr>
          <w:p w14:paraId="3AC46DB9" w14:textId="77777777" w:rsidR="009B0F0B" w:rsidRPr="009B0F0B" w:rsidRDefault="009B0F0B" w:rsidP="00BA1CC5">
            <w:pPr>
              <w:pStyle w:val="TableText"/>
              <w:rPr>
                <w:b/>
              </w:rPr>
            </w:pPr>
            <w:r w:rsidRPr="009B0F0B">
              <w:rPr>
                <w:b/>
              </w:rPr>
              <w:lastRenderedPageBreak/>
              <w:t>Pre-labour rupture of membranes</w:t>
            </w:r>
          </w:p>
        </w:tc>
      </w:tr>
      <w:tr w:rsidR="009B0F0B" w14:paraId="51265221" w14:textId="77777777" w:rsidTr="00B379B0">
        <w:trPr>
          <w:cantSplit/>
        </w:trPr>
        <w:tc>
          <w:tcPr>
            <w:tcW w:w="4678" w:type="dxa"/>
            <w:tcBorders>
              <w:top w:val="nil"/>
              <w:left w:val="nil"/>
              <w:bottom w:val="single" w:sz="4" w:space="0" w:color="A6A6A6" w:themeColor="background1" w:themeShade="A6"/>
              <w:right w:val="nil"/>
            </w:tcBorders>
          </w:tcPr>
          <w:p w14:paraId="7A47FA6A" w14:textId="77777777" w:rsidR="009B0F0B" w:rsidRPr="00806252" w:rsidRDefault="009B0F0B" w:rsidP="00BA1CC5">
            <w:pPr>
              <w:pStyle w:val="TableText"/>
              <w:rPr>
                <w:b/>
              </w:rPr>
            </w:pPr>
            <w:r w:rsidRPr="00806252">
              <w:rPr>
                <w:b/>
              </w:rPr>
              <w:t>Recommendation</w:t>
            </w:r>
          </w:p>
        </w:tc>
        <w:tc>
          <w:tcPr>
            <w:tcW w:w="1701" w:type="dxa"/>
            <w:tcBorders>
              <w:top w:val="nil"/>
              <w:left w:val="nil"/>
              <w:bottom w:val="single" w:sz="4" w:space="0" w:color="A6A6A6" w:themeColor="background1" w:themeShade="A6"/>
              <w:right w:val="nil"/>
            </w:tcBorders>
          </w:tcPr>
          <w:p w14:paraId="365EC0A0" w14:textId="77777777" w:rsidR="009B0F0B" w:rsidRPr="00806252" w:rsidRDefault="009B0F0B"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single" w:sz="4" w:space="0" w:color="A6A6A6" w:themeColor="background1" w:themeShade="A6"/>
              <w:right w:val="nil"/>
            </w:tcBorders>
          </w:tcPr>
          <w:p w14:paraId="6C108760" w14:textId="77777777" w:rsidR="009B0F0B" w:rsidRPr="00806252" w:rsidRDefault="009B0F0B" w:rsidP="00BA1CC5">
            <w:pPr>
              <w:pStyle w:val="TableText"/>
              <w:rPr>
                <w:b/>
              </w:rPr>
            </w:pPr>
            <w:r w:rsidRPr="00806252">
              <w:rPr>
                <w:b/>
              </w:rPr>
              <w:t>Strength of recommendation</w:t>
            </w:r>
          </w:p>
        </w:tc>
      </w:tr>
      <w:tr w:rsidR="009B0F0B" w14:paraId="2CA0C028"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46299753" w14:textId="77777777" w:rsidR="009B0F0B" w:rsidRDefault="009B0F0B" w:rsidP="00302632">
            <w:pPr>
              <w:pStyle w:val="TableText"/>
            </w:pPr>
            <w:r>
              <w:t>For women with PROM at ≥</w:t>
            </w:r>
            <w:r w:rsidR="00EB43A9">
              <w:t>37 weeks</w:t>
            </w:r>
            <w:r>
              <w:t xml:space="preserve">’ gestation, offer planned early </w:t>
            </w:r>
            <w:proofErr w:type="gramStart"/>
            <w:r>
              <w:t>birth,*</w:t>
            </w:r>
            <w:proofErr w:type="gramEnd"/>
            <w:r>
              <w:t xml:space="preserve"> to reduce the risks of maternal infectious morbidity, definite or probable early-onset neonatal sepsis and NICU admission.</w:t>
            </w:r>
          </w:p>
          <w:p w14:paraId="449F351A" w14:textId="77777777" w:rsidR="009B0F0B" w:rsidRPr="009B0F0B" w:rsidRDefault="009B0F0B" w:rsidP="00302632">
            <w:pPr>
              <w:pStyle w:val="TableText"/>
              <w:rPr>
                <w:sz w:val="16"/>
                <w:szCs w:val="16"/>
              </w:rPr>
            </w:pPr>
            <w:r w:rsidRPr="009B0F0B">
              <w:rPr>
                <w:sz w:val="16"/>
                <w:szCs w:val="16"/>
              </w:rPr>
              <w:t xml:space="preserve">* immediate intervention or intervention within </w:t>
            </w:r>
            <w:r w:rsidR="00EB43A9">
              <w:rPr>
                <w:sz w:val="16"/>
                <w:szCs w:val="16"/>
              </w:rPr>
              <w:t>24 hours</w:t>
            </w:r>
            <w:r>
              <w:rPr>
                <w:sz w:val="16"/>
                <w:szCs w:val="16"/>
              </w:rPr>
              <w:t>.</w:t>
            </w:r>
          </w:p>
        </w:tc>
        <w:tc>
          <w:tcPr>
            <w:tcW w:w="1701" w:type="dxa"/>
            <w:tcBorders>
              <w:top w:val="single" w:sz="4" w:space="0" w:color="A6A6A6" w:themeColor="background1" w:themeShade="A6"/>
              <w:left w:val="nil"/>
              <w:bottom w:val="single" w:sz="4" w:space="0" w:color="A6A6A6" w:themeColor="background1" w:themeShade="A6"/>
              <w:right w:val="nil"/>
            </w:tcBorders>
          </w:tcPr>
          <w:p w14:paraId="2AC4FA24" w14:textId="77777777" w:rsidR="009B0F0B" w:rsidRDefault="009B0F0B" w:rsidP="00302632">
            <w:pPr>
              <w:pStyle w:val="TableText"/>
            </w:pPr>
            <w:r>
              <w:t>Level 1; low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61BD0CCB" w14:textId="77777777" w:rsidR="009B0F0B" w:rsidRDefault="009B0F0B" w:rsidP="00302632">
            <w:pPr>
              <w:pStyle w:val="TableText"/>
            </w:pPr>
            <w:r>
              <w:t>Conditional</w:t>
            </w:r>
          </w:p>
        </w:tc>
      </w:tr>
      <w:tr w:rsidR="00EC79BD" w14:paraId="2ECCEEEA" w14:textId="77777777" w:rsidTr="00BA1CC5">
        <w:trPr>
          <w:cantSplit/>
        </w:trPr>
        <w:tc>
          <w:tcPr>
            <w:tcW w:w="8080" w:type="dxa"/>
            <w:gridSpan w:val="3"/>
            <w:tcBorders>
              <w:top w:val="single" w:sz="4" w:space="0" w:color="A6A6A6" w:themeColor="background1" w:themeShade="A6"/>
              <w:left w:val="nil"/>
              <w:bottom w:val="single" w:sz="4" w:space="0" w:color="A6A6A6" w:themeColor="background1" w:themeShade="A6"/>
              <w:right w:val="nil"/>
            </w:tcBorders>
          </w:tcPr>
          <w:p w14:paraId="2DF89467" w14:textId="77777777" w:rsidR="00EC79BD" w:rsidRDefault="00EC79BD" w:rsidP="00302632">
            <w:pPr>
              <w:pStyle w:val="TableText"/>
            </w:pPr>
            <w:r w:rsidRPr="00806252">
              <w:rPr>
                <w:b/>
                <w:iCs/>
              </w:rPr>
              <w:t>Practice point</w:t>
            </w:r>
            <w:r>
              <w:rPr>
                <w:b/>
                <w:iCs/>
              </w:rPr>
              <w:t>s</w:t>
            </w:r>
          </w:p>
          <w:p w14:paraId="3461ED0A" w14:textId="77777777" w:rsidR="00EC79BD" w:rsidRPr="002154AF" w:rsidRDefault="00EC79BD" w:rsidP="00302632">
            <w:pPr>
              <w:pStyle w:val="TableBullet"/>
            </w:pPr>
            <w:r w:rsidRPr="002154AF">
              <w:t xml:space="preserve">For women with </w:t>
            </w:r>
            <w:r>
              <w:t>PROM</w:t>
            </w:r>
            <w:r w:rsidRPr="002154AF">
              <w:t xml:space="preserve">, share information with </w:t>
            </w:r>
            <w:r>
              <w:t xml:space="preserve">the </w:t>
            </w:r>
            <w:r w:rsidRPr="002154AF">
              <w:t>wom</w:t>
            </w:r>
            <w:r>
              <w:t>e</w:t>
            </w:r>
            <w:r w:rsidRPr="002154AF">
              <w:t>n as early as practical</w:t>
            </w:r>
            <w:r>
              <w:t xml:space="preserve"> </w:t>
            </w:r>
            <w:r w:rsidRPr="002154AF">
              <w:t>after rupture of membrane</w:t>
            </w:r>
            <w:r>
              <w:t>s</w:t>
            </w:r>
            <w:r w:rsidRPr="002154AF">
              <w:t xml:space="preserve"> to support informed decision</w:t>
            </w:r>
            <w:r>
              <w:t>-</w:t>
            </w:r>
            <w:r w:rsidRPr="002154AF">
              <w:t>making.</w:t>
            </w:r>
          </w:p>
          <w:p w14:paraId="2BCF6643" w14:textId="77777777" w:rsidR="00EC79BD" w:rsidRPr="002A68A1" w:rsidRDefault="00EC79BD" w:rsidP="00302632">
            <w:pPr>
              <w:pStyle w:val="TableBullet"/>
            </w:pPr>
            <w:r w:rsidRPr="00270CE2">
              <w:t xml:space="preserve">Unless immediate </w:t>
            </w:r>
            <w:r>
              <w:t>IOL</w:t>
            </w:r>
            <w:r w:rsidRPr="002A68A1">
              <w:t xml:space="preserve"> is planned, avoid digital vaginal examination.</w:t>
            </w:r>
          </w:p>
          <w:p w14:paraId="4E92D2B5" w14:textId="77777777" w:rsidR="00EC79BD" w:rsidRPr="002154AF" w:rsidRDefault="00EC79BD" w:rsidP="00302632">
            <w:pPr>
              <w:pStyle w:val="TableBullet"/>
            </w:pPr>
            <w:r w:rsidRPr="002154AF">
              <w:t xml:space="preserve">If neonates are at risk for early-onset </w:t>
            </w:r>
            <w:r>
              <w:t>neonatal g</w:t>
            </w:r>
            <w:r w:rsidRPr="002154AF">
              <w:t xml:space="preserve">roup B </w:t>
            </w:r>
            <w:r>
              <w:t>s</w:t>
            </w:r>
            <w:r w:rsidRPr="002154AF">
              <w:t>treptococc</w:t>
            </w:r>
            <w:r>
              <w:t>al</w:t>
            </w:r>
            <w:r w:rsidRPr="002154AF">
              <w:t xml:space="preserve"> sepsis, offer immediate</w:t>
            </w:r>
            <w:r>
              <w:t xml:space="preserve"> IOL</w:t>
            </w:r>
            <w:r w:rsidRPr="002154AF">
              <w:t>.</w:t>
            </w:r>
          </w:p>
          <w:p w14:paraId="71AA56B2" w14:textId="77777777" w:rsidR="00EC79BD" w:rsidRDefault="00EC79BD" w:rsidP="00302632">
            <w:pPr>
              <w:pStyle w:val="TableBullet"/>
            </w:pPr>
            <w:r w:rsidRPr="002154AF">
              <w:t>If liquor is meconium</w:t>
            </w:r>
            <w:r>
              <w:t xml:space="preserve"> </w:t>
            </w:r>
            <w:r w:rsidRPr="002154AF">
              <w:t xml:space="preserve">stained, consider immediate </w:t>
            </w:r>
            <w:r>
              <w:t>IOL</w:t>
            </w:r>
            <w:r w:rsidRPr="002154AF">
              <w:t>.</w:t>
            </w:r>
          </w:p>
        </w:tc>
      </w:tr>
    </w:tbl>
    <w:p w14:paraId="06F6516A"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76542A" w:rsidRPr="0076542A" w14:paraId="750496C6" w14:textId="77777777" w:rsidTr="00BA1CC5">
        <w:trPr>
          <w:cantSplit/>
        </w:trPr>
        <w:tc>
          <w:tcPr>
            <w:tcW w:w="8080" w:type="dxa"/>
            <w:tcBorders>
              <w:top w:val="nil"/>
              <w:left w:val="nil"/>
              <w:bottom w:val="nil"/>
              <w:right w:val="nil"/>
            </w:tcBorders>
            <w:shd w:val="clear" w:color="auto" w:fill="D9D9D9" w:themeFill="background1" w:themeFillShade="D9"/>
          </w:tcPr>
          <w:p w14:paraId="329E1125" w14:textId="77777777" w:rsidR="0076542A" w:rsidRPr="0076542A" w:rsidRDefault="0076542A" w:rsidP="0076542A">
            <w:pPr>
              <w:pStyle w:val="TableText"/>
              <w:rPr>
                <w:b/>
              </w:rPr>
            </w:pPr>
            <w:r w:rsidRPr="0076542A">
              <w:rPr>
                <w:b/>
              </w:rPr>
              <w:t>Suspected small for gestational age / fetal growth restriction</w:t>
            </w:r>
          </w:p>
        </w:tc>
      </w:tr>
      <w:tr w:rsidR="00EC79BD" w14:paraId="72335D10" w14:textId="77777777" w:rsidTr="00BA1CC5">
        <w:trPr>
          <w:cantSplit/>
        </w:trPr>
        <w:tc>
          <w:tcPr>
            <w:tcW w:w="8080" w:type="dxa"/>
            <w:tcBorders>
              <w:top w:val="nil"/>
              <w:left w:val="nil"/>
              <w:bottom w:val="single" w:sz="4" w:space="0" w:color="A6A6A6" w:themeColor="background1" w:themeShade="A6"/>
              <w:right w:val="nil"/>
            </w:tcBorders>
          </w:tcPr>
          <w:p w14:paraId="4C191E11" w14:textId="77777777" w:rsidR="00EC79BD" w:rsidRDefault="00EC79BD" w:rsidP="00302632">
            <w:pPr>
              <w:pStyle w:val="TableText"/>
            </w:pPr>
            <w:r w:rsidRPr="00806252">
              <w:rPr>
                <w:b/>
                <w:iCs/>
              </w:rPr>
              <w:t>Practice point</w:t>
            </w:r>
            <w:r>
              <w:rPr>
                <w:b/>
                <w:iCs/>
              </w:rPr>
              <w:t>s</w:t>
            </w:r>
          </w:p>
          <w:p w14:paraId="7AA360FE" w14:textId="77777777" w:rsidR="00EC79BD" w:rsidRPr="002A68A1" w:rsidRDefault="00EC79BD" w:rsidP="00302632">
            <w:pPr>
              <w:pStyle w:val="TableBullet"/>
            </w:pPr>
            <w:r w:rsidRPr="001E2590">
              <w:t xml:space="preserve">For women with </w:t>
            </w:r>
            <w:r>
              <w:t xml:space="preserve">a </w:t>
            </w:r>
            <w:r w:rsidRPr="001E2590">
              <w:t xml:space="preserve">suspected </w:t>
            </w:r>
            <w:r>
              <w:t>SGA</w:t>
            </w:r>
            <w:r w:rsidRPr="001E2590">
              <w:t xml:space="preserve"> fetus or </w:t>
            </w:r>
            <w:r>
              <w:t>FGR</w:t>
            </w:r>
            <w:r w:rsidRPr="001E2590">
              <w:t xml:space="preserve">, in settings where detailed Doppler studies are unavailable, offer </w:t>
            </w:r>
            <w:r>
              <w:t>IOL</w:t>
            </w:r>
            <w:r w:rsidRPr="001E2590">
              <w:t xml:space="preserve"> at around </w:t>
            </w:r>
            <w:r w:rsidR="00EB43A9">
              <w:t>38 weeks</w:t>
            </w:r>
            <w:r>
              <w:t>’</w:t>
            </w:r>
            <w:r w:rsidRPr="001E2590">
              <w:t xml:space="preserve"> gestation (or</w:t>
            </w:r>
            <w:r>
              <w:t xml:space="preserve"> </w:t>
            </w:r>
            <w:r w:rsidRPr="002A68A1">
              <w:t>earlier if concern</w:t>
            </w:r>
            <w:r>
              <w:t>ed</w:t>
            </w:r>
            <w:r w:rsidRPr="002A68A1">
              <w:t>).</w:t>
            </w:r>
          </w:p>
          <w:p w14:paraId="68CCE2E9" w14:textId="77777777" w:rsidR="00EC79BD" w:rsidRPr="002A68A1" w:rsidRDefault="00EC79BD" w:rsidP="00302632">
            <w:pPr>
              <w:pStyle w:val="TableBullet"/>
            </w:pPr>
            <w:r w:rsidRPr="001E2590">
              <w:t xml:space="preserve">For women with </w:t>
            </w:r>
            <w:r>
              <w:t xml:space="preserve">a </w:t>
            </w:r>
            <w:r w:rsidRPr="001E2590">
              <w:t xml:space="preserve">suspected </w:t>
            </w:r>
            <w:r>
              <w:t>SGA</w:t>
            </w:r>
            <w:r w:rsidRPr="001E2590">
              <w:t xml:space="preserve"> fetus with abnormal umbilical artery Dopplers, consider offering </w:t>
            </w:r>
            <w:r>
              <w:t>IOL</w:t>
            </w:r>
            <w:r w:rsidRPr="001E2590">
              <w:t xml:space="preserve"> at around </w:t>
            </w:r>
            <w:r w:rsidR="00EB43A9">
              <w:t>37 weeks</w:t>
            </w:r>
            <w:r>
              <w:t>’</w:t>
            </w:r>
            <w:r w:rsidRPr="001E2590">
              <w:t xml:space="preserve"> gestation (low threshold for planned birth if there is any concern about maternal or fetal wellbeing or if there is suspected cessation of fetal</w:t>
            </w:r>
            <w:r>
              <w:t xml:space="preserve"> </w:t>
            </w:r>
            <w:r w:rsidRPr="002A68A1">
              <w:t>growth).</w:t>
            </w:r>
          </w:p>
          <w:p w14:paraId="172A018E" w14:textId="77777777" w:rsidR="00EC79BD" w:rsidRPr="002A68A1" w:rsidRDefault="00EC79BD" w:rsidP="00302632">
            <w:pPr>
              <w:pStyle w:val="TableBullet"/>
            </w:pPr>
            <w:r w:rsidRPr="002A68A1">
              <w:t xml:space="preserve">For women with </w:t>
            </w:r>
            <w:r>
              <w:t xml:space="preserve">a </w:t>
            </w:r>
            <w:r w:rsidRPr="002A68A1">
              <w:t xml:space="preserve">suspected </w:t>
            </w:r>
            <w:r>
              <w:t>SGA</w:t>
            </w:r>
            <w:r w:rsidRPr="002A68A1">
              <w:t xml:space="preserve"> fetus with abnormal </w:t>
            </w:r>
            <w:r>
              <w:rPr>
                <w:iCs/>
              </w:rPr>
              <w:t>middle cerebral artery (</w:t>
            </w:r>
            <w:r w:rsidRPr="002A68A1">
              <w:t>MCA</w:t>
            </w:r>
            <w:r>
              <w:t>)</w:t>
            </w:r>
            <w:r w:rsidRPr="002A68A1">
              <w:t xml:space="preserve">, CPR or uterine artery Dopplers, or EFW </w:t>
            </w:r>
            <w:r>
              <w:t xml:space="preserve">under the </w:t>
            </w:r>
            <w:r w:rsidRPr="002A68A1">
              <w:t>3</w:t>
            </w:r>
            <w:r>
              <w:t>rd</w:t>
            </w:r>
            <w:r w:rsidRPr="002A68A1">
              <w:rPr>
                <w:position w:val="7"/>
                <w:sz w:val="14"/>
              </w:rPr>
              <w:t xml:space="preserve"> </w:t>
            </w:r>
            <w:r w:rsidRPr="002A68A1">
              <w:t xml:space="preserve">centile, offer </w:t>
            </w:r>
            <w:r>
              <w:t>IOL</w:t>
            </w:r>
            <w:r w:rsidRPr="002A68A1">
              <w:t xml:space="preserve"> at around </w:t>
            </w:r>
            <w:r w:rsidR="00EB43A9">
              <w:t>38 weeks</w:t>
            </w:r>
            <w:r>
              <w:t>’</w:t>
            </w:r>
            <w:r w:rsidRPr="002A68A1">
              <w:t xml:space="preserve"> gestation (or earlier if</w:t>
            </w:r>
            <w:r>
              <w:t xml:space="preserve"> </w:t>
            </w:r>
            <w:r w:rsidRPr="002A68A1">
              <w:t>concern</w:t>
            </w:r>
            <w:r>
              <w:t>ed</w:t>
            </w:r>
            <w:r w:rsidRPr="002A68A1">
              <w:t>).</w:t>
            </w:r>
          </w:p>
          <w:p w14:paraId="418A5032" w14:textId="77777777" w:rsidR="00EC79BD" w:rsidRDefault="00EC79BD" w:rsidP="0076542A">
            <w:pPr>
              <w:pStyle w:val="TableBullet"/>
            </w:pPr>
            <w:r w:rsidRPr="002A68A1">
              <w:t xml:space="preserve">For women with suspected </w:t>
            </w:r>
            <w:r>
              <w:t>SGA</w:t>
            </w:r>
            <w:r w:rsidRPr="002A68A1">
              <w:t xml:space="preserve"> fetus with normal MCA, CPR and uterine artery Dopplers, and EFW </w:t>
            </w:r>
            <w:r>
              <w:t xml:space="preserve">at or over the </w:t>
            </w:r>
            <w:r w:rsidRPr="002A68A1">
              <w:t>3</w:t>
            </w:r>
            <w:r>
              <w:t xml:space="preserve">rd </w:t>
            </w:r>
            <w:r w:rsidRPr="002A68A1">
              <w:t xml:space="preserve">centile, offer </w:t>
            </w:r>
            <w:r>
              <w:t>IOL</w:t>
            </w:r>
            <w:r w:rsidRPr="002A68A1">
              <w:t xml:space="preserve"> at around </w:t>
            </w:r>
            <w:r w:rsidR="00763E83">
              <w:t>40 weeks</w:t>
            </w:r>
            <w:r>
              <w:t>’</w:t>
            </w:r>
            <w:r w:rsidRPr="002A68A1">
              <w:t xml:space="preserve"> gestation (or earlier if concern</w:t>
            </w:r>
            <w:r>
              <w:t>ed</w:t>
            </w:r>
            <w:r w:rsidRPr="002A68A1">
              <w:t>). These babies are likely to be constitutionally small and are at lower risk of adverse</w:t>
            </w:r>
            <w:r>
              <w:t xml:space="preserve"> </w:t>
            </w:r>
            <w:r w:rsidRPr="00801613">
              <w:t>outcome</w:t>
            </w:r>
            <w:r>
              <w:t>s</w:t>
            </w:r>
            <w:r w:rsidRPr="00801613">
              <w:t>.</w:t>
            </w:r>
          </w:p>
        </w:tc>
      </w:tr>
    </w:tbl>
    <w:p w14:paraId="378612EB"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76542A" w:rsidRPr="0076542A" w14:paraId="1DBC4E05" w14:textId="77777777" w:rsidTr="00BA1CC5">
        <w:trPr>
          <w:cantSplit/>
        </w:trPr>
        <w:tc>
          <w:tcPr>
            <w:tcW w:w="8080" w:type="dxa"/>
            <w:tcBorders>
              <w:top w:val="nil"/>
              <w:left w:val="nil"/>
              <w:bottom w:val="nil"/>
              <w:right w:val="nil"/>
            </w:tcBorders>
            <w:shd w:val="clear" w:color="auto" w:fill="D9D9D9" w:themeFill="background1" w:themeFillShade="D9"/>
          </w:tcPr>
          <w:p w14:paraId="2D908EA0" w14:textId="77777777" w:rsidR="0076542A" w:rsidRPr="0076542A" w:rsidRDefault="0076542A" w:rsidP="00302632">
            <w:pPr>
              <w:pStyle w:val="TableText"/>
              <w:rPr>
                <w:b/>
              </w:rPr>
            </w:pPr>
            <w:r w:rsidRPr="0076542A">
              <w:rPr>
                <w:b/>
              </w:rPr>
              <w:t>Diabetes in pregnancy</w:t>
            </w:r>
          </w:p>
        </w:tc>
      </w:tr>
      <w:tr w:rsidR="00EC79BD" w14:paraId="0280D672" w14:textId="77777777" w:rsidTr="00BA1CC5">
        <w:trPr>
          <w:cantSplit/>
        </w:trPr>
        <w:tc>
          <w:tcPr>
            <w:tcW w:w="8080" w:type="dxa"/>
            <w:tcBorders>
              <w:top w:val="nil"/>
              <w:left w:val="nil"/>
              <w:bottom w:val="single" w:sz="4" w:space="0" w:color="A6A6A6" w:themeColor="background1" w:themeShade="A6"/>
              <w:right w:val="nil"/>
            </w:tcBorders>
          </w:tcPr>
          <w:p w14:paraId="5C09CAA4" w14:textId="77777777" w:rsidR="00EC79BD" w:rsidRDefault="00EC79BD" w:rsidP="00302632">
            <w:pPr>
              <w:pStyle w:val="TableText"/>
            </w:pPr>
            <w:r w:rsidRPr="00806252">
              <w:rPr>
                <w:b/>
                <w:iCs/>
              </w:rPr>
              <w:t>Practice point</w:t>
            </w:r>
            <w:r>
              <w:rPr>
                <w:b/>
                <w:iCs/>
              </w:rPr>
              <w:t>s</w:t>
            </w:r>
          </w:p>
          <w:p w14:paraId="7EAFD196" w14:textId="77777777" w:rsidR="00EC79BD" w:rsidRPr="002A68A1" w:rsidRDefault="00EC79BD" w:rsidP="00302632">
            <w:pPr>
              <w:pStyle w:val="TableBullet"/>
            </w:pPr>
            <w:r w:rsidRPr="002A68A1">
              <w:t xml:space="preserve">For women with gestational diabetes, continue expectant management to at least </w:t>
            </w:r>
            <w:r w:rsidR="00763E83">
              <w:t>40 weeks</w:t>
            </w:r>
            <w:r>
              <w:t xml:space="preserve">’ </w:t>
            </w:r>
            <w:r w:rsidRPr="002A68A1">
              <w:t>gestation, in the setting of good glycaemic control, normal fetal growth and no obstetric</w:t>
            </w:r>
            <w:r>
              <w:t xml:space="preserve"> </w:t>
            </w:r>
            <w:r w:rsidRPr="002A68A1">
              <w:t>complications.</w:t>
            </w:r>
          </w:p>
          <w:p w14:paraId="3A0869CB" w14:textId="77777777" w:rsidR="00EC79BD" w:rsidRPr="002A68A1" w:rsidRDefault="00EC79BD" w:rsidP="00302632">
            <w:pPr>
              <w:pStyle w:val="TableBullet"/>
            </w:pPr>
            <w:r w:rsidRPr="002A68A1">
              <w:t xml:space="preserve">For women with </w:t>
            </w:r>
            <w:r w:rsidR="00763E83">
              <w:t>type 2</w:t>
            </w:r>
            <w:r w:rsidRPr="002A68A1">
              <w:t xml:space="preserve"> diabetes, continue expectant management to </w:t>
            </w:r>
            <w:r w:rsidR="00EB43A9">
              <w:t>39 weeks</w:t>
            </w:r>
            <w:r>
              <w:t>’</w:t>
            </w:r>
            <w:r w:rsidRPr="002A68A1">
              <w:t xml:space="preserve"> gestation,</w:t>
            </w:r>
            <w:r w:rsidRPr="002A68A1">
              <w:rPr>
                <w:spacing w:val="-35"/>
              </w:rPr>
              <w:t xml:space="preserve"> </w:t>
            </w:r>
            <w:r w:rsidRPr="002A68A1">
              <w:t>unless</w:t>
            </w:r>
            <w:r>
              <w:t xml:space="preserve"> </w:t>
            </w:r>
            <w:r w:rsidRPr="00801613">
              <w:t>there are obstetric or fetal indications for earlier birth or diabetes complications</w:t>
            </w:r>
            <w:r>
              <w:t>,</w:t>
            </w:r>
            <w:r w:rsidRPr="00801613">
              <w:t xml:space="preserve"> such as</w:t>
            </w:r>
            <w:r w:rsidRPr="00801613">
              <w:rPr>
                <w:spacing w:val="-30"/>
              </w:rPr>
              <w:t xml:space="preserve"> </w:t>
            </w:r>
            <w:r w:rsidRPr="00801613">
              <w:t>vascular</w:t>
            </w:r>
            <w:r>
              <w:t xml:space="preserve"> </w:t>
            </w:r>
            <w:r w:rsidRPr="002A68A1">
              <w:t>disease.</w:t>
            </w:r>
          </w:p>
          <w:p w14:paraId="6FCF65CA" w14:textId="77777777" w:rsidR="00EC79BD" w:rsidRDefault="00EC79BD" w:rsidP="00302632">
            <w:pPr>
              <w:pStyle w:val="TableBullet"/>
            </w:pPr>
            <w:r>
              <w:t>For w</w:t>
            </w:r>
            <w:r w:rsidRPr="00801613">
              <w:t xml:space="preserve">omen with </w:t>
            </w:r>
            <w:r w:rsidR="00763E83">
              <w:t>type 1</w:t>
            </w:r>
            <w:r w:rsidRPr="00801613">
              <w:t xml:space="preserve"> diabetes</w:t>
            </w:r>
            <w:r>
              <w:t>,</w:t>
            </w:r>
            <w:r w:rsidRPr="00801613">
              <w:t xml:space="preserve"> </w:t>
            </w:r>
            <w:r>
              <w:t>manage on a case-by-case basis</w:t>
            </w:r>
            <w:r w:rsidRPr="00801613">
              <w:t>.</w:t>
            </w:r>
          </w:p>
        </w:tc>
      </w:tr>
    </w:tbl>
    <w:p w14:paraId="23AF81CC"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76542A" w:rsidRPr="0076542A" w14:paraId="3EA3C054" w14:textId="77777777" w:rsidTr="00BA1CC5">
        <w:trPr>
          <w:cantSplit/>
        </w:trPr>
        <w:tc>
          <w:tcPr>
            <w:tcW w:w="8080" w:type="dxa"/>
            <w:tcBorders>
              <w:top w:val="nil"/>
              <w:left w:val="nil"/>
              <w:bottom w:val="nil"/>
              <w:right w:val="nil"/>
            </w:tcBorders>
            <w:shd w:val="clear" w:color="auto" w:fill="D9D9D9" w:themeFill="background1" w:themeFillShade="D9"/>
          </w:tcPr>
          <w:p w14:paraId="1F13334C" w14:textId="77777777" w:rsidR="0076542A" w:rsidRPr="0076542A" w:rsidRDefault="0076542A" w:rsidP="00302632">
            <w:pPr>
              <w:pStyle w:val="TableText"/>
              <w:rPr>
                <w:b/>
              </w:rPr>
            </w:pPr>
            <w:r w:rsidRPr="0076542A">
              <w:rPr>
                <w:b/>
              </w:rPr>
              <w:t>Maternal obesity</w:t>
            </w:r>
          </w:p>
        </w:tc>
      </w:tr>
      <w:tr w:rsidR="00EC79BD" w14:paraId="1A3DAEB2" w14:textId="77777777" w:rsidTr="00BA1CC5">
        <w:trPr>
          <w:cantSplit/>
        </w:trPr>
        <w:tc>
          <w:tcPr>
            <w:tcW w:w="8080" w:type="dxa"/>
            <w:tcBorders>
              <w:top w:val="nil"/>
              <w:left w:val="nil"/>
              <w:bottom w:val="single" w:sz="4" w:space="0" w:color="A6A6A6" w:themeColor="background1" w:themeShade="A6"/>
              <w:right w:val="nil"/>
            </w:tcBorders>
          </w:tcPr>
          <w:p w14:paraId="2B162890" w14:textId="77777777" w:rsidR="00EC79BD" w:rsidRDefault="00EC79BD" w:rsidP="00302632">
            <w:pPr>
              <w:pStyle w:val="TableText"/>
            </w:pPr>
            <w:r w:rsidRPr="00806252">
              <w:rPr>
                <w:b/>
                <w:iCs/>
              </w:rPr>
              <w:t>Practice point</w:t>
            </w:r>
          </w:p>
          <w:p w14:paraId="0C1EF22F" w14:textId="77777777" w:rsidR="00EC79BD" w:rsidRDefault="00EC79BD" w:rsidP="00302632">
            <w:pPr>
              <w:pStyle w:val="TableBullet"/>
            </w:pPr>
            <w:r w:rsidRPr="00801613">
              <w:t>For women with maternal obesity, in the absence of other risk factors or pregnancy complications, do</w:t>
            </w:r>
            <w:r>
              <w:t xml:space="preserve"> </w:t>
            </w:r>
            <w:r w:rsidRPr="00801613">
              <w:t xml:space="preserve">not offer </w:t>
            </w:r>
            <w:r>
              <w:t>IOL</w:t>
            </w:r>
            <w:r w:rsidRPr="00801613">
              <w:t>.</w:t>
            </w:r>
          </w:p>
        </w:tc>
      </w:tr>
    </w:tbl>
    <w:p w14:paraId="4B63B04A"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1BB85EFC" w14:textId="77777777" w:rsidTr="00BA1CC5">
        <w:trPr>
          <w:cantSplit/>
        </w:trPr>
        <w:tc>
          <w:tcPr>
            <w:tcW w:w="8080" w:type="dxa"/>
            <w:tcBorders>
              <w:top w:val="nil"/>
              <w:left w:val="nil"/>
              <w:bottom w:val="nil"/>
              <w:right w:val="nil"/>
            </w:tcBorders>
            <w:shd w:val="clear" w:color="auto" w:fill="D9D9D9" w:themeFill="background1" w:themeFillShade="D9"/>
          </w:tcPr>
          <w:p w14:paraId="4A6EE79D" w14:textId="77777777" w:rsidR="008026FF" w:rsidRPr="008026FF" w:rsidRDefault="008026FF" w:rsidP="00302632">
            <w:pPr>
              <w:pStyle w:val="TableText"/>
              <w:rPr>
                <w:b/>
              </w:rPr>
            </w:pPr>
            <w:r w:rsidRPr="008026FF">
              <w:rPr>
                <w:b/>
              </w:rPr>
              <w:t>Advanced maternal age</w:t>
            </w:r>
          </w:p>
        </w:tc>
      </w:tr>
      <w:tr w:rsidR="00EC79BD" w14:paraId="2EB19AAF" w14:textId="77777777" w:rsidTr="00BA1CC5">
        <w:trPr>
          <w:cantSplit/>
        </w:trPr>
        <w:tc>
          <w:tcPr>
            <w:tcW w:w="8080" w:type="dxa"/>
            <w:tcBorders>
              <w:top w:val="nil"/>
              <w:left w:val="nil"/>
              <w:bottom w:val="single" w:sz="4" w:space="0" w:color="A6A6A6" w:themeColor="background1" w:themeShade="A6"/>
              <w:right w:val="nil"/>
            </w:tcBorders>
          </w:tcPr>
          <w:p w14:paraId="0B20A113" w14:textId="77777777" w:rsidR="00EC79BD" w:rsidRDefault="00EC79BD" w:rsidP="00302632">
            <w:pPr>
              <w:pStyle w:val="TableText"/>
            </w:pPr>
            <w:r w:rsidRPr="00806252">
              <w:rPr>
                <w:b/>
                <w:iCs/>
              </w:rPr>
              <w:t>Practice point</w:t>
            </w:r>
          </w:p>
          <w:p w14:paraId="7DCFF9DD" w14:textId="77777777" w:rsidR="00EC79BD" w:rsidRDefault="00EC79BD" w:rsidP="00302632">
            <w:pPr>
              <w:pStyle w:val="TableBullet"/>
            </w:pPr>
            <w:r w:rsidRPr="002A68A1">
              <w:t>For women age</w:t>
            </w:r>
            <w:r>
              <w:t>d</w:t>
            </w:r>
            <w:r w:rsidRPr="002A68A1">
              <w:t xml:space="preserve"> </w:t>
            </w:r>
            <w:r w:rsidR="00AC29F4">
              <w:t>40 years</w:t>
            </w:r>
            <w:r w:rsidRPr="002A68A1">
              <w:t xml:space="preserve"> and over, consider offering </w:t>
            </w:r>
            <w:r>
              <w:t>IOL</w:t>
            </w:r>
            <w:r w:rsidRPr="002A68A1">
              <w:t xml:space="preserve"> at around </w:t>
            </w:r>
            <w:r w:rsidR="00763E83">
              <w:t>40 weeks</w:t>
            </w:r>
            <w:r>
              <w:t xml:space="preserve">’ </w:t>
            </w:r>
            <w:r w:rsidRPr="00801613">
              <w:t>gestation.</w:t>
            </w:r>
          </w:p>
        </w:tc>
      </w:tr>
    </w:tbl>
    <w:p w14:paraId="6E87E7BD"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11CA428D" w14:textId="77777777" w:rsidTr="00BA1CC5">
        <w:trPr>
          <w:cantSplit/>
        </w:trPr>
        <w:tc>
          <w:tcPr>
            <w:tcW w:w="8080" w:type="dxa"/>
            <w:tcBorders>
              <w:top w:val="nil"/>
              <w:left w:val="nil"/>
              <w:bottom w:val="nil"/>
              <w:right w:val="nil"/>
            </w:tcBorders>
            <w:shd w:val="clear" w:color="auto" w:fill="D9D9D9" w:themeFill="background1" w:themeFillShade="D9"/>
          </w:tcPr>
          <w:p w14:paraId="6ED23864" w14:textId="77777777" w:rsidR="008026FF" w:rsidRPr="008026FF" w:rsidRDefault="008026FF" w:rsidP="00302632">
            <w:pPr>
              <w:pStyle w:val="TableText"/>
              <w:rPr>
                <w:b/>
              </w:rPr>
            </w:pPr>
            <w:r w:rsidRPr="008026FF">
              <w:rPr>
                <w:b/>
              </w:rPr>
              <w:lastRenderedPageBreak/>
              <w:t>Reduced fetal movements</w:t>
            </w:r>
          </w:p>
        </w:tc>
      </w:tr>
      <w:tr w:rsidR="00EC79BD" w14:paraId="23FE5B7C" w14:textId="77777777" w:rsidTr="00BA1CC5">
        <w:trPr>
          <w:cantSplit/>
        </w:trPr>
        <w:tc>
          <w:tcPr>
            <w:tcW w:w="8080" w:type="dxa"/>
            <w:tcBorders>
              <w:top w:val="nil"/>
              <w:left w:val="nil"/>
              <w:bottom w:val="single" w:sz="4" w:space="0" w:color="A6A6A6" w:themeColor="background1" w:themeShade="A6"/>
              <w:right w:val="nil"/>
            </w:tcBorders>
          </w:tcPr>
          <w:p w14:paraId="1767D632" w14:textId="77777777" w:rsidR="00EC79BD" w:rsidRDefault="00EC79BD" w:rsidP="00302632">
            <w:pPr>
              <w:pStyle w:val="TableText"/>
            </w:pPr>
            <w:r w:rsidRPr="00806252">
              <w:rPr>
                <w:b/>
                <w:iCs/>
              </w:rPr>
              <w:t>Practice point</w:t>
            </w:r>
          </w:p>
          <w:p w14:paraId="0590EDC5" w14:textId="77777777" w:rsidR="00EC79BD" w:rsidRDefault="00EC79BD" w:rsidP="00302632">
            <w:pPr>
              <w:pStyle w:val="TableBullet"/>
            </w:pPr>
            <w:r w:rsidRPr="002A68A1">
              <w:t>For women with reduced fetal movements, in the presence of normal maternal and fetal assessment,</w:t>
            </w:r>
            <w:r>
              <w:t xml:space="preserve"> </w:t>
            </w:r>
            <w:r w:rsidRPr="002A68A1">
              <w:t>continue expectant management.</w:t>
            </w:r>
          </w:p>
        </w:tc>
      </w:tr>
    </w:tbl>
    <w:p w14:paraId="7008715F"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8026FF" w:rsidRPr="008026FF" w14:paraId="7CDDE76F" w14:textId="77777777" w:rsidTr="00B379B0">
        <w:trPr>
          <w:cantSplit/>
        </w:trPr>
        <w:tc>
          <w:tcPr>
            <w:tcW w:w="8080" w:type="dxa"/>
            <w:gridSpan w:val="3"/>
            <w:tcBorders>
              <w:top w:val="nil"/>
              <w:left w:val="nil"/>
              <w:bottom w:val="nil"/>
              <w:right w:val="nil"/>
            </w:tcBorders>
            <w:shd w:val="clear" w:color="auto" w:fill="D9D9D9" w:themeFill="background1" w:themeFillShade="D9"/>
          </w:tcPr>
          <w:p w14:paraId="0EF234BD" w14:textId="77777777" w:rsidR="008026FF" w:rsidRPr="008026FF" w:rsidRDefault="008026FF" w:rsidP="001D1F80">
            <w:pPr>
              <w:pStyle w:val="TableText"/>
              <w:rPr>
                <w:b/>
              </w:rPr>
            </w:pPr>
            <w:r w:rsidRPr="008026FF">
              <w:rPr>
                <w:b/>
              </w:rPr>
              <w:t>Hypertension in pregnancy</w:t>
            </w:r>
          </w:p>
        </w:tc>
      </w:tr>
      <w:tr w:rsidR="008026FF" w14:paraId="668314C4" w14:textId="77777777" w:rsidTr="00B379B0">
        <w:trPr>
          <w:cantSplit/>
        </w:trPr>
        <w:tc>
          <w:tcPr>
            <w:tcW w:w="4678" w:type="dxa"/>
            <w:tcBorders>
              <w:top w:val="nil"/>
              <w:left w:val="nil"/>
              <w:bottom w:val="single" w:sz="4" w:space="0" w:color="A6A6A6" w:themeColor="background1" w:themeShade="A6"/>
              <w:right w:val="nil"/>
            </w:tcBorders>
          </w:tcPr>
          <w:p w14:paraId="6804970A" w14:textId="77777777" w:rsidR="008026FF" w:rsidRPr="00806252" w:rsidRDefault="008026FF" w:rsidP="008026FF">
            <w:pPr>
              <w:pStyle w:val="TableText"/>
              <w:rPr>
                <w:b/>
              </w:rPr>
            </w:pPr>
            <w:r w:rsidRPr="00806252">
              <w:rPr>
                <w:b/>
              </w:rPr>
              <w:t>Recommendation</w:t>
            </w:r>
          </w:p>
        </w:tc>
        <w:tc>
          <w:tcPr>
            <w:tcW w:w="1701" w:type="dxa"/>
            <w:tcBorders>
              <w:top w:val="nil"/>
              <w:left w:val="nil"/>
              <w:bottom w:val="single" w:sz="4" w:space="0" w:color="A6A6A6" w:themeColor="background1" w:themeShade="A6"/>
              <w:right w:val="nil"/>
            </w:tcBorders>
          </w:tcPr>
          <w:p w14:paraId="13235571" w14:textId="77777777" w:rsidR="008026FF" w:rsidRPr="00806252" w:rsidRDefault="008026FF"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single" w:sz="4" w:space="0" w:color="A6A6A6" w:themeColor="background1" w:themeShade="A6"/>
              <w:right w:val="nil"/>
            </w:tcBorders>
          </w:tcPr>
          <w:p w14:paraId="4D919EBA" w14:textId="77777777" w:rsidR="008026FF" w:rsidRPr="00806252" w:rsidRDefault="008026FF" w:rsidP="008026FF">
            <w:pPr>
              <w:pStyle w:val="TableText"/>
              <w:rPr>
                <w:b/>
              </w:rPr>
            </w:pPr>
            <w:r w:rsidRPr="00806252">
              <w:rPr>
                <w:b/>
              </w:rPr>
              <w:t>Strength of recommendation</w:t>
            </w:r>
          </w:p>
        </w:tc>
      </w:tr>
      <w:tr w:rsidR="008026FF" w14:paraId="5F6CBC2C" w14:textId="77777777" w:rsidTr="00B379B0">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4DC0A32E" w14:textId="77777777" w:rsidR="008026FF" w:rsidRPr="009B0F0B" w:rsidRDefault="008026FF" w:rsidP="008026FF">
            <w:pPr>
              <w:pStyle w:val="TableText"/>
              <w:ind w:right="113"/>
            </w:pPr>
            <w:r>
              <w:t xml:space="preserve">For women with chronic hypertension and low risk of adverse outcomes, consider expectant management beyond </w:t>
            </w:r>
            <w:r w:rsidR="00EB43A9">
              <w:t>37 weeks</w:t>
            </w:r>
            <w:r>
              <w:t>’ gestation with increased monitoring.</w:t>
            </w:r>
          </w:p>
        </w:tc>
        <w:tc>
          <w:tcPr>
            <w:tcW w:w="1701" w:type="dxa"/>
            <w:tcBorders>
              <w:top w:val="single" w:sz="4" w:space="0" w:color="A6A6A6" w:themeColor="background1" w:themeShade="A6"/>
              <w:left w:val="nil"/>
              <w:bottom w:val="single" w:sz="4" w:space="0" w:color="A6A6A6" w:themeColor="background1" w:themeShade="A6"/>
              <w:right w:val="nil"/>
            </w:tcBorders>
          </w:tcPr>
          <w:p w14:paraId="7240FED7" w14:textId="77777777" w:rsidR="008026FF" w:rsidRDefault="008026FF" w:rsidP="00302632">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427D63DC" w14:textId="77777777" w:rsidR="008026FF" w:rsidRDefault="008026FF" w:rsidP="00302632">
            <w:pPr>
              <w:pStyle w:val="TableText"/>
            </w:pPr>
            <w:r>
              <w:t>Conditional</w:t>
            </w:r>
          </w:p>
        </w:tc>
      </w:tr>
      <w:tr w:rsidR="008026FF" w14:paraId="353D54E8"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697BC83C" w14:textId="77777777" w:rsidR="008026FF" w:rsidRDefault="008026FF" w:rsidP="008026FF">
            <w:pPr>
              <w:pStyle w:val="TableText"/>
              <w:ind w:right="113"/>
            </w:pPr>
            <w:r>
              <w:t xml:space="preserve">For women with gestational hypertension diagnosed after </w:t>
            </w:r>
            <w:r w:rsidR="00EB43A9">
              <w:t>37 weeks</w:t>
            </w:r>
            <w:r>
              <w:t xml:space="preserve">’ gestation, consider IOL to reduce the risks of severe hypertension, severe pre-eclampsia, HELLP syndrome, abruptio placenta, pulmonary </w:t>
            </w:r>
            <w:proofErr w:type="spellStart"/>
            <w:r>
              <w:t>edema</w:t>
            </w:r>
            <w:proofErr w:type="spellEnd"/>
            <w:r>
              <w:t>, severe renal impairment and fetal growth restriction.</w:t>
            </w:r>
          </w:p>
        </w:tc>
        <w:tc>
          <w:tcPr>
            <w:tcW w:w="1701" w:type="dxa"/>
            <w:tcBorders>
              <w:top w:val="single" w:sz="4" w:space="0" w:color="A6A6A6" w:themeColor="background1" w:themeShade="A6"/>
              <w:left w:val="nil"/>
              <w:bottom w:val="single" w:sz="4" w:space="0" w:color="A6A6A6" w:themeColor="background1" w:themeShade="A6"/>
              <w:right w:val="nil"/>
            </w:tcBorders>
          </w:tcPr>
          <w:p w14:paraId="4CBDA759" w14:textId="77777777" w:rsidR="008026FF" w:rsidRDefault="008026FF" w:rsidP="00302632">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22C9DD59" w14:textId="77777777" w:rsidR="008026FF" w:rsidRDefault="008026FF" w:rsidP="00302632">
            <w:pPr>
              <w:pStyle w:val="TableText"/>
            </w:pPr>
            <w:r>
              <w:t>Conditional</w:t>
            </w:r>
          </w:p>
        </w:tc>
      </w:tr>
      <w:tr w:rsidR="008026FF" w14:paraId="26ADC107"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0CEF1D41" w14:textId="77777777" w:rsidR="008026FF" w:rsidRDefault="008026FF" w:rsidP="008026FF">
            <w:pPr>
              <w:pStyle w:val="TableText"/>
              <w:ind w:right="113"/>
            </w:pPr>
            <w:r>
              <w:t xml:space="preserve">For women with pre-eclampsia diagnosed after </w:t>
            </w:r>
            <w:r w:rsidR="00EB43A9">
              <w:t>37 weeks</w:t>
            </w:r>
            <w:r>
              <w:t>’ gestation, offer IOL.</w:t>
            </w:r>
          </w:p>
        </w:tc>
        <w:tc>
          <w:tcPr>
            <w:tcW w:w="1701" w:type="dxa"/>
            <w:tcBorders>
              <w:top w:val="single" w:sz="4" w:space="0" w:color="A6A6A6" w:themeColor="background1" w:themeShade="A6"/>
              <w:left w:val="nil"/>
              <w:bottom w:val="single" w:sz="4" w:space="0" w:color="A6A6A6" w:themeColor="background1" w:themeShade="A6"/>
              <w:right w:val="nil"/>
            </w:tcBorders>
          </w:tcPr>
          <w:p w14:paraId="4C41F957" w14:textId="77777777" w:rsidR="008026FF" w:rsidRDefault="008026FF" w:rsidP="008026FF">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1A075753" w14:textId="77777777" w:rsidR="008026FF" w:rsidRDefault="008026FF" w:rsidP="00302632">
            <w:pPr>
              <w:pStyle w:val="TableText"/>
            </w:pPr>
            <w:r>
              <w:t>Conditional</w:t>
            </w:r>
          </w:p>
        </w:tc>
      </w:tr>
    </w:tbl>
    <w:p w14:paraId="72D2F405"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68BCC34E" w14:textId="77777777" w:rsidTr="00BA1CC5">
        <w:trPr>
          <w:cantSplit/>
        </w:trPr>
        <w:tc>
          <w:tcPr>
            <w:tcW w:w="8080" w:type="dxa"/>
            <w:tcBorders>
              <w:top w:val="nil"/>
              <w:left w:val="nil"/>
              <w:bottom w:val="nil"/>
              <w:right w:val="nil"/>
            </w:tcBorders>
            <w:shd w:val="clear" w:color="auto" w:fill="D9D9D9" w:themeFill="background1" w:themeFillShade="D9"/>
          </w:tcPr>
          <w:p w14:paraId="21E852CA" w14:textId="77777777" w:rsidR="008026FF" w:rsidRPr="008026FF" w:rsidRDefault="008026FF" w:rsidP="00302632">
            <w:pPr>
              <w:pStyle w:val="TableText"/>
              <w:rPr>
                <w:b/>
              </w:rPr>
            </w:pPr>
            <w:r w:rsidRPr="008026FF">
              <w:rPr>
                <w:b/>
              </w:rPr>
              <w:t>Antepartum haemorrhage of unknown origin</w:t>
            </w:r>
          </w:p>
        </w:tc>
      </w:tr>
      <w:tr w:rsidR="00EC79BD" w14:paraId="5936CB1D" w14:textId="77777777" w:rsidTr="00BA1CC5">
        <w:trPr>
          <w:cantSplit/>
        </w:trPr>
        <w:tc>
          <w:tcPr>
            <w:tcW w:w="8080" w:type="dxa"/>
            <w:tcBorders>
              <w:top w:val="nil"/>
              <w:left w:val="nil"/>
              <w:bottom w:val="single" w:sz="4" w:space="0" w:color="A6A6A6" w:themeColor="background1" w:themeShade="A6"/>
              <w:right w:val="nil"/>
            </w:tcBorders>
          </w:tcPr>
          <w:p w14:paraId="2C9D82D2" w14:textId="77777777" w:rsidR="00EC79BD" w:rsidRDefault="00EC79BD" w:rsidP="00302632">
            <w:pPr>
              <w:pStyle w:val="TableText"/>
            </w:pPr>
            <w:r w:rsidRPr="00806252">
              <w:rPr>
                <w:b/>
                <w:iCs/>
              </w:rPr>
              <w:t>Practice point</w:t>
            </w:r>
          </w:p>
          <w:p w14:paraId="31B072F4" w14:textId="77777777" w:rsidR="00EC79BD" w:rsidRDefault="00EC79BD" w:rsidP="00302632">
            <w:pPr>
              <w:pStyle w:val="TableBullet"/>
            </w:pPr>
            <w:r w:rsidRPr="00801613">
              <w:t xml:space="preserve">In women with </w:t>
            </w:r>
            <w:r>
              <w:t>APH</w:t>
            </w:r>
            <w:r w:rsidRPr="00801613">
              <w:t xml:space="preserve"> of unknown origin, in the presence of normal maternal and</w:t>
            </w:r>
            <w:r>
              <w:t xml:space="preserve"> </w:t>
            </w:r>
            <w:r w:rsidRPr="00801613">
              <w:t>fetal assessment, consider expectant management.</w:t>
            </w:r>
          </w:p>
        </w:tc>
      </w:tr>
    </w:tbl>
    <w:p w14:paraId="261AF486"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335D50A8" w14:textId="77777777" w:rsidTr="00BA1CC5">
        <w:trPr>
          <w:cantSplit/>
        </w:trPr>
        <w:tc>
          <w:tcPr>
            <w:tcW w:w="8080" w:type="dxa"/>
            <w:tcBorders>
              <w:top w:val="nil"/>
              <w:left w:val="nil"/>
              <w:bottom w:val="nil"/>
              <w:right w:val="nil"/>
            </w:tcBorders>
            <w:shd w:val="clear" w:color="auto" w:fill="D9D9D9" w:themeFill="background1" w:themeFillShade="D9"/>
          </w:tcPr>
          <w:p w14:paraId="73237C1D" w14:textId="77777777" w:rsidR="008026FF" w:rsidRPr="008026FF" w:rsidRDefault="008026FF" w:rsidP="00302632">
            <w:pPr>
              <w:pStyle w:val="TableText"/>
              <w:rPr>
                <w:b/>
              </w:rPr>
            </w:pPr>
            <w:r w:rsidRPr="008026FF">
              <w:rPr>
                <w:b/>
              </w:rPr>
              <w:t>Artificial reproductive technology</w:t>
            </w:r>
          </w:p>
        </w:tc>
      </w:tr>
      <w:tr w:rsidR="00EC79BD" w14:paraId="2BDD4ED8" w14:textId="77777777" w:rsidTr="00BA1CC5">
        <w:trPr>
          <w:cantSplit/>
        </w:trPr>
        <w:tc>
          <w:tcPr>
            <w:tcW w:w="8080" w:type="dxa"/>
            <w:tcBorders>
              <w:top w:val="nil"/>
              <w:left w:val="nil"/>
              <w:bottom w:val="single" w:sz="4" w:space="0" w:color="A6A6A6" w:themeColor="background1" w:themeShade="A6"/>
              <w:right w:val="nil"/>
            </w:tcBorders>
          </w:tcPr>
          <w:p w14:paraId="1DEC1B12" w14:textId="77777777" w:rsidR="00EC79BD" w:rsidRDefault="00EC79BD" w:rsidP="00302632">
            <w:pPr>
              <w:pStyle w:val="TableText"/>
            </w:pPr>
            <w:r w:rsidRPr="00806252">
              <w:rPr>
                <w:b/>
                <w:iCs/>
              </w:rPr>
              <w:t>Practice point</w:t>
            </w:r>
          </w:p>
          <w:p w14:paraId="05D73372" w14:textId="77777777" w:rsidR="00EC79BD" w:rsidRDefault="00EC79BD" w:rsidP="008026FF">
            <w:pPr>
              <w:pStyle w:val="TableBullet"/>
            </w:pPr>
            <w:r w:rsidRPr="00801613">
              <w:t xml:space="preserve">In women who conceive using </w:t>
            </w:r>
            <w:r>
              <w:t>ART</w:t>
            </w:r>
            <w:r w:rsidRPr="00801613">
              <w:t>, in the absence of other risk factors or</w:t>
            </w:r>
            <w:r>
              <w:t xml:space="preserve"> </w:t>
            </w:r>
            <w:r w:rsidRPr="00801613">
              <w:t xml:space="preserve">pregnancy complications, do not offer </w:t>
            </w:r>
            <w:r>
              <w:t>IOL</w:t>
            </w:r>
            <w:r w:rsidRPr="00801613">
              <w:t>.</w:t>
            </w:r>
          </w:p>
        </w:tc>
      </w:tr>
    </w:tbl>
    <w:p w14:paraId="6426714F"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72A98836" w14:textId="77777777" w:rsidTr="00BA1CC5">
        <w:trPr>
          <w:cantSplit/>
        </w:trPr>
        <w:tc>
          <w:tcPr>
            <w:tcW w:w="8080" w:type="dxa"/>
            <w:tcBorders>
              <w:top w:val="nil"/>
              <w:left w:val="nil"/>
              <w:bottom w:val="nil"/>
              <w:right w:val="nil"/>
            </w:tcBorders>
            <w:shd w:val="clear" w:color="auto" w:fill="D9D9D9" w:themeFill="background1" w:themeFillShade="D9"/>
          </w:tcPr>
          <w:p w14:paraId="31D5D06C" w14:textId="77777777" w:rsidR="008026FF" w:rsidRPr="008026FF" w:rsidRDefault="008026FF" w:rsidP="00302632">
            <w:pPr>
              <w:pStyle w:val="TableText"/>
              <w:rPr>
                <w:b/>
              </w:rPr>
            </w:pPr>
            <w:r w:rsidRPr="008026FF">
              <w:rPr>
                <w:b/>
              </w:rPr>
              <w:t>Suspected fetal macrosomia</w:t>
            </w:r>
          </w:p>
        </w:tc>
      </w:tr>
      <w:tr w:rsidR="00EC79BD" w14:paraId="3BAD734C" w14:textId="77777777" w:rsidTr="00BA1CC5">
        <w:trPr>
          <w:cantSplit/>
        </w:trPr>
        <w:tc>
          <w:tcPr>
            <w:tcW w:w="8080" w:type="dxa"/>
            <w:tcBorders>
              <w:top w:val="nil"/>
              <w:left w:val="nil"/>
              <w:bottom w:val="single" w:sz="4" w:space="0" w:color="A6A6A6" w:themeColor="background1" w:themeShade="A6"/>
              <w:right w:val="nil"/>
            </w:tcBorders>
          </w:tcPr>
          <w:p w14:paraId="6CDB7CAC" w14:textId="77777777" w:rsidR="00EC79BD" w:rsidRDefault="00EC79BD" w:rsidP="00302632">
            <w:pPr>
              <w:pStyle w:val="TableText"/>
            </w:pPr>
            <w:r w:rsidRPr="00806252">
              <w:rPr>
                <w:b/>
                <w:iCs/>
              </w:rPr>
              <w:t>Practice point</w:t>
            </w:r>
          </w:p>
          <w:p w14:paraId="3B4AB278" w14:textId="77777777" w:rsidR="00EC79BD" w:rsidRDefault="00EC79BD" w:rsidP="00302632">
            <w:pPr>
              <w:pStyle w:val="TableBullet"/>
            </w:pPr>
            <w:r w:rsidRPr="00801613">
              <w:t>In women with suspected macrosomia, in the absence of pregnancy complications, consider expectant</w:t>
            </w:r>
            <w:r>
              <w:t xml:space="preserve"> </w:t>
            </w:r>
            <w:r w:rsidRPr="00801613">
              <w:t>management.</w:t>
            </w:r>
          </w:p>
        </w:tc>
      </w:tr>
    </w:tbl>
    <w:p w14:paraId="082CEBF3"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3251AFEC" w14:textId="77777777" w:rsidTr="00BA1CC5">
        <w:trPr>
          <w:cantSplit/>
        </w:trPr>
        <w:tc>
          <w:tcPr>
            <w:tcW w:w="8080" w:type="dxa"/>
            <w:tcBorders>
              <w:top w:val="nil"/>
              <w:left w:val="nil"/>
              <w:bottom w:val="nil"/>
              <w:right w:val="nil"/>
            </w:tcBorders>
            <w:shd w:val="clear" w:color="auto" w:fill="D9D9D9" w:themeFill="background1" w:themeFillShade="D9"/>
          </w:tcPr>
          <w:p w14:paraId="3E648BBD" w14:textId="77777777" w:rsidR="008026FF" w:rsidRPr="008026FF" w:rsidRDefault="008026FF" w:rsidP="00302632">
            <w:pPr>
              <w:pStyle w:val="TableText"/>
              <w:rPr>
                <w:b/>
              </w:rPr>
            </w:pPr>
            <w:r w:rsidRPr="008026FF">
              <w:rPr>
                <w:b/>
              </w:rPr>
              <w:t>Multiple pregnancy</w:t>
            </w:r>
          </w:p>
        </w:tc>
      </w:tr>
      <w:tr w:rsidR="00EC79BD" w14:paraId="48138BF7" w14:textId="77777777" w:rsidTr="00BA1CC5">
        <w:trPr>
          <w:cantSplit/>
        </w:trPr>
        <w:tc>
          <w:tcPr>
            <w:tcW w:w="8080" w:type="dxa"/>
            <w:tcBorders>
              <w:top w:val="nil"/>
              <w:left w:val="nil"/>
              <w:bottom w:val="single" w:sz="4" w:space="0" w:color="A6A6A6" w:themeColor="background1" w:themeShade="A6"/>
              <w:right w:val="nil"/>
            </w:tcBorders>
          </w:tcPr>
          <w:p w14:paraId="02D6B78C" w14:textId="77777777" w:rsidR="00EC79BD" w:rsidRDefault="00EC79BD" w:rsidP="00302632">
            <w:pPr>
              <w:pStyle w:val="TableText"/>
            </w:pPr>
            <w:r w:rsidRPr="00806252">
              <w:rPr>
                <w:b/>
                <w:iCs/>
              </w:rPr>
              <w:t>Practice point</w:t>
            </w:r>
            <w:r>
              <w:rPr>
                <w:b/>
                <w:iCs/>
              </w:rPr>
              <w:t>s</w:t>
            </w:r>
          </w:p>
          <w:p w14:paraId="024C1BED" w14:textId="77777777" w:rsidR="00EC79BD" w:rsidRPr="002A68A1" w:rsidRDefault="00EC79BD" w:rsidP="00302632">
            <w:pPr>
              <w:pStyle w:val="TableBullet"/>
            </w:pPr>
            <w:r w:rsidRPr="002A68A1">
              <w:t>For women with an uncomplicated monochorionic diamniotic twin pregnancy, consider offering</w:t>
            </w:r>
            <w:r>
              <w:t xml:space="preserve"> IOL</w:t>
            </w:r>
            <w:r w:rsidRPr="002A68A1">
              <w:t xml:space="preserve"> between 36 and </w:t>
            </w:r>
            <w:r w:rsidR="00EB43A9">
              <w:t>37 weeks</w:t>
            </w:r>
            <w:r>
              <w:t>’</w:t>
            </w:r>
            <w:r w:rsidRPr="002A68A1">
              <w:t xml:space="preserve"> gestation.</w:t>
            </w:r>
          </w:p>
          <w:p w14:paraId="3CD81111" w14:textId="77777777" w:rsidR="00EC79BD" w:rsidRDefault="00EC79BD" w:rsidP="008026FF">
            <w:pPr>
              <w:pStyle w:val="TableBullet"/>
            </w:pPr>
            <w:r w:rsidRPr="002A68A1">
              <w:t xml:space="preserve">For women with an uncomplicated dichorionic twin pregnancy, consider offering </w:t>
            </w:r>
            <w:r>
              <w:t xml:space="preserve">IOL </w:t>
            </w:r>
            <w:r w:rsidRPr="00801613">
              <w:t>between 37</w:t>
            </w:r>
            <w:r>
              <w:t> </w:t>
            </w:r>
            <w:r w:rsidRPr="00801613">
              <w:t xml:space="preserve">and </w:t>
            </w:r>
            <w:r w:rsidR="00EB43A9">
              <w:t>38 weeks</w:t>
            </w:r>
            <w:r>
              <w:t>’</w:t>
            </w:r>
            <w:r w:rsidRPr="00801613">
              <w:t xml:space="preserve"> gestation.</w:t>
            </w:r>
          </w:p>
        </w:tc>
      </w:tr>
    </w:tbl>
    <w:p w14:paraId="30ED7047"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32CECEC1" w14:textId="77777777" w:rsidTr="00BA1CC5">
        <w:trPr>
          <w:cantSplit/>
        </w:trPr>
        <w:tc>
          <w:tcPr>
            <w:tcW w:w="8080" w:type="dxa"/>
            <w:tcBorders>
              <w:top w:val="nil"/>
              <w:left w:val="nil"/>
              <w:bottom w:val="nil"/>
              <w:right w:val="nil"/>
            </w:tcBorders>
            <w:shd w:val="clear" w:color="auto" w:fill="D9D9D9" w:themeFill="background1" w:themeFillShade="D9"/>
          </w:tcPr>
          <w:p w14:paraId="1FF91CB3" w14:textId="77777777" w:rsidR="008026FF" w:rsidRPr="008026FF" w:rsidRDefault="008026FF" w:rsidP="00302632">
            <w:pPr>
              <w:pStyle w:val="TableText"/>
              <w:rPr>
                <w:b/>
              </w:rPr>
            </w:pPr>
            <w:r w:rsidRPr="008026FF">
              <w:rPr>
                <w:b/>
              </w:rPr>
              <w:t xml:space="preserve">Reduced liquor </w:t>
            </w:r>
            <w:r w:rsidR="00436939">
              <w:rPr>
                <w:b/>
              </w:rPr>
              <w:t>&lt;</w:t>
            </w:r>
            <w:r w:rsidR="00EB43A9">
              <w:rPr>
                <w:b/>
              </w:rPr>
              <w:t>41 weeks</w:t>
            </w:r>
            <w:r w:rsidRPr="008026FF">
              <w:rPr>
                <w:b/>
              </w:rPr>
              <w:t>’ gestation</w:t>
            </w:r>
          </w:p>
        </w:tc>
      </w:tr>
      <w:tr w:rsidR="00EC79BD" w14:paraId="57609C90" w14:textId="77777777" w:rsidTr="00BA1CC5">
        <w:trPr>
          <w:cantSplit/>
        </w:trPr>
        <w:tc>
          <w:tcPr>
            <w:tcW w:w="8080" w:type="dxa"/>
            <w:tcBorders>
              <w:top w:val="nil"/>
              <w:left w:val="nil"/>
              <w:bottom w:val="single" w:sz="4" w:space="0" w:color="A6A6A6" w:themeColor="background1" w:themeShade="A6"/>
              <w:right w:val="nil"/>
            </w:tcBorders>
          </w:tcPr>
          <w:p w14:paraId="42DE7FC8" w14:textId="77777777" w:rsidR="00EC79BD" w:rsidRDefault="00EC79BD" w:rsidP="00302632">
            <w:pPr>
              <w:pStyle w:val="TableText"/>
            </w:pPr>
            <w:r w:rsidRPr="00806252">
              <w:rPr>
                <w:b/>
                <w:iCs/>
              </w:rPr>
              <w:t>Practice point</w:t>
            </w:r>
          </w:p>
          <w:p w14:paraId="6CD8E1F0" w14:textId="77777777" w:rsidR="00EC79BD" w:rsidRDefault="00EC79BD" w:rsidP="008026FF">
            <w:pPr>
              <w:pStyle w:val="TableBullet"/>
            </w:pPr>
            <w:r w:rsidRPr="002A68A1">
              <w:t>In women with reduced liquor as an isolated finding at &lt;</w:t>
            </w:r>
            <w:r w:rsidR="00EB43A9">
              <w:t>41 weeks</w:t>
            </w:r>
            <w:r>
              <w:t>’</w:t>
            </w:r>
            <w:r w:rsidRPr="002A68A1">
              <w:t xml:space="preserve"> gestation, in the presence of</w:t>
            </w:r>
            <w:r>
              <w:t xml:space="preserve"> </w:t>
            </w:r>
            <w:r w:rsidRPr="002A68A1">
              <w:t>normal maternal and fetal assessment, consider expectant management.</w:t>
            </w:r>
          </w:p>
        </w:tc>
      </w:tr>
    </w:tbl>
    <w:p w14:paraId="30631B34"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4BE5AAF7" w14:textId="77777777" w:rsidTr="00BA1CC5">
        <w:trPr>
          <w:cantSplit/>
        </w:trPr>
        <w:tc>
          <w:tcPr>
            <w:tcW w:w="8080" w:type="dxa"/>
            <w:tcBorders>
              <w:top w:val="nil"/>
              <w:left w:val="nil"/>
              <w:bottom w:val="nil"/>
              <w:right w:val="nil"/>
            </w:tcBorders>
            <w:shd w:val="clear" w:color="auto" w:fill="D9D9D9" w:themeFill="background1" w:themeFillShade="D9"/>
          </w:tcPr>
          <w:p w14:paraId="65175A07" w14:textId="77777777" w:rsidR="008026FF" w:rsidRPr="008026FF" w:rsidRDefault="008026FF" w:rsidP="00BA1CC5">
            <w:pPr>
              <w:pStyle w:val="TableText"/>
              <w:keepNext/>
              <w:rPr>
                <w:b/>
              </w:rPr>
            </w:pPr>
            <w:r w:rsidRPr="008026FF">
              <w:rPr>
                <w:b/>
              </w:rPr>
              <w:lastRenderedPageBreak/>
              <w:t>Obstetric cholestasis</w:t>
            </w:r>
          </w:p>
        </w:tc>
      </w:tr>
      <w:tr w:rsidR="00EC79BD" w14:paraId="136977CE" w14:textId="77777777" w:rsidTr="00BA1CC5">
        <w:trPr>
          <w:cantSplit/>
        </w:trPr>
        <w:tc>
          <w:tcPr>
            <w:tcW w:w="8080" w:type="dxa"/>
            <w:tcBorders>
              <w:top w:val="nil"/>
              <w:left w:val="nil"/>
              <w:bottom w:val="single" w:sz="4" w:space="0" w:color="A6A6A6" w:themeColor="background1" w:themeShade="A6"/>
              <w:right w:val="nil"/>
            </w:tcBorders>
          </w:tcPr>
          <w:p w14:paraId="44DC9933" w14:textId="77777777" w:rsidR="00EC79BD" w:rsidRDefault="00EC79BD" w:rsidP="00302632">
            <w:pPr>
              <w:pStyle w:val="TableText"/>
            </w:pPr>
            <w:r w:rsidRPr="00806252">
              <w:rPr>
                <w:b/>
                <w:iCs/>
              </w:rPr>
              <w:t>Practice point</w:t>
            </w:r>
          </w:p>
          <w:p w14:paraId="5DEE20B4" w14:textId="77777777" w:rsidR="00EC79BD" w:rsidRDefault="00EC79BD" w:rsidP="00BA1CC5">
            <w:pPr>
              <w:pStyle w:val="TableBullet"/>
            </w:pPr>
            <w:r w:rsidRPr="002A68A1">
              <w:t>For women with obstetric cholestasis, if symptomatic or if serum bile acid concentration ≥100,</w:t>
            </w:r>
            <w:r>
              <w:t xml:space="preserve"> </w:t>
            </w:r>
            <w:r w:rsidRPr="002A68A1">
              <w:t xml:space="preserve">consider </w:t>
            </w:r>
            <w:r>
              <w:t>IOL</w:t>
            </w:r>
            <w:r w:rsidRPr="002A68A1">
              <w:t>; otherwise consider expectant management.</w:t>
            </w:r>
          </w:p>
        </w:tc>
      </w:tr>
    </w:tbl>
    <w:p w14:paraId="5025C837"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2012B020" w14:textId="77777777" w:rsidTr="00BA1CC5">
        <w:trPr>
          <w:cantSplit/>
        </w:trPr>
        <w:tc>
          <w:tcPr>
            <w:tcW w:w="8080" w:type="dxa"/>
            <w:tcBorders>
              <w:top w:val="nil"/>
              <w:left w:val="nil"/>
              <w:bottom w:val="nil"/>
              <w:right w:val="nil"/>
            </w:tcBorders>
            <w:shd w:val="clear" w:color="auto" w:fill="D9D9D9" w:themeFill="background1" w:themeFillShade="D9"/>
          </w:tcPr>
          <w:p w14:paraId="547ED087" w14:textId="77777777" w:rsidR="008026FF" w:rsidRPr="008026FF" w:rsidRDefault="008026FF" w:rsidP="00302632">
            <w:pPr>
              <w:pStyle w:val="TableText"/>
              <w:rPr>
                <w:b/>
              </w:rPr>
            </w:pPr>
            <w:r w:rsidRPr="008026FF">
              <w:rPr>
                <w:b/>
              </w:rPr>
              <w:t>Previous stillbirth</w:t>
            </w:r>
          </w:p>
        </w:tc>
      </w:tr>
      <w:tr w:rsidR="00EC79BD" w14:paraId="7458026D" w14:textId="77777777" w:rsidTr="00BA1CC5">
        <w:trPr>
          <w:cantSplit/>
        </w:trPr>
        <w:tc>
          <w:tcPr>
            <w:tcW w:w="8080" w:type="dxa"/>
            <w:tcBorders>
              <w:top w:val="nil"/>
              <w:left w:val="nil"/>
              <w:bottom w:val="single" w:sz="4" w:space="0" w:color="A6A6A6" w:themeColor="background1" w:themeShade="A6"/>
              <w:right w:val="nil"/>
            </w:tcBorders>
          </w:tcPr>
          <w:p w14:paraId="07FB7061" w14:textId="77777777" w:rsidR="00EC79BD" w:rsidRDefault="00EC79BD" w:rsidP="00302632">
            <w:pPr>
              <w:pStyle w:val="TableText"/>
            </w:pPr>
            <w:r w:rsidRPr="00806252">
              <w:rPr>
                <w:b/>
                <w:iCs/>
              </w:rPr>
              <w:t>Practice point</w:t>
            </w:r>
          </w:p>
          <w:p w14:paraId="5412E7EB" w14:textId="77777777" w:rsidR="00EC79BD" w:rsidRDefault="00EC79BD" w:rsidP="00302632">
            <w:pPr>
              <w:pStyle w:val="TableBullet"/>
            </w:pPr>
            <w:r w:rsidRPr="002A68A1">
              <w:t xml:space="preserve">For women with previous stillbirth, consider expectant management or </w:t>
            </w:r>
            <w:r>
              <w:t>IOL</w:t>
            </w:r>
            <w:r w:rsidRPr="002A68A1">
              <w:t>, based on a review of risk factors for recurrence and any other antenatal risk factors, and guided by maternal</w:t>
            </w:r>
            <w:r>
              <w:t xml:space="preserve"> </w:t>
            </w:r>
            <w:r w:rsidRPr="002A68A1">
              <w:t>choice.</w:t>
            </w:r>
          </w:p>
        </w:tc>
      </w:tr>
    </w:tbl>
    <w:p w14:paraId="6F620A8D"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026FF" w:rsidRPr="008026FF" w14:paraId="5332396E" w14:textId="77777777" w:rsidTr="00BA1CC5">
        <w:trPr>
          <w:cantSplit/>
        </w:trPr>
        <w:tc>
          <w:tcPr>
            <w:tcW w:w="8080" w:type="dxa"/>
            <w:tcBorders>
              <w:top w:val="nil"/>
              <w:left w:val="nil"/>
              <w:bottom w:val="nil"/>
              <w:right w:val="nil"/>
            </w:tcBorders>
            <w:shd w:val="clear" w:color="auto" w:fill="D9D9D9" w:themeFill="background1" w:themeFillShade="D9"/>
          </w:tcPr>
          <w:p w14:paraId="1F3BC646" w14:textId="77777777" w:rsidR="008026FF" w:rsidRPr="008026FF" w:rsidRDefault="008026FF" w:rsidP="00302632">
            <w:pPr>
              <w:pStyle w:val="TableText"/>
              <w:rPr>
                <w:b/>
              </w:rPr>
            </w:pPr>
            <w:r w:rsidRPr="008026FF">
              <w:rPr>
                <w:b/>
              </w:rPr>
              <w:t>No medical indication</w:t>
            </w:r>
          </w:p>
        </w:tc>
      </w:tr>
      <w:tr w:rsidR="00EC79BD" w14:paraId="7218B2BA" w14:textId="77777777" w:rsidTr="00BA1CC5">
        <w:trPr>
          <w:cantSplit/>
        </w:trPr>
        <w:tc>
          <w:tcPr>
            <w:tcW w:w="8080" w:type="dxa"/>
            <w:tcBorders>
              <w:top w:val="nil"/>
              <w:left w:val="nil"/>
              <w:bottom w:val="single" w:sz="4" w:space="0" w:color="A6A6A6" w:themeColor="background1" w:themeShade="A6"/>
              <w:right w:val="nil"/>
            </w:tcBorders>
          </w:tcPr>
          <w:p w14:paraId="48D20E2C" w14:textId="77777777" w:rsidR="00EC79BD" w:rsidRDefault="00EC79BD" w:rsidP="00302632">
            <w:pPr>
              <w:pStyle w:val="TableText"/>
            </w:pPr>
            <w:r w:rsidRPr="00806252">
              <w:rPr>
                <w:b/>
                <w:iCs/>
              </w:rPr>
              <w:t>Practice point</w:t>
            </w:r>
            <w:r>
              <w:rPr>
                <w:b/>
                <w:iCs/>
              </w:rPr>
              <w:t>s</w:t>
            </w:r>
          </w:p>
          <w:p w14:paraId="3D768653" w14:textId="77777777" w:rsidR="00EC79BD" w:rsidRPr="002A68A1" w:rsidRDefault="00EC79BD" w:rsidP="00302632">
            <w:pPr>
              <w:pStyle w:val="TableBullet"/>
            </w:pPr>
            <w:r w:rsidRPr="002A68A1">
              <w:t xml:space="preserve">Do not offer </w:t>
            </w:r>
            <w:r>
              <w:t>IOL</w:t>
            </w:r>
            <w:r w:rsidRPr="002A68A1">
              <w:t xml:space="preserve"> in the absence of a medical indication.</w:t>
            </w:r>
          </w:p>
          <w:p w14:paraId="070BFDEA" w14:textId="77777777" w:rsidR="00EC79BD" w:rsidRDefault="00EC79BD" w:rsidP="00302632">
            <w:pPr>
              <w:pStyle w:val="TableBullet"/>
            </w:pPr>
            <w:r>
              <w:t>Manage</w:t>
            </w:r>
            <w:r w:rsidRPr="00BE6AB1">
              <w:t xml:space="preserve"> </w:t>
            </w:r>
            <w:r w:rsidRPr="00BC0CB3">
              <w:t>maternal request</w:t>
            </w:r>
            <w:r>
              <w:t>s for</w:t>
            </w:r>
            <w:r w:rsidRPr="00BC0CB3">
              <w:t xml:space="preserve"> </w:t>
            </w:r>
            <w:r>
              <w:t>IOL</w:t>
            </w:r>
            <w:r w:rsidRPr="00BE6AB1">
              <w:t xml:space="preserve"> </w:t>
            </w:r>
            <w:r>
              <w:t>on a case-by-case basis</w:t>
            </w:r>
            <w:r w:rsidRPr="00BE6AB1">
              <w:t>.</w:t>
            </w:r>
          </w:p>
        </w:tc>
      </w:tr>
    </w:tbl>
    <w:p w14:paraId="388D76AB"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8026FF" w:rsidRPr="008026FF" w14:paraId="0C436D38" w14:textId="77777777" w:rsidTr="00B379B0">
        <w:trPr>
          <w:cantSplit/>
        </w:trPr>
        <w:tc>
          <w:tcPr>
            <w:tcW w:w="8080" w:type="dxa"/>
            <w:gridSpan w:val="3"/>
            <w:tcBorders>
              <w:top w:val="nil"/>
              <w:left w:val="nil"/>
              <w:bottom w:val="nil"/>
              <w:right w:val="nil"/>
            </w:tcBorders>
            <w:shd w:val="clear" w:color="auto" w:fill="D9D9D9" w:themeFill="background1" w:themeFillShade="D9"/>
          </w:tcPr>
          <w:p w14:paraId="260E4395" w14:textId="77777777" w:rsidR="008026FF" w:rsidRPr="008026FF" w:rsidRDefault="008026FF" w:rsidP="00302632">
            <w:pPr>
              <w:pStyle w:val="TableText"/>
              <w:rPr>
                <w:b/>
              </w:rPr>
            </w:pPr>
            <w:r w:rsidRPr="008026FF">
              <w:rPr>
                <w:b/>
              </w:rPr>
              <w:t>Cervical ripening</w:t>
            </w:r>
          </w:p>
        </w:tc>
      </w:tr>
      <w:tr w:rsidR="008026FF" w14:paraId="73C8F531" w14:textId="77777777" w:rsidTr="00B379B0">
        <w:trPr>
          <w:cantSplit/>
        </w:trPr>
        <w:tc>
          <w:tcPr>
            <w:tcW w:w="4678" w:type="dxa"/>
            <w:tcBorders>
              <w:top w:val="nil"/>
              <w:left w:val="nil"/>
              <w:bottom w:val="single" w:sz="4" w:space="0" w:color="A6A6A6" w:themeColor="background1" w:themeShade="A6"/>
              <w:right w:val="nil"/>
            </w:tcBorders>
          </w:tcPr>
          <w:p w14:paraId="11C1B8C4" w14:textId="77777777" w:rsidR="008026FF" w:rsidRPr="00806252" w:rsidRDefault="008026FF" w:rsidP="00302632">
            <w:pPr>
              <w:pStyle w:val="TableText"/>
              <w:rPr>
                <w:b/>
              </w:rPr>
            </w:pPr>
            <w:r w:rsidRPr="00806252">
              <w:rPr>
                <w:b/>
              </w:rPr>
              <w:t>Recommendation</w:t>
            </w:r>
          </w:p>
        </w:tc>
        <w:tc>
          <w:tcPr>
            <w:tcW w:w="1701" w:type="dxa"/>
            <w:tcBorders>
              <w:top w:val="nil"/>
              <w:left w:val="nil"/>
              <w:bottom w:val="single" w:sz="4" w:space="0" w:color="A6A6A6" w:themeColor="background1" w:themeShade="A6"/>
              <w:right w:val="nil"/>
            </w:tcBorders>
          </w:tcPr>
          <w:p w14:paraId="4FD9EC40" w14:textId="77777777" w:rsidR="008026FF" w:rsidRPr="00806252" w:rsidRDefault="008026FF"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single" w:sz="4" w:space="0" w:color="A6A6A6" w:themeColor="background1" w:themeShade="A6"/>
              <w:right w:val="nil"/>
            </w:tcBorders>
          </w:tcPr>
          <w:p w14:paraId="7649442A" w14:textId="77777777" w:rsidR="008026FF" w:rsidRPr="00806252" w:rsidRDefault="008026FF" w:rsidP="00302632">
            <w:pPr>
              <w:pStyle w:val="TableText"/>
              <w:rPr>
                <w:b/>
              </w:rPr>
            </w:pPr>
            <w:r w:rsidRPr="00806252">
              <w:rPr>
                <w:b/>
              </w:rPr>
              <w:t>Strength of recommendation</w:t>
            </w:r>
          </w:p>
        </w:tc>
      </w:tr>
      <w:tr w:rsidR="008026FF" w14:paraId="28C400A6" w14:textId="77777777" w:rsidTr="00B379B0">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7F735567" w14:textId="77777777" w:rsidR="008026FF" w:rsidRDefault="008026FF" w:rsidP="008026FF">
            <w:pPr>
              <w:pStyle w:val="TableText"/>
              <w:ind w:right="113"/>
            </w:pPr>
            <w:r>
              <w:t xml:space="preserve">Offer cervical ripening with PG to women with unfavourable cervix, to improve the chance of vaginal birth within </w:t>
            </w:r>
            <w:r w:rsidR="00EB43A9">
              <w:t>24 hours</w:t>
            </w:r>
            <w:r>
              <w:t>, compared with oxytocin alone.</w:t>
            </w:r>
          </w:p>
        </w:tc>
        <w:tc>
          <w:tcPr>
            <w:tcW w:w="1701" w:type="dxa"/>
            <w:tcBorders>
              <w:top w:val="single" w:sz="4" w:space="0" w:color="A6A6A6" w:themeColor="background1" w:themeShade="A6"/>
              <w:left w:val="nil"/>
              <w:bottom w:val="single" w:sz="4" w:space="0" w:color="A6A6A6" w:themeColor="background1" w:themeShade="A6"/>
              <w:right w:val="nil"/>
            </w:tcBorders>
          </w:tcPr>
          <w:p w14:paraId="06A05352" w14:textId="77777777" w:rsidR="008026FF" w:rsidRDefault="008026FF" w:rsidP="008026FF">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4FA930DA" w14:textId="77777777" w:rsidR="008026FF" w:rsidRDefault="008026FF" w:rsidP="00302632">
            <w:pPr>
              <w:pStyle w:val="TableText"/>
            </w:pPr>
            <w:r>
              <w:t>Conditional</w:t>
            </w:r>
          </w:p>
        </w:tc>
      </w:tr>
      <w:tr w:rsidR="008026FF" w14:paraId="40E8773E" w14:textId="77777777" w:rsidTr="00B379B0">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0259B7E6" w14:textId="77777777" w:rsidR="008026FF" w:rsidRDefault="008026FF" w:rsidP="008026FF">
            <w:pPr>
              <w:pStyle w:val="TableText"/>
              <w:ind w:right="113"/>
            </w:pPr>
            <w:r>
              <w:t xml:space="preserve">Offer either PGE2 vaginal gel or controlled-release pessary for cervical ripening, as both methods are comparable to achieve vaginal birth in </w:t>
            </w:r>
            <w:r w:rsidR="00EB43A9">
              <w:t>24 hours</w:t>
            </w:r>
            <w:r>
              <w:t xml:space="preserve"> and for risk of caesarean section.</w:t>
            </w:r>
          </w:p>
        </w:tc>
        <w:tc>
          <w:tcPr>
            <w:tcW w:w="1701" w:type="dxa"/>
            <w:tcBorders>
              <w:top w:val="single" w:sz="4" w:space="0" w:color="A6A6A6" w:themeColor="background1" w:themeShade="A6"/>
              <w:left w:val="nil"/>
              <w:bottom w:val="single" w:sz="4" w:space="0" w:color="A6A6A6" w:themeColor="background1" w:themeShade="A6"/>
              <w:right w:val="nil"/>
            </w:tcBorders>
          </w:tcPr>
          <w:p w14:paraId="46F0B2FE" w14:textId="77777777" w:rsidR="008026FF" w:rsidRDefault="008026FF" w:rsidP="008026FF">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1B0F9C36" w14:textId="77777777" w:rsidR="008026FF" w:rsidRDefault="008026FF" w:rsidP="00302632">
            <w:pPr>
              <w:pStyle w:val="TableText"/>
            </w:pPr>
            <w:r>
              <w:t>Conditional</w:t>
            </w:r>
          </w:p>
        </w:tc>
      </w:tr>
      <w:tr w:rsidR="008026FF" w14:paraId="6249E007" w14:textId="77777777" w:rsidTr="00B379B0">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31336522" w14:textId="77777777" w:rsidR="008026FF" w:rsidRDefault="008026FF" w:rsidP="008026FF">
            <w:pPr>
              <w:pStyle w:val="TableText"/>
              <w:ind w:right="113"/>
            </w:pPr>
            <w:r>
              <w:t>Offer oral misoprostol for cervical ripening to reduce the risk of caesarean section.</w:t>
            </w:r>
          </w:p>
        </w:tc>
        <w:tc>
          <w:tcPr>
            <w:tcW w:w="1701" w:type="dxa"/>
            <w:tcBorders>
              <w:top w:val="single" w:sz="4" w:space="0" w:color="A6A6A6" w:themeColor="background1" w:themeShade="A6"/>
              <w:left w:val="nil"/>
              <w:bottom w:val="single" w:sz="4" w:space="0" w:color="A6A6A6" w:themeColor="background1" w:themeShade="A6"/>
              <w:right w:val="nil"/>
            </w:tcBorders>
          </w:tcPr>
          <w:p w14:paraId="1BBB9A80" w14:textId="77777777" w:rsidR="008026FF" w:rsidRDefault="008026FF" w:rsidP="008026FF">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0722EF7A" w14:textId="77777777" w:rsidR="008026FF" w:rsidRDefault="008026FF" w:rsidP="00302632">
            <w:pPr>
              <w:pStyle w:val="TableText"/>
            </w:pPr>
            <w:r>
              <w:t>Conditional</w:t>
            </w:r>
          </w:p>
        </w:tc>
      </w:tr>
      <w:tr w:rsidR="008026FF" w14:paraId="64CBB61D"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47245C09" w14:textId="77777777" w:rsidR="008026FF" w:rsidRDefault="008026FF" w:rsidP="008026FF">
            <w:pPr>
              <w:pStyle w:val="TableText"/>
              <w:ind w:right="113"/>
            </w:pPr>
            <w:r>
              <w:t>Offer balloon catheter for cervical ripening, to reduce the risk of uterine hyperstimulation with FHR changes, compared with PG.</w:t>
            </w:r>
          </w:p>
        </w:tc>
        <w:tc>
          <w:tcPr>
            <w:tcW w:w="1701" w:type="dxa"/>
            <w:tcBorders>
              <w:top w:val="single" w:sz="4" w:space="0" w:color="A6A6A6" w:themeColor="background1" w:themeShade="A6"/>
              <w:left w:val="nil"/>
              <w:bottom w:val="single" w:sz="4" w:space="0" w:color="A6A6A6" w:themeColor="background1" w:themeShade="A6"/>
              <w:right w:val="nil"/>
            </w:tcBorders>
          </w:tcPr>
          <w:p w14:paraId="58EBA9E6" w14:textId="77777777" w:rsidR="008026FF" w:rsidRDefault="008026FF" w:rsidP="008026FF">
            <w:pPr>
              <w:pStyle w:val="TableText"/>
            </w:pPr>
            <w:r>
              <w:t>Level 1; moderate evidence</w:t>
            </w:r>
          </w:p>
        </w:tc>
        <w:tc>
          <w:tcPr>
            <w:tcW w:w="1701" w:type="dxa"/>
            <w:tcBorders>
              <w:top w:val="single" w:sz="4" w:space="0" w:color="A6A6A6" w:themeColor="background1" w:themeShade="A6"/>
              <w:left w:val="nil"/>
              <w:bottom w:val="single" w:sz="4" w:space="0" w:color="A6A6A6" w:themeColor="background1" w:themeShade="A6"/>
              <w:right w:val="nil"/>
            </w:tcBorders>
          </w:tcPr>
          <w:p w14:paraId="63E1B438" w14:textId="77777777" w:rsidR="008026FF" w:rsidRDefault="008026FF" w:rsidP="00302632">
            <w:pPr>
              <w:pStyle w:val="TableText"/>
            </w:pPr>
            <w:r>
              <w:t>Conditional</w:t>
            </w:r>
          </w:p>
        </w:tc>
      </w:tr>
      <w:tr w:rsidR="008026FF" w14:paraId="01574819" w14:textId="77777777" w:rsidTr="00BA1CC5">
        <w:trPr>
          <w:cantSplit/>
        </w:trPr>
        <w:tc>
          <w:tcPr>
            <w:tcW w:w="4678" w:type="dxa"/>
            <w:tcBorders>
              <w:top w:val="single" w:sz="4" w:space="0" w:color="A6A6A6" w:themeColor="background1" w:themeShade="A6"/>
              <w:left w:val="nil"/>
              <w:bottom w:val="single" w:sz="4" w:space="0" w:color="A6A6A6" w:themeColor="background1" w:themeShade="A6"/>
              <w:right w:val="nil"/>
            </w:tcBorders>
          </w:tcPr>
          <w:p w14:paraId="76165458" w14:textId="77777777" w:rsidR="008026FF" w:rsidRDefault="008026FF" w:rsidP="008026FF">
            <w:pPr>
              <w:pStyle w:val="TableText"/>
              <w:ind w:right="113"/>
            </w:pPr>
            <w:r>
              <w:t xml:space="preserve">For single-balloon catheter: Inflate greater than 30 mL (and not more than the manufacturer’s recommendation), to increase the chance of vaginal birth in </w:t>
            </w:r>
            <w:r w:rsidR="00EB43A9">
              <w:t>24 hours</w:t>
            </w:r>
            <w:r>
              <w:t>, compared with 30 mL or less.</w:t>
            </w:r>
          </w:p>
        </w:tc>
        <w:tc>
          <w:tcPr>
            <w:tcW w:w="1701" w:type="dxa"/>
            <w:tcBorders>
              <w:top w:val="single" w:sz="4" w:space="0" w:color="A6A6A6" w:themeColor="background1" w:themeShade="A6"/>
              <w:left w:val="nil"/>
              <w:bottom w:val="single" w:sz="4" w:space="0" w:color="A6A6A6" w:themeColor="background1" w:themeShade="A6"/>
              <w:right w:val="nil"/>
            </w:tcBorders>
          </w:tcPr>
          <w:p w14:paraId="51AE9DB1" w14:textId="77777777" w:rsidR="008026FF" w:rsidRDefault="008026FF" w:rsidP="008026FF">
            <w:pPr>
              <w:pStyle w:val="TableText"/>
            </w:pPr>
            <w:r>
              <w:t>Level 1; moderate quality</w:t>
            </w:r>
          </w:p>
        </w:tc>
        <w:tc>
          <w:tcPr>
            <w:tcW w:w="1701" w:type="dxa"/>
            <w:tcBorders>
              <w:top w:val="single" w:sz="4" w:space="0" w:color="A6A6A6" w:themeColor="background1" w:themeShade="A6"/>
              <w:left w:val="nil"/>
              <w:bottom w:val="single" w:sz="4" w:space="0" w:color="A6A6A6" w:themeColor="background1" w:themeShade="A6"/>
              <w:right w:val="nil"/>
            </w:tcBorders>
          </w:tcPr>
          <w:p w14:paraId="32E47488" w14:textId="77777777" w:rsidR="008026FF" w:rsidRDefault="008026FF" w:rsidP="00302632">
            <w:pPr>
              <w:pStyle w:val="TableText"/>
            </w:pPr>
            <w:r>
              <w:t>Conditional</w:t>
            </w:r>
          </w:p>
        </w:tc>
      </w:tr>
      <w:tr w:rsidR="00EC79BD" w14:paraId="7494C699" w14:textId="77777777" w:rsidTr="00BA1CC5">
        <w:trPr>
          <w:cantSplit/>
        </w:trPr>
        <w:tc>
          <w:tcPr>
            <w:tcW w:w="8080" w:type="dxa"/>
            <w:gridSpan w:val="3"/>
            <w:tcBorders>
              <w:top w:val="single" w:sz="4" w:space="0" w:color="A6A6A6" w:themeColor="background1" w:themeShade="A6"/>
              <w:left w:val="nil"/>
              <w:bottom w:val="single" w:sz="4" w:space="0" w:color="A6A6A6" w:themeColor="background1" w:themeShade="A6"/>
              <w:right w:val="nil"/>
            </w:tcBorders>
          </w:tcPr>
          <w:p w14:paraId="0C758D86" w14:textId="77777777" w:rsidR="00EC79BD" w:rsidRDefault="00EC79BD" w:rsidP="00302632">
            <w:pPr>
              <w:pStyle w:val="TableText"/>
            </w:pPr>
            <w:r w:rsidRPr="00806252">
              <w:rPr>
                <w:b/>
                <w:iCs/>
              </w:rPr>
              <w:lastRenderedPageBreak/>
              <w:t>Practice point</w:t>
            </w:r>
            <w:r>
              <w:rPr>
                <w:b/>
                <w:iCs/>
              </w:rPr>
              <w:t>s</w:t>
            </w:r>
          </w:p>
          <w:p w14:paraId="14C30821" w14:textId="77777777" w:rsidR="00EC79BD" w:rsidRPr="00BE6AB1" w:rsidRDefault="00EC79BD" w:rsidP="00F44CBA">
            <w:pPr>
              <w:pStyle w:val="TableBullet"/>
            </w:pPr>
            <w:r w:rsidRPr="00BE6AB1">
              <w:t>Consider offering membrane sweeping concurrent with cervical ripening.</w:t>
            </w:r>
          </w:p>
          <w:p w14:paraId="191B8CAE" w14:textId="77777777" w:rsidR="00EC79BD" w:rsidRPr="00DD0D06" w:rsidRDefault="00EC79BD" w:rsidP="00F44CBA">
            <w:pPr>
              <w:pStyle w:val="TableBullet"/>
            </w:pPr>
            <w:r w:rsidRPr="00BE6AB1">
              <w:t>For cervical ripening with PGE2 vaginal gel</w:t>
            </w:r>
            <w:r>
              <w:t>: D</w:t>
            </w:r>
            <w:r w:rsidRPr="00BE6AB1">
              <w:t xml:space="preserve">ecide initial dose based on parity and Bishop score. If nulliparous and </w:t>
            </w:r>
            <w:r>
              <w:t xml:space="preserve">the Bishop score is </w:t>
            </w:r>
            <w:r w:rsidRPr="00BE6AB1">
              <w:t>≤4, consider 2</w:t>
            </w:r>
            <w:r>
              <w:t xml:space="preserve"> </w:t>
            </w:r>
            <w:r w:rsidRPr="00DD0D06">
              <w:t>mg; otherwise consider 1</w:t>
            </w:r>
            <w:r>
              <w:t xml:space="preserve"> </w:t>
            </w:r>
            <w:r w:rsidRPr="00DD0D06">
              <w:t xml:space="preserve">mg. Decide </w:t>
            </w:r>
            <w:r>
              <w:t xml:space="preserve">any </w:t>
            </w:r>
            <w:r w:rsidRPr="00DD0D06">
              <w:t>subsequent dose based on cervical change – if none, consider 2</w:t>
            </w:r>
            <w:r>
              <w:t xml:space="preserve"> </w:t>
            </w:r>
            <w:r w:rsidRPr="00DD0D06">
              <w:t>mg; otherwise consider 1</w:t>
            </w:r>
            <w:r>
              <w:t xml:space="preserve"> </w:t>
            </w:r>
            <w:r w:rsidRPr="00DD0D06">
              <w:t xml:space="preserve">mg. Use as per </w:t>
            </w:r>
            <w:r>
              <w:t xml:space="preserve">the </w:t>
            </w:r>
            <w:r w:rsidRPr="00DD0D06">
              <w:t>manufacturer</w:t>
            </w:r>
            <w:r>
              <w:t>’</w:t>
            </w:r>
            <w:r w:rsidRPr="00DD0D06">
              <w:t>s</w:t>
            </w:r>
            <w:r>
              <w:t xml:space="preserve"> </w:t>
            </w:r>
            <w:r w:rsidRPr="00DD0D06">
              <w:t>instructions.</w:t>
            </w:r>
          </w:p>
          <w:p w14:paraId="50F0B142" w14:textId="77777777" w:rsidR="00EC79BD" w:rsidRPr="00DD0D06" w:rsidRDefault="00EC79BD" w:rsidP="00F44CBA">
            <w:pPr>
              <w:pStyle w:val="TableBullet"/>
            </w:pPr>
            <w:r w:rsidRPr="00DD0D06">
              <w:t>For cervical ripening with PGE2 controlled-release vaginal pessary</w:t>
            </w:r>
            <w:r>
              <w:t>: P</w:t>
            </w:r>
            <w:r w:rsidRPr="00DD0D06">
              <w:t>essary may have higher risk of</w:t>
            </w:r>
            <w:r>
              <w:t xml:space="preserve"> </w:t>
            </w:r>
            <w:r w:rsidRPr="00DD0D06">
              <w:t xml:space="preserve">uterine tachysystole and </w:t>
            </w:r>
            <w:proofErr w:type="spellStart"/>
            <w:r w:rsidRPr="00DD0D06">
              <w:t>hypertonus</w:t>
            </w:r>
            <w:proofErr w:type="spellEnd"/>
            <w:r w:rsidRPr="00DD0D06">
              <w:t xml:space="preserve"> compared </w:t>
            </w:r>
            <w:r>
              <w:t>with</w:t>
            </w:r>
            <w:r w:rsidRPr="00DD0D06">
              <w:t xml:space="preserve"> vaginal gel. Use as per </w:t>
            </w:r>
            <w:r>
              <w:t xml:space="preserve">the </w:t>
            </w:r>
            <w:r w:rsidRPr="00DD0D06">
              <w:t>manufacturer</w:t>
            </w:r>
            <w:r>
              <w:t>’</w:t>
            </w:r>
            <w:r w:rsidRPr="00DD0D06">
              <w:t>s instructions.</w:t>
            </w:r>
          </w:p>
          <w:p w14:paraId="3CCD2275" w14:textId="734C36A6" w:rsidR="00EC79BD" w:rsidRPr="00DD0D06" w:rsidRDefault="00EC79BD" w:rsidP="00F44CBA">
            <w:pPr>
              <w:pStyle w:val="TableBullet"/>
            </w:pPr>
            <w:r w:rsidRPr="00DD0D06">
              <w:t>For cervical ripening with PGE1 analogue (misoprostol)</w:t>
            </w:r>
            <w:r>
              <w:t>: V</w:t>
            </w:r>
            <w:r w:rsidRPr="00DD0D06">
              <w:t xml:space="preserve">aginal administration may have higher risk of adverse outcomes compared </w:t>
            </w:r>
            <w:r>
              <w:t>with</w:t>
            </w:r>
            <w:r w:rsidRPr="00DD0D06">
              <w:t xml:space="preserve"> oral administration. If using misoprostol, low-dose (25</w:t>
            </w:r>
            <w:r>
              <w:t> </w:t>
            </w:r>
            <w:r w:rsidRPr="00DD0D06">
              <w:t>m</w:t>
            </w:r>
            <w:r>
              <w:t>cg</w:t>
            </w:r>
            <w:r w:rsidRPr="00DD0D06">
              <w:t>)</w:t>
            </w:r>
            <w:r>
              <w:t xml:space="preserve"> </w:t>
            </w:r>
            <w:r w:rsidRPr="00DD0D06">
              <w:t xml:space="preserve">two-hourly in oral solution is recommended. See </w:t>
            </w:r>
            <w:r>
              <w:t xml:space="preserve">also </w:t>
            </w:r>
            <w:r w:rsidR="00D7224C">
              <w:t xml:space="preserve">Appendix </w:t>
            </w:r>
            <w:proofErr w:type="spellStart"/>
            <w:r w:rsidR="00D7224C">
              <w:t>E</w:t>
            </w:r>
            <w:r w:rsidR="00D7224C">
              <w:fldChar w:fldCharType="begin"/>
            </w:r>
            <w:r w:rsidR="00D7224C">
              <w:instrText xml:space="preserve"> REF _Ref72417724 \h </w:instrText>
            </w:r>
            <w:r w:rsidR="00D7224C">
              <w:fldChar w:fldCharType="separate"/>
            </w:r>
            <w:r w:rsidR="00C04A3F">
              <w:t>Appendix</w:t>
            </w:r>
            <w:proofErr w:type="spellEnd"/>
            <w:r w:rsidR="00C04A3F">
              <w:t xml:space="preserve"> E: </w:t>
            </w:r>
            <w:r w:rsidR="00C04A3F" w:rsidRPr="00DA3B83">
              <w:t>Examples</w:t>
            </w:r>
            <w:r w:rsidR="00C04A3F">
              <w:t xml:space="preserve"> of preparation of oral misoprostol for cervical ripening</w:t>
            </w:r>
            <w:r w:rsidR="00D7224C">
              <w:fldChar w:fldCharType="end"/>
            </w:r>
            <w:r w:rsidRPr="00DD0D06">
              <w:t>.</w:t>
            </w:r>
          </w:p>
          <w:p w14:paraId="24AFACD6" w14:textId="77777777" w:rsidR="00EC79BD" w:rsidRPr="00DD0D06" w:rsidRDefault="00EC79BD" w:rsidP="00F44CBA">
            <w:pPr>
              <w:pStyle w:val="TableBullet"/>
            </w:pPr>
            <w:r w:rsidRPr="00DD0D06">
              <w:t xml:space="preserve">For cervical ripening with balloon catheter, consider offering either single- or double-balloon, as both are comparable to achieve vaginal birth in </w:t>
            </w:r>
            <w:r w:rsidR="00EB43A9">
              <w:t>24 hours</w:t>
            </w:r>
            <w:r w:rsidRPr="00DD0D06">
              <w:t xml:space="preserve"> and for risk of caesarean section. Use double-balloon catheter as per </w:t>
            </w:r>
            <w:r>
              <w:t xml:space="preserve">the </w:t>
            </w:r>
            <w:r w:rsidRPr="00DD0D06">
              <w:t>manufacturer</w:t>
            </w:r>
            <w:r>
              <w:t>’</w:t>
            </w:r>
            <w:r w:rsidRPr="00DD0D06">
              <w:t>s instructions.</w:t>
            </w:r>
          </w:p>
          <w:p w14:paraId="0286486A" w14:textId="77777777" w:rsidR="00EC79BD" w:rsidRDefault="00EC79BD" w:rsidP="00F44CBA">
            <w:pPr>
              <w:pStyle w:val="TableBullet"/>
            </w:pPr>
            <w:r w:rsidRPr="00DD0D06">
              <w:t xml:space="preserve">Consider using balloon catheter for cervical ripening where </w:t>
            </w:r>
            <w:r>
              <w:t>IOL</w:t>
            </w:r>
            <w:r w:rsidRPr="00DD0D06">
              <w:t xml:space="preserve"> is indicated in </w:t>
            </w:r>
            <w:r>
              <w:t xml:space="preserve">the </w:t>
            </w:r>
            <w:r w:rsidRPr="00DD0D06">
              <w:t>setting</w:t>
            </w:r>
            <w:r>
              <w:t xml:space="preserve"> </w:t>
            </w:r>
            <w:r w:rsidRPr="00DD0D06">
              <w:t xml:space="preserve">of </w:t>
            </w:r>
            <w:r>
              <w:t xml:space="preserve">a </w:t>
            </w:r>
            <w:r w:rsidRPr="00DD0D06">
              <w:t>previous caesarean section.</w:t>
            </w:r>
          </w:p>
        </w:tc>
      </w:tr>
    </w:tbl>
    <w:p w14:paraId="0A93CF5A" w14:textId="77777777" w:rsidR="00BA1CC5" w:rsidRDefault="00BA1CC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F44CBA" w:rsidRPr="00F44CBA" w14:paraId="36F05123" w14:textId="77777777" w:rsidTr="00BA1CC5">
        <w:trPr>
          <w:cantSplit/>
        </w:trPr>
        <w:tc>
          <w:tcPr>
            <w:tcW w:w="8080" w:type="dxa"/>
            <w:tcBorders>
              <w:top w:val="nil"/>
              <w:left w:val="nil"/>
              <w:bottom w:val="nil"/>
              <w:right w:val="nil"/>
            </w:tcBorders>
            <w:shd w:val="clear" w:color="auto" w:fill="D9D9D9" w:themeFill="background1" w:themeFillShade="D9"/>
          </w:tcPr>
          <w:p w14:paraId="63866C29" w14:textId="77777777" w:rsidR="00F44CBA" w:rsidRPr="00F44CBA" w:rsidRDefault="00F44CBA" w:rsidP="00302632">
            <w:pPr>
              <w:pStyle w:val="TableText"/>
              <w:rPr>
                <w:b/>
              </w:rPr>
            </w:pPr>
            <w:r w:rsidRPr="00F44CBA">
              <w:rPr>
                <w:b/>
              </w:rPr>
              <w:t>Induction of labour methods</w:t>
            </w:r>
          </w:p>
        </w:tc>
      </w:tr>
      <w:tr w:rsidR="00EC79BD" w14:paraId="4DE9F2C9" w14:textId="77777777" w:rsidTr="00BA1CC5">
        <w:trPr>
          <w:cantSplit/>
        </w:trPr>
        <w:tc>
          <w:tcPr>
            <w:tcW w:w="8080" w:type="dxa"/>
            <w:tcBorders>
              <w:top w:val="nil"/>
              <w:left w:val="nil"/>
              <w:bottom w:val="single" w:sz="4" w:space="0" w:color="A6A6A6" w:themeColor="background1" w:themeShade="A6"/>
              <w:right w:val="nil"/>
            </w:tcBorders>
          </w:tcPr>
          <w:p w14:paraId="3C65894D" w14:textId="77777777" w:rsidR="00EC79BD" w:rsidRDefault="00EC79BD" w:rsidP="00302632">
            <w:pPr>
              <w:pStyle w:val="TableText"/>
            </w:pPr>
            <w:r w:rsidRPr="00806252">
              <w:rPr>
                <w:b/>
                <w:iCs/>
              </w:rPr>
              <w:t>Practice point</w:t>
            </w:r>
            <w:r>
              <w:rPr>
                <w:b/>
                <w:iCs/>
              </w:rPr>
              <w:t>s</w:t>
            </w:r>
          </w:p>
          <w:p w14:paraId="1E5123CB" w14:textId="77777777" w:rsidR="00EC79BD" w:rsidRPr="002A68A1" w:rsidRDefault="00EC79BD" w:rsidP="00302632">
            <w:pPr>
              <w:pStyle w:val="TableBullet"/>
            </w:pPr>
            <w:r w:rsidRPr="00DD0D06">
              <w:t xml:space="preserve">To start </w:t>
            </w:r>
            <w:r>
              <w:t>IOL</w:t>
            </w:r>
            <w:r w:rsidRPr="00DD0D06">
              <w:t xml:space="preserve"> once cervix is favourable, consider offering the combination of </w:t>
            </w:r>
            <w:r>
              <w:t>ARM</w:t>
            </w:r>
            <w:r w:rsidRPr="00DD0D06">
              <w:t xml:space="preserve"> and intravenous oxytocin infusion, to increase chance of vaginal birth within </w:t>
            </w:r>
            <w:r w:rsidR="00EB43A9">
              <w:t>24 hours</w:t>
            </w:r>
            <w:r w:rsidRPr="002A68A1">
              <w:t>.</w:t>
            </w:r>
          </w:p>
          <w:p w14:paraId="29D6EDE7" w14:textId="77777777" w:rsidR="00EC79BD" w:rsidRPr="00164B1C" w:rsidRDefault="00EC79BD" w:rsidP="00302632">
            <w:pPr>
              <w:pStyle w:val="TableBullet"/>
            </w:pPr>
            <w:r w:rsidRPr="00164B1C">
              <w:t xml:space="preserve">The timing and order of performing </w:t>
            </w:r>
            <w:r>
              <w:t>ARM</w:t>
            </w:r>
            <w:r w:rsidRPr="00164B1C">
              <w:t xml:space="preserve"> and starting intravenous oxytocin infusion </w:t>
            </w:r>
            <w:r>
              <w:t>should</w:t>
            </w:r>
            <w:r w:rsidRPr="00164B1C">
              <w:t xml:space="preserve"> be individualised and negotiated between the woman, her </w:t>
            </w:r>
            <w:r>
              <w:t>LMC</w:t>
            </w:r>
            <w:r w:rsidRPr="002A68A1">
              <w:t>, the</w:t>
            </w:r>
            <w:r>
              <w:t xml:space="preserve"> </w:t>
            </w:r>
            <w:r w:rsidRPr="00164B1C">
              <w:t>hospital midwife and the obstetrician.</w:t>
            </w:r>
          </w:p>
          <w:p w14:paraId="35717183" w14:textId="77777777" w:rsidR="00EC79BD" w:rsidRPr="00164B1C" w:rsidRDefault="00EC79BD" w:rsidP="00302632">
            <w:pPr>
              <w:pStyle w:val="TableBullet"/>
            </w:pPr>
            <w:r w:rsidRPr="00164B1C">
              <w:t xml:space="preserve">Offer either low- or high-dose oxytocin protocol, as both methods are comparable </w:t>
            </w:r>
            <w:r>
              <w:t>in terms of achieving</w:t>
            </w:r>
            <w:r w:rsidRPr="00164B1C">
              <w:t xml:space="preserve"> vaginal</w:t>
            </w:r>
            <w:r>
              <w:t xml:space="preserve"> </w:t>
            </w:r>
            <w:r w:rsidRPr="00164B1C">
              <w:t xml:space="preserve">birth in </w:t>
            </w:r>
            <w:r w:rsidR="00EB43A9">
              <w:t>24 hours</w:t>
            </w:r>
            <w:r w:rsidRPr="00164B1C">
              <w:t xml:space="preserve"> and risk for caesarean section.</w:t>
            </w:r>
          </w:p>
          <w:p w14:paraId="5C1C8A13" w14:textId="77777777" w:rsidR="00EC79BD" w:rsidRDefault="00EC79BD" w:rsidP="00302632">
            <w:pPr>
              <w:pStyle w:val="TableBullet"/>
            </w:pPr>
            <w:r>
              <w:t>The u</w:t>
            </w:r>
            <w:r w:rsidRPr="00164B1C">
              <w:t xml:space="preserve">sual time interval to increase </w:t>
            </w:r>
            <w:r>
              <w:t xml:space="preserve">the </w:t>
            </w:r>
            <w:r w:rsidRPr="00164B1C">
              <w:t>dose of oxytocin is approximately 20 minutes.</w:t>
            </w:r>
          </w:p>
        </w:tc>
      </w:tr>
    </w:tbl>
    <w:p w14:paraId="2313FAD6" w14:textId="77777777" w:rsidR="00AC0F19" w:rsidRDefault="00AC0F19" w:rsidP="002452D5">
      <w:pPr>
        <w:pStyle w:val="Heading1-notnumbered"/>
      </w:pPr>
      <w:bookmarkStart w:id="7" w:name="Consumer_foreword"/>
      <w:bookmarkStart w:id="8" w:name="_bookmark4"/>
      <w:bookmarkStart w:id="9" w:name="_Toc75787956"/>
      <w:bookmarkEnd w:id="7"/>
      <w:bookmarkEnd w:id="8"/>
      <w:r>
        <w:lastRenderedPageBreak/>
        <w:t xml:space="preserve">Consumer </w:t>
      </w:r>
      <w:r w:rsidR="001D1F80">
        <w:t>f</w:t>
      </w:r>
      <w:r w:rsidRPr="00941EF5">
        <w:t>oreword</w:t>
      </w:r>
      <w:bookmarkEnd w:id="9"/>
    </w:p>
    <w:p w14:paraId="508ABA35" w14:textId="77777777" w:rsidR="00AC0F19" w:rsidRPr="00884004" w:rsidRDefault="00AC0F19" w:rsidP="00586234">
      <w:pPr>
        <w:pStyle w:val="Quote"/>
      </w:pPr>
      <w:proofErr w:type="spellStart"/>
      <w:r w:rsidRPr="00884004">
        <w:t>Inā</w:t>
      </w:r>
      <w:proofErr w:type="spellEnd"/>
      <w:r w:rsidRPr="00884004">
        <w:t xml:space="preserve"> ora te wāhine, ka ora te whānau, ka ora te hapū, ka ora te iwi e</w:t>
      </w:r>
      <w:r>
        <w:t>.</w:t>
      </w:r>
      <w:r w:rsidR="00586234">
        <w:br/>
      </w:r>
      <w:r w:rsidRPr="00884004">
        <w:t>When women are in good health, the whānau, hapū and iwi will flourish.</w:t>
      </w:r>
    </w:p>
    <w:p w14:paraId="7516749E" w14:textId="77777777" w:rsidR="00AC0F19" w:rsidRPr="00884004" w:rsidRDefault="00AC0F19" w:rsidP="00586234"/>
    <w:p w14:paraId="7984CAC7" w14:textId="77777777" w:rsidR="00AC0F19" w:rsidRPr="00884004" w:rsidRDefault="00AC0F19" w:rsidP="00586234">
      <w:r w:rsidRPr="00884004">
        <w:t xml:space="preserve">Although this guideline has been developed </w:t>
      </w:r>
      <w:r>
        <w:t xml:space="preserve">predominantly </w:t>
      </w:r>
      <w:r w:rsidRPr="00884004">
        <w:t xml:space="preserve">to guide clinical practice, good </w:t>
      </w:r>
      <w:r>
        <w:t xml:space="preserve">clinical </w:t>
      </w:r>
      <w:r w:rsidRPr="00884004">
        <w:t>practice cannot be achieved without deliver</w:t>
      </w:r>
      <w:r>
        <w:t>ing</w:t>
      </w:r>
      <w:r w:rsidRPr="00884004">
        <w:t xml:space="preserve"> care that is respectful, mana enhancing and </w:t>
      </w:r>
      <w:r>
        <w:t xml:space="preserve">that </w:t>
      </w:r>
      <w:r w:rsidRPr="00884004">
        <w:t xml:space="preserve">supports pregnant women and their whānau to experience a pregnancy, labour and birth that honour and protect the many aspects </w:t>
      </w:r>
      <w:r>
        <w:t xml:space="preserve">of life </w:t>
      </w:r>
      <w:r w:rsidRPr="00884004">
        <w:t>that are important to them. While health care providers have distinct and influential roles in promot</w:t>
      </w:r>
      <w:r>
        <w:t>ing</w:t>
      </w:r>
      <w:r w:rsidRPr="00884004">
        <w:t xml:space="preserve"> and protecti</w:t>
      </w:r>
      <w:r>
        <w:t>ng</w:t>
      </w:r>
      <w:r w:rsidRPr="00884004">
        <w:t xml:space="preserve"> physiological birth, it is important to acknowledge and understand the diverse reasons (both clinical and social) that may influence why induction of labour (IOL) may or may not be desired, requested or considered.</w:t>
      </w:r>
    </w:p>
    <w:p w14:paraId="76643E62" w14:textId="77777777" w:rsidR="00AC0F19" w:rsidRPr="00884004" w:rsidRDefault="00AC0F19" w:rsidP="00586234"/>
    <w:p w14:paraId="7EBA2CCF" w14:textId="77777777" w:rsidR="00AC0F19" w:rsidRPr="00884004" w:rsidRDefault="00AC0F19" w:rsidP="00AC0F19">
      <w:r>
        <w:t>The panel</w:t>
      </w:r>
      <w:r w:rsidRPr="00884004">
        <w:t xml:space="preserve"> </w:t>
      </w:r>
      <w:r>
        <w:t xml:space="preserve">who developed this guideline </w:t>
      </w:r>
      <w:r w:rsidRPr="00884004">
        <w:t xml:space="preserve">thoughtfully navigated the power dynamics between </w:t>
      </w:r>
      <w:r>
        <w:t>pregnant women and their whānau</w:t>
      </w:r>
      <w:r w:rsidRPr="00884004">
        <w:t xml:space="preserve"> and health professionals and robustly explored the distinction between </w:t>
      </w:r>
      <w:r w:rsidR="00B0606D">
        <w:t>‘</w:t>
      </w:r>
      <w:r w:rsidRPr="00884004">
        <w:t>recommending</w:t>
      </w:r>
      <w:r w:rsidR="00B0606D">
        <w:t>’</w:t>
      </w:r>
      <w:r w:rsidRPr="00884004">
        <w:t xml:space="preserve"> and </w:t>
      </w:r>
      <w:r w:rsidR="00B0606D">
        <w:t>‘</w:t>
      </w:r>
      <w:r w:rsidRPr="00884004">
        <w:t>offering</w:t>
      </w:r>
      <w:r w:rsidR="00B0606D">
        <w:t>’</w:t>
      </w:r>
      <w:r w:rsidRPr="00884004">
        <w:t xml:space="preserve"> interventions.</w:t>
      </w:r>
      <w:r w:rsidRPr="00586234">
        <w:rPr>
          <w:rStyle w:val="FootnoteReference"/>
        </w:rPr>
        <w:footnoteReference w:id="1"/>
      </w:r>
    </w:p>
    <w:p w14:paraId="4756011A" w14:textId="77777777" w:rsidR="00586234" w:rsidRDefault="00586234" w:rsidP="00586234"/>
    <w:p w14:paraId="49751EAF" w14:textId="77777777" w:rsidR="00AC0F19" w:rsidRPr="00884004" w:rsidRDefault="00AC0F19" w:rsidP="00586234">
      <w:r>
        <w:t>The panel</w:t>
      </w:r>
      <w:r w:rsidRPr="00884004">
        <w:t xml:space="preserve"> wanted to ensure that the importance of the birth experience as a whole was not lost amongst the plethora of potential clinical indications and concerns relating to the timing of labour. The loss of a physiological birth due to IOL is a significant intervention and should be treated as such. </w:t>
      </w:r>
      <w:r>
        <w:t>T</w:t>
      </w:r>
      <w:r w:rsidRPr="00884004">
        <w:t xml:space="preserve">his guideline </w:t>
      </w:r>
      <w:r>
        <w:t>acknowledges</w:t>
      </w:r>
      <w:r w:rsidRPr="00884004">
        <w:t xml:space="preserve"> the complexities of </w:t>
      </w:r>
      <w:r>
        <w:t xml:space="preserve">the </w:t>
      </w:r>
      <w:r w:rsidRPr="00884004">
        <w:t>birth experience whereby pregnant women and their whānau can be simultaneously grateful for medical interventions that facilitate the safe arrival of their baby/babies and experience trauma and grief at the loss of a planned birth experience.</w:t>
      </w:r>
    </w:p>
    <w:p w14:paraId="2D26EA0E" w14:textId="77777777" w:rsidR="00AC0F19" w:rsidRPr="002154AF" w:rsidRDefault="00B0606D" w:rsidP="00586234">
      <w:pPr>
        <w:pStyle w:val="Quote"/>
      </w:pPr>
      <w:r>
        <w:t>“</w:t>
      </w:r>
      <w:r w:rsidR="00AC0F19">
        <w:t>I appreciated the emotional support to navigate difficult decisions when facing essential interventions. [The switch] from planning a home birth to requiring an induction was quite sad for me. In the end, because I was able to negotiate every step of the way, my birth was a positive experience … Feeling in control of the process and having my choices honoured was extremely positive.</w:t>
      </w:r>
      <w:r>
        <w:t>”</w:t>
      </w:r>
      <w:r w:rsidR="00AC0F19">
        <w:t xml:space="preserve"> </w:t>
      </w:r>
      <w:r w:rsidR="00AC0F19" w:rsidRPr="002154AF">
        <w:t>Respondent</w:t>
      </w:r>
      <w:r w:rsidR="00586234">
        <w:t> </w:t>
      </w:r>
      <w:r w:rsidR="00AC0F19" w:rsidRPr="002154AF">
        <w:t>168 (Women</w:t>
      </w:r>
      <w:r>
        <w:t>’</w:t>
      </w:r>
      <w:r w:rsidR="00AC0F19" w:rsidRPr="002154AF">
        <w:t>s Health Action 2018)</w:t>
      </w:r>
    </w:p>
    <w:p w14:paraId="48EDE3B1" w14:textId="77777777" w:rsidR="00586234" w:rsidRDefault="00586234" w:rsidP="00586234"/>
    <w:p w14:paraId="6944D783" w14:textId="3ACB1292" w:rsidR="00AC0F19" w:rsidRDefault="00AC0F19" w:rsidP="00586234">
      <w:r>
        <w:t xml:space="preserve">The panel worked hard to develop the guideline to safeguard the health consumer rights to a reliable and fair process of informed decision-making. Health professionals have an ethical and legal responsibility to understand the differences between </w:t>
      </w:r>
      <w:r w:rsidR="00B0606D">
        <w:t>‘</w:t>
      </w:r>
      <w:r>
        <w:t>informed choice</w:t>
      </w:r>
      <w:r w:rsidR="00B0606D">
        <w:t>’</w:t>
      </w:r>
      <w:r>
        <w:t xml:space="preserve">, </w:t>
      </w:r>
      <w:r w:rsidR="00B0606D">
        <w:t>‘</w:t>
      </w:r>
      <w:r>
        <w:t>shared decision-making</w:t>
      </w:r>
      <w:r w:rsidR="00B0606D">
        <w:t>’</w:t>
      </w:r>
      <w:r>
        <w:t xml:space="preserve"> and </w:t>
      </w:r>
      <w:r w:rsidR="00B0606D">
        <w:t>‘</w:t>
      </w:r>
      <w:r>
        <w:t>informed compliance and coercion</w:t>
      </w:r>
      <w:r w:rsidR="00B0606D">
        <w:t>’</w:t>
      </w:r>
      <w:r>
        <w:t xml:space="preserve"> and to facilitate the pathway to truly informed choice and consent for their patients (Gold 2014). This can only be achieved by providing individualised assessments of IOL indication(s) and giving each pregnant woman and their whānau the chance to evaluate the risks of IOL in the context of their own beliefs and meanings. Once IOL has been agreed to, a pregnant woman and their whānau must also be provided with information on what to expect and how to prepare.</w:t>
      </w:r>
    </w:p>
    <w:p w14:paraId="110CB11B" w14:textId="77777777" w:rsidR="00105396" w:rsidRDefault="00105396" w:rsidP="00105396">
      <w:pPr>
        <w:pStyle w:val="Quote"/>
        <w:keepLines/>
      </w:pPr>
      <w:r>
        <w:lastRenderedPageBreak/>
        <w:t xml:space="preserve">“I hated </w:t>
      </w:r>
      <w:r w:rsidRPr="00105396">
        <w:t>the ‘informed consent’ that was given to me around the induction of my first child – it wasn’t ‘informed consent’ but ‘coerced consent’. Basically, it was made out that, if I didn’t follow their policies, then my child would die, so in order to prevent that happening, I had to consent for the induction and the ways they were inducing me. There was no discussion about the options for induction; there was no discussion about the risks involved, nor about the after-effects on both mother and baby.” Respondent 1,395 (Women’s Health Action 2018)</w:t>
      </w:r>
    </w:p>
    <w:p w14:paraId="2EF31D98" w14:textId="77777777" w:rsidR="00AC0F19" w:rsidRDefault="00AC0F19" w:rsidP="00105396">
      <w:pPr>
        <w:rPr>
          <w:sz w:val="20"/>
        </w:rPr>
      </w:pPr>
    </w:p>
    <w:p w14:paraId="3FC32051" w14:textId="77777777" w:rsidR="00AC0F19" w:rsidRDefault="00AC0F19" w:rsidP="00105396">
      <w:r>
        <w:t>A lack of information and planning, delays and separation from partners during IOL have</w:t>
      </w:r>
      <w:r>
        <w:rPr>
          <w:spacing w:val="-36"/>
        </w:rPr>
        <w:t xml:space="preserve"> </w:t>
      </w:r>
      <w:r>
        <w:t xml:space="preserve">been shown to increase maternal anxiety (Jay </w:t>
      </w:r>
      <w:r w:rsidR="000F3C98">
        <w:t>et al</w:t>
      </w:r>
      <w:r>
        <w:t xml:space="preserve"> 2018b) and is associated with a disparity between expectations and experience, particularly pain and duration of labour (Jay </w:t>
      </w:r>
      <w:r w:rsidR="000F3C98">
        <w:t>et al</w:t>
      </w:r>
      <w:r>
        <w:t xml:space="preserve"> 2018a; Murtagh and </w:t>
      </w:r>
      <w:proofErr w:type="spellStart"/>
      <w:r>
        <w:t>Folan</w:t>
      </w:r>
      <w:proofErr w:type="spellEnd"/>
      <w:r>
        <w:t xml:space="preserve"> 2014).</w:t>
      </w:r>
    </w:p>
    <w:p w14:paraId="3BBBA3EF" w14:textId="77777777" w:rsidR="00AC0F19" w:rsidRDefault="00AC0F19" w:rsidP="00105396"/>
    <w:p w14:paraId="288CDFDE" w14:textId="77777777" w:rsidR="00AC0F19" w:rsidRDefault="00AC0F19" w:rsidP="00105396">
      <w:r>
        <w:t>To this end, wherever possible, this guideline has incorporated published research and first-hand accounts of individual experiences of induction of labour.</w:t>
      </w:r>
    </w:p>
    <w:p w14:paraId="3F750B89" w14:textId="77777777" w:rsidR="00AC0F19" w:rsidRDefault="00AC0F19" w:rsidP="00105396"/>
    <w:p w14:paraId="08484FFA" w14:textId="77777777" w:rsidR="00AC0F19" w:rsidRDefault="00AC0F19" w:rsidP="00105396">
      <w:r>
        <w:t>We hope that this resource will be used as a tool to assist health professionals and caregivers to</w:t>
      </w:r>
      <w:r>
        <w:rPr>
          <w:spacing w:val="-8"/>
        </w:rPr>
        <w:t xml:space="preserve"> </w:t>
      </w:r>
      <w:r>
        <w:t>work</w:t>
      </w:r>
      <w:r>
        <w:rPr>
          <w:spacing w:val="-7"/>
        </w:rPr>
        <w:t xml:space="preserve"> </w:t>
      </w:r>
      <w:r>
        <w:t>in</w:t>
      </w:r>
      <w:r>
        <w:rPr>
          <w:spacing w:val="-7"/>
        </w:rPr>
        <w:t xml:space="preserve"> </w:t>
      </w:r>
      <w:r>
        <w:t>partnership</w:t>
      </w:r>
      <w:r>
        <w:rPr>
          <w:spacing w:val="-8"/>
        </w:rPr>
        <w:t xml:space="preserve"> </w:t>
      </w:r>
      <w:r>
        <w:t>with</w:t>
      </w:r>
      <w:r>
        <w:rPr>
          <w:spacing w:val="-2"/>
        </w:rPr>
        <w:t xml:space="preserve"> </w:t>
      </w:r>
      <w:r>
        <w:t>pregnant</w:t>
      </w:r>
      <w:r>
        <w:rPr>
          <w:spacing w:val="-6"/>
        </w:rPr>
        <w:t xml:space="preserve"> </w:t>
      </w:r>
      <w:r>
        <w:t>women and</w:t>
      </w:r>
      <w:r>
        <w:rPr>
          <w:spacing w:val="-8"/>
        </w:rPr>
        <w:t xml:space="preserve"> </w:t>
      </w:r>
      <w:r>
        <w:t>their</w:t>
      </w:r>
      <w:r>
        <w:rPr>
          <w:spacing w:val="-7"/>
        </w:rPr>
        <w:t xml:space="preserve"> </w:t>
      </w:r>
      <w:r>
        <w:t>whānau;</w:t>
      </w:r>
      <w:r>
        <w:rPr>
          <w:spacing w:val="-8"/>
        </w:rPr>
        <w:t xml:space="preserve"> </w:t>
      </w:r>
      <w:r>
        <w:t>supporting</w:t>
      </w:r>
      <w:r>
        <w:rPr>
          <w:spacing w:val="-2"/>
        </w:rPr>
        <w:t xml:space="preserve"> </w:t>
      </w:r>
      <w:r>
        <w:t>them</w:t>
      </w:r>
      <w:r>
        <w:rPr>
          <w:spacing w:val="-3"/>
        </w:rPr>
        <w:t xml:space="preserve"> </w:t>
      </w:r>
      <w:r>
        <w:t>to</w:t>
      </w:r>
      <w:r>
        <w:rPr>
          <w:spacing w:val="-8"/>
        </w:rPr>
        <w:t xml:space="preserve"> </w:t>
      </w:r>
      <w:r>
        <w:t>plan</w:t>
      </w:r>
      <w:r>
        <w:rPr>
          <w:spacing w:val="-7"/>
        </w:rPr>
        <w:t xml:space="preserve"> </w:t>
      </w:r>
      <w:r>
        <w:t>for</w:t>
      </w:r>
      <w:r>
        <w:rPr>
          <w:spacing w:val="-7"/>
        </w:rPr>
        <w:t xml:space="preserve"> </w:t>
      </w:r>
      <w:r>
        <w:t>and experience</w:t>
      </w:r>
      <w:r>
        <w:rPr>
          <w:spacing w:val="-13"/>
        </w:rPr>
        <w:t xml:space="preserve"> </w:t>
      </w:r>
      <w:r>
        <w:t>the</w:t>
      </w:r>
      <w:r>
        <w:rPr>
          <w:spacing w:val="-13"/>
        </w:rPr>
        <w:t xml:space="preserve"> </w:t>
      </w:r>
      <w:r>
        <w:t>best</w:t>
      </w:r>
      <w:r>
        <w:rPr>
          <w:spacing w:val="-7"/>
        </w:rPr>
        <w:t xml:space="preserve"> </w:t>
      </w:r>
      <w:r>
        <w:t>possible</w:t>
      </w:r>
      <w:r>
        <w:rPr>
          <w:spacing w:val="-13"/>
        </w:rPr>
        <w:t xml:space="preserve"> </w:t>
      </w:r>
      <w:r>
        <w:t>labour</w:t>
      </w:r>
      <w:r>
        <w:rPr>
          <w:spacing w:val="-10"/>
        </w:rPr>
        <w:t xml:space="preserve"> </w:t>
      </w:r>
      <w:r>
        <w:t>and</w:t>
      </w:r>
      <w:r>
        <w:rPr>
          <w:spacing w:val="-7"/>
        </w:rPr>
        <w:t xml:space="preserve"> </w:t>
      </w:r>
      <w:r>
        <w:t>birth</w:t>
      </w:r>
      <w:r>
        <w:rPr>
          <w:spacing w:val="-11"/>
        </w:rPr>
        <w:t xml:space="preserve"> </w:t>
      </w:r>
      <w:r>
        <w:t>regardless</w:t>
      </w:r>
      <w:r>
        <w:rPr>
          <w:spacing w:val="-10"/>
        </w:rPr>
        <w:t xml:space="preserve"> </w:t>
      </w:r>
      <w:r>
        <w:t>of</w:t>
      </w:r>
      <w:r>
        <w:rPr>
          <w:spacing w:val="-11"/>
        </w:rPr>
        <w:t xml:space="preserve"> </w:t>
      </w:r>
      <w:r>
        <w:t>birthplace</w:t>
      </w:r>
      <w:r>
        <w:rPr>
          <w:spacing w:val="-13"/>
        </w:rPr>
        <w:t xml:space="preserve"> </w:t>
      </w:r>
      <w:r>
        <w:t>setting</w:t>
      </w:r>
      <w:r>
        <w:rPr>
          <w:spacing w:val="-11"/>
        </w:rPr>
        <w:t xml:space="preserve"> </w:t>
      </w:r>
      <w:r>
        <w:t>or</w:t>
      </w:r>
      <w:r>
        <w:rPr>
          <w:spacing w:val="-7"/>
        </w:rPr>
        <w:t xml:space="preserve"> </w:t>
      </w:r>
      <w:r>
        <w:t>mode</w:t>
      </w:r>
      <w:r>
        <w:rPr>
          <w:spacing w:val="-7"/>
        </w:rPr>
        <w:t xml:space="preserve"> </w:t>
      </w:r>
      <w:r>
        <w:t>of</w:t>
      </w:r>
      <w:r>
        <w:rPr>
          <w:spacing w:val="-11"/>
        </w:rPr>
        <w:t xml:space="preserve"> </w:t>
      </w:r>
      <w:r>
        <w:t>birth.</w:t>
      </w:r>
    </w:p>
    <w:p w14:paraId="5930EF0E" w14:textId="77777777" w:rsidR="00105396" w:rsidRDefault="00105396" w:rsidP="00105396"/>
    <w:p w14:paraId="454FBFA2" w14:textId="77777777" w:rsidR="00AC0F19" w:rsidRDefault="00AC0F19" w:rsidP="002452D5">
      <w:pPr>
        <w:pStyle w:val="Heading1-notnumbered"/>
      </w:pPr>
      <w:bookmarkStart w:id="10" w:name="Note_from_the_Chair"/>
      <w:bookmarkStart w:id="11" w:name="_bookmark5"/>
      <w:bookmarkStart w:id="12" w:name="_Toc75787957"/>
      <w:bookmarkEnd w:id="10"/>
      <w:bookmarkEnd w:id="11"/>
      <w:r>
        <w:lastRenderedPageBreak/>
        <w:t>Message from the Chair</w:t>
      </w:r>
      <w:bookmarkEnd w:id="12"/>
    </w:p>
    <w:p w14:paraId="1F7771A3" w14:textId="77777777" w:rsidR="00AC0F19" w:rsidRPr="00DF3A36" w:rsidRDefault="00AC0F19" w:rsidP="00105396">
      <w:r>
        <w:t>Induction of labour (IOL) rates are increasing in New Zealand and globally. This increase has been associated with differing opinions and practices amongst clinicians and maternity services. We need</w:t>
      </w:r>
      <w:r>
        <w:rPr>
          <w:spacing w:val="-17"/>
        </w:rPr>
        <w:t xml:space="preserve"> </w:t>
      </w:r>
      <w:r>
        <w:t>national</w:t>
      </w:r>
      <w:r>
        <w:rPr>
          <w:spacing w:val="-19"/>
        </w:rPr>
        <w:t xml:space="preserve"> </w:t>
      </w:r>
      <w:r>
        <w:t>guidance</w:t>
      </w:r>
      <w:r>
        <w:rPr>
          <w:spacing w:val="-14"/>
        </w:rPr>
        <w:t xml:space="preserve"> </w:t>
      </w:r>
      <w:r>
        <w:t>in</w:t>
      </w:r>
      <w:r>
        <w:rPr>
          <w:spacing w:val="-17"/>
        </w:rPr>
        <w:t xml:space="preserve"> </w:t>
      </w:r>
      <w:r>
        <w:t>this</w:t>
      </w:r>
      <w:r>
        <w:rPr>
          <w:spacing w:val="-16"/>
        </w:rPr>
        <w:t xml:space="preserve"> </w:t>
      </w:r>
      <w:r>
        <w:t>area,</w:t>
      </w:r>
      <w:r>
        <w:rPr>
          <w:spacing w:val="-13"/>
        </w:rPr>
        <w:t xml:space="preserve"> </w:t>
      </w:r>
      <w:r>
        <w:t>in</w:t>
      </w:r>
      <w:r>
        <w:rPr>
          <w:spacing w:val="-18"/>
        </w:rPr>
        <w:t xml:space="preserve"> </w:t>
      </w:r>
      <w:r>
        <w:t>order</w:t>
      </w:r>
      <w:r>
        <w:rPr>
          <w:spacing w:val="-12"/>
        </w:rPr>
        <w:t xml:space="preserve"> </w:t>
      </w:r>
      <w:r>
        <w:t>to</w:t>
      </w:r>
      <w:r>
        <w:rPr>
          <w:spacing w:val="-18"/>
        </w:rPr>
        <w:t xml:space="preserve"> </w:t>
      </w:r>
      <w:r w:rsidRPr="00DF3A36">
        <w:t>educate</w:t>
      </w:r>
      <w:r>
        <w:t xml:space="preserve"> and</w:t>
      </w:r>
      <w:r>
        <w:rPr>
          <w:spacing w:val="-18"/>
        </w:rPr>
        <w:t xml:space="preserve"> </w:t>
      </w:r>
      <w:r w:rsidRPr="00DF3A36">
        <w:t>provide consistent recommendations around IOL</w:t>
      </w:r>
      <w:r>
        <w:t xml:space="preserve"> that will</w:t>
      </w:r>
      <w:r w:rsidRPr="00DF3A36">
        <w:t xml:space="preserve"> improve the proportion of inductions performed for evidence-based reasons</w:t>
      </w:r>
      <w:r>
        <w:t>. This in turn will</w:t>
      </w:r>
      <w:r w:rsidRPr="00DF3A36">
        <w:t xml:space="preserve"> maximise </w:t>
      </w:r>
      <w:r>
        <w:t xml:space="preserve">the </w:t>
      </w:r>
      <w:r w:rsidRPr="00DF3A36">
        <w:t xml:space="preserve">benefit, and minimise </w:t>
      </w:r>
      <w:r>
        <w:t xml:space="preserve">the </w:t>
      </w:r>
      <w:r w:rsidRPr="00DF3A36">
        <w:t>harm, to mothers and babies.</w:t>
      </w:r>
    </w:p>
    <w:p w14:paraId="444F2E24" w14:textId="77777777" w:rsidR="00AC0F19" w:rsidRDefault="00AC0F19" w:rsidP="00105396"/>
    <w:p w14:paraId="2CA9F033" w14:textId="77777777" w:rsidR="00AC0F19" w:rsidRDefault="00AC0F19" w:rsidP="00105396">
      <w:r>
        <w:t>The multidisciplinary panel that was established to develop this guideline encountered a range of challenges over the 21 months they worked on the project. Current practice for some common indications for induction, such as diabetes in pregnancy, lacks research evidence to support IOL. Yet, there is similarly no evidence to change to expectant</w:t>
      </w:r>
      <w:r>
        <w:rPr>
          <w:spacing w:val="-10"/>
        </w:rPr>
        <w:t xml:space="preserve"> </w:t>
      </w:r>
      <w:r>
        <w:t>management.</w:t>
      </w:r>
      <w:r>
        <w:rPr>
          <w:spacing w:val="-8"/>
        </w:rPr>
        <w:t xml:space="preserve"> </w:t>
      </w:r>
      <w:r>
        <w:t>Evidence</w:t>
      </w:r>
      <w:r>
        <w:rPr>
          <w:spacing w:val="-9"/>
        </w:rPr>
        <w:t xml:space="preserve"> </w:t>
      </w:r>
      <w:r>
        <w:t>that</w:t>
      </w:r>
      <w:r>
        <w:rPr>
          <w:spacing w:val="-10"/>
        </w:rPr>
        <w:t xml:space="preserve"> </w:t>
      </w:r>
      <w:r>
        <w:t>has</w:t>
      </w:r>
      <w:r>
        <w:rPr>
          <w:spacing w:val="-6"/>
        </w:rPr>
        <w:t xml:space="preserve"> </w:t>
      </w:r>
      <w:r>
        <w:t>been</w:t>
      </w:r>
      <w:r>
        <w:rPr>
          <w:spacing w:val="-9"/>
        </w:rPr>
        <w:t xml:space="preserve"> </w:t>
      </w:r>
      <w:r>
        <w:t>available</w:t>
      </w:r>
      <w:r>
        <w:rPr>
          <w:spacing w:val="-9"/>
        </w:rPr>
        <w:t xml:space="preserve"> </w:t>
      </w:r>
      <w:r>
        <w:t>for</w:t>
      </w:r>
      <w:r>
        <w:rPr>
          <w:spacing w:val="-7"/>
        </w:rPr>
        <w:t xml:space="preserve"> </w:t>
      </w:r>
      <w:r>
        <w:t>a</w:t>
      </w:r>
      <w:r>
        <w:rPr>
          <w:spacing w:val="-10"/>
        </w:rPr>
        <w:t xml:space="preserve"> </w:t>
      </w:r>
      <w:r>
        <w:t>long</w:t>
      </w:r>
      <w:r>
        <w:rPr>
          <w:spacing w:val="-8"/>
        </w:rPr>
        <w:t xml:space="preserve"> </w:t>
      </w:r>
      <w:r>
        <w:t>time,</w:t>
      </w:r>
      <w:r>
        <w:rPr>
          <w:spacing w:val="-8"/>
        </w:rPr>
        <w:t xml:space="preserve"> </w:t>
      </w:r>
      <w:r>
        <w:t>such</w:t>
      </w:r>
      <w:r>
        <w:rPr>
          <w:spacing w:val="-9"/>
        </w:rPr>
        <w:t xml:space="preserve"> </w:t>
      </w:r>
      <w:r>
        <w:t>as</w:t>
      </w:r>
      <w:r>
        <w:rPr>
          <w:spacing w:val="-6"/>
        </w:rPr>
        <w:t xml:space="preserve"> </w:t>
      </w:r>
      <w:r>
        <w:t>offering</w:t>
      </w:r>
      <w:r>
        <w:rPr>
          <w:spacing w:val="-8"/>
        </w:rPr>
        <w:t xml:space="preserve"> </w:t>
      </w:r>
      <w:r>
        <w:t xml:space="preserve">post-dates IOL from </w:t>
      </w:r>
      <w:r w:rsidR="00EB43A9">
        <w:t>41 weeks</w:t>
      </w:r>
      <w:r w:rsidR="00B0606D">
        <w:t>’</w:t>
      </w:r>
      <w:r>
        <w:t xml:space="preserve"> gestation or oral misoprostol for cervical ripening, has not been taken</w:t>
      </w:r>
      <w:r>
        <w:rPr>
          <w:spacing w:val="-8"/>
        </w:rPr>
        <w:t xml:space="preserve"> </w:t>
      </w:r>
      <w:r>
        <w:t>up</w:t>
      </w:r>
      <w:r>
        <w:rPr>
          <w:spacing w:val="-2"/>
        </w:rPr>
        <w:t xml:space="preserve"> </w:t>
      </w:r>
      <w:r>
        <w:t>routinely</w:t>
      </w:r>
      <w:r>
        <w:rPr>
          <w:spacing w:val="-1"/>
        </w:rPr>
        <w:t xml:space="preserve"> </w:t>
      </w:r>
      <w:r>
        <w:t>in</w:t>
      </w:r>
      <w:r>
        <w:rPr>
          <w:spacing w:val="-7"/>
        </w:rPr>
        <w:t xml:space="preserve"> </w:t>
      </w:r>
      <w:r>
        <w:t>New Zealand</w:t>
      </w:r>
      <w:r>
        <w:rPr>
          <w:spacing w:val="-9"/>
        </w:rPr>
        <w:t xml:space="preserve"> </w:t>
      </w:r>
      <w:r>
        <w:t>due</w:t>
      </w:r>
      <w:r>
        <w:rPr>
          <w:spacing w:val="-3"/>
        </w:rPr>
        <w:t xml:space="preserve"> </w:t>
      </w:r>
      <w:r>
        <w:t>to</w:t>
      </w:r>
      <w:r>
        <w:rPr>
          <w:spacing w:val="-1"/>
        </w:rPr>
        <w:t xml:space="preserve"> </w:t>
      </w:r>
      <w:r>
        <w:t>a</w:t>
      </w:r>
      <w:r>
        <w:rPr>
          <w:spacing w:val="-8"/>
        </w:rPr>
        <w:t xml:space="preserve"> </w:t>
      </w:r>
      <w:r>
        <w:t>reluctance</w:t>
      </w:r>
      <w:r>
        <w:rPr>
          <w:spacing w:val="-4"/>
        </w:rPr>
        <w:t xml:space="preserve"> </w:t>
      </w:r>
      <w:r>
        <w:t>to</w:t>
      </w:r>
      <w:r>
        <w:rPr>
          <w:spacing w:val="-7"/>
        </w:rPr>
        <w:t xml:space="preserve"> </w:t>
      </w:r>
      <w:r>
        <w:t>change</w:t>
      </w:r>
      <w:r>
        <w:rPr>
          <w:spacing w:val="-8"/>
        </w:rPr>
        <w:t xml:space="preserve"> </w:t>
      </w:r>
      <w:r>
        <w:t>institutional</w:t>
      </w:r>
      <w:r>
        <w:rPr>
          <w:spacing w:val="-3"/>
        </w:rPr>
        <w:t xml:space="preserve"> </w:t>
      </w:r>
      <w:r>
        <w:t>culture</w:t>
      </w:r>
      <w:r>
        <w:rPr>
          <w:spacing w:val="-8"/>
        </w:rPr>
        <w:t xml:space="preserve"> </w:t>
      </w:r>
      <w:r>
        <w:t>(</w:t>
      </w:r>
      <w:r w:rsidR="00B0606D">
        <w:t>‘</w:t>
      </w:r>
      <w:r>
        <w:t>this</w:t>
      </w:r>
      <w:r>
        <w:rPr>
          <w:spacing w:val="-6"/>
        </w:rPr>
        <w:t xml:space="preserve"> </w:t>
      </w:r>
      <w:r>
        <w:t>is</w:t>
      </w:r>
      <w:r>
        <w:rPr>
          <w:spacing w:val="-5"/>
        </w:rPr>
        <w:t xml:space="preserve"> </w:t>
      </w:r>
      <w:r>
        <w:t>how</w:t>
      </w:r>
      <w:r>
        <w:rPr>
          <w:spacing w:val="-5"/>
        </w:rPr>
        <w:t xml:space="preserve"> </w:t>
      </w:r>
      <w:r>
        <w:t>we</w:t>
      </w:r>
      <w:r>
        <w:rPr>
          <w:spacing w:val="-8"/>
        </w:rPr>
        <w:t xml:space="preserve"> </w:t>
      </w:r>
      <w:r>
        <w:t>have always done things around here</w:t>
      </w:r>
      <w:r w:rsidR="00B0606D">
        <w:t>’</w:t>
      </w:r>
      <w:r>
        <w:t>). Newly published evidence that should</w:t>
      </w:r>
      <w:r>
        <w:rPr>
          <w:spacing w:val="-9"/>
        </w:rPr>
        <w:t xml:space="preserve"> </w:t>
      </w:r>
      <w:r>
        <w:t>lead</w:t>
      </w:r>
      <w:r>
        <w:rPr>
          <w:spacing w:val="-8"/>
        </w:rPr>
        <w:t xml:space="preserve"> </w:t>
      </w:r>
      <w:r>
        <w:t>us</w:t>
      </w:r>
      <w:r>
        <w:rPr>
          <w:spacing w:val="-6"/>
        </w:rPr>
        <w:t xml:space="preserve"> </w:t>
      </w:r>
      <w:r>
        <w:t>to</w:t>
      </w:r>
      <w:r>
        <w:rPr>
          <w:spacing w:val="-3"/>
        </w:rPr>
        <w:t xml:space="preserve"> </w:t>
      </w:r>
      <w:r>
        <w:t>consider</w:t>
      </w:r>
      <w:r>
        <w:rPr>
          <w:spacing w:val="-8"/>
        </w:rPr>
        <w:t xml:space="preserve"> </w:t>
      </w:r>
      <w:r>
        <w:t>adding</w:t>
      </w:r>
      <w:r>
        <w:rPr>
          <w:spacing w:val="-8"/>
        </w:rPr>
        <w:t xml:space="preserve"> </w:t>
      </w:r>
      <w:r>
        <w:t>new</w:t>
      </w:r>
      <w:r>
        <w:rPr>
          <w:spacing w:val="-6"/>
        </w:rPr>
        <w:t xml:space="preserve"> </w:t>
      </w:r>
      <w:r>
        <w:t>indications</w:t>
      </w:r>
      <w:r>
        <w:rPr>
          <w:spacing w:val="-6"/>
        </w:rPr>
        <w:t xml:space="preserve"> </w:t>
      </w:r>
      <w:r>
        <w:t>for</w:t>
      </w:r>
      <w:r>
        <w:rPr>
          <w:spacing w:val="-8"/>
        </w:rPr>
        <w:t xml:space="preserve"> </w:t>
      </w:r>
      <w:r>
        <w:t>IOL,</w:t>
      </w:r>
      <w:r>
        <w:rPr>
          <w:spacing w:val="-8"/>
        </w:rPr>
        <w:t xml:space="preserve"> </w:t>
      </w:r>
      <w:r>
        <w:t>such</w:t>
      </w:r>
      <w:r>
        <w:rPr>
          <w:spacing w:val="-1"/>
        </w:rPr>
        <w:t xml:space="preserve"> </w:t>
      </w:r>
      <w:r>
        <w:t>as</w:t>
      </w:r>
      <w:r>
        <w:rPr>
          <w:spacing w:val="-7"/>
        </w:rPr>
        <w:t xml:space="preserve"> </w:t>
      </w:r>
      <w:r>
        <w:t>macrosomia,</w:t>
      </w:r>
      <w:r>
        <w:rPr>
          <w:spacing w:val="-8"/>
        </w:rPr>
        <w:t xml:space="preserve"> </w:t>
      </w:r>
      <w:r>
        <w:t>is</w:t>
      </w:r>
      <w:r>
        <w:rPr>
          <w:spacing w:val="-6"/>
        </w:rPr>
        <w:t xml:space="preserve"> </w:t>
      </w:r>
      <w:r>
        <w:t>challenging if results of overseas trials cannot be generalised to the New Zealand</w:t>
      </w:r>
      <w:r>
        <w:rPr>
          <w:spacing w:val="-14"/>
        </w:rPr>
        <w:t xml:space="preserve"> </w:t>
      </w:r>
      <w:r>
        <w:t>context.</w:t>
      </w:r>
    </w:p>
    <w:p w14:paraId="0E709532" w14:textId="77777777" w:rsidR="00AC0F19" w:rsidRDefault="00AC0F19" w:rsidP="00105396"/>
    <w:p w14:paraId="10184947" w14:textId="77777777" w:rsidR="00AC0F19" w:rsidRDefault="00AC0F19" w:rsidP="00105396">
      <w:r>
        <w:t xml:space="preserve">The panel provided a range of perspectives, which led to robust discussion, underscoring the importance of consensus building and ensuring we </w:t>
      </w:r>
      <w:r w:rsidR="00B0606D">
        <w:t>‘</w:t>
      </w:r>
      <w:r>
        <w:t>get it right</w:t>
      </w:r>
      <w:r w:rsidR="00B0606D">
        <w:t>’</w:t>
      </w:r>
      <w:r>
        <w:t xml:space="preserve"> in order to facilitate the implementation of this guideline into practice. For example, the panel spent hours on wording. The Guidelines International Network states that recommendations related to interventions should use unambiguous, active language, and guideline developers need to use such terms as </w:t>
      </w:r>
      <w:r w:rsidR="00B0606D">
        <w:t>‘</w:t>
      </w:r>
      <w:r>
        <w:t>should</w:t>
      </w:r>
      <w:r w:rsidR="00B0606D">
        <w:t>’</w:t>
      </w:r>
      <w:r>
        <w:t xml:space="preserve"> or </w:t>
      </w:r>
      <w:r w:rsidR="00B0606D">
        <w:t>‘</w:t>
      </w:r>
      <w:r>
        <w:t>recommend</w:t>
      </w:r>
      <w:r w:rsidR="00B0606D">
        <w:t>’</w:t>
      </w:r>
      <w:r>
        <w:t xml:space="preserve"> and avoid vague phrases such as </w:t>
      </w:r>
      <w:r w:rsidR="00B0606D">
        <w:t>‘</w:t>
      </w:r>
      <w:r>
        <w:t>may</w:t>
      </w:r>
      <w:r w:rsidR="00B0606D">
        <w:t>’</w:t>
      </w:r>
      <w:r>
        <w:t xml:space="preserve">, </w:t>
      </w:r>
      <w:r w:rsidR="00B0606D">
        <w:t>‘</w:t>
      </w:r>
      <w:r>
        <w:t>can</w:t>
      </w:r>
      <w:r w:rsidR="00B0606D">
        <w:t>’</w:t>
      </w:r>
      <w:r>
        <w:t xml:space="preserve"> or </w:t>
      </w:r>
      <w:r w:rsidR="00B0606D">
        <w:t>‘</w:t>
      </w:r>
      <w:r>
        <w:t>consider</w:t>
      </w:r>
      <w:r w:rsidR="00B0606D">
        <w:t>’</w:t>
      </w:r>
      <w:r>
        <w:t xml:space="preserve"> (</w:t>
      </w:r>
      <w:proofErr w:type="spellStart"/>
      <w:r>
        <w:t>Qaseem</w:t>
      </w:r>
      <w:proofErr w:type="spellEnd"/>
      <w:r>
        <w:t xml:space="preserve"> </w:t>
      </w:r>
      <w:r w:rsidR="000F3C98">
        <w:t>et al</w:t>
      </w:r>
      <w:r>
        <w:t xml:space="preserve"> 2012). Yet, the panel felt that the term </w:t>
      </w:r>
      <w:r w:rsidR="00B0606D">
        <w:t>‘</w:t>
      </w:r>
      <w:r>
        <w:t>offer</w:t>
      </w:r>
      <w:r w:rsidR="00B0606D">
        <w:t>’</w:t>
      </w:r>
      <w:r>
        <w:t xml:space="preserve"> conveyed a recommendation, in that it wouldn</w:t>
      </w:r>
      <w:r w:rsidR="00B0606D">
        <w:t>’</w:t>
      </w:r>
      <w:r>
        <w:t>t offer an IOL unless it recommended it.</w:t>
      </w:r>
    </w:p>
    <w:p w14:paraId="0EBFDF6B" w14:textId="77777777" w:rsidR="00AC0F19" w:rsidRDefault="00AC0F19" w:rsidP="00105396"/>
    <w:p w14:paraId="71EACF4E" w14:textId="77777777" w:rsidR="00AC0F19" w:rsidRDefault="00AC0F19" w:rsidP="00105396">
      <w:r>
        <w:t>In the end, an offer is just that, an offer. IOL decisions are value laden, reflecting individual ideology and preferences. Clinicians need to support women to make informed and shared decisions about their care. In the ideal situation, there is a three-way discussion between the woman, their lead maternity carer (LMC) and the obstetrician. However, the current reality is of two-way</w:t>
      </w:r>
      <w:r>
        <w:rPr>
          <w:spacing w:val="-40"/>
        </w:rPr>
        <w:t xml:space="preserve"> </w:t>
      </w:r>
      <w:r>
        <w:t>conversations and</w:t>
      </w:r>
      <w:r>
        <w:rPr>
          <w:spacing w:val="-17"/>
        </w:rPr>
        <w:t xml:space="preserve"> </w:t>
      </w:r>
      <w:r>
        <w:t>virtual</w:t>
      </w:r>
      <w:r>
        <w:rPr>
          <w:spacing w:val="-13"/>
        </w:rPr>
        <w:t xml:space="preserve"> </w:t>
      </w:r>
      <w:r>
        <w:t>pathways</w:t>
      </w:r>
      <w:r>
        <w:rPr>
          <w:spacing w:val="-15"/>
        </w:rPr>
        <w:t xml:space="preserve"> </w:t>
      </w:r>
      <w:r>
        <w:t>of</w:t>
      </w:r>
      <w:r>
        <w:rPr>
          <w:spacing w:val="-12"/>
        </w:rPr>
        <w:t xml:space="preserve"> </w:t>
      </w:r>
      <w:r>
        <w:t>care.</w:t>
      </w:r>
      <w:r>
        <w:rPr>
          <w:spacing w:val="-17"/>
        </w:rPr>
        <w:t xml:space="preserve"> </w:t>
      </w:r>
      <w:r>
        <w:t>In</w:t>
      </w:r>
      <w:r>
        <w:rPr>
          <w:spacing w:val="-11"/>
        </w:rPr>
        <w:t xml:space="preserve"> </w:t>
      </w:r>
      <w:r>
        <w:t>a</w:t>
      </w:r>
      <w:r>
        <w:rPr>
          <w:spacing w:val="-18"/>
        </w:rPr>
        <w:t xml:space="preserve"> </w:t>
      </w:r>
      <w:r>
        <w:t>shared</w:t>
      </w:r>
      <w:r>
        <w:rPr>
          <w:spacing w:val="-17"/>
        </w:rPr>
        <w:t xml:space="preserve"> </w:t>
      </w:r>
      <w:r>
        <w:t>decision-making</w:t>
      </w:r>
      <w:r>
        <w:rPr>
          <w:spacing w:val="-17"/>
        </w:rPr>
        <w:t xml:space="preserve"> </w:t>
      </w:r>
      <w:r>
        <w:t>model,</w:t>
      </w:r>
      <w:r>
        <w:rPr>
          <w:spacing w:val="-12"/>
        </w:rPr>
        <w:t xml:space="preserve"> </w:t>
      </w:r>
      <w:r>
        <w:t>information</w:t>
      </w:r>
      <w:r>
        <w:rPr>
          <w:spacing w:val="-11"/>
        </w:rPr>
        <w:t xml:space="preserve"> </w:t>
      </w:r>
      <w:r>
        <w:t>is</w:t>
      </w:r>
      <w:r>
        <w:rPr>
          <w:spacing w:val="-15"/>
        </w:rPr>
        <w:t xml:space="preserve"> </w:t>
      </w:r>
      <w:r>
        <w:t>provided</w:t>
      </w:r>
      <w:r>
        <w:rPr>
          <w:spacing w:val="-12"/>
        </w:rPr>
        <w:t xml:space="preserve"> </w:t>
      </w:r>
      <w:r>
        <w:t xml:space="preserve">about the different options of IOL and expectant management, preferences are discussed, and decisions are made about what is best for the woman (Elwyn </w:t>
      </w:r>
      <w:r w:rsidR="000F3C98">
        <w:t>et al</w:t>
      </w:r>
      <w:r>
        <w:t xml:space="preserve"> 2010). The panel hopes to develop a decision aid to support this</w:t>
      </w:r>
      <w:r>
        <w:rPr>
          <w:spacing w:val="-2"/>
        </w:rPr>
        <w:t xml:space="preserve"> </w:t>
      </w:r>
      <w:r>
        <w:t>process.</w:t>
      </w:r>
    </w:p>
    <w:p w14:paraId="581FCF75" w14:textId="77777777" w:rsidR="00AC0F19" w:rsidRDefault="00AC0F19" w:rsidP="00105396"/>
    <w:p w14:paraId="5766998A" w14:textId="77777777" w:rsidR="00AC0F19" w:rsidRDefault="00AC0F19" w:rsidP="00105396">
      <w:pPr>
        <w:keepLines/>
      </w:pPr>
      <w:r>
        <w:lastRenderedPageBreak/>
        <w:t>The majority of studies reviewed provided moderate-quality evidence of the benefits of IOL,</w:t>
      </w:r>
      <w:r>
        <w:rPr>
          <w:spacing w:val="-35"/>
        </w:rPr>
        <w:t xml:space="preserve"> </w:t>
      </w:r>
      <w:r>
        <w:t>with no short-term harms. In particular, every randomised controlled trial (RCT) found women in the IOL group had lower or no difference in risk of caesarean section compared with women managed expectantly. This is not consistent with what is seen day to day. However, it is consistent across all studies for all indications in all countries. This underlies the importance of limiting IOL to those indications that have high-quality evidence and not extrapolate to clinical conditions for which IOL is not</w:t>
      </w:r>
      <w:r>
        <w:rPr>
          <w:spacing w:val="3"/>
        </w:rPr>
        <w:t xml:space="preserve"> </w:t>
      </w:r>
      <w:r>
        <w:t>evidence based.</w:t>
      </w:r>
    </w:p>
    <w:p w14:paraId="161D1B67" w14:textId="77777777" w:rsidR="00AC0F19" w:rsidRDefault="00AC0F19" w:rsidP="00105396"/>
    <w:p w14:paraId="75B0F0D7" w14:textId="77777777" w:rsidR="00AC0F19" w:rsidRDefault="00AC0F19" w:rsidP="00105396">
      <w:r>
        <w:t xml:space="preserve">That being said, most studies did not measure long-term outcomes for mothers and babies. Moreover, some studies of IOL </w:t>
      </w:r>
      <w:r>
        <w:rPr>
          <w:spacing w:val="-2"/>
        </w:rPr>
        <w:t xml:space="preserve">being </w:t>
      </w:r>
      <w:r>
        <w:t xml:space="preserve">offered under </w:t>
      </w:r>
      <w:r w:rsidR="00EB43A9">
        <w:t>39 weeks</w:t>
      </w:r>
      <w:r w:rsidR="00B0606D">
        <w:t>’</w:t>
      </w:r>
      <w:r>
        <w:t xml:space="preserve"> gestation found some short-term neonatal risks, such as respiratory distress syndrome and admission to neonatal intensive care. A review of evidence on planned birth under </w:t>
      </w:r>
      <w:r w:rsidR="00EB43A9">
        <w:t>39 weeks</w:t>
      </w:r>
      <w:r w:rsidR="00B0606D">
        <w:t>’</w:t>
      </w:r>
      <w:r>
        <w:t xml:space="preserve"> gestation revealed increased</w:t>
      </w:r>
      <w:r>
        <w:rPr>
          <w:spacing w:val="-14"/>
        </w:rPr>
        <w:t xml:space="preserve"> </w:t>
      </w:r>
      <w:r>
        <w:t>short-</w:t>
      </w:r>
      <w:r>
        <w:rPr>
          <w:spacing w:val="-13"/>
        </w:rPr>
        <w:t xml:space="preserve"> </w:t>
      </w:r>
      <w:r>
        <w:t>and</w:t>
      </w:r>
      <w:r>
        <w:rPr>
          <w:spacing w:val="-14"/>
        </w:rPr>
        <w:t xml:space="preserve"> </w:t>
      </w:r>
      <w:r>
        <w:t>long-term</w:t>
      </w:r>
      <w:r>
        <w:rPr>
          <w:spacing w:val="-15"/>
        </w:rPr>
        <w:t xml:space="preserve"> </w:t>
      </w:r>
      <w:r>
        <w:t>neonatal</w:t>
      </w:r>
      <w:r>
        <w:rPr>
          <w:spacing w:val="-14"/>
        </w:rPr>
        <w:t xml:space="preserve"> </w:t>
      </w:r>
      <w:r>
        <w:t>risk</w:t>
      </w:r>
      <w:r>
        <w:rPr>
          <w:spacing w:val="-12"/>
        </w:rPr>
        <w:t xml:space="preserve"> </w:t>
      </w:r>
      <w:r>
        <w:t>compared</w:t>
      </w:r>
      <w:r>
        <w:rPr>
          <w:spacing w:val="-14"/>
        </w:rPr>
        <w:t xml:space="preserve"> </w:t>
      </w:r>
      <w:r>
        <w:t>with</w:t>
      </w:r>
      <w:r>
        <w:rPr>
          <w:spacing w:val="-14"/>
        </w:rPr>
        <w:t xml:space="preserve"> </w:t>
      </w:r>
      <w:r>
        <w:t>waiting</w:t>
      </w:r>
      <w:r>
        <w:rPr>
          <w:spacing w:val="-14"/>
        </w:rPr>
        <w:t xml:space="preserve"> </w:t>
      </w:r>
      <w:r>
        <w:t>until</w:t>
      </w:r>
      <w:r>
        <w:rPr>
          <w:spacing w:val="-15"/>
        </w:rPr>
        <w:t xml:space="preserve"> </w:t>
      </w:r>
      <w:r w:rsidR="00EB43A9">
        <w:t>39 weeks</w:t>
      </w:r>
      <w:r w:rsidR="00B0606D">
        <w:t>’</w:t>
      </w:r>
      <w:r>
        <w:rPr>
          <w:spacing w:val="-13"/>
        </w:rPr>
        <w:t xml:space="preserve"> </w:t>
      </w:r>
      <w:r>
        <w:t xml:space="preserve">gestation or longer. The panel agreed that, in the absence of high-quality evidence, we should not offer IOL under </w:t>
      </w:r>
      <w:r w:rsidR="00EB43A9">
        <w:t>39 weeks</w:t>
      </w:r>
      <w:r w:rsidR="00B0606D">
        <w:t>’</w:t>
      </w:r>
      <w:r>
        <w:t xml:space="preserve"> gestation – early term is not the same as full term.</w:t>
      </w:r>
    </w:p>
    <w:p w14:paraId="201471AD" w14:textId="77777777" w:rsidR="00AC0F19" w:rsidRDefault="00AC0F19" w:rsidP="00105396"/>
    <w:p w14:paraId="4B59C034" w14:textId="77777777" w:rsidR="00AC0F19" w:rsidRDefault="00AC0F19" w:rsidP="00105396">
      <w:r>
        <w:t>The</w:t>
      </w:r>
      <w:r>
        <w:rPr>
          <w:spacing w:val="-10"/>
        </w:rPr>
        <w:t xml:space="preserve"> </w:t>
      </w:r>
      <w:r>
        <w:t>experience</w:t>
      </w:r>
      <w:r>
        <w:rPr>
          <w:spacing w:val="-9"/>
        </w:rPr>
        <w:t xml:space="preserve"> </w:t>
      </w:r>
      <w:r>
        <w:t>of</w:t>
      </w:r>
      <w:r>
        <w:rPr>
          <w:spacing w:val="-8"/>
        </w:rPr>
        <w:t xml:space="preserve"> </w:t>
      </w:r>
      <w:r>
        <w:t>an</w:t>
      </w:r>
      <w:r>
        <w:rPr>
          <w:spacing w:val="-8"/>
        </w:rPr>
        <w:t xml:space="preserve"> </w:t>
      </w:r>
      <w:r>
        <w:t>IOL</w:t>
      </w:r>
      <w:r>
        <w:rPr>
          <w:spacing w:val="-9"/>
        </w:rPr>
        <w:t xml:space="preserve"> </w:t>
      </w:r>
      <w:r>
        <w:t>in</w:t>
      </w:r>
      <w:r>
        <w:rPr>
          <w:spacing w:val="-9"/>
        </w:rPr>
        <w:t xml:space="preserve"> </w:t>
      </w:r>
      <w:r>
        <w:t>itself</w:t>
      </w:r>
      <w:r>
        <w:rPr>
          <w:spacing w:val="-8"/>
        </w:rPr>
        <w:t xml:space="preserve"> </w:t>
      </w:r>
      <w:r>
        <w:t>is another</w:t>
      </w:r>
      <w:r>
        <w:rPr>
          <w:spacing w:val="-10"/>
        </w:rPr>
        <w:t xml:space="preserve"> </w:t>
      </w:r>
      <w:r>
        <w:t>consideration.</w:t>
      </w:r>
      <w:r>
        <w:rPr>
          <w:spacing w:val="-9"/>
        </w:rPr>
        <w:t xml:space="preserve"> </w:t>
      </w:r>
      <w:r>
        <w:t>It</w:t>
      </w:r>
      <w:r>
        <w:rPr>
          <w:spacing w:val="-9"/>
        </w:rPr>
        <w:t xml:space="preserve"> </w:t>
      </w:r>
      <w:r>
        <w:t>is</w:t>
      </w:r>
      <w:r>
        <w:rPr>
          <w:spacing w:val="-7"/>
        </w:rPr>
        <w:t xml:space="preserve"> </w:t>
      </w:r>
      <w:r>
        <w:t>a</w:t>
      </w:r>
      <w:r>
        <w:rPr>
          <w:spacing w:val="-9"/>
        </w:rPr>
        <w:t xml:space="preserve"> </w:t>
      </w:r>
      <w:r>
        <w:t>medical</w:t>
      </w:r>
      <w:r>
        <w:rPr>
          <w:spacing w:val="-10"/>
        </w:rPr>
        <w:t xml:space="preserve"> </w:t>
      </w:r>
      <w:r>
        <w:t>intervention</w:t>
      </w:r>
      <w:r>
        <w:rPr>
          <w:spacing w:val="-8"/>
        </w:rPr>
        <w:t xml:space="preserve"> </w:t>
      </w:r>
      <w:r>
        <w:t>and does have an impact on choice of place of birth, time spent in hospital, experience of pain, continuity</w:t>
      </w:r>
      <w:r>
        <w:rPr>
          <w:spacing w:val="-9"/>
        </w:rPr>
        <w:t xml:space="preserve"> </w:t>
      </w:r>
      <w:r>
        <w:t>of</w:t>
      </w:r>
      <w:r>
        <w:rPr>
          <w:spacing w:val="-8"/>
        </w:rPr>
        <w:t xml:space="preserve"> </w:t>
      </w:r>
      <w:r>
        <w:t>care</w:t>
      </w:r>
      <w:r>
        <w:rPr>
          <w:spacing w:val="-8"/>
        </w:rPr>
        <w:t xml:space="preserve"> </w:t>
      </w:r>
      <w:r>
        <w:t>and</w:t>
      </w:r>
      <w:r>
        <w:rPr>
          <w:spacing w:val="-8"/>
        </w:rPr>
        <w:t xml:space="preserve"> </w:t>
      </w:r>
      <w:r>
        <w:t>emotional</w:t>
      </w:r>
      <w:r>
        <w:rPr>
          <w:spacing w:val="-10"/>
        </w:rPr>
        <w:t xml:space="preserve"> </w:t>
      </w:r>
      <w:r>
        <w:t>wellbeing.</w:t>
      </w:r>
      <w:r>
        <w:rPr>
          <w:spacing w:val="-8"/>
        </w:rPr>
        <w:t xml:space="preserve"> </w:t>
      </w:r>
      <w:r>
        <w:t>It</w:t>
      </w:r>
      <w:r>
        <w:rPr>
          <w:spacing w:val="-10"/>
        </w:rPr>
        <w:t xml:space="preserve"> </w:t>
      </w:r>
      <w:r>
        <w:t>is</w:t>
      </w:r>
      <w:r>
        <w:rPr>
          <w:spacing w:val="-6"/>
        </w:rPr>
        <w:t xml:space="preserve"> </w:t>
      </w:r>
      <w:r>
        <w:t>thus</w:t>
      </w:r>
      <w:r>
        <w:rPr>
          <w:spacing w:val="-7"/>
        </w:rPr>
        <w:t xml:space="preserve"> </w:t>
      </w:r>
      <w:r>
        <w:t>important</w:t>
      </w:r>
      <w:r>
        <w:rPr>
          <w:spacing w:val="-9"/>
        </w:rPr>
        <w:t xml:space="preserve"> </w:t>
      </w:r>
      <w:r>
        <w:t>to</w:t>
      </w:r>
      <w:r>
        <w:rPr>
          <w:spacing w:val="-9"/>
        </w:rPr>
        <w:t xml:space="preserve"> </w:t>
      </w:r>
      <w:r>
        <w:t>ensure</w:t>
      </w:r>
      <w:r>
        <w:rPr>
          <w:spacing w:val="-9"/>
        </w:rPr>
        <w:t xml:space="preserve"> </w:t>
      </w:r>
      <w:r>
        <w:t>that</w:t>
      </w:r>
      <w:r>
        <w:rPr>
          <w:spacing w:val="-10"/>
        </w:rPr>
        <w:t xml:space="preserve"> </w:t>
      </w:r>
      <w:r>
        <w:t>every</w:t>
      </w:r>
      <w:r>
        <w:rPr>
          <w:spacing w:val="-7"/>
        </w:rPr>
        <w:t xml:space="preserve"> </w:t>
      </w:r>
      <w:r>
        <w:t>induction is necessary.</w:t>
      </w:r>
    </w:p>
    <w:p w14:paraId="4D2F7A3C" w14:textId="77777777" w:rsidR="00AC0F19" w:rsidRDefault="00AC0F19" w:rsidP="00105396"/>
    <w:p w14:paraId="3171267D" w14:textId="77777777" w:rsidR="00AC0F19" w:rsidRDefault="00AC0F19" w:rsidP="00105396">
      <w:r>
        <w:t xml:space="preserve">Publishing a guideline does not guarantee its uptake. A Cochrane review (Chen </w:t>
      </w:r>
      <w:r w:rsidR="000F3C98">
        <w:t>et al</w:t>
      </w:r>
      <w:r>
        <w:t xml:space="preserve"> 2018) found high-quality evidence of non-clinical interventions targeted at health care professionals that reduced</w:t>
      </w:r>
      <w:r>
        <w:rPr>
          <w:spacing w:val="-14"/>
        </w:rPr>
        <w:t xml:space="preserve"> </w:t>
      </w:r>
      <w:r>
        <w:t>unnecessary</w:t>
      </w:r>
      <w:r>
        <w:rPr>
          <w:spacing w:val="-13"/>
        </w:rPr>
        <w:t xml:space="preserve"> </w:t>
      </w:r>
      <w:r>
        <w:t>caesarean section:</w:t>
      </w:r>
      <w:r>
        <w:rPr>
          <w:spacing w:val="-14"/>
        </w:rPr>
        <w:t xml:space="preserve"> </w:t>
      </w:r>
      <w:r>
        <w:t>implementation</w:t>
      </w:r>
      <w:r>
        <w:rPr>
          <w:spacing w:val="-13"/>
        </w:rPr>
        <w:t xml:space="preserve"> </w:t>
      </w:r>
      <w:r>
        <w:t>of</w:t>
      </w:r>
      <w:r>
        <w:rPr>
          <w:spacing w:val="-8"/>
        </w:rPr>
        <w:t xml:space="preserve"> </w:t>
      </w:r>
      <w:r>
        <w:t>clinical</w:t>
      </w:r>
      <w:r>
        <w:rPr>
          <w:spacing w:val="-15"/>
        </w:rPr>
        <w:t xml:space="preserve"> </w:t>
      </w:r>
      <w:r>
        <w:t>practice</w:t>
      </w:r>
      <w:r>
        <w:rPr>
          <w:spacing w:val="-14"/>
        </w:rPr>
        <w:t xml:space="preserve"> </w:t>
      </w:r>
      <w:r>
        <w:t>guidelines</w:t>
      </w:r>
      <w:r>
        <w:rPr>
          <w:spacing w:val="-12"/>
        </w:rPr>
        <w:t xml:space="preserve"> </w:t>
      </w:r>
      <w:r>
        <w:t>with</w:t>
      </w:r>
      <w:r>
        <w:rPr>
          <w:spacing w:val="-14"/>
        </w:rPr>
        <w:t xml:space="preserve"> </w:t>
      </w:r>
      <w:r>
        <w:t>mandatory secondary</w:t>
      </w:r>
      <w:r>
        <w:rPr>
          <w:sz w:val="16"/>
        </w:rPr>
        <w:t xml:space="preserve"> </w:t>
      </w:r>
      <w:r>
        <w:t>opinion for caesarean section indication, implementation of clinical</w:t>
      </w:r>
      <w:r>
        <w:rPr>
          <w:spacing w:val="-15"/>
        </w:rPr>
        <w:t xml:space="preserve"> </w:t>
      </w:r>
      <w:r>
        <w:t>practice</w:t>
      </w:r>
      <w:r>
        <w:rPr>
          <w:spacing w:val="-14"/>
        </w:rPr>
        <w:t xml:space="preserve"> </w:t>
      </w:r>
      <w:r>
        <w:t>guidelines combined with audit and feedback, and physician education by local opinion leaders. The panel encourages maternity services to develop local systems to promote these interventions for reducing unnecessary IOL. For example, they could develop an IOL request form that aligns with the guidelines so that if the IOL were not guideline-based, then it would require a second</w:t>
      </w:r>
      <w:r>
        <w:rPr>
          <w:sz w:val="16"/>
        </w:rPr>
        <w:t xml:space="preserve"> </w:t>
      </w:r>
      <w:r>
        <w:t>opinion before being booked. This would drive best practice and may result in less</w:t>
      </w:r>
      <w:r>
        <w:rPr>
          <w:spacing w:val="4"/>
        </w:rPr>
        <w:t xml:space="preserve"> </w:t>
      </w:r>
      <w:r>
        <w:t>variation.</w:t>
      </w:r>
    </w:p>
    <w:p w14:paraId="5CDE6951" w14:textId="77777777" w:rsidR="00AC0F19" w:rsidRDefault="00AC0F19" w:rsidP="00105396"/>
    <w:p w14:paraId="5B7B3572" w14:textId="77777777" w:rsidR="00B0606D" w:rsidRDefault="00AC0F19" w:rsidP="00105396">
      <w:r>
        <w:t>I would like to sincerely thank the 15 panel members for their time, thoughtful consideration and respectful discussion during the development of this guideline.</w:t>
      </w:r>
    </w:p>
    <w:p w14:paraId="20BE3B45" w14:textId="77777777" w:rsidR="00AC0F19" w:rsidRDefault="00AC0F19" w:rsidP="00105396"/>
    <w:p w14:paraId="3CF48C46" w14:textId="77777777" w:rsidR="00AC0F19" w:rsidRDefault="00AC0F19" w:rsidP="00105396">
      <w:r>
        <w:t>Dr Michelle Wise</w:t>
      </w:r>
    </w:p>
    <w:p w14:paraId="0CB63AD7" w14:textId="77777777" w:rsidR="00AC0F19" w:rsidRDefault="00AC0F19" w:rsidP="00105396">
      <w:r>
        <w:t>Senior Lecturer</w:t>
      </w:r>
    </w:p>
    <w:p w14:paraId="45FC02AD" w14:textId="77777777" w:rsidR="00AC0F19" w:rsidRDefault="00AC0F19" w:rsidP="00105396">
      <w:r>
        <w:t>Department of Obstetrics and Gynaecology, Faculty of Medical and Health Sciences, University of Auckland</w:t>
      </w:r>
    </w:p>
    <w:p w14:paraId="6FFF8601" w14:textId="77777777" w:rsidR="00105396" w:rsidRDefault="00105396" w:rsidP="00105396"/>
    <w:p w14:paraId="38C4C86E" w14:textId="77777777" w:rsidR="00AC0F19" w:rsidRDefault="00AC0F19" w:rsidP="002452D5">
      <w:pPr>
        <w:pStyle w:val="Heading1-notnumbered"/>
      </w:pPr>
      <w:bookmarkStart w:id="13" w:name="Scope_and_purpose_of_the_guideline"/>
      <w:bookmarkStart w:id="14" w:name="_bookmark6"/>
      <w:bookmarkStart w:id="15" w:name="_Toc75787958"/>
      <w:bookmarkEnd w:id="13"/>
      <w:bookmarkEnd w:id="14"/>
      <w:r>
        <w:lastRenderedPageBreak/>
        <w:t xml:space="preserve">Purpose and </w:t>
      </w:r>
      <w:r w:rsidRPr="002154AF">
        <w:t>scope</w:t>
      </w:r>
      <w:r>
        <w:t xml:space="preserve"> of the guideline</w:t>
      </w:r>
      <w:bookmarkEnd w:id="15"/>
    </w:p>
    <w:p w14:paraId="7049E55F" w14:textId="77777777" w:rsidR="00AC0F19" w:rsidRDefault="00AC0F19" w:rsidP="00A60020">
      <w:pPr>
        <w:pStyle w:val="Heading2"/>
      </w:pPr>
      <w:bookmarkStart w:id="16" w:name="Purpose"/>
      <w:bookmarkStart w:id="17" w:name="_bookmark7"/>
      <w:bookmarkStart w:id="18" w:name="_Toc75787959"/>
      <w:bookmarkEnd w:id="16"/>
      <w:bookmarkEnd w:id="17"/>
      <w:r w:rsidRPr="002154AF">
        <w:t>Purpose</w:t>
      </w:r>
      <w:bookmarkEnd w:id="18"/>
    </w:p>
    <w:p w14:paraId="5DF15D4E" w14:textId="77777777" w:rsidR="00AC0F19" w:rsidRPr="002154AF" w:rsidRDefault="00AC0F19" w:rsidP="00A60020">
      <w:r w:rsidRPr="002154AF">
        <w:t>The purpose of this guideline is to provide a summary of the research evidence to support clinical decision-making and consistency of practice for induction of labour (IOL) at 37</w:t>
      </w:r>
      <w:r>
        <w:t>+0</w:t>
      </w:r>
      <w:r w:rsidRPr="002154AF">
        <w:t xml:space="preserve"> weeks</w:t>
      </w:r>
      <w:r w:rsidR="00B0606D">
        <w:t>’</w:t>
      </w:r>
      <w:r w:rsidRPr="002154AF">
        <w:t xml:space="preserve"> gestation or more, in the New Zealand context.</w:t>
      </w:r>
      <w:r w:rsidRPr="002A68A1">
        <w:t xml:space="preserve"> </w:t>
      </w:r>
      <w:r>
        <w:t xml:space="preserve">It aims </w:t>
      </w:r>
      <w:r w:rsidRPr="002154AF">
        <w:t>to support shared decision-making within an evidence-based supportive framework.</w:t>
      </w:r>
    </w:p>
    <w:p w14:paraId="0F95537A" w14:textId="77777777" w:rsidR="00AC0F19" w:rsidRPr="002154AF" w:rsidRDefault="00AC0F19" w:rsidP="00A60020"/>
    <w:p w14:paraId="6EB03680" w14:textId="77777777" w:rsidR="00AC0F19" w:rsidRPr="002154AF" w:rsidRDefault="00AC0F19" w:rsidP="00A60020">
      <w:r w:rsidRPr="002154AF">
        <w:t>Th</w:t>
      </w:r>
      <w:r>
        <w:t>e</w:t>
      </w:r>
      <w:r w:rsidRPr="002154AF">
        <w:t xml:space="preserve"> guideline has identified the most recent research evidence for some common potential clinical indications for IOL. An appropriate IOL is where evidence shows that</w:t>
      </w:r>
      <w:r>
        <w:t xml:space="preserve"> the</w:t>
      </w:r>
      <w:r w:rsidRPr="002154AF">
        <w:t xml:space="preserve"> benefit to </w:t>
      </w:r>
      <w:r>
        <w:t xml:space="preserve">the </w:t>
      </w:r>
      <w:r w:rsidRPr="002154AF">
        <w:t>mother and/or baby outweighs the risk.</w:t>
      </w:r>
    </w:p>
    <w:p w14:paraId="7927BBC4" w14:textId="77777777" w:rsidR="00AC0F19" w:rsidRPr="002154AF" w:rsidRDefault="00AC0F19" w:rsidP="00A60020"/>
    <w:p w14:paraId="045B445E" w14:textId="77777777" w:rsidR="00AC0F19" w:rsidRDefault="00AC0F19" w:rsidP="00A60020">
      <w:pPr>
        <w:pStyle w:val="Heading2"/>
      </w:pPr>
      <w:bookmarkStart w:id="19" w:name="Definitions"/>
      <w:bookmarkStart w:id="20" w:name="_bookmark8"/>
      <w:bookmarkStart w:id="21" w:name="_Toc75787960"/>
      <w:bookmarkEnd w:id="19"/>
      <w:bookmarkEnd w:id="20"/>
      <w:r w:rsidRPr="002154AF">
        <w:t>Definition</w:t>
      </w:r>
      <w:r>
        <w:t xml:space="preserve"> of induction of labour</w:t>
      </w:r>
      <w:bookmarkEnd w:id="21"/>
    </w:p>
    <w:p w14:paraId="3C5A8EDC" w14:textId="77777777" w:rsidR="00AC0F19" w:rsidRPr="002154AF" w:rsidRDefault="00AC0F19" w:rsidP="00A60020">
      <w:r w:rsidRPr="002154AF">
        <w:t xml:space="preserve">IOL is </w:t>
      </w:r>
      <w:r>
        <w:t xml:space="preserve">commonly </w:t>
      </w:r>
      <w:r w:rsidRPr="002154AF">
        <w:t>defined as the artificial initiation of labour (NICE 2008). The alternative is expectant management of the pregnancy</w:t>
      </w:r>
      <w:r>
        <w:t>,</w:t>
      </w:r>
      <w:r w:rsidRPr="002154AF">
        <w:t xml:space="preserve"> where spontaneous labour is awaited.</w:t>
      </w:r>
    </w:p>
    <w:p w14:paraId="7927570C" w14:textId="77777777" w:rsidR="00AC0F19" w:rsidRPr="002154AF" w:rsidRDefault="00AC0F19" w:rsidP="00A60020"/>
    <w:p w14:paraId="75437259" w14:textId="77777777" w:rsidR="00AC0F19" w:rsidRPr="002154AF" w:rsidRDefault="00AC0F19" w:rsidP="00A60020">
      <w:r w:rsidRPr="002154AF">
        <w:t xml:space="preserve">This guideline focuses on IOL at term. We acknowledge that </w:t>
      </w:r>
      <w:r w:rsidR="00B0606D">
        <w:t>‘</w:t>
      </w:r>
      <w:r w:rsidRPr="002154AF">
        <w:t>at term</w:t>
      </w:r>
      <w:r w:rsidR="00B0606D">
        <w:t>’</w:t>
      </w:r>
      <w:r w:rsidRPr="002154AF">
        <w:t xml:space="preserve"> is a concept </w:t>
      </w:r>
      <w:r>
        <w:t xml:space="preserve">that does </w:t>
      </w:r>
      <w:r w:rsidRPr="002154AF">
        <w:t xml:space="preserve">not </w:t>
      </w:r>
      <w:r>
        <w:t xml:space="preserve">have </w:t>
      </w:r>
      <w:r w:rsidRPr="002154AF">
        <w:t>a common understanding and agree</w:t>
      </w:r>
      <w:r>
        <w:t>d</w:t>
      </w:r>
      <w:r w:rsidRPr="002154AF">
        <w:t xml:space="preserve"> definition. </w:t>
      </w:r>
      <w:r>
        <w:t xml:space="preserve">It </w:t>
      </w:r>
      <w:r w:rsidRPr="002154AF">
        <w:t xml:space="preserve">covers a period of around five weeks, and human gestational length varies considerably. For the purposes of this guideline, </w:t>
      </w:r>
      <w:r w:rsidR="00B0606D">
        <w:t>‘</w:t>
      </w:r>
      <w:r w:rsidRPr="002154AF">
        <w:t>at term</w:t>
      </w:r>
      <w:r w:rsidR="00B0606D">
        <w:t>’</w:t>
      </w:r>
      <w:r w:rsidRPr="002154AF">
        <w:t xml:space="preserve"> is defined as 37+0 or more weeks</w:t>
      </w:r>
      <w:r w:rsidR="00B0606D">
        <w:t>’</w:t>
      </w:r>
      <w:r w:rsidRPr="002154AF">
        <w:t xml:space="preserve"> gestation.</w:t>
      </w:r>
    </w:p>
    <w:p w14:paraId="3786BE70" w14:textId="77777777" w:rsidR="00AC0F19" w:rsidRPr="002154AF" w:rsidRDefault="00AC0F19" w:rsidP="00A60020"/>
    <w:p w14:paraId="47449D23" w14:textId="77777777" w:rsidR="00AC0F19" w:rsidRDefault="00AC0F19" w:rsidP="00A60020">
      <w:pPr>
        <w:pStyle w:val="Heading2"/>
      </w:pPr>
      <w:bookmarkStart w:id="22" w:name="The_need_for_the_guideline"/>
      <w:bookmarkStart w:id="23" w:name="_bookmark9"/>
      <w:bookmarkStart w:id="24" w:name="_Toc75787961"/>
      <w:bookmarkEnd w:id="22"/>
      <w:bookmarkEnd w:id="23"/>
      <w:r>
        <w:t xml:space="preserve">The need for </w:t>
      </w:r>
      <w:r w:rsidRPr="002154AF">
        <w:t>the</w:t>
      </w:r>
      <w:r>
        <w:t xml:space="preserve"> guideline</w:t>
      </w:r>
      <w:bookmarkEnd w:id="24"/>
    </w:p>
    <w:p w14:paraId="2E4D2860" w14:textId="77777777" w:rsidR="00AC0F19" w:rsidRDefault="00AC0F19" w:rsidP="00A60020">
      <w:r>
        <w:t>In</w:t>
      </w:r>
      <w:r>
        <w:rPr>
          <w:spacing w:val="-7"/>
        </w:rPr>
        <w:t xml:space="preserve"> </w:t>
      </w:r>
      <w:r>
        <w:t>New Zealand,</w:t>
      </w:r>
      <w:r>
        <w:rPr>
          <w:spacing w:val="-8"/>
        </w:rPr>
        <w:t xml:space="preserve"> </w:t>
      </w:r>
      <w:r>
        <w:t>the</w:t>
      </w:r>
      <w:r>
        <w:rPr>
          <w:spacing w:val="-4"/>
        </w:rPr>
        <w:t xml:space="preserve"> </w:t>
      </w:r>
      <w:r>
        <w:t>proportion</w:t>
      </w:r>
      <w:r>
        <w:rPr>
          <w:spacing w:val="-3"/>
        </w:rPr>
        <w:t xml:space="preserve"> </w:t>
      </w:r>
      <w:r>
        <w:t>of</w:t>
      </w:r>
      <w:r>
        <w:rPr>
          <w:spacing w:val="-7"/>
        </w:rPr>
        <w:t xml:space="preserve"> </w:t>
      </w:r>
      <w:r>
        <w:t>women</w:t>
      </w:r>
      <w:r>
        <w:rPr>
          <w:spacing w:val="-8"/>
        </w:rPr>
        <w:t xml:space="preserve"> </w:t>
      </w:r>
      <w:r>
        <w:t>who</w:t>
      </w:r>
      <w:r>
        <w:rPr>
          <w:spacing w:val="-2"/>
        </w:rPr>
        <w:t xml:space="preserve"> </w:t>
      </w:r>
      <w:r>
        <w:t>experience</w:t>
      </w:r>
      <w:r>
        <w:rPr>
          <w:spacing w:val="-4"/>
        </w:rPr>
        <w:t xml:space="preserve"> </w:t>
      </w:r>
      <w:r>
        <w:t>an</w:t>
      </w:r>
      <w:r>
        <w:rPr>
          <w:spacing w:val="-7"/>
        </w:rPr>
        <w:t xml:space="preserve"> </w:t>
      </w:r>
      <w:r>
        <w:t>IOL</w:t>
      </w:r>
      <w:r>
        <w:rPr>
          <w:spacing w:val="-9"/>
        </w:rPr>
        <w:t xml:space="preserve"> </w:t>
      </w:r>
      <w:r>
        <w:t>has</w:t>
      </w:r>
      <w:r>
        <w:rPr>
          <w:spacing w:val="-6"/>
        </w:rPr>
        <w:t xml:space="preserve"> </w:t>
      </w:r>
      <w:r>
        <w:t>steadily</w:t>
      </w:r>
      <w:r>
        <w:rPr>
          <w:spacing w:val="-2"/>
        </w:rPr>
        <w:t xml:space="preserve"> </w:t>
      </w:r>
      <w:r>
        <w:t>increased,</w:t>
      </w:r>
      <w:r>
        <w:rPr>
          <w:spacing w:val="-3"/>
        </w:rPr>
        <w:t xml:space="preserve"> </w:t>
      </w:r>
      <w:r>
        <w:t>from</w:t>
      </w:r>
      <w:r>
        <w:rPr>
          <w:spacing w:val="-9"/>
        </w:rPr>
        <w:t xml:space="preserve"> </w:t>
      </w:r>
      <w:r>
        <w:t>19.4</w:t>
      </w:r>
      <w:r w:rsidR="006F7C71">
        <w:t>%</w:t>
      </w:r>
      <w:r>
        <w:rPr>
          <w:spacing w:val="-3"/>
        </w:rPr>
        <w:t xml:space="preserve"> </w:t>
      </w:r>
      <w:r>
        <w:t>in 2006 to 26.0</w:t>
      </w:r>
      <w:r w:rsidR="006F7C71">
        <w:t>%</w:t>
      </w:r>
      <w:r>
        <w:t xml:space="preserve"> in 2017 (Ministry of Health 2019b). The most common indications for IOL at term in Auckland District Health Board (DHB) in 2016 were: pre-labour rupture of membranes (ROM) at term, diabetes in pregnancy, suspected small for gestational age fetus and post-dates (Auckland DHB</w:t>
      </w:r>
      <w:r>
        <w:rPr>
          <w:spacing w:val="-11"/>
        </w:rPr>
        <w:t xml:space="preserve"> </w:t>
      </w:r>
      <w:r>
        <w:t>2017).</w:t>
      </w:r>
    </w:p>
    <w:p w14:paraId="6112AA7D" w14:textId="77777777" w:rsidR="00AC0F19" w:rsidRDefault="00AC0F19" w:rsidP="00A60020"/>
    <w:p w14:paraId="24235F6B" w14:textId="77777777" w:rsidR="00AC0F19" w:rsidRDefault="00AC0F19" w:rsidP="00A60020">
      <w:pPr>
        <w:keepLines/>
      </w:pPr>
      <w:r>
        <w:lastRenderedPageBreak/>
        <w:t xml:space="preserve">IOL is reported as </w:t>
      </w:r>
      <w:r w:rsidR="00A60020">
        <w:t>one</w:t>
      </w:r>
      <w:r>
        <w:t xml:space="preserve"> of </w:t>
      </w:r>
      <w:r w:rsidR="00A60020">
        <w:t>10</w:t>
      </w:r>
      <w:r>
        <w:t xml:space="preserve"> clinical maternity indicators identified by the Ministry of Health</w:t>
      </w:r>
      <w:r>
        <w:rPr>
          <w:spacing w:val="-9"/>
        </w:rPr>
        <w:t xml:space="preserve"> </w:t>
      </w:r>
      <w:r>
        <w:t>in</w:t>
      </w:r>
      <w:r>
        <w:rPr>
          <w:spacing w:val="-3"/>
        </w:rPr>
        <w:t xml:space="preserve"> </w:t>
      </w:r>
      <w:r>
        <w:t>its</w:t>
      </w:r>
      <w:r>
        <w:rPr>
          <w:spacing w:val="-7"/>
        </w:rPr>
        <w:t xml:space="preserve"> </w:t>
      </w:r>
      <w:r>
        <w:t>national</w:t>
      </w:r>
      <w:r>
        <w:rPr>
          <w:spacing w:val="-9"/>
        </w:rPr>
        <w:t xml:space="preserve"> </w:t>
      </w:r>
      <w:r>
        <w:t>quality</w:t>
      </w:r>
      <w:r>
        <w:rPr>
          <w:spacing w:val="-3"/>
        </w:rPr>
        <w:t xml:space="preserve"> </w:t>
      </w:r>
      <w:r>
        <w:t>and</w:t>
      </w:r>
      <w:r>
        <w:rPr>
          <w:spacing w:val="-9"/>
        </w:rPr>
        <w:t xml:space="preserve"> </w:t>
      </w:r>
      <w:r>
        <w:t>safety</w:t>
      </w:r>
      <w:r>
        <w:rPr>
          <w:spacing w:val="-8"/>
        </w:rPr>
        <w:t xml:space="preserve"> </w:t>
      </w:r>
      <w:r>
        <w:t>programme</w:t>
      </w:r>
      <w:r>
        <w:rPr>
          <w:spacing w:val="-9"/>
        </w:rPr>
        <w:t xml:space="preserve"> </w:t>
      </w:r>
      <w:r>
        <w:t>for</w:t>
      </w:r>
      <w:r>
        <w:rPr>
          <w:spacing w:val="-7"/>
        </w:rPr>
        <w:t xml:space="preserve"> </w:t>
      </w:r>
      <w:r>
        <w:t>maternity</w:t>
      </w:r>
      <w:r>
        <w:rPr>
          <w:spacing w:val="-9"/>
        </w:rPr>
        <w:t xml:space="preserve"> </w:t>
      </w:r>
      <w:r>
        <w:t>services</w:t>
      </w:r>
      <w:r>
        <w:rPr>
          <w:spacing w:val="-6"/>
        </w:rPr>
        <w:t xml:space="preserve"> </w:t>
      </w:r>
      <w:r>
        <w:t>(Ministry</w:t>
      </w:r>
      <w:r>
        <w:rPr>
          <w:spacing w:val="-3"/>
        </w:rPr>
        <w:t xml:space="preserve"> </w:t>
      </w:r>
      <w:r>
        <w:t>of</w:t>
      </w:r>
      <w:r>
        <w:rPr>
          <w:spacing w:val="-8"/>
        </w:rPr>
        <w:t xml:space="preserve"> </w:t>
      </w:r>
      <w:r>
        <w:t>Health 2019a). In 2017, in women expected to have an uncomplicated pregnancy and low intervention rates</w:t>
      </w:r>
      <w:r>
        <w:rPr>
          <w:spacing w:val="-15"/>
        </w:rPr>
        <w:t xml:space="preserve"> </w:t>
      </w:r>
      <w:r>
        <w:t>(defined</w:t>
      </w:r>
      <w:r>
        <w:rPr>
          <w:spacing w:val="-17"/>
        </w:rPr>
        <w:t xml:space="preserve"> </w:t>
      </w:r>
      <w:r>
        <w:t>as</w:t>
      </w:r>
      <w:r>
        <w:rPr>
          <w:spacing w:val="-14"/>
        </w:rPr>
        <w:t xml:space="preserve"> </w:t>
      </w:r>
      <w:r>
        <w:t>nulliparous,</w:t>
      </w:r>
      <w:r>
        <w:rPr>
          <w:spacing w:val="-17"/>
        </w:rPr>
        <w:t xml:space="preserve"> </w:t>
      </w:r>
      <w:r>
        <w:t>age</w:t>
      </w:r>
      <w:r>
        <w:rPr>
          <w:spacing w:val="-18"/>
        </w:rPr>
        <w:t xml:space="preserve"> </w:t>
      </w:r>
      <w:r>
        <w:t>20–34</w:t>
      </w:r>
      <w:r>
        <w:rPr>
          <w:spacing w:val="-16"/>
        </w:rPr>
        <w:t xml:space="preserve"> </w:t>
      </w:r>
      <w:r>
        <w:t>years,</w:t>
      </w:r>
      <w:r>
        <w:rPr>
          <w:spacing w:val="-17"/>
        </w:rPr>
        <w:t xml:space="preserve"> </w:t>
      </w:r>
      <w:r>
        <w:t>37</w:t>
      </w:r>
      <w:r>
        <w:rPr>
          <w:sz w:val="16"/>
        </w:rPr>
        <w:t>+0</w:t>
      </w:r>
      <w:r>
        <w:t>–41</w:t>
      </w:r>
      <w:r>
        <w:rPr>
          <w:sz w:val="16"/>
        </w:rPr>
        <w:t>+6</w:t>
      </w:r>
      <w:r>
        <w:rPr>
          <w:spacing w:val="4"/>
          <w:sz w:val="16"/>
        </w:rPr>
        <w:t xml:space="preserve"> </w:t>
      </w:r>
      <w:r>
        <w:t>weeks</w:t>
      </w:r>
      <w:r w:rsidR="00B0606D">
        <w:t>’</w:t>
      </w:r>
      <w:r>
        <w:rPr>
          <w:spacing w:val="-16"/>
        </w:rPr>
        <w:t xml:space="preserve"> </w:t>
      </w:r>
      <w:r>
        <w:t>gestation,</w:t>
      </w:r>
      <w:r>
        <w:rPr>
          <w:spacing w:val="-16"/>
        </w:rPr>
        <w:t xml:space="preserve"> </w:t>
      </w:r>
      <w:r>
        <w:t>cephalic-presenting singleton baby and no obstetric complications), the induction rate was 7.6</w:t>
      </w:r>
      <w:r w:rsidR="006F7C71">
        <w:t>%</w:t>
      </w:r>
      <w:r>
        <w:t>. Rates varied by facility of birth, from a low of 1.1</w:t>
      </w:r>
      <w:r w:rsidR="006F7C71">
        <w:t>%</w:t>
      </w:r>
      <w:r>
        <w:t xml:space="preserve"> (Gisborne) to a high of 16.5</w:t>
      </w:r>
      <w:r w:rsidR="006F7C71">
        <w:t>%</w:t>
      </w:r>
      <w:r>
        <w:t xml:space="preserve"> (Taranaki). This variation in IOL rate in a restricted cohort of </w:t>
      </w:r>
      <w:r w:rsidR="00B0606D">
        <w:t>‘</w:t>
      </w:r>
      <w:r>
        <w:t>low-risk</w:t>
      </w:r>
      <w:r w:rsidR="00B0606D">
        <w:t>’</w:t>
      </w:r>
      <w:r>
        <w:t xml:space="preserve"> women suggests that clinician preference and institutional</w:t>
      </w:r>
      <w:r>
        <w:rPr>
          <w:spacing w:val="-9"/>
        </w:rPr>
        <w:t xml:space="preserve"> </w:t>
      </w:r>
      <w:r>
        <w:t>culture</w:t>
      </w:r>
      <w:r>
        <w:rPr>
          <w:spacing w:val="-7"/>
        </w:rPr>
        <w:t xml:space="preserve"> </w:t>
      </w:r>
      <w:r>
        <w:t>may</w:t>
      </w:r>
      <w:r>
        <w:rPr>
          <w:spacing w:val="-8"/>
        </w:rPr>
        <w:t xml:space="preserve"> </w:t>
      </w:r>
      <w:r>
        <w:t>have</w:t>
      </w:r>
      <w:r>
        <w:rPr>
          <w:spacing w:val="-8"/>
        </w:rPr>
        <w:t xml:space="preserve"> </w:t>
      </w:r>
      <w:r>
        <w:t>a</w:t>
      </w:r>
      <w:r>
        <w:rPr>
          <w:spacing w:val="-9"/>
        </w:rPr>
        <w:t xml:space="preserve"> </w:t>
      </w:r>
      <w:r>
        <w:t>more</w:t>
      </w:r>
      <w:r>
        <w:rPr>
          <w:spacing w:val="-8"/>
        </w:rPr>
        <w:t xml:space="preserve"> </w:t>
      </w:r>
      <w:r>
        <w:t>significant</w:t>
      </w:r>
      <w:r>
        <w:rPr>
          <w:spacing w:val="-9"/>
        </w:rPr>
        <w:t xml:space="preserve"> </w:t>
      </w:r>
      <w:r>
        <w:t>influence</w:t>
      </w:r>
      <w:r>
        <w:rPr>
          <w:spacing w:val="-9"/>
        </w:rPr>
        <w:t xml:space="preserve"> </w:t>
      </w:r>
      <w:r>
        <w:t>on</w:t>
      </w:r>
      <w:r>
        <w:rPr>
          <w:spacing w:val="-8"/>
        </w:rPr>
        <w:t xml:space="preserve"> </w:t>
      </w:r>
      <w:r>
        <w:t>the</w:t>
      </w:r>
      <w:r>
        <w:rPr>
          <w:spacing w:val="-8"/>
        </w:rPr>
        <w:t xml:space="preserve"> </w:t>
      </w:r>
      <w:r>
        <w:t>decision</w:t>
      </w:r>
      <w:r>
        <w:rPr>
          <w:spacing w:val="-8"/>
        </w:rPr>
        <w:t xml:space="preserve"> </w:t>
      </w:r>
      <w:r>
        <w:t>to</w:t>
      </w:r>
      <w:r>
        <w:rPr>
          <w:spacing w:val="-8"/>
        </w:rPr>
        <w:t xml:space="preserve"> </w:t>
      </w:r>
      <w:r>
        <w:t>offer</w:t>
      </w:r>
      <w:r>
        <w:rPr>
          <w:spacing w:val="-8"/>
        </w:rPr>
        <w:t xml:space="preserve"> </w:t>
      </w:r>
      <w:r>
        <w:t>IOL</w:t>
      </w:r>
      <w:r>
        <w:rPr>
          <w:spacing w:val="-9"/>
        </w:rPr>
        <w:t xml:space="preserve"> </w:t>
      </w:r>
      <w:r>
        <w:t>than</w:t>
      </w:r>
      <w:r>
        <w:rPr>
          <w:spacing w:val="-7"/>
        </w:rPr>
        <w:t xml:space="preserve"> </w:t>
      </w:r>
      <w:r>
        <w:t>clinical factors. It also highlights the need for a consistent approach using evidence-based guidance on</w:t>
      </w:r>
      <w:r>
        <w:rPr>
          <w:spacing w:val="-3"/>
        </w:rPr>
        <w:t xml:space="preserve"> </w:t>
      </w:r>
      <w:r>
        <w:t>IOL.</w:t>
      </w:r>
    </w:p>
    <w:p w14:paraId="7C1055D2" w14:textId="77777777" w:rsidR="00AC0F19" w:rsidRDefault="00AC0F19" w:rsidP="00A60020"/>
    <w:p w14:paraId="19B96435" w14:textId="77777777" w:rsidR="00AC0F19" w:rsidRDefault="00AC0F19" w:rsidP="00A60020">
      <w:r>
        <w:t>IOL has an impact on the woman</w:t>
      </w:r>
      <w:r w:rsidR="00B0606D">
        <w:t>’</w:t>
      </w:r>
      <w:r>
        <w:t>s experience of labour and birth, with women having to reconsider their birth plans and, in some cases, their planned place of birth. Women have identified</w:t>
      </w:r>
      <w:r>
        <w:rPr>
          <w:spacing w:val="-13"/>
        </w:rPr>
        <w:t xml:space="preserve"> </w:t>
      </w:r>
      <w:r>
        <w:t>that</w:t>
      </w:r>
      <w:r>
        <w:rPr>
          <w:spacing w:val="-14"/>
        </w:rPr>
        <w:t xml:space="preserve"> </w:t>
      </w:r>
      <w:r>
        <w:t>more</w:t>
      </w:r>
      <w:r>
        <w:rPr>
          <w:spacing w:val="-13"/>
        </w:rPr>
        <w:t xml:space="preserve"> </w:t>
      </w:r>
      <w:r>
        <w:t>pain</w:t>
      </w:r>
      <w:r>
        <w:rPr>
          <w:spacing w:val="-13"/>
        </w:rPr>
        <w:t xml:space="preserve"> </w:t>
      </w:r>
      <w:r>
        <w:t>relief</w:t>
      </w:r>
      <w:r>
        <w:rPr>
          <w:spacing w:val="-11"/>
        </w:rPr>
        <w:t xml:space="preserve"> </w:t>
      </w:r>
      <w:r>
        <w:t>during</w:t>
      </w:r>
      <w:r>
        <w:rPr>
          <w:spacing w:val="-8"/>
        </w:rPr>
        <w:t xml:space="preserve"> </w:t>
      </w:r>
      <w:r>
        <w:t>labour</w:t>
      </w:r>
      <w:r>
        <w:rPr>
          <w:spacing w:val="-12"/>
        </w:rPr>
        <w:t xml:space="preserve"> </w:t>
      </w:r>
      <w:r>
        <w:t>is</w:t>
      </w:r>
      <w:r>
        <w:rPr>
          <w:spacing w:val="-5"/>
        </w:rPr>
        <w:t xml:space="preserve"> </w:t>
      </w:r>
      <w:r>
        <w:t>required,</w:t>
      </w:r>
      <w:r>
        <w:rPr>
          <w:spacing w:val="-13"/>
        </w:rPr>
        <w:t xml:space="preserve"> </w:t>
      </w:r>
      <w:r>
        <w:t>they</w:t>
      </w:r>
      <w:r>
        <w:rPr>
          <w:spacing w:val="-13"/>
        </w:rPr>
        <w:t xml:space="preserve"> </w:t>
      </w:r>
      <w:r>
        <w:t>feel</w:t>
      </w:r>
      <w:r>
        <w:rPr>
          <w:spacing w:val="-13"/>
        </w:rPr>
        <w:t xml:space="preserve"> </w:t>
      </w:r>
      <w:r>
        <w:t>less</w:t>
      </w:r>
      <w:r>
        <w:rPr>
          <w:spacing w:val="-11"/>
        </w:rPr>
        <w:t xml:space="preserve"> </w:t>
      </w:r>
      <w:r>
        <w:t>positive</w:t>
      </w:r>
      <w:r>
        <w:rPr>
          <w:spacing w:val="-8"/>
        </w:rPr>
        <w:t xml:space="preserve"> </w:t>
      </w:r>
      <w:r>
        <w:t>about</w:t>
      </w:r>
      <w:r>
        <w:rPr>
          <w:spacing w:val="-14"/>
        </w:rPr>
        <w:t xml:space="preserve"> </w:t>
      </w:r>
      <w:r>
        <w:t>their</w:t>
      </w:r>
      <w:r>
        <w:rPr>
          <w:spacing w:val="-12"/>
        </w:rPr>
        <w:t xml:space="preserve"> </w:t>
      </w:r>
      <w:r>
        <w:t xml:space="preserve">birth experience and find the induction process challenging (Coates </w:t>
      </w:r>
      <w:r w:rsidR="000F3C98">
        <w:t>et al</w:t>
      </w:r>
      <w:r>
        <w:t xml:space="preserve"> 2019; </w:t>
      </w:r>
      <w:proofErr w:type="spellStart"/>
      <w:r>
        <w:t>Hildingsson</w:t>
      </w:r>
      <w:proofErr w:type="spellEnd"/>
      <w:r>
        <w:t xml:space="preserve"> </w:t>
      </w:r>
      <w:r w:rsidR="000F3C98">
        <w:t>et al</w:t>
      </w:r>
      <w:r>
        <w:t xml:space="preserve"> 2011; Schwarz </w:t>
      </w:r>
      <w:r w:rsidR="000F3C98">
        <w:t>et al</w:t>
      </w:r>
      <w:r>
        <w:t xml:space="preserve"> 2016). Therefore, it is important to only offer IOL when there is sufficient evidence of benefit. Recognising that women are active managers of their own health, providing information</w:t>
      </w:r>
      <w:r>
        <w:rPr>
          <w:spacing w:val="32"/>
        </w:rPr>
        <w:t xml:space="preserve"> </w:t>
      </w:r>
      <w:r>
        <w:t>about</w:t>
      </w:r>
      <w:r>
        <w:rPr>
          <w:spacing w:val="32"/>
        </w:rPr>
        <w:t xml:space="preserve"> </w:t>
      </w:r>
      <w:r>
        <w:t>induction</w:t>
      </w:r>
      <w:r>
        <w:rPr>
          <w:spacing w:val="38"/>
        </w:rPr>
        <w:t xml:space="preserve"> </w:t>
      </w:r>
      <w:r>
        <w:t>and</w:t>
      </w:r>
      <w:r>
        <w:rPr>
          <w:spacing w:val="33"/>
        </w:rPr>
        <w:t xml:space="preserve"> </w:t>
      </w:r>
      <w:r>
        <w:t>the</w:t>
      </w:r>
      <w:r>
        <w:rPr>
          <w:spacing w:val="31"/>
        </w:rPr>
        <w:t xml:space="preserve"> </w:t>
      </w:r>
      <w:r>
        <w:t>different</w:t>
      </w:r>
      <w:r>
        <w:rPr>
          <w:spacing w:val="37"/>
        </w:rPr>
        <w:t xml:space="preserve"> </w:t>
      </w:r>
      <w:r>
        <w:t>aspects</w:t>
      </w:r>
      <w:r>
        <w:rPr>
          <w:spacing w:val="35"/>
        </w:rPr>
        <w:t xml:space="preserve"> </w:t>
      </w:r>
      <w:r>
        <w:t>of</w:t>
      </w:r>
      <w:r>
        <w:rPr>
          <w:spacing w:val="33"/>
        </w:rPr>
        <w:t xml:space="preserve"> </w:t>
      </w:r>
      <w:r>
        <w:t>the</w:t>
      </w:r>
      <w:r>
        <w:rPr>
          <w:spacing w:val="35"/>
        </w:rPr>
        <w:t xml:space="preserve"> </w:t>
      </w:r>
      <w:r>
        <w:t>induction</w:t>
      </w:r>
      <w:r>
        <w:rPr>
          <w:spacing w:val="33"/>
        </w:rPr>
        <w:t xml:space="preserve"> </w:t>
      </w:r>
      <w:r>
        <w:t>process and ensuring that women participate in decision-making may help to mediate these negative experiences.</w:t>
      </w:r>
    </w:p>
    <w:p w14:paraId="78461619" w14:textId="77777777" w:rsidR="00AC0F19" w:rsidRDefault="00AC0F19" w:rsidP="00A60020"/>
    <w:p w14:paraId="33CABCE9" w14:textId="77777777" w:rsidR="00AC0F19" w:rsidRDefault="00AC0F19" w:rsidP="00A60020">
      <w:pPr>
        <w:pStyle w:val="Heading2"/>
      </w:pPr>
      <w:bookmarkStart w:id="25" w:name="Scope_of_the_guideline"/>
      <w:bookmarkStart w:id="26" w:name="_bookmark10"/>
      <w:bookmarkStart w:id="27" w:name="_Toc75787962"/>
      <w:bookmarkEnd w:id="25"/>
      <w:bookmarkEnd w:id="26"/>
      <w:r>
        <w:t xml:space="preserve">Scope of </w:t>
      </w:r>
      <w:r w:rsidRPr="002154AF">
        <w:t>the</w:t>
      </w:r>
      <w:r>
        <w:t xml:space="preserve"> guideline</w:t>
      </w:r>
      <w:bookmarkEnd w:id="27"/>
    </w:p>
    <w:p w14:paraId="03BE0BFE" w14:textId="77777777" w:rsidR="00AC0F19" w:rsidRDefault="00AC0F19" w:rsidP="00A60020">
      <w:r>
        <w:t>This guideline is limited in scope to 15 common clinical indications where IOL would be considered,</w:t>
      </w:r>
      <w:r>
        <w:rPr>
          <w:spacing w:val="-7"/>
        </w:rPr>
        <w:t xml:space="preserve"> </w:t>
      </w:r>
      <w:r w:rsidRPr="002154AF">
        <w:t>optimal</w:t>
      </w:r>
      <w:r>
        <w:rPr>
          <w:spacing w:val="-3"/>
        </w:rPr>
        <w:t xml:space="preserve"> </w:t>
      </w:r>
      <w:r>
        <w:t>timing</w:t>
      </w:r>
      <w:r>
        <w:rPr>
          <w:spacing w:val="-7"/>
        </w:rPr>
        <w:t xml:space="preserve"> </w:t>
      </w:r>
      <w:r>
        <w:t>of</w:t>
      </w:r>
      <w:r>
        <w:rPr>
          <w:spacing w:val="-5"/>
        </w:rPr>
        <w:t xml:space="preserve"> </w:t>
      </w:r>
      <w:r>
        <w:t>IOL</w:t>
      </w:r>
      <w:r>
        <w:rPr>
          <w:spacing w:val="-7"/>
        </w:rPr>
        <w:t xml:space="preserve"> </w:t>
      </w:r>
      <w:r>
        <w:t>and</w:t>
      </w:r>
      <w:r>
        <w:rPr>
          <w:spacing w:val="-1"/>
        </w:rPr>
        <w:t xml:space="preserve"> </w:t>
      </w:r>
      <w:r>
        <w:t>a</w:t>
      </w:r>
      <w:r>
        <w:rPr>
          <w:spacing w:val="-8"/>
        </w:rPr>
        <w:t xml:space="preserve"> </w:t>
      </w:r>
      <w:r>
        <w:t>discussion</w:t>
      </w:r>
      <w:r>
        <w:rPr>
          <w:spacing w:val="-7"/>
        </w:rPr>
        <w:t xml:space="preserve"> </w:t>
      </w:r>
      <w:r>
        <w:t>of</w:t>
      </w:r>
      <w:r>
        <w:rPr>
          <w:spacing w:val="-5"/>
        </w:rPr>
        <w:t xml:space="preserve"> </w:t>
      </w:r>
      <w:r>
        <w:t>IOL</w:t>
      </w:r>
      <w:r>
        <w:rPr>
          <w:spacing w:val="-8"/>
        </w:rPr>
        <w:t xml:space="preserve"> </w:t>
      </w:r>
      <w:r>
        <w:t>for</w:t>
      </w:r>
      <w:r>
        <w:rPr>
          <w:spacing w:val="-6"/>
        </w:rPr>
        <w:t xml:space="preserve"> </w:t>
      </w:r>
      <w:r>
        <w:t>no</w:t>
      </w:r>
      <w:r>
        <w:rPr>
          <w:spacing w:val="-7"/>
        </w:rPr>
        <w:t xml:space="preserve"> </w:t>
      </w:r>
      <w:r>
        <w:t>medical</w:t>
      </w:r>
      <w:r>
        <w:rPr>
          <w:spacing w:val="-7"/>
        </w:rPr>
        <w:t xml:space="preserve"> </w:t>
      </w:r>
      <w:r>
        <w:t>indication.</w:t>
      </w:r>
      <w:r>
        <w:rPr>
          <w:spacing w:val="-7"/>
        </w:rPr>
        <w:t xml:space="preserve"> </w:t>
      </w:r>
      <w:r>
        <w:t>The panel acknowledges that there are many risk factors and conditions during pregnancy that are associated with adverse maternal or perinatal outcome, including those reviewed</w:t>
      </w:r>
      <w:r>
        <w:rPr>
          <w:spacing w:val="-2"/>
        </w:rPr>
        <w:t xml:space="preserve"> </w:t>
      </w:r>
      <w:r>
        <w:t>in</w:t>
      </w:r>
      <w:r>
        <w:rPr>
          <w:spacing w:val="-8"/>
        </w:rPr>
        <w:t xml:space="preserve"> </w:t>
      </w:r>
      <w:r>
        <w:t>this</w:t>
      </w:r>
      <w:r>
        <w:rPr>
          <w:spacing w:val="-6"/>
        </w:rPr>
        <w:t xml:space="preserve"> </w:t>
      </w:r>
      <w:r>
        <w:t>guideline.</w:t>
      </w:r>
      <w:r>
        <w:rPr>
          <w:spacing w:val="-3"/>
        </w:rPr>
        <w:t xml:space="preserve"> </w:t>
      </w:r>
      <w:r>
        <w:t>However,</w:t>
      </w:r>
      <w:r>
        <w:rPr>
          <w:spacing w:val="-6"/>
        </w:rPr>
        <w:t xml:space="preserve"> </w:t>
      </w:r>
      <w:r>
        <w:t>the</w:t>
      </w:r>
      <w:r>
        <w:rPr>
          <w:spacing w:val="-9"/>
        </w:rPr>
        <w:t xml:space="preserve"> </w:t>
      </w:r>
      <w:r>
        <w:t>scope</w:t>
      </w:r>
      <w:r>
        <w:rPr>
          <w:spacing w:val="-4"/>
        </w:rPr>
        <w:t xml:space="preserve"> </w:t>
      </w:r>
      <w:r>
        <w:t>of</w:t>
      </w:r>
      <w:r>
        <w:rPr>
          <w:spacing w:val="-2"/>
        </w:rPr>
        <w:t xml:space="preserve"> </w:t>
      </w:r>
      <w:r>
        <w:t>this</w:t>
      </w:r>
      <w:r>
        <w:rPr>
          <w:spacing w:val="-6"/>
        </w:rPr>
        <w:t xml:space="preserve"> </w:t>
      </w:r>
      <w:r>
        <w:t>guideline</w:t>
      </w:r>
      <w:r>
        <w:rPr>
          <w:spacing w:val="-8"/>
        </w:rPr>
        <w:t xml:space="preserve"> </w:t>
      </w:r>
      <w:r>
        <w:t>is</w:t>
      </w:r>
      <w:r>
        <w:rPr>
          <w:spacing w:val="-1"/>
        </w:rPr>
        <w:t xml:space="preserve"> </w:t>
      </w:r>
      <w:r>
        <w:t>to only</w:t>
      </w:r>
      <w:r>
        <w:rPr>
          <w:spacing w:val="-7"/>
        </w:rPr>
        <w:t xml:space="preserve"> </w:t>
      </w:r>
      <w:r>
        <w:t>review</w:t>
      </w:r>
      <w:r>
        <w:rPr>
          <w:spacing w:val="-6"/>
        </w:rPr>
        <w:t xml:space="preserve"> </w:t>
      </w:r>
      <w:r>
        <w:t>research</w:t>
      </w:r>
      <w:r>
        <w:rPr>
          <w:spacing w:val="-2"/>
        </w:rPr>
        <w:t xml:space="preserve"> </w:t>
      </w:r>
      <w:r>
        <w:t>that evaluates IOL as an intervention to mitigate these risks. The evidence may suggest that IOL may</w:t>
      </w:r>
      <w:r>
        <w:rPr>
          <w:spacing w:val="-13"/>
        </w:rPr>
        <w:t xml:space="preserve"> </w:t>
      </w:r>
      <w:r>
        <w:t>be</w:t>
      </w:r>
      <w:r>
        <w:rPr>
          <w:spacing w:val="-14"/>
        </w:rPr>
        <w:t xml:space="preserve"> </w:t>
      </w:r>
      <w:r>
        <w:t>of</w:t>
      </w:r>
      <w:r>
        <w:rPr>
          <w:spacing w:val="-12"/>
        </w:rPr>
        <w:t xml:space="preserve"> </w:t>
      </w:r>
      <w:r>
        <w:t>benefit</w:t>
      </w:r>
      <w:r>
        <w:rPr>
          <w:spacing w:val="-14"/>
        </w:rPr>
        <w:t xml:space="preserve"> </w:t>
      </w:r>
      <w:r>
        <w:t>for</w:t>
      </w:r>
      <w:r>
        <w:rPr>
          <w:spacing w:val="-12"/>
        </w:rPr>
        <w:t xml:space="preserve"> </w:t>
      </w:r>
      <w:r>
        <w:t>the</w:t>
      </w:r>
      <w:r>
        <w:rPr>
          <w:spacing w:val="-13"/>
        </w:rPr>
        <w:t xml:space="preserve"> </w:t>
      </w:r>
      <w:r>
        <w:t>health</w:t>
      </w:r>
      <w:r>
        <w:rPr>
          <w:spacing w:val="-13"/>
        </w:rPr>
        <w:t xml:space="preserve"> </w:t>
      </w:r>
      <w:r>
        <w:t>of</w:t>
      </w:r>
      <w:r>
        <w:rPr>
          <w:spacing w:val="-12"/>
        </w:rPr>
        <w:t xml:space="preserve"> </w:t>
      </w:r>
      <w:r>
        <w:t>the</w:t>
      </w:r>
      <w:r>
        <w:rPr>
          <w:spacing w:val="-14"/>
        </w:rPr>
        <w:t xml:space="preserve"> </w:t>
      </w:r>
      <w:r>
        <w:t>woman</w:t>
      </w:r>
      <w:r>
        <w:rPr>
          <w:spacing w:val="-13"/>
        </w:rPr>
        <w:t xml:space="preserve"> </w:t>
      </w:r>
      <w:r>
        <w:t>and/or</w:t>
      </w:r>
      <w:r>
        <w:rPr>
          <w:spacing w:val="-7"/>
        </w:rPr>
        <w:t xml:space="preserve"> </w:t>
      </w:r>
      <w:r>
        <w:t>her</w:t>
      </w:r>
      <w:r>
        <w:rPr>
          <w:spacing w:val="-12"/>
        </w:rPr>
        <w:t xml:space="preserve"> </w:t>
      </w:r>
      <w:r>
        <w:t>baby,</w:t>
      </w:r>
      <w:r>
        <w:rPr>
          <w:spacing w:val="-12"/>
        </w:rPr>
        <w:t xml:space="preserve"> </w:t>
      </w:r>
      <w:r>
        <w:t>or</w:t>
      </w:r>
      <w:r>
        <w:rPr>
          <w:spacing w:val="-12"/>
        </w:rPr>
        <w:t xml:space="preserve"> there </w:t>
      </w:r>
      <w:r>
        <w:t>may</w:t>
      </w:r>
      <w:r>
        <w:rPr>
          <w:spacing w:val="-13"/>
        </w:rPr>
        <w:t xml:space="preserve"> </w:t>
      </w:r>
      <w:r>
        <w:t>be</w:t>
      </w:r>
      <w:r>
        <w:rPr>
          <w:spacing w:val="-14"/>
        </w:rPr>
        <w:t xml:space="preserve"> </w:t>
      </w:r>
      <w:r>
        <w:t>insufficient</w:t>
      </w:r>
      <w:r>
        <w:rPr>
          <w:spacing w:val="-14"/>
        </w:rPr>
        <w:t xml:space="preserve"> evidence </w:t>
      </w:r>
      <w:r>
        <w:t>to</w:t>
      </w:r>
      <w:r>
        <w:rPr>
          <w:spacing w:val="-12"/>
        </w:rPr>
        <w:t xml:space="preserve"> </w:t>
      </w:r>
      <w:r>
        <w:t>support the use of IOL.</w:t>
      </w:r>
    </w:p>
    <w:p w14:paraId="2CDEBE7B" w14:textId="77777777" w:rsidR="00AC0F19" w:rsidRPr="002154AF" w:rsidRDefault="00AC0F19" w:rsidP="00A60020"/>
    <w:p w14:paraId="783E38CA" w14:textId="77777777" w:rsidR="00AC0F19" w:rsidRPr="002154AF" w:rsidRDefault="00AC0F19" w:rsidP="00A60020">
      <w:r w:rsidRPr="002154AF">
        <w:t>Th</w:t>
      </w:r>
      <w:r>
        <w:t>e</w:t>
      </w:r>
      <w:r w:rsidRPr="002154AF">
        <w:t xml:space="preserve"> guideline provides recommendations on methods of cervical ripening and IOL, IOL in an outpatient setting and IOL for women with previous caesarean section. There is also guidance on the use of membrane sweeping to reduce the chance of needing a formal IOL and on trying to avoid planned birth </w:t>
      </w:r>
      <w:r>
        <w:t>before</w:t>
      </w:r>
      <w:r w:rsidRPr="002154AF">
        <w:t xml:space="preserve"> </w:t>
      </w:r>
      <w:r w:rsidR="00EB43A9">
        <w:t>39 weeks</w:t>
      </w:r>
      <w:r w:rsidR="00B0606D">
        <w:t>’</w:t>
      </w:r>
      <w:r w:rsidRPr="002154AF">
        <w:t xml:space="preserve"> gestation to optimise neonatal outcomes.</w:t>
      </w:r>
    </w:p>
    <w:p w14:paraId="0615A1DC" w14:textId="77777777" w:rsidR="00AC0F19" w:rsidRPr="002154AF" w:rsidRDefault="00AC0F19" w:rsidP="00A60020"/>
    <w:p w14:paraId="06EF2DCC" w14:textId="77777777" w:rsidR="00AC0F19" w:rsidRPr="002154AF" w:rsidRDefault="00AC0F19" w:rsidP="00A60020">
      <w:r w:rsidRPr="002154AF">
        <w:t xml:space="preserve">The list of indications and methods reviewed may not be comprehensive, rather </w:t>
      </w:r>
      <w:r>
        <w:t xml:space="preserve">it provides </w:t>
      </w:r>
      <w:r w:rsidRPr="002154AF">
        <w:t xml:space="preserve">an overview of the more common reasons for IOL in </w:t>
      </w:r>
      <w:r>
        <w:t>New Zealand</w:t>
      </w:r>
      <w:r w:rsidRPr="002154AF">
        <w:t>. There may be other situations where IOL is appropriate based on the individual clinical situation (related to the mother, the baby or the pregnancy) or several concurrent risk factors. In these situations, care should be individualised in consultation with a specialist.</w:t>
      </w:r>
    </w:p>
    <w:p w14:paraId="20BC996B" w14:textId="77777777" w:rsidR="00AC0F19" w:rsidRPr="002154AF" w:rsidRDefault="00AC0F19" w:rsidP="00A60020"/>
    <w:p w14:paraId="7E565B16" w14:textId="77777777" w:rsidR="00AC0F19" w:rsidRPr="002154AF" w:rsidRDefault="00AC0F19" w:rsidP="00A60020">
      <w:pPr>
        <w:keepNext/>
      </w:pPr>
      <w:r w:rsidRPr="002154AF">
        <w:lastRenderedPageBreak/>
        <w:t>The following were considered out of scope and are not covered in the guideline:</w:t>
      </w:r>
    </w:p>
    <w:p w14:paraId="51F14431" w14:textId="77777777" w:rsidR="00AC0F19" w:rsidRDefault="00AC0F19" w:rsidP="00A60020">
      <w:pPr>
        <w:pStyle w:val="Bullet"/>
        <w:keepNext/>
      </w:pPr>
      <w:r>
        <w:t xml:space="preserve">A review of the </w:t>
      </w:r>
      <w:r w:rsidRPr="00020F92">
        <w:t>management</w:t>
      </w:r>
      <w:r>
        <w:t xml:space="preserve"> (apart from IOL) of included clinical</w:t>
      </w:r>
      <w:r>
        <w:rPr>
          <w:spacing w:val="-5"/>
        </w:rPr>
        <w:t xml:space="preserve"> </w:t>
      </w:r>
      <w:r>
        <w:t>conditions</w:t>
      </w:r>
    </w:p>
    <w:p w14:paraId="2FD1E68A" w14:textId="77777777" w:rsidR="00AC0F19" w:rsidRDefault="00AC0F19" w:rsidP="00BB6FEA">
      <w:pPr>
        <w:pStyle w:val="Bullet"/>
        <w:keepNext/>
      </w:pPr>
      <w:r>
        <w:t>Natural methods of</w:t>
      </w:r>
      <w:r>
        <w:rPr>
          <w:spacing w:val="-7"/>
        </w:rPr>
        <w:t xml:space="preserve"> </w:t>
      </w:r>
      <w:r>
        <w:t>IOL</w:t>
      </w:r>
    </w:p>
    <w:p w14:paraId="228614B3" w14:textId="77777777" w:rsidR="00AC0F19" w:rsidRDefault="00AC0F19" w:rsidP="00A60020">
      <w:pPr>
        <w:pStyle w:val="Bullet"/>
      </w:pPr>
      <w:r>
        <w:t>Augmentation of</w:t>
      </w:r>
      <w:r>
        <w:rPr>
          <w:spacing w:val="-11"/>
        </w:rPr>
        <w:t xml:space="preserve"> </w:t>
      </w:r>
      <w:r>
        <w:t>labour</w:t>
      </w:r>
    </w:p>
    <w:p w14:paraId="0CD4E555" w14:textId="77777777" w:rsidR="00AC0F19" w:rsidRDefault="00AC0F19" w:rsidP="00A60020">
      <w:pPr>
        <w:pStyle w:val="Bullet"/>
      </w:pPr>
      <w:r>
        <w:t>Health care utilisation costs and</w:t>
      </w:r>
      <w:r>
        <w:rPr>
          <w:spacing w:val="-2"/>
        </w:rPr>
        <w:t xml:space="preserve"> </w:t>
      </w:r>
      <w:r>
        <w:t>resources.</w:t>
      </w:r>
    </w:p>
    <w:p w14:paraId="5E6E9A3C" w14:textId="77777777" w:rsidR="00AC0F19" w:rsidRDefault="00AC0F19" w:rsidP="00A60020"/>
    <w:p w14:paraId="541FDE04" w14:textId="77777777" w:rsidR="00AC0F19" w:rsidRDefault="00AC0F19" w:rsidP="00A60020">
      <w:pPr>
        <w:pStyle w:val="Heading2"/>
      </w:pPr>
      <w:bookmarkStart w:id="28" w:name="Target_Audience"/>
      <w:bookmarkStart w:id="29" w:name="_bookmark11"/>
      <w:bookmarkStart w:id="30" w:name="_Toc75787963"/>
      <w:bookmarkEnd w:id="28"/>
      <w:bookmarkEnd w:id="29"/>
      <w:r w:rsidRPr="002154AF">
        <w:t>Target</w:t>
      </w:r>
      <w:r>
        <w:t xml:space="preserve"> audience</w:t>
      </w:r>
      <w:bookmarkEnd w:id="30"/>
    </w:p>
    <w:p w14:paraId="659520B5" w14:textId="77777777" w:rsidR="00AC0F19" w:rsidRPr="002154AF" w:rsidRDefault="00AC0F19" w:rsidP="00A60020">
      <w:r w:rsidRPr="002154AF">
        <w:t>This guideline is intended for the providers of maternity care. It also has implications for health service provider organisations and funders of maternity services. Th</w:t>
      </w:r>
      <w:r>
        <w:t>e</w:t>
      </w:r>
      <w:r w:rsidRPr="002154AF">
        <w:t xml:space="preserve"> guideline may</w:t>
      </w:r>
      <w:r>
        <w:t xml:space="preserve"> also</w:t>
      </w:r>
      <w:r w:rsidRPr="002154AF">
        <w:t xml:space="preserve"> be accessed by pregnant women and their families and whānau.</w:t>
      </w:r>
    </w:p>
    <w:p w14:paraId="2514B71E" w14:textId="77777777" w:rsidR="00AC0F19" w:rsidRPr="002154AF" w:rsidRDefault="00AC0F19" w:rsidP="00A60020"/>
    <w:p w14:paraId="26C1BAF0" w14:textId="77777777" w:rsidR="00AC0F19" w:rsidRDefault="00AC0F19" w:rsidP="00A60020">
      <w:r>
        <w:t xml:space="preserve">The panel included consumers who represented the views of women who had experienced pregnancies and IOL with their whānau. These and other women with experience of IOL </w:t>
      </w:r>
      <w:r w:rsidRPr="002154AF">
        <w:t>have helped interpret the evidence and develop recommendations.</w:t>
      </w:r>
    </w:p>
    <w:p w14:paraId="712D5623" w14:textId="77777777" w:rsidR="00A60020" w:rsidRPr="002154AF" w:rsidRDefault="00A60020" w:rsidP="00A60020"/>
    <w:p w14:paraId="734E6B75" w14:textId="77777777" w:rsidR="00AC0F19" w:rsidRDefault="00AC0F19" w:rsidP="00A60020">
      <w:pPr>
        <w:pStyle w:val="Heading2"/>
      </w:pPr>
      <w:bookmarkStart w:id="31" w:name="The_Research_Questions"/>
      <w:bookmarkStart w:id="32" w:name="_bookmark12"/>
      <w:bookmarkStart w:id="33" w:name="_Toc75787964"/>
      <w:bookmarkEnd w:id="31"/>
      <w:bookmarkEnd w:id="32"/>
      <w:r>
        <w:t>The research q</w:t>
      </w:r>
      <w:r w:rsidRPr="002154AF">
        <w:t>uestions</w:t>
      </w:r>
      <w:bookmarkEnd w:id="33"/>
    </w:p>
    <w:p w14:paraId="227D5354" w14:textId="77777777" w:rsidR="00AC0F19" w:rsidRDefault="00AC0F19" w:rsidP="00A60020">
      <w:r>
        <w:t>The panel agreed on the following key questions to be addressed by this guideline.</w:t>
      </w:r>
    </w:p>
    <w:p w14:paraId="3CF27FAE" w14:textId="77777777" w:rsidR="00AC0F19" w:rsidRPr="002154AF" w:rsidRDefault="00AC0F19" w:rsidP="00A60020"/>
    <w:p w14:paraId="3E18F899" w14:textId="77777777" w:rsidR="00AC0F19" w:rsidRDefault="00AC0F19" w:rsidP="00A60020">
      <w:pPr>
        <w:pStyle w:val="Heading3"/>
      </w:pPr>
      <w:bookmarkStart w:id="34" w:name="Clinical_Indications_for_IOL"/>
      <w:bookmarkStart w:id="35" w:name="_bookmark13"/>
      <w:bookmarkEnd w:id="34"/>
      <w:bookmarkEnd w:id="35"/>
      <w:r>
        <w:t>Clinical indications for induction of labour</w:t>
      </w:r>
    </w:p>
    <w:p w14:paraId="5F05DCDF" w14:textId="77777777" w:rsidR="00AC0F19" w:rsidRDefault="00AC0F19" w:rsidP="00A60020">
      <w:pPr>
        <w:pStyle w:val="Heading4"/>
      </w:pPr>
      <w:bookmarkStart w:id="36" w:name="Population"/>
      <w:bookmarkStart w:id="37" w:name="_bookmark14"/>
      <w:bookmarkEnd w:id="36"/>
      <w:bookmarkEnd w:id="37"/>
      <w:r>
        <w:t>Population</w:t>
      </w:r>
    </w:p>
    <w:p w14:paraId="7EF7484D" w14:textId="77777777" w:rsidR="00AC0F19" w:rsidRDefault="00AC0F19" w:rsidP="00A60020">
      <w:r>
        <w:t xml:space="preserve">The target </w:t>
      </w:r>
      <w:r w:rsidRPr="002154AF">
        <w:t>population</w:t>
      </w:r>
      <w:r>
        <w:t xml:space="preserve"> is pregnant women who develop a maternal, fetal or obstetric risk or condition where expedited labour and birth would be considered. The population includes women with cephalic presentation considering IOL at ≥</w:t>
      </w:r>
      <w:r w:rsidR="00EB43A9">
        <w:t>37 weeks</w:t>
      </w:r>
      <w:r w:rsidR="00B0606D">
        <w:t>’</w:t>
      </w:r>
      <w:r>
        <w:t xml:space="preserve"> gestation.</w:t>
      </w:r>
    </w:p>
    <w:p w14:paraId="6F9DA463" w14:textId="77777777" w:rsidR="00AC0F19" w:rsidRDefault="00AC0F19" w:rsidP="00A60020">
      <w:bookmarkStart w:id="38" w:name="Intervention"/>
      <w:bookmarkStart w:id="39" w:name="_bookmark15"/>
      <w:bookmarkEnd w:id="38"/>
      <w:bookmarkEnd w:id="39"/>
    </w:p>
    <w:p w14:paraId="0DB851E5" w14:textId="77777777" w:rsidR="00AC0F19" w:rsidRDefault="00AC0F19" w:rsidP="00A60020">
      <w:pPr>
        <w:pStyle w:val="Heading4"/>
      </w:pPr>
      <w:r>
        <w:t>Intervention</w:t>
      </w:r>
    </w:p>
    <w:p w14:paraId="732A6F44" w14:textId="77777777" w:rsidR="00AC0F19" w:rsidRDefault="00AC0F19" w:rsidP="00A60020">
      <w:r>
        <w:t xml:space="preserve">The intervention of IOL is the </w:t>
      </w:r>
      <w:r w:rsidRPr="00EA518F">
        <w:t>artificial</w:t>
      </w:r>
      <w:r>
        <w:t xml:space="preserve"> initiation of labour.</w:t>
      </w:r>
    </w:p>
    <w:p w14:paraId="3DFB82EF" w14:textId="77777777" w:rsidR="00AC0F19" w:rsidRDefault="00AC0F19" w:rsidP="00A60020"/>
    <w:p w14:paraId="74DACEC8" w14:textId="77777777" w:rsidR="00AC0F19" w:rsidRDefault="00AC0F19" w:rsidP="00A60020">
      <w:pPr>
        <w:pStyle w:val="Heading4"/>
      </w:pPr>
      <w:bookmarkStart w:id="40" w:name="Comparison"/>
      <w:bookmarkStart w:id="41" w:name="_bookmark16"/>
      <w:bookmarkEnd w:id="40"/>
      <w:bookmarkEnd w:id="41"/>
      <w:r>
        <w:t>Comparison</w:t>
      </w:r>
    </w:p>
    <w:p w14:paraId="093BC532" w14:textId="77777777" w:rsidR="00AC0F19" w:rsidRDefault="00AC0F19" w:rsidP="00A60020">
      <w:r>
        <w:t xml:space="preserve">The alternative is </w:t>
      </w:r>
      <w:r w:rsidRPr="00EA518F">
        <w:t>expectant</w:t>
      </w:r>
      <w:r>
        <w:t xml:space="preserve"> management of the pregnancy where spontaneous labour is awaited.</w:t>
      </w:r>
    </w:p>
    <w:p w14:paraId="5508D06D" w14:textId="77777777" w:rsidR="00AC0F19" w:rsidRDefault="00AC0F19" w:rsidP="00A60020"/>
    <w:p w14:paraId="4E30C774" w14:textId="77777777" w:rsidR="00AC0F19" w:rsidRDefault="00AC0F19" w:rsidP="00A60020">
      <w:pPr>
        <w:pStyle w:val="Heading4"/>
      </w:pPr>
      <w:bookmarkStart w:id="42" w:name="Outcomes"/>
      <w:bookmarkStart w:id="43" w:name="_bookmark17"/>
      <w:bookmarkEnd w:id="42"/>
      <w:bookmarkEnd w:id="43"/>
      <w:r>
        <w:lastRenderedPageBreak/>
        <w:t>Outcomes</w:t>
      </w:r>
    </w:p>
    <w:p w14:paraId="40608F86" w14:textId="77777777" w:rsidR="00AC0F19" w:rsidRPr="00EA518F" w:rsidRDefault="00AC0F19" w:rsidP="00A60020">
      <w:r w:rsidRPr="00EA518F">
        <w:t>Clinical outcomes are benefits to pregnant women or their babies and any complications, adverse events or side effects for pregnant women or their babies.</w:t>
      </w:r>
    </w:p>
    <w:p w14:paraId="536ECE1D" w14:textId="77777777" w:rsidR="00AC0F19" w:rsidRPr="00EA518F" w:rsidRDefault="00AC0F19" w:rsidP="00A60020"/>
    <w:p w14:paraId="5CE5FE7B" w14:textId="77777777" w:rsidR="00B0606D" w:rsidRDefault="00AC0F19" w:rsidP="00A60020">
      <w:r w:rsidRPr="00EA518F">
        <w:t xml:space="preserve">The primary outcome identified by the </w:t>
      </w:r>
      <w:r>
        <w:t>p</w:t>
      </w:r>
      <w:r w:rsidRPr="00EA518F">
        <w:t xml:space="preserve">anel is perinatal death. Secondary outcomes identified are those </w:t>
      </w:r>
      <w:r>
        <w:t>highlighted</w:t>
      </w:r>
      <w:r w:rsidRPr="00EA518F">
        <w:t xml:space="preserve"> by the core outcome set for trials on induction of labour (COSIOL) initiative (Dos Santos </w:t>
      </w:r>
      <w:r w:rsidR="000F3C98">
        <w:t>et al</w:t>
      </w:r>
      <w:r>
        <w:t xml:space="preserve"> </w:t>
      </w:r>
      <w:r w:rsidRPr="00EA518F">
        <w:t>2018) and others that are considered to be important by women, clinicians and DHBs.</w:t>
      </w:r>
    </w:p>
    <w:p w14:paraId="7E60AD9D" w14:textId="77777777" w:rsidR="00AC0F19" w:rsidRDefault="00AC0F19" w:rsidP="00A60020"/>
    <w:p w14:paraId="5DF166AE" w14:textId="77777777" w:rsidR="00B0606D" w:rsidRDefault="00AC0F19" w:rsidP="00A60020">
      <w:r w:rsidRPr="00EA518F">
        <w:t xml:space="preserve">Maternal outcomes </w:t>
      </w:r>
      <w:proofErr w:type="gramStart"/>
      <w:r w:rsidRPr="00EA518F">
        <w:t>include:</w:t>
      </w:r>
      <w:proofErr w:type="gramEnd"/>
      <w:r w:rsidRPr="00EA518F">
        <w:t xml:space="preserve"> vaginal birth within </w:t>
      </w:r>
      <w:r w:rsidR="00EB43A9">
        <w:t>24 hours</w:t>
      </w:r>
      <w:r w:rsidRPr="00EA518F">
        <w:t xml:space="preserve">, haemorrhage, infection, operative vaginal birth, caesarean section, reason for caesarean section, use of oxytocin, use of epidural, satisfaction with care, experience of pain, time from IOL to birth, uterine hyperstimulation, uterine rupture and </w:t>
      </w:r>
      <w:r w:rsidR="00B0606D">
        <w:t>‘</w:t>
      </w:r>
      <w:r w:rsidRPr="00EA518F">
        <w:t>failed</w:t>
      </w:r>
      <w:r w:rsidR="00B0606D">
        <w:t>’</w:t>
      </w:r>
      <w:r w:rsidRPr="00EA518F">
        <w:t xml:space="preserve"> IOL.</w:t>
      </w:r>
    </w:p>
    <w:p w14:paraId="10FD0ACA" w14:textId="77777777" w:rsidR="00AC0F19" w:rsidRDefault="00AC0F19" w:rsidP="00A60020"/>
    <w:p w14:paraId="5693983C" w14:textId="77777777" w:rsidR="00AC0F19" w:rsidRPr="00EA518F" w:rsidRDefault="00AC0F19" w:rsidP="00A60020">
      <w:r w:rsidRPr="00EA518F">
        <w:t xml:space="preserve">Neonatal outcomes </w:t>
      </w:r>
      <w:proofErr w:type="gramStart"/>
      <w:r w:rsidRPr="00EA518F">
        <w:t>include:</w:t>
      </w:r>
      <w:proofErr w:type="gramEnd"/>
      <w:r w:rsidRPr="00EA518F">
        <w:t xml:space="preserve"> admission to the neonatal intensive care unit (NICU), </w:t>
      </w:r>
      <w:r w:rsidR="00763E83">
        <w:t>5</w:t>
      </w:r>
      <w:r w:rsidR="00763E83">
        <w:noBreakHyphen/>
        <w:t>minute</w:t>
      </w:r>
      <w:r w:rsidRPr="00EA518F">
        <w:t xml:space="preserve"> Apgar score</w:t>
      </w:r>
      <w:r>
        <w:t xml:space="preserve"> </w:t>
      </w:r>
      <w:r w:rsidRPr="00EA518F">
        <w:t>&lt;7, birth trauma, meconium aspiration syndrome, need for respiratory support, infection, seizures and long-term outcomes</w:t>
      </w:r>
      <w:r>
        <w:t>,</w:t>
      </w:r>
      <w:r w:rsidRPr="00EA518F">
        <w:t xml:space="preserve"> such as neurodevelopmental impairment in childhood.</w:t>
      </w:r>
    </w:p>
    <w:p w14:paraId="7744201E" w14:textId="77777777" w:rsidR="00AC0F19" w:rsidRPr="00EA518F" w:rsidRDefault="00AC0F19" w:rsidP="00A60020"/>
    <w:p w14:paraId="0B911570" w14:textId="77777777" w:rsidR="00AC0F19" w:rsidRPr="00EA518F" w:rsidRDefault="00AC0F19" w:rsidP="00A60020">
      <w:r w:rsidRPr="00EA518F">
        <w:t xml:space="preserve">Key clinical questions for clinical conditions* where IOL or expectant management may be considered as part of </w:t>
      </w:r>
      <w:r>
        <w:t xml:space="preserve">a </w:t>
      </w:r>
      <w:r w:rsidRPr="00EA518F">
        <w:t>management plan</w:t>
      </w:r>
      <w:r>
        <w:t xml:space="preserve"> are as follows.</w:t>
      </w:r>
    </w:p>
    <w:p w14:paraId="57F02AF3" w14:textId="77777777" w:rsidR="00AC0F19" w:rsidRDefault="00AC0F19" w:rsidP="00A60020">
      <w:pPr>
        <w:pStyle w:val="Number"/>
      </w:pPr>
      <w:r>
        <w:t>Is perinatal mortality reduced (for the clinical condition*) if labour is induced or expectantly managed?</w:t>
      </w:r>
    </w:p>
    <w:p w14:paraId="33AC8E23" w14:textId="77777777" w:rsidR="00AC0F19" w:rsidRDefault="00AC0F19" w:rsidP="00A60020">
      <w:pPr>
        <w:pStyle w:val="Number"/>
      </w:pPr>
      <w:r>
        <w:t>Is perinatal morbidity reduced (for the particular clinical condition*) if labour is induced or expectantly</w:t>
      </w:r>
      <w:r>
        <w:rPr>
          <w:spacing w:val="-1"/>
        </w:rPr>
        <w:t xml:space="preserve"> </w:t>
      </w:r>
      <w:r>
        <w:t>managed?</w:t>
      </w:r>
    </w:p>
    <w:p w14:paraId="7DD590BB" w14:textId="77777777" w:rsidR="00AC0F19" w:rsidRDefault="00AC0F19" w:rsidP="00A60020">
      <w:pPr>
        <w:pStyle w:val="Number"/>
      </w:pPr>
      <w:r>
        <w:t>Is</w:t>
      </w:r>
      <w:r>
        <w:rPr>
          <w:spacing w:val="-17"/>
        </w:rPr>
        <w:t xml:space="preserve"> </w:t>
      </w:r>
      <w:r>
        <w:t>maternal</w:t>
      </w:r>
      <w:r>
        <w:rPr>
          <w:spacing w:val="-19"/>
        </w:rPr>
        <w:t xml:space="preserve"> </w:t>
      </w:r>
      <w:r>
        <w:t>mortality/morbidity</w:t>
      </w:r>
      <w:r>
        <w:rPr>
          <w:spacing w:val="-18"/>
        </w:rPr>
        <w:t xml:space="preserve"> </w:t>
      </w:r>
      <w:r>
        <w:t>reduced</w:t>
      </w:r>
      <w:r>
        <w:rPr>
          <w:spacing w:val="-19"/>
        </w:rPr>
        <w:t xml:space="preserve"> </w:t>
      </w:r>
      <w:r>
        <w:t>(for</w:t>
      </w:r>
      <w:r>
        <w:rPr>
          <w:spacing w:val="-17"/>
        </w:rPr>
        <w:t xml:space="preserve"> </w:t>
      </w:r>
      <w:r>
        <w:t>the</w:t>
      </w:r>
      <w:r>
        <w:rPr>
          <w:spacing w:val="-19"/>
        </w:rPr>
        <w:t xml:space="preserve"> </w:t>
      </w:r>
      <w:r>
        <w:t>clinical</w:t>
      </w:r>
      <w:r>
        <w:rPr>
          <w:spacing w:val="-19"/>
        </w:rPr>
        <w:t xml:space="preserve"> </w:t>
      </w:r>
      <w:r>
        <w:t>condition*)</w:t>
      </w:r>
      <w:r>
        <w:rPr>
          <w:spacing w:val="-13"/>
        </w:rPr>
        <w:t xml:space="preserve"> </w:t>
      </w:r>
      <w:r>
        <w:t>if</w:t>
      </w:r>
      <w:r>
        <w:rPr>
          <w:spacing w:val="-17"/>
        </w:rPr>
        <w:t xml:space="preserve"> </w:t>
      </w:r>
      <w:r>
        <w:t>labour</w:t>
      </w:r>
      <w:r>
        <w:rPr>
          <w:spacing w:val="-13"/>
        </w:rPr>
        <w:t xml:space="preserve"> </w:t>
      </w:r>
      <w:r>
        <w:t>is</w:t>
      </w:r>
      <w:r>
        <w:rPr>
          <w:spacing w:val="-16"/>
        </w:rPr>
        <w:t xml:space="preserve"> </w:t>
      </w:r>
      <w:r>
        <w:t>induced or expectantly</w:t>
      </w:r>
      <w:r>
        <w:rPr>
          <w:spacing w:val="3"/>
        </w:rPr>
        <w:t xml:space="preserve"> </w:t>
      </w:r>
      <w:r>
        <w:t>managed?</w:t>
      </w:r>
    </w:p>
    <w:p w14:paraId="051E42BC" w14:textId="77777777" w:rsidR="00AC0F19" w:rsidRDefault="00AC0F19" w:rsidP="00A60020">
      <w:pPr>
        <w:pStyle w:val="Number"/>
      </w:pPr>
      <w:r>
        <w:t>What is the woman</w:t>
      </w:r>
      <w:r w:rsidR="00B0606D">
        <w:t>’</w:t>
      </w:r>
      <w:r>
        <w:t>s experience of induction of labour (for the clinical condition*) or an expectantly managed</w:t>
      </w:r>
      <w:r>
        <w:rPr>
          <w:spacing w:val="1"/>
        </w:rPr>
        <w:t xml:space="preserve"> </w:t>
      </w:r>
      <w:r>
        <w:t>labour?</w:t>
      </w:r>
    </w:p>
    <w:p w14:paraId="74F2CFE1" w14:textId="77777777" w:rsidR="00AC0F19" w:rsidRDefault="00AC0F19" w:rsidP="00A60020">
      <w:pPr>
        <w:pStyle w:val="Note"/>
        <w:ind w:left="284" w:hanging="284"/>
      </w:pPr>
      <w:r>
        <w:t>*</w:t>
      </w:r>
      <w:r w:rsidR="00A60020">
        <w:tab/>
      </w:r>
      <w:r>
        <w:t>Clinical conditions where IOL may be considered include: pregnancy ≥</w:t>
      </w:r>
      <w:r w:rsidR="00EB43A9">
        <w:t>41 weeks</w:t>
      </w:r>
      <w:r w:rsidR="00B0606D">
        <w:t>’</w:t>
      </w:r>
      <w:r>
        <w:t xml:space="preserve"> gestation, PROM, suspected SGA, diabetes in pregnancy, maternal obesity, advanced maternal age, reduced fetal movements, hypertension in pregnancy, antepartum haemorrhage of unknown origin, ART, suspected fetal macrosomia, multiple pregnancy, reduced liquor &lt;</w:t>
      </w:r>
      <w:r w:rsidR="00EB43A9">
        <w:t>41 weeks</w:t>
      </w:r>
      <w:r w:rsidR="00B0606D">
        <w:t>’</w:t>
      </w:r>
      <w:r>
        <w:t xml:space="preserve"> gestation, obstetric cholestasis, previous stillbirth, no medical indication.</w:t>
      </w:r>
    </w:p>
    <w:p w14:paraId="221DE3AD" w14:textId="77777777" w:rsidR="00AC0F19" w:rsidRDefault="00AC0F19" w:rsidP="00A60020"/>
    <w:p w14:paraId="6FB41DEA" w14:textId="77777777" w:rsidR="00AC0F19" w:rsidRDefault="00AC0F19" w:rsidP="00A60020">
      <w:pPr>
        <w:pStyle w:val="Heading2"/>
      </w:pPr>
      <w:bookmarkStart w:id="44" w:name="Guideline_development_process"/>
      <w:bookmarkStart w:id="45" w:name="_bookmark18"/>
      <w:bookmarkStart w:id="46" w:name="_Ref72482576"/>
      <w:bookmarkStart w:id="47" w:name="_Toc75787965"/>
      <w:bookmarkEnd w:id="44"/>
      <w:bookmarkEnd w:id="45"/>
      <w:r>
        <w:t xml:space="preserve">Guideline </w:t>
      </w:r>
      <w:r w:rsidRPr="00EA518F">
        <w:t>development</w:t>
      </w:r>
      <w:r>
        <w:t xml:space="preserve"> process</w:t>
      </w:r>
      <w:bookmarkEnd w:id="46"/>
      <w:bookmarkEnd w:id="47"/>
    </w:p>
    <w:p w14:paraId="6BEC9171" w14:textId="77777777" w:rsidR="00AC0F19" w:rsidRDefault="00AC0F19" w:rsidP="00436939">
      <w:pPr>
        <w:pStyle w:val="Heading3"/>
      </w:pPr>
      <w:bookmarkStart w:id="48" w:name="Overview"/>
      <w:bookmarkStart w:id="49" w:name="_bookmark19"/>
      <w:bookmarkEnd w:id="48"/>
      <w:bookmarkEnd w:id="49"/>
      <w:r>
        <w:t>Overview</w:t>
      </w:r>
    </w:p>
    <w:p w14:paraId="6D948A91" w14:textId="77777777" w:rsidR="00B0606D" w:rsidRDefault="00AC0F19" w:rsidP="00436939">
      <w:pPr>
        <w:keepNext/>
      </w:pPr>
      <w:r>
        <w:t xml:space="preserve">This guideline has been developed by members nominated by the New Zealand College of Midwives(NZCOM), The Royal Australian and New Zealand College of Obstetricians and Gynaecologists (RANZCOG) and Royal Australasian College of </w:t>
      </w:r>
      <w:r>
        <w:lastRenderedPageBreak/>
        <w:t>Physicians (RACP), along with representatives of consumer and midwifery and obstetrics groups from around New Zealand (</w:t>
      </w:r>
      <w:r w:rsidRPr="00B75D96">
        <w:t>see Appendix A).</w:t>
      </w:r>
    </w:p>
    <w:p w14:paraId="7694D9E1" w14:textId="77777777" w:rsidR="00AC0F19" w:rsidRDefault="00AC0F19" w:rsidP="00436939">
      <w:pPr>
        <w:keepNext/>
      </w:pPr>
    </w:p>
    <w:p w14:paraId="47777AA8" w14:textId="77777777" w:rsidR="00AC0F19" w:rsidRDefault="00AC0F19" w:rsidP="00436939">
      <w:r>
        <w:t>The multidisciplinary clinical guidelines panel created a secure internet-based folder and met monthly over videoconference from February 2018 to October 2019. There was a one-day in-person meeting in Auckland in December 2018 and a two-day in</w:t>
      </w:r>
      <w:r w:rsidR="00436939">
        <w:noBreakHyphen/>
      </w:r>
      <w:r>
        <w:t>person meeting in February 2019.</w:t>
      </w:r>
    </w:p>
    <w:p w14:paraId="4DA96ADA" w14:textId="77777777" w:rsidR="00AC0F19" w:rsidRDefault="00AC0F19" w:rsidP="00436939"/>
    <w:p w14:paraId="777515A4" w14:textId="77777777" w:rsidR="00AC0F19" w:rsidRDefault="00AC0F19" w:rsidP="00436939">
      <w:r>
        <w:t>The panel selected and categorised the level of evidence, including Cochrane and other meta-analyses, RCTs with IOL as the intervention, significant observational studies with IOL</w:t>
      </w:r>
      <w:r>
        <w:rPr>
          <w:spacing w:val="-43"/>
        </w:rPr>
        <w:t xml:space="preserve"> </w:t>
      </w:r>
      <w:r>
        <w:t>as the intervention, national and international guidelines and local expert</w:t>
      </w:r>
      <w:r>
        <w:rPr>
          <w:spacing w:val="-4"/>
        </w:rPr>
        <w:t xml:space="preserve"> </w:t>
      </w:r>
      <w:r>
        <w:t>advice.</w:t>
      </w:r>
    </w:p>
    <w:p w14:paraId="61CC3CB9" w14:textId="77777777" w:rsidR="00AC0F19" w:rsidRDefault="00AC0F19" w:rsidP="00436939"/>
    <w:p w14:paraId="734260B1" w14:textId="2161BB4C" w:rsidR="00AC0F19" w:rsidRDefault="00436939" w:rsidP="00436939">
      <w:pPr>
        <w:pStyle w:val="Table"/>
      </w:pPr>
      <w:bookmarkStart w:id="50" w:name="Table_2._National_Institute_of_Clinical_"/>
      <w:bookmarkStart w:id="51" w:name="_bookmark20"/>
      <w:bookmarkStart w:id="52" w:name="_Ref72414635"/>
      <w:bookmarkStart w:id="53" w:name="_Toc72488608"/>
      <w:bookmarkEnd w:id="50"/>
      <w:bookmarkEnd w:id="51"/>
      <w:r>
        <w:t>Table </w:t>
      </w:r>
      <w:r w:rsidR="004D0EDF">
        <w:fldChar w:fldCharType="begin"/>
      </w:r>
      <w:r w:rsidR="004D0EDF">
        <w:instrText xml:space="preserve"> SEQ Table \* ARABIC </w:instrText>
      </w:r>
      <w:r w:rsidR="004D0EDF">
        <w:fldChar w:fldCharType="separate"/>
      </w:r>
      <w:r w:rsidR="00C04A3F">
        <w:rPr>
          <w:noProof/>
        </w:rPr>
        <w:t>2</w:t>
      </w:r>
      <w:r w:rsidR="004D0EDF">
        <w:rPr>
          <w:noProof/>
        </w:rPr>
        <w:fldChar w:fldCharType="end"/>
      </w:r>
      <w:bookmarkEnd w:id="52"/>
      <w:r w:rsidR="00AC0F19">
        <w:t>:</w:t>
      </w:r>
      <w:r w:rsidR="00806252">
        <w:t xml:space="preserve"> </w:t>
      </w:r>
      <w:r w:rsidR="00AC0F19">
        <w:t>NICE levels of evidence and categories of papers</w:t>
      </w:r>
      <w:bookmarkEnd w:id="5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701"/>
        <w:gridCol w:w="6379"/>
      </w:tblGrid>
      <w:tr w:rsidR="00AC0F19" w:rsidRPr="00436939" w14:paraId="202D5B4C" w14:textId="77777777" w:rsidTr="004F4670">
        <w:trPr>
          <w:cantSplit/>
        </w:trPr>
        <w:tc>
          <w:tcPr>
            <w:tcW w:w="1701" w:type="dxa"/>
            <w:tcBorders>
              <w:top w:val="nil"/>
              <w:bottom w:val="nil"/>
            </w:tcBorders>
            <w:shd w:val="clear" w:color="auto" w:fill="D9D9D9" w:themeFill="background1" w:themeFillShade="D9"/>
          </w:tcPr>
          <w:p w14:paraId="54845E2F" w14:textId="77777777" w:rsidR="00AC0F19" w:rsidRPr="00436939" w:rsidRDefault="00AC0F19" w:rsidP="004F4670">
            <w:pPr>
              <w:pStyle w:val="TableText"/>
              <w:jc w:val="center"/>
              <w:rPr>
                <w:b/>
              </w:rPr>
            </w:pPr>
            <w:r w:rsidRPr="00436939">
              <w:rPr>
                <w:b/>
              </w:rPr>
              <w:t>Level of evidence</w:t>
            </w:r>
          </w:p>
        </w:tc>
        <w:tc>
          <w:tcPr>
            <w:tcW w:w="6379" w:type="dxa"/>
            <w:tcBorders>
              <w:top w:val="nil"/>
              <w:bottom w:val="nil"/>
            </w:tcBorders>
            <w:shd w:val="clear" w:color="auto" w:fill="D9D9D9" w:themeFill="background1" w:themeFillShade="D9"/>
          </w:tcPr>
          <w:p w14:paraId="751E22E3" w14:textId="77777777" w:rsidR="00AC0F19" w:rsidRPr="00436939" w:rsidRDefault="00AC0F19" w:rsidP="00436939">
            <w:pPr>
              <w:pStyle w:val="TableText"/>
              <w:rPr>
                <w:b/>
              </w:rPr>
            </w:pPr>
            <w:r w:rsidRPr="00436939">
              <w:rPr>
                <w:b/>
              </w:rPr>
              <w:t>Category of paper</w:t>
            </w:r>
          </w:p>
        </w:tc>
      </w:tr>
      <w:tr w:rsidR="00AC0F19" w14:paraId="3C196799" w14:textId="77777777" w:rsidTr="004F4670">
        <w:trPr>
          <w:cantSplit/>
        </w:trPr>
        <w:tc>
          <w:tcPr>
            <w:tcW w:w="1701" w:type="dxa"/>
            <w:tcBorders>
              <w:top w:val="nil"/>
            </w:tcBorders>
          </w:tcPr>
          <w:p w14:paraId="07143DC4" w14:textId="77777777" w:rsidR="00AC0F19" w:rsidRDefault="00AC0F19" w:rsidP="004F4670">
            <w:pPr>
              <w:pStyle w:val="TableText"/>
              <w:jc w:val="center"/>
            </w:pPr>
            <w:r>
              <w:t>1</w:t>
            </w:r>
          </w:p>
        </w:tc>
        <w:tc>
          <w:tcPr>
            <w:tcW w:w="6379" w:type="dxa"/>
            <w:tcBorders>
              <w:top w:val="nil"/>
            </w:tcBorders>
          </w:tcPr>
          <w:p w14:paraId="2E9242CC" w14:textId="77777777" w:rsidR="00AC0F19" w:rsidRDefault="00AC0F19" w:rsidP="00436939">
            <w:pPr>
              <w:pStyle w:val="TableText"/>
            </w:pPr>
            <w:r>
              <w:t>Meta-analyses, systematic reviews of RCTs or RCTs with a low risk of bias</w:t>
            </w:r>
          </w:p>
        </w:tc>
      </w:tr>
      <w:tr w:rsidR="00AC0F19" w14:paraId="0E29F5CF" w14:textId="77777777" w:rsidTr="004F4670">
        <w:trPr>
          <w:cantSplit/>
        </w:trPr>
        <w:tc>
          <w:tcPr>
            <w:tcW w:w="1701" w:type="dxa"/>
          </w:tcPr>
          <w:p w14:paraId="35A82A1B" w14:textId="77777777" w:rsidR="00AC0F19" w:rsidRDefault="00AC0F19" w:rsidP="004F4670">
            <w:pPr>
              <w:pStyle w:val="TableText"/>
              <w:jc w:val="center"/>
            </w:pPr>
            <w:r>
              <w:t>2</w:t>
            </w:r>
          </w:p>
        </w:tc>
        <w:tc>
          <w:tcPr>
            <w:tcW w:w="6379" w:type="dxa"/>
          </w:tcPr>
          <w:p w14:paraId="0F641944" w14:textId="77777777" w:rsidR="00AC0F19" w:rsidRDefault="00AC0F19" w:rsidP="00436939">
            <w:pPr>
              <w:pStyle w:val="TableText"/>
            </w:pPr>
            <w:r>
              <w:t>Systematic reviews of case-control or cohort studies or well conducted case-control or cohort studies with a low risk of confounding, bias or chance and a moderate probability of causal relationship</w:t>
            </w:r>
          </w:p>
        </w:tc>
      </w:tr>
      <w:tr w:rsidR="00AC0F19" w14:paraId="5C2AF05F" w14:textId="77777777" w:rsidTr="004F4670">
        <w:trPr>
          <w:cantSplit/>
        </w:trPr>
        <w:tc>
          <w:tcPr>
            <w:tcW w:w="1701" w:type="dxa"/>
          </w:tcPr>
          <w:p w14:paraId="7AC7D133" w14:textId="77777777" w:rsidR="00AC0F19" w:rsidRDefault="00AC0F19" w:rsidP="004F4670">
            <w:pPr>
              <w:pStyle w:val="TableText"/>
              <w:jc w:val="center"/>
            </w:pPr>
            <w:r>
              <w:t>3</w:t>
            </w:r>
          </w:p>
        </w:tc>
        <w:tc>
          <w:tcPr>
            <w:tcW w:w="6379" w:type="dxa"/>
          </w:tcPr>
          <w:p w14:paraId="5EB18AE9" w14:textId="77777777" w:rsidR="00AC0F19" w:rsidRDefault="00AC0F19" w:rsidP="00436939">
            <w:pPr>
              <w:pStyle w:val="TableText"/>
            </w:pPr>
            <w:r>
              <w:t>Non-analytic studies (for example, case reports, case series)</w:t>
            </w:r>
          </w:p>
        </w:tc>
      </w:tr>
      <w:tr w:rsidR="00AC0F19" w14:paraId="22A1F6DD" w14:textId="77777777" w:rsidTr="004F4670">
        <w:trPr>
          <w:cantSplit/>
        </w:trPr>
        <w:tc>
          <w:tcPr>
            <w:tcW w:w="1701" w:type="dxa"/>
          </w:tcPr>
          <w:p w14:paraId="765463A5" w14:textId="77777777" w:rsidR="00AC0F19" w:rsidRDefault="00AC0F19" w:rsidP="004F4670">
            <w:pPr>
              <w:pStyle w:val="TableText"/>
              <w:jc w:val="center"/>
            </w:pPr>
            <w:r>
              <w:t>4</w:t>
            </w:r>
          </w:p>
        </w:tc>
        <w:tc>
          <w:tcPr>
            <w:tcW w:w="6379" w:type="dxa"/>
          </w:tcPr>
          <w:p w14:paraId="1E7FA9CE" w14:textId="77777777" w:rsidR="00AC0F19" w:rsidRDefault="00AC0F19" w:rsidP="00436939">
            <w:pPr>
              <w:pStyle w:val="TableText"/>
            </w:pPr>
            <w:r>
              <w:t>Expert opinion, formal consensus</w:t>
            </w:r>
          </w:p>
        </w:tc>
      </w:tr>
    </w:tbl>
    <w:p w14:paraId="3A884A83" w14:textId="77777777" w:rsidR="00AC0F19" w:rsidRDefault="004F4670" w:rsidP="004F4670">
      <w:pPr>
        <w:pStyle w:val="Source"/>
      </w:pPr>
      <w:r>
        <w:t>Source: NICE 2008</w:t>
      </w:r>
    </w:p>
    <w:p w14:paraId="199F4F58" w14:textId="77777777" w:rsidR="004F4670" w:rsidRPr="004F4670" w:rsidRDefault="004F4670" w:rsidP="004F4670"/>
    <w:p w14:paraId="0FB3AEF3" w14:textId="77777777" w:rsidR="00AC0F19" w:rsidRDefault="00AC0F19" w:rsidP="004F4670">
      <w:r>
        <w:t>The panel used the Grading of Recommendations Assessment, Development, and Evaluation (GRADE) framework to rate the quality of the evidence and the strength of the recommendations (</w:t>
      </w:r>
      <w:proofErr w:type="spellStart"/>
      <w:r>
        <w:t>Guyatt</w:t>
      </w:r>
      <w:proofErr w:type="spellEnd"/>
      <w:r>
        <w:t xml:space="preserve"> </w:t>
      </w:r>
      <w:r w:rsidR="000F3C98">
        <w:t>et al</w:t>
      </w:r>
      <w:r>
        <w:rPr>
          <w:spacing w:val="-9"/>
        </w:rPr>
        <w:t xml:space="preserve"> </w:t>
      </w:r>
      <w:r>
        <w:t>2008).</w:t>
      </w:r>
      <w:r>
        <w:rPr>
          <w:spacing w:val="-7"/>
        </w:rPr>
        <w:t xml:space="preserve"> </w:t>
      </w:r>
      <w:r>
        <w:t>The</w:t>
      </w:r>
      <w:r>
        <w:rPr>
          <w:spacing w:val="-3"/>
        </w:rPr>
        <w:t xml:space="preserve"> </w:t>
      </w:r>
      <w:r>
        <w:t>GRADE</w:t>
      </w:r>
      <w:r>
        <w:rPr>
          <w:spacing w:val="-8"/>
        </w:rPr>
        <w:t xml:space="preserve"> </w:t>
      </w:r>
      <w:r>
        <w:t>framework</w:t>
      </w:r>
      <w:r>
        <w:rPr>
          <w:spacing w:val="-9"/>
        </w:rPr>
        <w:t xml:space="preserve"> </w:t>
      </w:r>
      <w:r>
        <w:t>classifies</w:t>
      </w:r>
      <w:r>
        <w:rPr>
          <w:spacing w:val="-6"/>
        </w:rPr>
        <w:t xml:space="preserve"> </w:t>
      </w:r>
      <w:r>
        <w:t>the</w:t>
      </w:r>
      <w:r>
        <w:rPr>
          <w:spacing w:val="-8"/>
        </w:rPr>
        <w:t xml:space="preserve"> </w:t>
      </w:r>
      <w:r>
        <w:t>quality</w:t>
      </w:r>
      <w:r>
        <w:rPr>
          <w:spacing w:val="-8"/>
        </w:rPr>
        <w:t xml:space="preserve"> </w:t>
      </w:r>
      <w:r>
        <w:t>of</w:t>
      </w:r>
      <w:r>
        <w:rPr>
          <w:spacing w:val="-7"/>
        </w:rPr>
        <w:t xml:space="preserve"> </w:t>
      </w:r>
      <w:r>
        <w:t>evidence</w:t>
      </w:r>
      <w:r>
        <w:rPr>
          <w:spacing w:val="-8"/>
        </w:rPr>
        <w:t xml:space="preserve"> </w:t>
      </w:r>
      <w:r>
        <w:t>in</w:t>
      </w:r>
      <w:r>
        <w:rPr>
          <w:spacing w:val="-8"/>
        </w:rPr>
        <w:t xml:space="preserve"> </w:t>
      </w:r>
      <w:r>
        <w:t>one</w:t>
      </w:r>
      <w:r>
        <w:rPr>
          <w:spacing w:val="-9"/>
        </w:rPr>
        <w:t xml:space="preserve"> </w:t>
      </w:r>
      <w:r>
        <w:t>of</w:t>
      </w:r>
      <w:r>
        <w:rPr>
          <w:spacing w:val="-6"/>
        </w:rPr>
        <w:t xml:space="preserve"> </w:t>
      </w:r>
      <w:r>
        <w:t>four</w:t>
      </w:r>
      <w:r>
        <w:rPr>
          <w:spacing w:val="-7"/>
        </w:rPr>
        <w:t xml:space="preserve"> </w:t>
      </w:r>
      <w:r>
        <w:t>levels</w:t>
      </w:r>
      <w:r>
        <w:rPr>
          <w:spacing w:val="-8"/>
        </w:rPr>
        <w:t xml:space="preserve"> </w:t>
      </w:r>
      <w:r>
        <w:t xml:space="preserve">and offers three grades of </w:t>
      </w:r>
      <w:r w:rsidRPr="00EA518F">
        <w:t>recommendations</w:t>
      </w:r>
      <w:r>
        <w:t xml:space="preserve">. When the desirable effects of an intervention clearly outweigh the undesirable effects, or clearly do not, the panel can offer </w:t>
      </w:r>
      <w:r w:rsidR="00B0606D">
        <w:t>‘</w:t>
      </w:r>
      <w:r>
        <w:t>strong</w:t>
      </w:r>
      <w:r w:rsidR="00B0606D">
        <w:t>’</w:t>
      </w:r>
      <w:r>
        <w:t xml:space="preserve"> recommendations. On the other hand, where the trade-offs are less certain, either because of low-quality evidence or because evidence suggests that desirable and undesirable effects are closely balanced, the panel must offer </w:t>
      </w:r>
      <w:r w:rsidR="00B0606D">
        <w:t>‘</w:t>
      </w:r>
      <w:r>
        <w:t>conditional</w:t>
      </w:r>
      <w:r w:rsidR="00B0606D">
        <w:t>’</w:t>
      </w:r>
      <w:r>
        <w:t xml:space="preserve"> recommendations.</w:t>
      </w:r>
    </w:p>
    <w:p w14:paraId="7B4B5ACB" w14:textId="77777777" w:rsidR="00AC0F19" w:rsidRDefault="00AC0F19" w:rsidP="004F4670"/>
    <w:p w14:paraId="14E718A2" w14:textId="77777777" w:rsidR="00AC0F19" w:rsidRDefault="00AC0F19" w:rsidP="004F4670">
      <w:r>
        <w:t xml:space="preserve">The GRADE framework also offers an option for presenting a </w:t>
      </w:r>
      <w:r w:rsidR="00B0606D">
        <w:t>‘</w:t>
      </w:r>
      <w:r>
        <w:t>good practice point</w:t>
      </w:r>
      <w:r w:rsidR="00B0606D">
        <w:t>’</w:t>
      </w:r>
      <w:r>
        <w:t xml:space="preserve"> (GPP). GPPs are recommendations that can be made when it is </w:t>
      </w:r>
      <w:proofErr w:type="gramStart"/>
      <w:r>
        <w:t>deemed</w:t>
      </w:r>
      <w:proofErr w:type="gramEnd"/>
      <w:r>
        <w:t xml:space="preserve"> they will be helpful to the clinician but where there is no direct evidence to support it.</w:t>
      </w:r>
    </w:p>
    <w:p w14:paraId="00A8AE23" w14:textId="77777777" w:rsidR="00AC0F19" w:rsidRDefault="00AC0F19" w:rsidP="004F4670"/>
    <w:p w14:paraId="622D196E" w14:textId="2780D339" w:rsidR="00AC0F19" w:rsidRDefault="004F4670" w:rsidP="004F4670">
      <w:pPr>
        <w:pStyle w:val="Table"/>
      </w:pPr>
      <w:bookmarkStart w:id="54" w:name="Table_3._GRADE_quality_rating_for_eviden"/>
      <w:bookmarkStart w:id="55" w:name="_bookmark21"/>
      <w:bookmarkStart w:id="56" w:name="_Ref72414642"/>
      <w:bookmarkStart w:id="57" w:name="_Toc72488609"/>
      <w:bookmarkEnd w:id="54"/>
      <w:bookmarkEnd w:id="55"/>
      <w:r>
        <w:t>Table </w:t>
      </w:r>
      <w:r w:rsidR="004D0EDF">
        <w:fldChar w:fldCharType="begin"/>
      </w:r>
      <w:r w:rsidR="004D0EDF">
        <w:instrText xml:space="preserve"> SEQ Table \* ARABIC </w:instrText>
      </w:r>
      <w:r w:rsidR="004D0EDF">
        <w:fldChar w:fldCharType="separate"/>
      </w:r>
      <w:r w:rsidR="00C04A3F">
        <w:rPr>
          <w:noProof/>
        </w:rPr>
        <w:t>3</w:t>
      </w:r>
      <w:r w:rsidR="004D0EDF">
        <w:rPr>
          <w:noProof/>
        </w:rPr>
        <w:fldChar w:fldCharType="end"/>
      </w:r>
      <w:bookmarkEnd w:id="56"/>
      <w:r w:rsidR="00AC0F19">
        <w:t>:</w:t>
      </w:r>
      <w:r w:rsidR="00806252">
        <w:t xml:space="preserve"> </w:t>
      </w:r>
      <w:r w:rsidR="00AC0F19">
        <w:t>GRADE quality rating for evidence and strength of recommendations</w:t>
      </w:r>
      <w:bookmarkEnd w:id="57"/>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8080"/>
      </w:tblGrid>
      <w:tr w:rsidR="00AC0F19" w:rsidRPr="004F4670" w14:paraId="5754D759" w14:textId="77777777" w:rsidTr="004F4670">
        <w:trPr>
          <w:cantSplit/>
        </w:trPr>
        <w:tc>
          <w:tcPr>
            <w:tcW w:w="8080" w:type="dxa"/>
            <w:tcBorders>
              <w:top w:val="nil"/>
              <w:bottom w:val="nil"/>
            </w:tcBorders>
            <w:shd w:val="clear" w:color="auto" w:fill="D9D9D9" w:themeFill="background1" w:themeFillShade="D9"/>
          </w:tcPr>
          <w:p w14:paraId="77356AF3" w14:textId="77777777" w:rsidR="00AC0F19" w:rsidRPr="004F4670" w:rsidRDefault="00AC0F19" w:rsidP="004F4670">
            <w:pPr>
              <w:pStyle w:val="TableText"/>
              <w:rPr>
                <w:b/>
              </w:rPr>
            </w:pPr>
            <w:r w:rsidRPr="004F4670">
              <w:rPr>
                <w:b/>
              </w:rPr>
              <w:t>GRADE rating of quality of evidence</w:t>
            </w:r>
          </w:p>
        </w:tc>
      </w:tr>
      <w:tr w:rsidR="00AC0F19" w14:paraId="513D3A80" w14:textId="77777777" w:rsidTr="004F4670">
        <w:trPr>
          <w:cantSplit/>
        </w:trPr>
        <w:tc>
          <w:tcPr>
            <w:tcW w:w="8080" w:type="dxa"/>
            <w:tcBorders>
              <w:top w:val="nil"/>
              <w:bottom w:val="nil"/>
            </w:tcBorders>
            <w:shd w:val="clear" w:color="auto" w:fill="auto"/>
          </w:tcPr>
          <w:p w14:paraId="6CD660E6" w14:textId="77777777" w:rsidR="00AC0F19" w:rsidRDefault="00AC0F19" w:rsidP="004F4670">
            <w:pPr>
              <w:pStyle w:val="TableText"/>
            </w:pPr>
            <w:r w:rsidRPr="004F4670">
              <w:rPr>
                <w:b/>
              </w:rPr>
              <w:lastRenderedPageBreak/>
              <w:t>High quality:</w:t>
            </w:r>
            <w:r>
              <w:t xml:space="preserve"> Further research is very unlikely to change our confidence in the estimate of effect. </w:t>
            </w:r>
            <w:r w:rsidRPr="00114923">
              <w:t>Moderate quality</w:t>
            </w:r>
            <w:r>
              <w:t>: Further research is likely to have an important impact on our confidence in the estimate of effect and may change the estimate.</w:t>
            </w:r>
          </w:p>
          <w:p w14:paraId="77504326" w14:textId="77777777" w:rsidR="00AC0F19" w:rsidRDefault="00AC0F19" w:rsidP="004F4670">
            <w:pPr>
              <w:pStyle w:val="TableText"/>
            </w:pPr>
            <w:r w:rsidRPr="004F4670">
              <w:rPr>
                <w:b/>
              </w:rPr>
              <w:t>Low quality:</w:t>
            </w:r>
            <w:r>
              <w:t xml:space="preserve"> Further research is very likely to have an important impact on our confidence in the estimate of effect and is likely to change the estimate.</w:t>
            </w:r>
          </w:p>
          <w:p w14:paraId="5D2D02B6" w14:textId="77777777" w:rsidR="00AC0F19" w:rsidRDefault="00AC0F19" w:rsidP="004F4670">
            <w:pPr>
              <w:pStyle w:val="TableText"/>
            </w:pPr>
            <w:r w:rsidRPr="004F4670">
              <w:rPr>
                <w:b/>
              </w:rPr>
              <w:t>Very low quality:</w:t>
            </w:r>
            <w:r>
              <w:t xml:space="preserve"> Any estimate of effect is very uncertain.</w:t>
            </w:r>
          </w:p>
          <w:p w14:paraId="22CDEE57" w14:textId="77777777" w:rsidR="00AC0F19" w:rsidRDefault="00AC0F19" w:rsidP="004F4670">
            <w:pPr>
              <w:pStyle w:val="Note"/>
              <w:spacing w:after="80"/>
            </w:pPr>
            <w:r>
              <w:t>Note: RCTs start at high quality, cohort and case-control studies start at low quality, and case series and expert opinion are very low quality. Confidence in the evidence may decrease for several reasons, including study limitations, inconsistency of results, indirectness of evidence, imprecision and reporting bias and may increase if the magnitude of the treatment effect is very large, if there is evidence of a dose-response relation or if all plausible biases would decrease the magnitude of an apparent treatment effect.</w:t>
            </w:r>
          </w:p>
        </w:tc>
      </w:tr>
      <w:tr w:rsidR="00AC0F19" w:rsidRPr="004F4670" w14:paraId="787E1C89" w14:textId="77777777" w:rsidTr="004F4670">
        <w:trPr>
          <w:cantSplit/>
        </w:trPr>
        <w:tc>
          <w:tcPr>
            <w:tcW w:w="8080" w:type="dxa"/>
            <w:tcBorders>
              <w:top w:val="nil"/>
              <w:bottom w:val="nil"/>
            </w:tcBorders>
            <w:shd w:val="clear" w:color="auto" w:fill="D9D9D9" w:themeFill="background1" w:themeFillShade="D9"/>
          </w:tcPr>
          <w:p w14:paraId="34FA1180" w14:textId="77777777" w:rsidR="00AC0F19" w:rsidRPr="004F4670" w:rsidRDefault="00AC0F19" w:rsidP="004F4670">
            <w:pPr>
              <w:pStyle w:val="TableText"/>
              <w:rPr>
                <w:b/>
              </w:rPr>
            </w:pPr>
            <w:r w:rsidRPr="004F4670">
              <w:rPr>
                <w:b/>
              </w:rPr>
              <w:t>GRADE rating of strength of recommendations</w:t>
            </w:r>
          </w:p>
        </w:tc>
      </w:tr>
      <w:tr w:rsidR="00AC0F19" w14:paraId="589508B8" w14:textId="77777777" w:rsidTr="004F4670">
        <w:trPr>
          <w:cantSplit/>
        </w:trPr>
        <w:tc>
          <w:tcPr>
            <w:tcW w:w="8080" w:type="dxa"/>
            <w:tcBorders>
              <w:top w:val="nil"/>
            </w:tcBorders>
            <w:shd w:val="clear" w:color="auto" w:fill="auto"/>
          </w:tcPr>
          <w:p w14:paraId="1919A716" w14:textId="77777777" w:rsidR="004F4670" w:rsidRDefault="00AC0F19" w:rsidP="004F4670">
            <w:pPr>
              <w:pStyle w:val="TableText"/>
            </w:pPr>
            <w:r>
              <w:t>Strong</w:t>
            </w:r>
          </w:p>
          <w:p w14:paraId="082BBF74" w14:textId="77777777" w:rsidR="00AC0F19" w:rsidRDefault="00AC0F19" w:rsidP="004F4670">
            <w:pPr>
              <w:pStyle w:val="TableText"/>
            </w:pPr>
            <w:r>
              <w:t>Conditional</w:t>
            </w:r>
          </w:p>
          <w:p w14:paraId="115C6B0F" w14:textId="77777777" w:rsidR="00AC0F19" w:rsidRDefault="00AC0F19" w:rsidP="004F4670">
            <w:pPr>
              <w:pStyle w:val="TableText"/>
            </w:pPr>
            <w:r>
              <w:t>Good practice point (GPP)</w:t>
            </w:r>
          </w:p>
          <w:p w14:paraId="2183CE7B" w14:textId="77777777" w:rsidR="00AC0F19" w:rsidRPr="00162C3F" w:rsidRDefault="00AC0F19" w:rsidP="004F4670">
            <w:pPr>
              <w:pStyle w:val="Note"/>
              <w:spacing w:after="80"/>
            </w:pPr>
            <w:r w:rsidRPr="00162C3F">
              <w:t>Note: Recommendations can be in favour of or against a practice.</w:t>
            </w:r>
          </w:p>
        </w:tc>
      </w:tr>
    </w:tbl>
    <w:p w14:paraId="687C51FC" w14:textId="77777777" w:rsidR="00AC0F19" w:rsidRDefault="004F4670" w:rsidP="004F4670">
      <w:pPr>
        <w:pStyle w:val="Source"/>
      </w:pPr>
      <w:r>
        <w:t xml:space="preserve">Source: </w:t>
      </w:r>
      <w:proofErr w:type="spellStart"/>
      <w:r>
        <w:t>Guyatt</w:t>
      </w:r>
      <w:proofErr w:type="spellEnd"/>
      <w:r>
        <w:t xml:space="preserve"> </w:t>
      </w:r>
      <w:r w:rsidR="000F3C98">
        <w:t>et al</w:t>
      </w:r>
      <w:r>
        <w:t xml:space="preserve"> 2008</w:t>
      </w:r>
    </w:p>
    <w:p w14:paraId="046213E8" w14:textId="77777777" w:rsidR="004F4670" w:rsidRPr="004F4670" w:rsidRDefault="004F4670" w:rsidP="004F4670"/>
    <w:p w14:paraId="41A25936" w14:textId="77777777" w:rsidR="00AC0F19" w:rsidRDefault="00AC0F19" w:rsidP="004F4670">
      <w:r>
        <w:t>The panel discussed the evidence at length, placed it in the New Zealand context and formulated recommendations by consensus. The issues considered were sometimes complex due to the diversity of the research studies reviewed, the inconsistent reporting of outcomes and the lack of maternal experience and involvement in the research. Moreover, the evidence studied hardly ever reported the important long-term outcomes for the</w:t>
      </w:r>
      <w:r>
        <w:rPr>
          <w:spacing w:val="-14"/>
        </w:rPr>
        <w:t xml:space="preserve"> </w:t>
      </w:r>
      <w:r>
        <w:t>mother</w:t>
      </w:r>
      <w:r>
        <w:rPr>
          <w:spacing w:val="-8"/>
        </w:rPr>
        <w:t xml:space="preserve"> </w:t>
      </w:r>
      <w:r>
        <w:t>and</w:t>
      </w:r>
      <w:r>
        <w:rPr>
          <w:spacing w:val="-13"/>
        </w:rPr>
        <w:t xml:space="preserve"> </w:t>
      </w:r>
      <w:r>
        <w:t>the</w:t>
      </w:r>
      <w:r>
        <w:rPr>
          <w:spacing w:val="-14"/>
        </w:rPr>
        <w:t xml:space="preserve"> </w:t>
      </w:r>
      <w:r>
        <w:t>baby.</w:t>
      </w:r>
      <w:r>
        <w:rPr>
          <w:spacing w:val="-8"/>
        </w:rPr>
        <w:t xml:space="preserve"> </w:t>
      </w:r>
      <w:r>
        <w:t>Where</w:t>
      </w:r>
      <w:r>
        <w:rPr>
          <w:spacing w:val="-14"/>
        </w:rPr>
        <w:t xml:space="preserve"> </w:t>
      </w:r>
      <w:r>
        <w:t>evidence</w:t>
      </w:r>
      <w:r>
        <w:rPr>
          <w:spacing w:val="-9"/>
        </w:rPr>
        <w:t xml:space="preserve"> </w:t>
      </w:r>
      <w:r>
        <w:t>was</w:t>
      </w:r>
      <w:r>
        <w:rPr>
          <w:spacing w:val="-6"/>
        </w:rPr>
        <w:t xml:space="preserve"> </w:t>
      </w:r>
      <w:r>
        <w:t>insufficient, the panel flagged the</w:t>
      </w:r>
      <w:r>
        <w:rPr>
          <w:spacing w:val="-12"/>
        </w:rPr>
        <w:t xml:space="preserve"> </w:t>
      </w:r>
      <w:r>
        <w:t>research</w:t>
      </w:r>
      <w:r>
        <w:rPr>
          <w:spacing w:val="-13"/>
        </w:rPr>
        <w:t xml:space="preserve"> </w:t>
      </w:r>
      <w:r>
        <w:t>gaps.</w:t>
      </w:r>
    </w:p>
    <w:p w14:paraId="0C4553B9" w14:textId="77777777" w:rsidR="00AC0F19" w:rsidRDefault="00AC0F19" w:rsidP="004F4670">
      <w:bookmarkStart w:id="58" w:name="External_consultation"/>
      <w:bookmarkStart w:id="59" w:name="_bookmark22"/>
      <w:bookmarkEnd w:id="58"/>
      <w:bookmarkEnd w:id="59"/>
    </w:p>
    <w:p w14:paraId="5AA99149" w14:textId="77777777" w:rsidR="00AC0F19" w:rsidRDefault="00AC0F19" w:rsidP="004F4670">
      <w:pPr>
        <w:pStyle w:val="Heading3"/>
      </w:pPr>
      <w:r>
        <w:t>External consultation</w:t>
      </w:r>
    </w:p>
    <w:p w14:paraId="36377663" w14:textId="77777777" w:rsidR="00AC0F19" w:rsidRDefault="00AC0F19" w:rsidP="004F4670">
      <w:r w:rsidRPr="00EA518F">
        <w:t xml:space="preserve">In July and August 2019, </w:t>
      </w:r>
      <w:r>
        <w:t xml:space="preserve">the panel sent out </w:t>
      </w:r>
      <w:r w:rsidRPr="00EA518F">
        <w:t>the draft guideline for extensive consultation</w:t>
      </w:r>
      <w:r>
        <w:t>. This</w:t>
      </w:r>
      <w:r w:rsidRPr="00EA518F">
        <w:t xml:space="preserve"> involv</w:t>
      </w:r>
      <w:r>
        <w:t>ed</w:t>
      </w:r>
      <w:r w:rsidRPr="00EA518F">
        <w:t xml:space="preserve"> several professional groups, including</w:t>
      </w:r>
      <w:r>
        <w:t>:</w:t>
      </w:r>
    </w:p>
    <w:p w14:paraId="08C577C7" w14:textId="77777777" w:rsidR="00AC0F19" w:rsidRDefault="00AC0F19" w:rsidP="004F4670">
      <w:pPr>
        <w:pStyle w:val="Bullet"/>
      </w:pPr>
      <w:r w:rsidRPr="00EA518F">
        <w:t>Australia</w:t>
      </w:r>
      <w:r>
        <w:t xml:space="preserve">n and New Zealand </w:t>
      </w:r>
      <w:r w:rsidRPr="00EA518F">
        <w:t>College of Anaesthetists (ANZCA)</w:t>
      </w:r>
    </w:p>
    <w:p w14:paraId="1A90CF88" w14:textId="77777777" w:rsidR="00AC0F19" w:rsidRDefault="00AC0F19" w:rsidP="004F4670">
      <w:pPr>
        <w:pStyle w:val="Bullet"/>
      </w:pPr>
      <w:r w:rsidRPr="00EA518F">
        <w:t xml:space="preserve">Clinical Directors Network </w:t>
      </w:r>
      <w:r>
        <w:t xml:space="preserve">New Zealand </w:t>
      </w:r>
      <w:r w:rsidRPr="00EA518F">
        <w:t xml:space="preserve">(DHB </w:t>
      </w:r>
      <w:r>
        <w:t>o</w:t>
      </w:r>
      <w:r w:rsidRPr="00EA518F">
        <w:t>bstetrician leaders)</w:t>
      </w:r>
    </w:p>
    <w:p w14:paraId="40765DC3" w14:textId="77777777" w:rsidR="00AC0F19" w:rsidRDefault="00AC0F19" w:rsidP="004F4670">
      <w:pPr>
        <w:pStyle w:val="Bullet"/>
      </w:pPr>
      <w:r w:rsidRPr="00EA518F">
        <w:t xml:space="preserve">DHB Midwife Leaders </w:t>
      </w:r>
      <w:r>
        <w:t>G</w:t>
      </w:r>
      <w:r w:rsidRPr="00EA518F">
        <w:t>roup</w:t>
      </w:r>
    </w:p>
    <w:p w14:paraId="17F7D503" w14:textId="77777777" w:rsidR="00AC0F19" w:rsidRDefault="00AC0F19" w:rsidP="004F4670">
      <w:pPr>
        <w:pStyle w:val="Bullet"/>
      </w:pPr>
      <w:r w:rsidRPr="00EA518F">
        <w:t xml:space="preserve">Health Quality </w:t>
      </w:r>
      <w:r>
        <w:t>&amp;</w:t>
      </w:r>
      <w:r w:rsidRPr="00EA518F">
        <w:t xml:space="preserve"> Safety Commission (HQSC)</w:t>
      </w:r>
    </w:p>
    <w:p w14:paraId="19B39F65" w14:textId="77777777" w:rsidR="00AC0F19" w:rsidRDefault="00AC0F19" w:rsidP="004F4670">
      <w:pPr>
        <w:pStyle w:val="Bullet"/>
      </w:pPr>
      <w:r w:rsidRPr="00EA518F">
        <w:t>Maternity Services Consumer Council</w:t>
      </w:r>
    </w:p>
    <w:p w14:paraId="1AF6AE39" w14:textId="77777777" w:rsidR="00AC0F19" w:rsidRDefault="00AC0F19" w:rsidP="004F4670">
      <w:pPr>
        <w:pStyle w:val="Bullet"/>
      </w:pPr>
      <w:r w:rsidRPr="00EA518F">
        <w:t>Nga Maia</w:t>
      </w:r>
      <w:r>
        <w:t xml:space="preserve"> Māori Midwives Aotearoa</w:t>
      </w:r>
    </w:p>
    <w:p w14:paraId="048693F5" w14:textId="77777777" w:rsidR="00AC0F19" w:rsidRDefault="00AC0F19" w:rsidP="004F4670">
      <w:pPr>
        <w:pStyle w:val="Bullet"/>
      </w:pPr>
      <w:r w:rsidRPr="00EA518F">
        <w:t>National Maternity Monitoring Group</w:t>
      </w:r>
      <w:r>
        <w:t xml:space="preserve"> (NMMG)</w:t>
      </w:r>
    </w:p>
    <w:p w14:paraId="39E6C9EA" w14:textId="77777777" w:rsidR="00B0606D" w:rsidRDefault="00AC0F19" w:rsidP="004F4670">
      <w:pPr>
        <w:pStyle w:val="Bullet"/>
      </w:pPr>
      <w:r w:rsidRPr="00EA518F">
        <w:t>N</w:t>
      </w:r>
      <w:r>
        <w:t xml:space="preserve">ew </w:t>
      </w:r>
      <w:r w:rsidRPr="00EA518F">
        <w:t>Z</w:t>
      </w:r>
      <w:r>
        <w:t>ealand</w:t>
      </w:r>
      <w:r w:rsidRPr="00EA518F">
        <w:t xml:space="preserve"> College of Midwives</w:t>
      </w:r>
    </w:p>
    <w:p w14:paraId="65DCDA6A" w14:textId="77777777" w:rsidR="00AC0F19" w:rsidRDefault="00AC0F19" w:rsidP="004F4670">
      <w:pPr>
        <w:pStyle w:val="Bullet"/>
      </w:pPr>
      <w:r w:rsidRPr="00EA518F">
        <w:t xml:space="preserve">Perinatal Society </w:t>
      </w:r>
      <w:r>
        <w:t>New Zealand</w:t>
      </w:r>
    </w:p>
    <w:p w14:paraId="64B40E7D" w14:textId="77777777" w:rsidR="00B0606D" w:rsidRDefault="00AC0F19" w:rsidP="004F4670">
      <w:pPr>
        <w:pStyle w:val="Bullet"/>
      </w:pPr>
      <w:r w:rsidRPr="00EA518F">
        <w:t xml:space="preserve">Pharmaceutical Society of </w:t>
      </w:r>
      <w:r>
        <w:t>New Zealand</w:t>
      </w:r>
    </w:p>
    <w:p w14:paraId="6A9CC685" w14:textId="77777777" w:rsidR="00AC0F19" w:rsidRDefault="00AC0F19" w:rsidP="004F4670">
      <w:pPr>
        <w:pStyle w:val="Bullet"/>
      </w:pPr>
      <w:r>
        <w:t>Royal Australasian College of Physicians (</w:t>
      </w:r>
      <w:r w:rsidRPr="00EA518F">
        <w:t>RACP</w:t>
      </w:r>
      <w:r>
        <w:t>)</w:t>
      </w:r>
    </w:p>
    <w:p w14:paraId="1B78D8DA" w14:textId="77777777" w:rsidR="00B0606D" w:rsidRDefault="00AC0F19" w:rsidP="004F4670">
      <w:pPr>
        <w:pStyle w:val="Bullet"/>
      </w:pPr>
      <w:r>
        <w:t>The Royal Australian and New Zealand College of Obstetricians and Gynaecologists (</w:t>
      </w:r>
      <w:r w:rsidRPr="00EA518F">
        <w:t>RANZCOG</w:t>
      </w:r>
      <w:r>
        <w:t>)</w:t>
      </w:r>
    </w:p>
    <w:p w14:paraId="0623D254" w14:textId="77777777" w:rsidR="00B0606D" w:rsidRDefault="00AC0F19" w:rsidP="004F4670">
      <w:pPr>
        <w:pStyle w:val="Bullet"/>
      </w:pPr>
      <w:r w:rsidRPr="00EA518F">
        <w:t>Te Kāhui Oranga ō Nuku</w:t>
      </w:r>
      <w:r>
        <w:t xml:space="preserve"> (formerly the New Zealand Committee)</w:t>
      </w:r>
      <w:r w:rsidRPr="00EA518F">
        <w:t>.</w:t>
      </w:r>
    </w:p>
    <w:p w14:paraId="27489DA9" w14:textId="77777777" w:rsidR="00AC0F19" w:rsidRDefault="00AC0F19" w:rsidP="004F4670"/>
    <w:p w14:paraId="27D51844" w14:textId="77777777" w:rsidR="00AC0F19" w:rsidRPr="00EA518F" w:rsidRDefault="00AC0F19" w:rsidP="004F4670">
      <w:r w:rsidRPr="00EA518F">
        <w:t>Organisations were asked to review the guideline to verify the completeness of the literature review, ensure the guideline</w:t>
      </w:r>
      <w:r w:rsidR="00B0606D">
        <w:t>’</w:t>
      </w:r>
      <w:r w:rsidRPr="00EA518F">
        <w:t>s clinical sensibility and judge its usefulness. Specifically, they were asked if they agreed or disagreed with the recommendations and to provide a rationale for their answer.</w:t>
      </w:r>
    </w:p>
    <w:p w14:paraId="3510A133" w14:textId="77777777" w:rsidR="00AC0F19" w:rsidRPr="00EA518F" w:rsidRDefault="00AC0F19" w:rsidP="004F4670"/>
    <w:p w14:paraId="5A04F9B7" w14:textId="77777777" w:rsidR="00AC0F19" w:rsidRPr="00EA518F" w:rsidRDefault="00AC0F19" w:rsidP="004F4670">
      <w:r w:rsidRPr="00EA518F">
        <w:t xml:space="preserve">Individuals were also offered the opportunity to feedback via an electronic survey consisting of 10 questions with </w:t>
      </w:r>
      <w:r>
        <w:t>L</w:t>
      </w:r>
      <w:r w:rsidRPr="00EA518F">
        <w:t xml:space="preserve">ikert-scale ratings and space for comments. There were 38 responses to the survey, some of whom indicated they were responding on behalf of a group. Formal written responses were received from five </w:t>
      </w:r>
      <w:r>
        <w:t>c</w:t>
      </w:r>
      <w:r w:rsidRPr="00EA518F">
        <w:t xml:space="preserve">linical </w:t>
      </w:r>
      <w:r>
        <w:t>d</w:t>
      </w:r>
      <w:r w:rsidRPr="00EA518F">
        <w:t xml:space="preserve">irectors, two individual obstetricians, ANZCA, HQSC, </w:t>
      </w:r>
      <w:r>
        <w:t>the New Zealand College of Midwives</w:t>
      </w:r>
      <w:r w:rsidRPr="00EA518F">
        <w:t xml:space="preserve">, </w:t>
      </w:r>
      <w:r>
        <w:t xml:space="preserve">the </w:t>
      </w:r>
      <w:r w:rsidRPr="00EA518F">
        <w:t xml:space="preserve">Perinatal Society </w:t>
      </w:r>
      <w:r>
        <w:t>New Zealand</w:t>
      </w:r>
      <w:r w:rsidRPr="00EA518F">
        <w:t xml:space="preserve"> and the Maternity Services Consumer Council. During September and October 2019, </w:t>
      </w:r>
      <w:r>
        <w:t xml:space="preserve">the panel reviewed the external </w:t>
      </w:r>
      <w:r w:rsidRPr="00EA518F">
        <w:t xml:space="preserve">feedback and </w:t>
      </w:r>
      <w:r>
        <w:t xml:space="preserve">made </w:t>
      </w:r>
      <w:r w:rsidRPr="00EA518F">
        <w:t>final recommendations.</w:t>
      </w:r>
    </w:p>
    <w:p w14:paraId="0BECD9AB" w14:textId="77777777" w:rsidR="00AC0F19" w:rsidRPr="00EA518F" w:rsidRDefault="00AC0F19" w:rsidP="004F4670"/>
    <w:p w14:paraId="18673616" w14:textId="77777777" w:rsidR="00AC0F19" w:rsidRDefault="00AC0F19" w:rsidP="004F4670">
      <w:pPr>
        <w:pStyle w:val="Heading3"/>
      </w:pPr>
      <w:bookmarkStart w:id="60" w:name="Implementation_plan"/>
      <w:bookmarkStart w:id="61" w:name="_bookmark23"/>
      <w:bookmarkEnd w:id="60"/>
      <w:bookmarkEnd w:id="61"/>
      <w:r>
        <w:t>Implementation plan</w:t>
      </w:r>
    </w:p>
    <w:p w14:paraId="4A92AFFA" w14:textId="77777777" w:rsidR="00AC0F19" w:rsidRDefault="00AC0F19" w:rsidP="004F4670">
      <w:r>
        <w:t>The panel suggests the following plan for dissemination within the health sector, using professional and consumer networks:</w:t>
      </w:r>
    </w:p>
    <w:p w14:paraId="7875D652" w14:textId="77777777" w:rsidR="00AC0F19" w:rsidRDefault="00AC0F19" w:rsidP="004F4670">
      <w:pPr>
        <w:pStyle w:val="Bullet"/>
      </w:pPr>
      <w:r>
        <w:t>Guideline to be made available on a University of Auckland</w:t>
      </w:r>
      <w:r>
        <w:rPr>
          <w:spacing w:val="-5"/>
        </w:rPr>
        <w:t xml:space="preserve"> </w:t>
      </w:r>
      <w:r>
        <w:t>website</w:t>
      </w:r>
    </w:p>
    <w:p w14:paraId="5BABF316" w14:textId="77777777" w:rsidR="00AC0F19" w:rsidRDefault="00AC0F19" w:rsidP="004F4670">
      <w:pPr>
        <w:pStyle w:val="Bullet"/>
      </w:pPr>
      <w:r>
        <w:t>Guideline to be independently assessed using the AGREE-II</w:t>
      </w:r>
      <w:r>
        <w:rPr>
          <w:spacing w:val="-4"/>
        </w:rPr>
        <w:t xml:space="preserve"> </w:t>
      </w:r>
      <w:r>
        <w:t>tool</w:t>
      </w:r>
    </w:p>
    <w:p w14:paraId="6E997106" w14:textId="77777777" w:rsidR="00AC0F19" w:rsidRDefault="00AC0F19" w:rsidP="004F4670">
      <w:pPr>
        <w:pStyle w:val="Bullet"/>
      </w:pPr>
      <w:r>
        <w:t>Written request to be sent to the Ministry of Health for</w:t>
      </w:r>
      <w:r>
        <w:rPr>
          <w:spacing w:val="-3"/>
        </w:rPr>
        <w:t xml:space="preserve"> </w:t>
      </w:r>
      <w:r>
        <w:t>ratification</w:t>
      </w:r>
    </w:p>
    <w:p w14:paraId="0F91F1D0" w14:textId="77777777" w:rsidR="00AC0F19" w:rsidRDefault="00AC0F19" w:rsidP="004F4670">
      <w:pPr>
        <w:pStyle w:val="Bullet"/>
      </w:pPr>
      <w:r>
        <w:t>Guideline to be sent to lead maternity service providers in each DHB with a request to endorse and adapt</w:t>
      </w:r>
      <w:r>
        <w:rPr>
          <w:spacing w:val="-2"/>
        </w:rPr>
        <w:t xml:space="preserve"> </w:t>
      </w:r>
      <w:r>
        <w:t>locally</w:t>
      </w:r>
    </w:p>
    <w:p w14:paraId="6CF66B23" w14:textId="77777777" w:rsidR="00AC0F19" w:rsidRDefault="00AC0F19" w:rsidP="004F4670">
      <w:pPr>
        <w:pStyle w:val="Bullet"/>
      </w:pPr>
      <w:r>
        <w:t>Guideline to be presented at appropriate national fora and</w:t>
      </w:r>
      <w:r>
        <w:rPr>
          <w:spacing w:val="-5"/>
        </w:rPr>
        <w:t xml:space="preserve"> </w:t>
      </w:r>
      <w:r>
        <w:t>conferences</w:t>
      </w:r>
    </w:p>
    <w:p w14:paraId="44790EDB" w14:textId="77777777" w:rsidR="00AC0F19" w:rsidRDefault="00AC0F19" w:rsidP="004F4670">
      <w:pPr>
        <w:pStyle w:val="Bullet"/>
      </w:pPr>
      <w:r>
        <w:t>PowerPoint presentation and algorithms to be developed for local clinician</w:t>
      </w:r>
      <w:r>
        <w:rPr>
          <w:spacing w:val="-12"/>
        </w:rPr>
        <w:t xml:space="preserve"> </w:t>
      </w:r>
      <w:r>
        <w:t>education</w:t>
      </w:r>
    </w:p>
    <w:p w14:paraId="733BCC2F" w14:textId="77777777" w:rsidR="00AC0F19" w:rsidRDefault="00AC0F19" w:rsidP="004F4670">
      <w:pPr>
        <w:pStyle w:val="Bullet"/>
      </w:pPr>
      <w:r>
        <w:t>An IOL request form to be developed that aligns with</w:t>
      </w:r>
      <w:r>
        <w:rPr>
          <w:spacing w:val="-3"/>
        </w:rPr>
        <w:t xml:space="preserve"> </w:t>
      </w:r>
      <w:r>
        <w:t>recommendations</w:t>
      </w:r>
    </w:p>
    <w:p w14:paraId="5815251A" w14:textId="77777777" w:rsidR="00AC0F19" w:rsidRDefault="00AC0F19" w:rsidP="004F4670">
      <w:pPr>
        <w:pStyle w:val="Bullet"/>
      </w:pPr>
      <w:r>
        <w:t>A decision-making aid to be developed for New Zealand pregnant women to support informed shared decision</w:t>
      </w:r>
      <w:r>
        <w:rPr>
          <w:spacing w:val="-1"/>
        </w:rPr>
        <w:t>-</w:t>
      </w:r>
      <w:r>
        <w:t>making</w:t>
      </w:r>
    </w:p>
    <w:p w14:paraId="3E3D445E" w14:textId="77777777" w:rsidR="00AC0F19" w:rsidRDefault="00AC0F19" w:rsidP="004F4670">
      <w:pPr>
        <w:pStyle w:val="Bullet"/>
      </w:pPr>
      <w:r>
        <w:t>Suggestions for key maternity data to be collected at baseline and for future</w:t>
      </w:r>
      <w:r>
        <w:rPr>
          <w:spacing w:val="-4"/>
        </w:rPr>
        <w:t xml:space="preserve"> </w:t>
      </w:r>
      <w:r>
        <w:t>audit</w:t>
      </w:r>
    </w:p>
    <w:p w14:paraId="4F748F88" w14:textId="77777777" w:rsidR="00AC0F19" w:rsidRDefault="00AC0F19" w:rsidP="004F4670">
      <w:pPr>
        <w:pStyle w:val="Bullet"/>
      </w:pPr>
      <w:r>
        <w:t>Funding to be sought for implementation research, such as evaluating barriers and enablers to implementing the</w:t>
      </w:r>
      <w:r>
        <w:rPr>
          <w:spacing w:val="2"/>
        </w:rPr>
        <w:t xml:space="preserve"> </w:t>
      </w:r>
      <w:r>
        <w:t>guideline.</w:t>
      </w:r>
    </w:p>
    <w:p w14:paraId="45B335E3" w14:textId="77777777" w:rsidR="00AC0F19" w:rsidRPr="003951EA" w:rsidRDefault="00AC0F19" w:rsidP="004F4670"/>
    <w:p w14:paraId="07272B5F" w14:textId="77777777" w:rsidR="00AC0F19" w:rsidRDefault="00AC0F19" w:rsidP="00064338">
      <w:pPr>
        <w:pStyle w:val="Heading3"/>
      </w:pPr>
      <w:bookmarkStart w:id="62" w:name="Primary_outcomes_for_baseline_and_future"/>
      <w:bookmarkStart w:id="63" w:name="_bookmark24"/>
      <w:bookmarkEnd w:id="62"/>
      <w:bookmarkEnd w:id="63"/>
      <w:r>
        <w:t>Primary outcomes for baseline and future audit</w:t>
      </w:r>
    </w:p>
    <w:p w14:paraId="04B79031" w14:textId="77777777" w:rsidR="00AC0F19" w:rsidRDefault="00AC0F19" w:rsidP="00064338">
      <w:pPr>
        <w:pStyle w:val="Bullet"/>
        <w:keepNext/>
      </w:pPr>
      <w:r>
        <w:t>IOL rate, with minimal variables such as parity, age, body mass index (BMI), gestational age, primary indication, Bishop score, first method of cervical</w:t>
      </w:r>
      <w:r>
        <w:rPr>
          <w:spacing w:val="-3"/>
        </w:rPr>
        <w:t xml:space="preserve"> </w:t>
      </w:r>
      <w:r>
        <w:t>ripening</w:t>
      </w:r>
    </w:p>
    <w:p w14:paraId="11234F84" w14:textId="77777777" w:rsidR="00AC0F19" w:rsidRDefault="00AC0F19" w:rsidP="00064338">
      <w:pPr>
        <w:pStyle w:val="Bullet"/>
        <w:keepNext/>
      </w:pPr>
      <w:r>
        <w:t xml:space="preserve">Vaginal birth within </w:t>
      </w:r>
      <w:r w:rsidR="00EB43A9">
        <w:t>24 hours</w:t>
      </w:r>
    </w:p>
    <w:p w14:paraId="12AE38C6" w14:textId="77777777" w:rsidR="00AC0F19" w:rsidRDefault="00AC0F19" w:rsidP="00064338">
      <w:pPr>
        <w:pStyle w:val="Bullet"/>
        <w:keepNext/>
      </w:pPr>
      <w:r>
        <w:t>Caesarean</w:t>
      </w:r>
      <w:r>
        <w:rPr>
          <w:spacing w:val="-1"/>
        </w:rPr>
        <w:t xml:space="preserve"> </w:t>
      </w:r>
      <w:r>
        <w:t>section</w:t>
      </w:r>
    </w:p>
    <w:p w14:paraId="40C4B1C9" w14:textId="77777777" w:rsidR="00AC0F19" w:rsidRDefault="00AC0F19" w:rsidP="00064338">
      <w:pPr>
        <w:pStyle w:val="Bullet"/>
      </w:pPr>
      <w:r>
        <w:t>Uterine hyperstimulation with fetal heart rate (FHR)</w:t>
      </w:r>
      <w:r>
        <w:rPr>
          <w:spacing w:val="-6"/>
        </w:rPr>
        <w:t xml:space="preserve"> </w:t>
      </w:r>
      <w:r>
        <w:t>changes</w:t>
      </w:r>
    </w:p>
    <w:p w14:paraId="54E54C27" w14:textId="77777777" w:rsidR="00AC0F19" w:rsidRDefault="00AC0F19" w:rsidP="00064338">
      <w:pPr>
        <w:pStyle w:val="Bullet"/>
      </w:pPr>
      <w:r>
        <w:t>Variation in gestational age range for post-term</w:t>
      </w:r>
      <w:r>
        <w:rPr>
          <w:spacing w:val="-5"/>
        </w:rPr>
        <w:t xml:space="preserve"> </w:t>
      </w:r>
      <w:r>
        <w:t>IOL</w:t>
      </w:r>
    </w:p>
    <w:p w14:paraId="7BA74FBA" w14:textId="77777777" w:rsidR="00AC0F19" w:rsidRDefault="00AC0F19" w:rsidP="00064338">
      <w:pPr>
        <w:pStyle w:val="Bullet"/>
      </w:pPr>
      <w:r>
        <w:lastRenderedPageBreak/>
        <w:t xml:space="preserve">Proportion of IOLs started at </w:t>
      </w:r>
      <w:r w:rsidR="00EB43A9">
        <w:t>39 weeks</w:t>
      </w:r>
      <w:r w:rsidR="00B0606D">
        <w:t>’</w:t>
      </w:r>
      <w:r>
        <w:t xml:space="preserve"> gestation or more, overall and for standard primipara</w:t>
      </w:r>
    </w:p>
    <w:p w14:paraId="5CAA916C" w14:textId="77777777" w:rsidR="00AC0F19" w:rsidRDefault="00AC0F19" w:rsidP="00064338">
      <w:pPr>
        <w:pStyle w:val="Bullet"/>
      </w:pPr>
      <w:r>
        <w:t>Proportion of IOLs that are guidelines-based in indication and timing</w:t>
      </w:r>
    </w:p>
    <w:p w14:paraId="1699CA02" w14:textId="77777777" w:rsidR="00AC0F19" w:rsidRDefault="00AC0F19" w:rsidP="00064338">
      <w:pPr>
        <w:pStyle w:val="Bullet"/>
      </w:pPr>
      <w:r>
        <w:t>Proportion of babies born at 37 or more weeks</w:t>
      </w:r>
      <w:r w:rsidR="00B0606D">
        <w:t>’</w:t>
      </w:r>
      <w:r>
        <w:t xml:space="preserve"> gestation requiring respiratory</w:t>
      </w:r>
      <w:r>
        <w:rPr>
          <w:spacing w:val="-6"/>
        </w:rPr>
        <w:t xml:space="preserve"> </w:t>
      </w:r>
      <w:r>
        <w:t>support.</w:t>
      </w:r>
    </w:p>
    <w:p w14:paraId="24E7662D" w14:textId="77777777" w:rsidR="00AC0F19" w:rsidRDefault="00AC0F19" w:rsidP="00064338"/>
    <w:p w14:paraId="5C478FB5" w14:textId="77777777" w:rsidR="00AC0F19" w:rsidRDefault="00AC0F19" w:rsidP="00935139">
      <w:pPr>
        <w:pStyle w:val="Heading3"/>
        <w:spacing w:before="300"/>
      </w:pPr>
      <w:bookmarkStart w:id="64" w:name="Updating_the_guidelines"/>
      <w:bookmarkStart w:id="65" w:name="_bookmark25"/>
      <w:bookmarkEnd w:id="64"/>
      <w:bookmarkEnd w:id="65"/>
      <w:r>
        <w:t>Updating the guidelines</w:t>
      </w:r>
    </w:p>
    <w:p w14:paraId="4060F7E8" w14:textId="77777777" w:rsidR="00AC0F19" w:rsidRDefault="00AC0F19" w:rsidP="00064338">
      <w:r>
        <w:t xml:space="preserve">These </w:t>
      </w:r>
      <w:r w:rsidRPr="003951EA">
        <w:t>guidelines</w:t>
      </w:r>
      <w:r>
        <w:t xml:space="preserve"> will be reviewed in three years </w:t>
      </w:r>
      <w:r w:rsidR="00B0606D">
        <w:t>‘</w:t>
      </w:r>
      <w:r>
        <w:t>from publication and updated as required.</w:t>
      </w:r>
    </w:p>
    <w:p w14:paraId="6313615C" w14:textId="77777777" w:rsidR="00AC0F19" w:rsidRDefault="00AC0F19" w:rsidP="00064338"/>
    <w:p w14:paraId="798AFDB4" w14:textId="77777777" w:rsidR="00AC0F19" w:rsidRDefault="00AC0F19" w:rsidP="00935139">
      <w:pPr>
        <w:pStyle w:val="Heading2"/>
        <w:spacing w:before="420"/>
      </w:pPr>
      <w:bookmarkStart w:id="66" w:name="Conflicts_of_interest"/>
      <w:bookmarkStart w:id="67" w:name="_bookmark26"/>
      <w:bookmarkStart w:id="68" w:name="_Toc75787966"/>
      <w:bookmarkEnd w:id="66"/>
      <w:bookmarkEnd w:id="67"/>
      <w:r>
        <w:t>Conflicts of interest</w:t>
      </w:r>
      <w:bookmarkEnd w:id="68"/>
    </w:p>
    <w:p w14:paraId="6433E92F" w14:textId="77777777" w:rsidR="00AC0F19" w:rsidRPr="003951EA" w:rsidRDefault="00AC0F19" w:rsidP="00064338">
      <w:r w:rsidRPr="003951EA">
        <w:t xml:space="preserve">None of the members </w:t>
      </w:r>
      <w:r>
        <w:t xml:space="preserve">of the panel </w:t>
      </w:r>
      <w:r w:rsidRPr="003951EA">
        <w:t>declare</w:t>
      </w:r>
      <w:r>
        <w:t>d</w:t>
      </w:r>
      <w:r w:rsidRPr="003951EA">
        <w:t xml:space="preserve"> any financial or personal conflicts of interest that may affect their impartiality as a </w:t>
      </w:r>
      <w:r>
        <w:t>p</w:t>
      </w:r>
      <w:r w:rsidRPr="003951EA">
        <w:t>anel member.</w:t>
      </w:r>
    </w:p>
    <w:p w14:paraId="3685A796" w14:textId="77777777" w:rsidR="00FD47B6" w:rsidRDefault="00FD47B6" w:rsidP="00FD47B6"/>
    <w:p w14:paraId="407AF478" w14:textId="77777777" w:rsidR="00AC0F19" w:rsidRDefault="00AC0F19" w:rsidP="00FD47B6">
      <w:r w:rsidRPr="003951EA">
        <w:t xml:space="preserve">Members of the </w:t>
      </w:r>
      <w:r>
        <w:t>p</w:t>
      </w:r>
      <w:r w:rsidRPr="003951EA">
        <w:t xml:space="preserve">anel involved in the ongoing OBLIGE </w:t>
      </w:r>
      <w:r>
        <w:t>r</w:t>
      </w:r>
      <w:r w:rsidRPr="003951EA">
        <w:t xml:space="preserve">esearch </w:t>
      </w:r>
      <w:r>
        <w:t>t</w:t>
      </w:r>
      <w:r w:rsidRPr="003951EA">
        <w:t>rial</w:t>
      </w:r>
      <w:r w:rsidRPr="00FD47B6">
        <w:rPr>
          <w:rStyle w:val="FootnoteReference"/>
        </w:rPr>
        <w:footnoteReference w:id="2"/>
      </w:r>
      <w:r w:rsidRPr="003951EA">
        <w:t xml:space="preserve"> were excluded from the development of recommendations about outpatient setting</w:t>
      </w:r>
      <w:r>
        <w:t>s</w:t>
      </w:r>
      <w:r w:rsidRPr="003951EA">
        <w:t xml:space="preserve"> for IOL.</w:t>
      </w:r>
    </w:p>
    <w:p w14:paraId="4801644E" w14:textId="77777777" w:rsidR="00AC0F19" w:rsidRPr="003951EA" w:rsidRDefault="00AC0F19" w:rsidP="00FD47B6"/>
    <w:p w14:paraId="7871CD76" w14:textId="77777777" w:rsidR="00AC0F19" w:rsidRDefault="00AC0F19" w:rsidP="00935139">
      <w:pPr>
        <w:pStyle w:val="Heading2"/>
        <w:spacing w:before="420"/>
      </w:pPr>
      <w:bookmarkStart w:id="69" w:name="Funding"/>
      <w:bookmarkStart w:id="70" w:name="_bookmark27"/>
      <w:bookmarkStart w:id="71" w:name="_Toc75787967"/>
      <w:bookmarkEnd w:id="69"/>
      <w:bookmarkEnd w:id="70"/>
      <w:r w:rsidRPr="003951EA">
        <w:t>Funding</w:t>
      </w:r>
      <w:bookmarkEnd w:id="71"/>
    </w:p>
    <w:p w14:paraId="40E432DC" w14:textId="77777777" w:rsidR="00BB6FEA" w:rsidRDefault="00AC0F19" w:rsidP="00FD47B6">
      <w:r>
        <w:t xml:space="preserve">The </w:t>
      </w:r>
      <w:r w:rsidRPr="00D431EC">
        <w:t>Nurture Foundation</w:t>
      </w:r>
      <w:r>
        <w:t xml:space="preserve"> for Reproductive Research that aims to promote education and research through collaboration amongst New Zealand researchers, and the </w:t>
      </w:r>
      <w:r w:rsidRPr="00D431EC">
        <w:t>Mercia Barnes Trust</w:t>
      </w:r>
      <w:r>
        <w:t>, RANZCOG, which seeks to help and promote research around women</w:t>
      </w:r>
      <w:r w:rsidR="00B0606D">
        <w:t>’</w:t>
      </w:r>
      <w:r>
        <w:t xml:space="preserve">s and reproductive health, provided grants-in-aid to support the guideline development. The funding sources had no role in the design of the research questions, collection, analysis and interpretation of data, nor in writing of the guideline. The panel is very grateful to these </w:t>
      </w:r>
      <w:r w:rsidRPr="003951EA">
        <w:t>organisations</w:t>
      </w:r>
      <w:r>
        <w:t xml:space="preserve"> for their support.</w:t>
      </w:r>
    </w:p>
    <w:p w14:paraId="0D7FF9AB" w14:textId="77777777" w:rsidR="00AC0F19" w:rsidRDefault="00AC0F19" w:rsidP="00A60A7A">
      <w:pPr>
        <w:pStyle w:val="Heading1"/>
        <w:numPr>
          <w:ilvl w:val="0"/>
          <w:numId w:val="13"/>
        </w:numPr>
      </w:pPr>
      <w:bookmarkStart w:id="72" w:name="Chapter_1_-_Introduction"/>
      <w:bookmarkStart w:id="73" w:name="_bookmark28"/>
      <w:bookmarkStart w:id="74" w:name="_Toc75787968"/>
      <w:bookmarkEnd w:id="72"/>
      <w:bookmarkEnd w:id="73"/>
      <w:r>
        <w:lastRenderedPageBreak/>
        <w:t>:</w:t>
      </w:r>
      <w:r w:rsidR="00BC3CF6">
        <w:t xml:space="preserve"> </w:t>
      </w:r>
      <w:r w:rsidRPr="00FA6312">
        <w:t>Introduction</w:t>
      </w:r>
      <w:bookmarkEnd w:id="74"/>
    </w:p>
    <w:p w14:paraId="0199BD23" w14:textId="77777777" w:rsidR="00AC0F19" w:rsidRDefault="00AC0F19" w:rsidP="00302632">
      <w:pPr>
        <w:pStyle w:val="Heading2"/>
      </w:pPr>
      <w:bookmarkStart w:id="75" w:name="Risk_factors_for_perinatal_death"/>
      <w:bookmarkStart w:id="76" w:name="_bookmark29"/>
      <w:bookmarkStart w:id="77" w:name="_Toc75787969"/>
      <w:bookmarkEnd w:id="75"/>
      <w:bookmarkEnd w:id="76"/>
      <w:r>
        <w:t>Risk factors for perinatal death</w:t>
      </w:r>
      <w:bookmarkEnd w:id="77"/>
    </w:p>
    <w:p w14:paraId="01F99B0B" w14:textId="77777777" w:rsidR="00AC0F19" w:rsidRDefault="00AC0F19" w:rsidP="00302632">
      <w:r>
        <w:t xml:space="preserve">The Perinatal and Maternal Mortality Review Committee (PMMRC) reviews perinatal death rates in New Zealand over time. The perinatal-related mortality rate in 2016, which includes all deaths from </w:t>
      </w:r>
      <w:r w:rsidR="003A4BD4">
        <w:t>20 weeks</w:t>
      </w:r>
      <w:r w:rsidR="00B0606D">
        <w:t>’</w:t>
      </w:r>
      <w:r>
        <w:t xml:space="preserve"> gestation to 27 days of life, was 10.1/1000 total births. </w:t>
      </w:r>
      <w:r w:rsidRPr="00C90D40">
        <w:t>Appendix C includes tables</w:t>
      </w:r>
      <w:r>
        <w:t xml:space="preserve"> showing stillbirth rates and associations from observational studies.</w:t>
      </w:r>
    </w:p>
    <w:p w14:paraId="5FBDB8BB" w14:textId="77777777" w:rsidR="00AC0F19" w:rsidRDefault="00AC0F19" w:rsidP="00302632"/>
    <w:p w14:paraId="0C64CB11" w14:textId="77777777" w:rsidR="00AC0F19" w:rsidRDefault="00AC0F19" w:rsidP="00302632">
      <w:pPr>
        <w:pStyle w:val="Heading2"/>
      </w:pPr>
      <w:bookmarkStart w:id="78" w:name="Principles_of_decision-making"/>
      <w:bookmarkStart w:id="79" w:name="_bookmark30"/>
      <w:bookmarkStart w:id="80" w:name="_Toc75787970"/>
      <w:bookmarkEnd w:id="78"/>
      <w:bookmarkEnd w:id="79"/>
      <w:r>
        <w:t>Principles of decision-</w:t>
      </w:r>
      <w:r w:rsidRPr="00FA6312">
        <w:t>making</w:t>
      </w:r>
      <w:bookmarkEnd w:id="80"/>
    </w:p>
    <w:p w14:paraId="11CF1056" w14:textId="77777777" w:rsidR="00AC0F19" w:rsidRPr="00FA6312" w:rsidRDefault="00AC0F19" w:rsidP="00302632">
      <w:r w:rsidRPr="00FA6312">
        <w:t xml:space="preserve">The guideline considers women-centred care and the importance of the informed decision-making process </w:t>
      </w:r>
      <w:r>
        <w:t>involving</w:t>
      </w:r>
      <w:r w:rsidRPr="00FA6312">
        <w:t xml:space="preserve"> the </w:t>
      </w:r>
      <w:r>
        <w:t xml:space="preserve">pregnant </w:t>
      </w:r>
      <w:r w:rsidRPr="00FA6312">
        <w:t xml:space="preserve">woman, her partner and whānau, her </w:t>
      </w:r>
      <w:r>
        <w:t>l</w:t>
      </w:r>
      <w:r w:rsidRPr="00FA6312">
        <w:t xml:space="preserve">ead </w:t>
      </w:r>
      <w:r>
        <w:t>m</w:t>
      </w:r>
      <w:r w:rsidRPr="00FA6312">
        <w:t xml:space="preserve">aternity </w:t>
      </w:r>
      <w:r>
        <w:t>c</w:t>
      </w:r>
      <w:r w:rsidRPr="00FA6312">
        <w:t>arer (LMC) midwife and the obstetrician.</w:t>
      </w:r>
    </w:p>
    <w:p w14:paraId="4FB27FD1" w14:textId="77777777" w:rsidR="00AC0F19" w:rsidRPr="00FA6312" w:rsidRDefault="00AC0F19" w:rsidP="00AC0F19"/>
    <w:p w14:paraId="0DDE6732" w14:textId="77777777" w:rsidR="00AC0F19" w:rsidRDefault="00AC0F19" w:rsidP="00302632">
      <w:r w:rsidRPr="00FA6312">
        <w:t xml:space="preserve">The guideline </w:t>
      </w:r>
      <w:r>
        <w:t>aims</w:t>
      </w:r>
      <w:r w:rsidRPr="00FA6312">
        <w:t xml:space="preserve"> to both enable clinicians and to empower </w:t>
      </w:r>
      <w:r>
        <w:t xml:space="preserve">pregnant </w:t>
      </w:r>
      <w:r w:rsidRPr="00FA6312">
        <w:t xml:space="preserve">women to make the best decision for </w:t>
      </w:r>
      <w:r>
        <w:t>their</w:t>
      </w:r>
      <w:r w:rsidRPr="00FA6312">
        <w:t xml:space="preserve"> specific circumstance, </w:t>
      </w:r>
      <w:r>
        <w:t>with awareness given to</w:t>
      </w:r>
      <w:r w:rsidRPr="00FA6312">
        <w:t xml:space="preserve"> the potential power imbalance between </w:t>
      </w:r>
      <w:r>
        <w:t xml:space="preserve">pregnant </w:t>
      </w:r>
      <w:r w:rsidRPr="00FA6312">
        <w:t>women and clinicians.</w:t>
      </w:r>
    </w:p>
    <w:p w14:paraId="28299CB7" w14:textId="77777777" w:rsidR="00AC0F19" w:rsidRPr="00FA6312" w:rsidRDefault="00AC0F19" w:rsidP="00302632"/>
    <w:p w14:paraId="5F6DF11E" w14:textId="77777777" w:rsidR="00AC0F19" w:rsidRPr="00FA6312" w:rsidRDefault="00AC0F19" w:rsidP="00302632">
      <w:r>
        <w:t>Once</w:t>
      </w:r>
      <w:r w:rsidRPr="00FA6312">
        <w:t xml:space="preserve"> recommendations </w:t>
      </w:r>
      <w:r>
        <w:t>have been</w:t>
      </w:r>
      <w:r w:rsidRPr="00FA6312">
        <w:t xml:space="preserve"> made, it is expected that </w:t>
      </w:r>
      <w:r>
        <w:t xml:space="preserve">an </w:t>
      </w:r>
      <w:r w:rsidRPr="00FA6312">
        <w:t xml:space="preserve">informed decision-making </w:t>
      </w:r>
      <w:r>
        <w:t xml:space="preserve">process will </w:t>
      </w:r>
      <w:r w:rsidRPr="00FA6312">
        <w:t>follow</w:t>
      </w:r>
      <w:r>
        <w:t>, that is, a</w:t>
      </w:r>
      <w:r w:rsidRPr="00FA6312">
        <w:t xml:space="preserve"> </w:t>
      </w:r>
      <w:r>
        <w:t>three-</w:t>
      </w:r>
      <w:r w:rsidRPr="00FA6312">
        <w:t xml:space="preserve">way conversation </w:t>
      </w:r>
      <w:r>
        <w:t xml:space="preserve">will take place </w:t>
      </w:r>
      <w:r w:rsidRPr="00FA6312">
        <w:t xml:space="preserve">between the </w:t>
      </w:r>
      <w:r>
        <w:t xml:space="preserve">pregnant </w:t>
      </w:r>
      <w:r w:rsidRPr="00FA6312">
        <w:t xml:space="preserve">woman, her LMC and the obstetrician. Clinicians need to provide clear and balanced information to </w:t>
      </w:r>
      <w:r>
        <w:t xml:space="preserve">pregnant </w:t>
      </w:r>
      <w:r w:rsidRPr="00FA6312">
        <w:t xml:space="preserve">women to communicate the significance of having an IOL versus awaiting spontaneous labour, including place of birth, roles and responsibilities of caregivers, length of time from start to birth and expectations. </w:t>
      </w:r>
      <w:r>
        <w:t>Pregnant w</w:t>
      </w:r>
      <w:r w:rsidRPr="00FA6312">
        <w:t>omen need time to consider the pros and cons of IOL, ask questions and be supported in their choices.</w:t>
      </w:r>
    </w:p>
    <w:p w14:paraId="17C80788" w14:textId="77777777" w:rsidR="00AC0F19" w:rsidRPr="00FA6312" w:rsidRDefault="00AC0F19" w:rsidP="00302632"/>
    <w:p w14:paraId="6FD5BB01" w14:textId="77777777" w:rsidR="00AC0F19" w:rsidRPr="00FA6312" w:rsidRDefault="00AC0F19" w:rsidP="00302632">
      <w:r w:rsidRPr="00FA6312">
        <w:t xml:space="preserve">The </w:t>
      </w:r>
      <w:r>
        <w:t>p</w:t>
      </w:r>
      <w:r w:rsidRPr="00FA6312">
        <w:t>anel acknowledge</w:t>
      </w:r>
      <w:r>
        <w:t>s</w:t>
      </w:r>
      <w:r w:rsidRPr="00FA6312">
        <w:t xml:space="preserve"> that </w:t>
      </w:r>
      <w:r>
        <w:t xml:space="preserve">pregnant </w:t>
      </w:r>
      <w:r w:rsidRPr="00FA6312">
        <w:t>women may have more than one risk factor</w:t>
      </w:r>
      <w:r>
        <w:t>,</w:t>
      </w:r>
      <w:r w:rsidRPr="00FA6312">
        <w:t xml:space="preserve"> and therefore clinicians need to individualise care when making the decision for IOL. As risk factors multiply, the rate of adverse outcome</w:t>
      </w:r>
      <w:r>
        <w:t>s</w:t>
      </w:r>
      <w:r w:rsidRPr="00FA6312">
        <w:t xml:space="preserve"> increases, though by how much is unknown. </w:t>
      </w:r>
      <w:r>
        <w:t xml:space="preserve">It may be appropriate for clinicians to offer </w:t>
      </w:r>
      <w:r w:rsidRPr="00FA6312">
        <w:t>IOL</w:t>
      </w:r>
      <w:r>
        <w:t xml:space="preserve"> to</w:t>
      </w:r>
      <w:r w:rsidRPr="00FA6312">
        <w:t xml:space="preserve"> </w:t>
      </w:r>
      <w:r>
        <w:t>w</w:t>
      </w:r>
      <w:r w:rsidRPr="00FA6312">
        <w:t xml:space="preserve">omen with multiple risk factors, even if </w:t>
      </w:r>
      <w:r>
        <w:t>the IOL</w:t>
      </w:r>
      <w:r w:rsidRPr="00FA6312">
        <w:t xml:space="preserve"> does not appear to </w:t>
      </w:r>
      <w:r>
        <w:t>sit</w:t>
      </w:r>
      <w:r w:rsidRPr="00FA6312">
        <w:t xml:space="preserve"> under any </w:t>
      </w:r>
      <w:r>
        <w:t xml:space="preserve">specific </w:t>
      </w:r>
      <w:r w:rsidRPr="00FA6312">
        <w:t xml:space="preserve">recommendation. The </w:t>
      </w:r>
      <w:r>
        <w:t>p</w:t>
      </w:r>
      <w:r w:rsidRPr="00FA6312">
        <w:t xml:space="preserve">anel acknowledges that clinicians are experienced and specialised, </w:t>
      </w:r>
      <w:r>
        <w:t xml:space="preserve">will </w:t>
      </w:r>
      <w:r w:rsidRPr="00FA6312">
        <w:t xml:space="preserve">use </w:t>
      </w:r>
      <w:r>
        <w:t xml:space="preserve">their </w:t>
      </w:r>
      <w:r w:rsidRPr="00FA6312">
        <w:t xml:space="preserve">discretion </w:t>
      </w:r>
      <w:r>
        <w:t xml:space="preserve">appropriately </w:t>
      </w:r>
      <w:r w:rsidRPr="00FA6312">
        <w:t xml:space="preserve">and </w:t>
      </w:r>
      <w:r>
        <w:t xml:space="preserve">will </w:t>
      </w:r>
      <w:r w:rsidRPr="00FA6312">
        <w:t>interpr</w:t>
      </w:r>
      <w:r w:rsidR="000F3C98">
        <w:t>et al</w:t>
      </w:r>
      <w:r w:rsidRPr="00FA6312">
        <w:t>l the information available</w:t>
      </w:r>
      <w:r>
        <w:t xml:space="preserve"> conscientiously</w:t>
      </w:r>
      <w:r w:rsidRPr="00FA6312">
        <w:t xml:space="preserve">. </w:t>
      </w:r>
      <w:r>
        <w:t>The panel</w:t>
      </w:r>
      <w:r w:rsidRPr="00FA6312">
        <w:t xml:space="preserve"> encourage clear documentation where recommendations are not followed.</w:t>
      </w:r>
    </w:p>
    <w:p w14:paraId="757403F4" w14:textId="77777777" w:rsidR="00AC0F19" w:rsidRPr="00FA6312" w:rsidRDefault="00AC0F19" w:rsidP="00302632"/>
    <w:p w14:paraId="7EC8ABBC" w14:textId="77777777" w:rsidR="00AC0F19" w:rsidRPr="00FA6312" w:rsidRDefault="00AC0F19" w:rsidP="00302632">
      <w:r w:rsidRPr="00FA6312">
        <w:t>Implementation of the guideline</w:t>
      </w:r>
      <w:r w:rsidR="00B0606D">
        <w:t>’</w:t>
      </w:r>
      <w:r w:rsidRPr="00FA6312">
        <w:t xml:space="preserve">s recommendations will vary by setting, and </w:t>
      </w:r>
      <w:r>
        <w:t xml:space="preserve">it is important to </w:t>
      </w:r>
      <w:r w:rsidRPr="00FA6312">
        <w:t>consult locally as each setting has its own challenges and stakeholders</w:t>
      </w:r>
      <w:r>
        <w:t xml:space="preserve"> to consider</w:t>
      </w:r>
      <w:r w:rsidRPr="00FA6312">
        <w:t xml:space="preserve">. Resources are limited, and there is a need for clinical prioritisation. Clinicians need to set realistic expectations for </w:t>
      </w:r>
      <w:r>
        <w:t xml:space="preserve">the </w:t>
      </w:r>
      <w:r w:rsidRPr="00FA6312">
        <w:t>women</w:t>
      </w:r>
      <w:r>
        <w:t xml:space="preserve"> they care for</w:t>
      </w:r>
      <w:r w:rsidRPr="00FA6312">
        <w:t>.</w:t>
      </w:r>
    </w:p>
    <w:p w14:paraId="7371547D" w14:textId="77777777" w:rsidR="00AC0F19" w:rsidRPr="00FA6312" w:rsidRDefault="00AC0F19" w:rsidP="00302632"/>
    <w:p w14:paraId="5DC32FBA" w14:textId="77777777" w:rsidR="00AC0F19" w:rsidRPr="00FA6312" w:rsidRDefault="00AC0F19" w:rsidP="00302632">
      <w:r w:rsidRPr="00FA6312">
        <w:lastRenderedPageBreak/>
        <w:t xml:space="preserve">The </w:t>
      </w:r>
      <w:r>
        <w:t>p</w:t>
      </w:r>
      <w:r w:rsidRPr="00FA6312">
        <w:t xml:space="preserve">anel considered </w:t>
      </w:r>
      <w:r>
        <w:t xml:space="preserve">the </w:t>
      </w:r>
      <w:r w:rsidRPr="00FA6312">
        <w:t>outcomes</w:t>
      </w:r>
      <w:r>
        <w:t xml:space="preserve"> that are</w:t>
      </w:r>
      <w:r w:rsidRPr="00FA6312">
        <w:t xml:space="preserve"> important to </w:t>
      </w:r>
      <w:r>
        <w:t xml:space="preserve">pregnant </w:t>
      </w:r>
      <w:r w:rsidRPr="00FA6312">
        <w:t>women. The guideline development process has also taken Māori and Pacific cultural considerations into account.</w:t>
      </w:r>
    </w:p>
    <w:p w14:paraId="240AD733" w14:textId="77777777" w:rsidR="00AC0F19" w:rsidRDefault="00AC0F19" w:rsidP="00D93E20">
      <w:pPr>
        <w:jc w:val="right"/>
      </w:pP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8080"/>
      </w:tblGrid>
      <w:tr w:rsidR="00AC0F19" w:rsidRPr="00302632" w14:paraId="322B2092" w14:textId="77777777" w:rsidTr="00302BE6">
        <w:trPr>
          <w:cantSplit/>
        </w:trPr>
        <w:tc>
          <w:tcPr>
            <w:tcW w:w="8080" w:type="dxa"/>
            <w:tcBorders>
              <w:top w:val="nil"/>
              <w:bottom w:val="nil"/>
            </w:tcBorders>
            <w:shd w:val="clear" w:color="auto" w:fill="D9D9D9" w:themeFill="background1" w:themeFillShade="D9"/>
          </w:tcPr>
          <w:p w14:paraId="4EEE9731" w14:textId="77777777" w:rsidR="00AC0F19" w:rsidRPr="00302632" w:rsidRDefault="00AC0F19" w:rsidP="00302632">
            <w:pPr>
              <w:pStyle w:val="TableText"/>
              <w:rPr>
                <w:b/>
              </w:rPr>
            </w:pPr>
            <w:r w:rsidRPr="00302632">
              <w:rPr>
                <w:b/>
              </w:rPr>
              <w:t>Research gaps</w:t>
            </w:r>
          </w:p>
        </w:tc>
      </w:tr>
      <w:tr w:rsidR="00302632" w14:paraId="112F64BF" w14:textId="77777777" w:rsidTr="00302BE6">
        <w:trPr>
          <w:cantSplit/>
        </w:trPr>
        <w:tc>
          <w:tcPr>
            <w:tcW w:w="8080" w:type="dxa"/>
            <w:tcBorders>
              <w:top w:val="nil"/>
              <w:bottom w:val="single" w:sz="4" w:space="0" w:color="A6A6A6" w:themeColor="background1" w:themeShade="A6"/>
            </w:tcBorders>
          </w:tcPr>
          <w:p w14:paraId="3B8D5EDA" w14:textId="77777777" w:rsidR="00302632" w:rsidRDefault="00302632" w:rsidP="00302632">
            <w:pPr>
              <w:pStyle w:val="TableBullet"/>
            </w:pPr>
            <w:r>
              <w:t>For</w:t>
            </w:r>
            <w:r w:rsidRPr="00302632">
              <w:rPr>
                <w:spacing w:val="-14"/>
              </w:rPr>
              <w:t xml:space="preserve"> </w:t>
            </w:r>
            <w:r>
              <w:t>pregnant</w:t>
            </w:r>
            <w:r w:rsidRPr="00302632">
              <w:rPr>
                <w:spacing w:val="-11"/>
              </w:rPr>
              <w:t xml:space="preserve"> </w:t>
            </w:r>
            <w:r>
              <w:t>women</w:t>
            </w:r>
            <w:r w:rsidRPr="00302632">
              <w:rPr>
                <w:spacing w:val="-12"/>
              </w:rPr>
              <w:t xml:space="preserve"> </w:t>
            </w:r>
            <w:r>
              <w:t>where</w:t>
            </w:r>
            <w:r w:rsidRPr="00302632">
              <w:rPr>
                <w:spacing w:val="-11"/>
              </w:rPr>
              <w:t xml:space="preserve"> </w:t>
            </w:r>
            <w:r>
              <w:t>IOL</w:t>
            </w:r>
            <w:r w:rsidRPr="00302632">
              <w:rPr>
                <w:spacing w:val="-10"/>
              </w:rPr>
              <w:t xml:space="preserve"> </w:t>
            </w:r>
            <w:r>
              <w:t>is</w:t>
            </w:r>
            <w:r w:rsidRPr="00302632">
              <w:rPr>
                <w:spacing w:val="-13"/>
              </w:rPr>
              <w:t xml:space="preserve"> </w:t>
            </w:r>
            <w:r>
              <w:t>being</w:t>
            </w:r>
            <w:r w:rsidRPr="00302632">
              <w:rPr>
                <w:spacing w:val="-12"/>
              </w:rPr>
              <w:t xml:space="preserve"> </w:t>
            </w:r>
            <w:r>
              <w:t>considered,</w:t>
            </w:r>
            <w:r w:rsidRPr="00302632">
              <w:rPr>
                <w:spacing w:val="-11"/>
              </w:rPr>
              <w:t xml:space="preserve"> </w:t>
            </w:r>
            <w:r>
              <w:t>to</w:t>
            </w:r>
            <w:r w:rsidRPr="00302632">
              <w:rPr>
                <w:spacing w:val="-13"/>
              </w:rPr>
              <w:t xml:space="preserve"> </w:t>
            </w:r>
            <w:r>
              <w:t>determine</w:t>
            </w:r>
            <w:r w:rsidRPr="00302632">
              <w:rPr>
                <w:spacing w:val="-11"/>
              </w:rPr>
              <w:t xml:space="preserve"> </w:t>
            </w:r>
            <w:r>
              <w:t>effective</w:t>
            </w:r>
            <w:r w:rsidRPr="00302632">
              <w:rPr>
                <w:spacing w:val="-12"/>
              </w:rPr>
              <w:t xml:space="preserve"> </w:t>
            </w:r>
            <w:r>
              <w:t>ways</w:t>
            </w:r>
            <w:r w:rsidRPr="00302632">
              <w:rPr>
                <w:spacing w:val="-12"/>
              </w:rPr>
              <w:t xml:space="preserve"> </w:t>
            </w:r>
            <w:r>
              <w:t>to</w:t>
            </w:r>
            <w:r w:rsidRPr="00302632">
              <w:rPr>
                <w:spacing w:val="-12"/>
              </w:rPr>
              <w:t xml:space="preserve"> </w:t>
            </w:r>
            <w:r>
              <w:t>present</w:t>
            </w:r>
            <w:r w:rsidRPr="00302632">
              <w:rPr>
                <w:spacing w:val="-12"/>
              </w:rPr>
              <w:t xml:space="preserve"> </w:t>
            </w:r>
            <w:r>
              <w:t>risks and benefits as part of the three-way conversation.</w:t>
            </w:r>
          </w:p>
          <w:p w14:paraId="397C948E" w14:textId="77777777" w:rsidR="00302632" w:rsidRDefault="00302632" w:rsidP="00302632">
            <w:pPr>
              <w:pStyle w:val="TableBullet"/>
            </w:pPr>
            <w:r>
              <w:t>To</w:t>
            </w:r>
            <w:r>
              <w:rPr>
                <w:spacing w:val="22"/>
              </w:rPr>
              <w:t xml:space="preserve"> </w:t>
            </w:r>
            <w:r>
              <w:t>explore</w:t>
            </w:r>
            <w:r>
              <w:rPr>
                <w:spacing w:val="24"/>
              </w:rPr>
              <w:t xml:space="preserve"> </w:t>
            </w:r>
            <w:r>
              <w:t>the</w:t>
            </w:r>
            <w:r>
              <w:rPr>
                <w:spacing w:val="24"/>
              </w:rPr>
              <w:t xml:space="preserve"> </w:t>
            </w:r>
            <w:r>
              <w:t>impact</w:t>
            </w:r>
            <w:r>
              <w:rPr>
                <w:spacing w:val="24"/>
              </w:rPr>
              <w:t xml:space="preserve"> </w:t>
            </w:r>
            <w:r>
              <w:t>of</w:t>
            </w:r>
            <w:r>
              <w:rPr>
                <w:spacing w:val="21"/>
              </w:rPr>
              <w:t xml:space="preserve"> </w:t>
            </w:r>
            <w:r>
              <w:t>IOL</w:t>
            </w:r>
            <w:r>
              <w:rPr>
                <w:spacing w:val="26"/>
              </w:rPr>
              <w:t xml:space="preserve"> </w:t>
            </w:r>
            <w:r>
              <w:t>on</w:t>
            </w:r>
            <w:r>
              <w:rPr>
                <w:spacing w:val="23"/>
              </w:rPr>
              <w:t xml:space="preserve"> </w:t>
            </w:r>
            <w:r>
              <w:t>a pregnant</w:t>
            </w:r>
            <w:r>
              <w:rPr>
                <w:spacing w:val="24"/>
              </w:rPr>
              <w:t xml:space="preserve"> </w:t>
            </w:r>
            <w:r>
              <w:t>woman’s</w:t>
            </w:r>
            <w:r>
              <w:rPr>
                <w:spacing w:val="22"/>
              </w:rPr>
              <w:t xml:space="preserve"> </w:t>
            </w:r>
            <w:r>
              <w:t>labour</w:t>
            </w:r>
            <w:r>
              <w:rPr>
                <w:spacing w:val="21"/>
              </w:rPr>
              <w:t xml:space="preserve"> </w:t>
            </w:r>
            <w:r>
              <w:t>and</w:t>
            </w:r>
            <w:r>
              <w:rPr>
                <w:spacing w:val="22"/>
              </w:rPr>
              <w:t xml:space="preserve"> </w:t>
            </w:r>
            <w:r>
              <w:t>her</w:t>
            </w:r>
            <w:r>
              <w:rPr>
                <w:spacing w:val="21"/>
              </w:rPr>
              <w:t xml:space="preserve"> </w:t>
            </w:r>
            <w:r>
              <w:t>experience,</w:t>
            </w:r>
            <w:r>
              <w:rPr>
                <w:spacing w:val="24"/>
              </w:rPr>
              <w:t xml:space="preserve"> </w:t>
            </w:r>
            <w:r>
              <w:t>such</w:t>
            </w:r>
            <w:r>
              <w:rPr>
                <w:spacing w:val="23"/>
              </w:rPr>
              <w:t xml:space="preserve"> </w:t>
            </w:r>
            <w:r>
              <w:t>as</w:t>
            </w:r>
            <w:r>
              <w:rPr>
                <w:spacing w:val="21"/>
              </w:rPr>
              <w:t xml:space="preserve"> </w:t>
            </w:r>
            <w:r>
              <w:t>change</w:t>
            </w:r>
            <w:r>
              <w:rPr>
                <w:spacing w:val="24"/>
              </w:rPr>
              <w:t xml:space="preserve"> </w:t>
            </w:r>
            <w:r>
              <w:t>of planned</w:t>
            </w:r>
            <w:r>
              <w:rPr>
                <w:spacing w:val="-14"/>
              </w:rPr>
              <w:t xml:space="preserve"> </w:t>
            </w:r>
            <w:r>
              <w:t>place</w:t>
            </w:r>
            <w:r>
              <w:rPr>
                <w:spacing w:val="-14"/>
              </w:rPr>
              <w:t xml:space="preserve"> </w:t>
            </w:r>
            <w:r>
              <w:t>of</w:t>
            </w:r>
            <w:r>
              <w:rPr>
                <w:spacing w:val="-14"/>
              </w:rPr>
              <w:t xml:space="preserve"> </w:t>
            </w:r>
            <w:r>
              <w:t>birth,</w:t>
            </w:r>
            <w:r>
              <w:rPr>
                <w:spacing w:val="-14"/>
              </w:rPr>
              <w:t xml:space="preserve"> </w:t>
            </w:r>
            <w:r>
              <w:t>change</w:t>
            </w:r>
            <w:r>
              <w:rPr>
                <w:spacing w:val="-14"/>
              </w:rPr>
              <w:t xml:space="preserve"> </w:t>
            </w:r>
            <w:r>
              <w:t>of</w:t>
            </w:r>
            <w:r>
              <w:rPr>
                <w:spacing w:val="-14"/>
              </w:rPr>
              <w:t xml:space="preserve"> </w:t>
            </w:r>
            <w:r>
              <w:t>planned</w:t>
            </w:r>
            <w:r>
              <w:rPr>
                <w:spacing w:val="-14"/>
              </w:rPr>
              <w:t xml:space="preserve"> </w:t>
            </w:r>
            <w:r>
              <w:t>mode</w:t>
            </w:r>
            <w:r>
              <w:rPr>
                <w:spacing w:val="-14"/>
              </w:rPr>
              <w:t xml:space="preserve"> </w:t>
            </w:r>
            <w:r>
              <w:t>of</w:t>
            </w:r>
            <w:r>
              <w:rPr>
                <w:spacing w:val="-14"/>
              </w:rPr>
              <w:t xml:space="preserve"> </w:t>
            </w:r>
            <w:r>
              <w:t>pain</w:t>
            </w:r>
            <w:r>
              <w:rPr>
                <w:spacing w:val="-14"/>
              </w:rPr>
              <w:t xml:space="preserve"> </w:t>
            </w:r>
            <w:r>
              <w:t>relief,</w:t>
            </w:r>
            <w:r>
              <w:rPr>
                <w:spacing w:val="-14"/>
              </w:rPr>
              <w:t xml:space="preserve"> </w:t>
            </w:r>
            <w:r>
              <w:t>use</w:t>
            </w:r>
            <w:r>
              <w:rPr>
                <w:spacing w:val="-13"/>
              </w:rPr>
              <w:t xml:space="preserve"> </w:t>
            </w:r>
            <w:r>
              <w:t>of</w:t>
            </w:r>
            <w:r>
              <w:rPr>
                <w:spacing w:val="-15"/>
              </w:rPr>
              <w:t xml:space="preserve"> </w:t>
            </w:r>
            <w:r>
              <w:t>epidural</w:t>
            </w:r>
            <w:r>
              <w:rPr>
                <w:spacing w:val="-13"/>
              </w:rPr>
              <w:t xml:space="preserve"> </w:t>
            </w:r>
            <w:r>
              <w:t>analgesia</w:t>
            </w:r>
            <w:r>
              <w:rPr>
                <w:spacing w:val="-14"/>
              </w:rPr>
              <w:t xml:space="preserve"> </w:t>
            </w:r>
            <w:r>
              <w:t>in</w:t>
            </w:r>
            <w:r>
              <w:rPr>
                <w:spacing w:val="-14"/>
              </w:rPr>
              <w:t xml:space="preserve"> </w:t>
            </w:r>
            <w:r>
              <w:t>labour and the women’s satisfaction with her labour and the birth.</w:t>
            </w:r>
          </w:p>
          <w:p w14:paraId="7B5BF0BC" w14:textId="77777777" w:rsidR="00302632" w:rsidRDefault="00302632" w:rsidP="00302632">
            <w:pPr>
              <w:pStyle w:val="TableBullet"/>
            </w:pPr>
            <w:r>
              <w:t>To explore IOL compared with expectant management in the context of Māori health beliefs.</w:t>
            </w:r>
          </w:p>
        </w:tc>
      </w:tr>
    </w:tbl>
    <w:p w14:paraId="62389E05" w14:textId="77777777" w:rsidR="00D93E20" w:rsidRDefault="00D93E20" w:rsidP="00D93E20"/>
    <w:p w14:paraId="31130D38" w14:textId="77777777" w:rsidR="00AC0F19" w:rsidRDefault="00AC0F19" w:rsidP="00911DAE">
      <w:pPr>
        <w:pStyle w:val="Heading1"/>
      </w:pPr>
      <w:bookmarkStart w:id="81" w:name="Chapter_2_-_Neonatal_risks_of_planned_bi"/>
      <w:bookmarkStart w:id="82" w:name="_bookmark31"/>
      <w:bookmarkStart w:id="83" w:name="_Toc75787971"/>
      <w:bookmarkEnd w:id="81"/>
      <w:bookmarkEnd w:id="82"/>
      <w:r>
        <w:lastRenderedPageBreak/>
        <w:t>:</w:t>
      </w:r>
      <w:r w:rsidR="00911DAE">
        <w:t xml:space="preserve"> </w:t>
      </w:r>
      <w:r>
        <w:t xml:space="preserve">Neonatal risks of planned birth </w:t>
      </w:r>
      <w:r w:rsidR="00436939">
        <w:t>&lt;</w:t>
      </w:r>
      <w:r w:rsidR="00EB43A9">
        <w:t>39 weeks</w:t>
      </w:r>
      <w:r w:rsidR="00B0606D">
        <w:t>’</w:t>
      </w:r>
      <w:r>
        <w:t xml:space="preserve"> gestation</w:t>
      </w:r>
      <w:bookmarkEnd w:id="83"/>
    </w:p>
    <w:p w14:paraId="42EEEA4C" w14:textId="77777777" w:rsidR="00AC0F19" w:rsidRDefault="00AC0F19" w:rsidP="00C2461F">
      <w:pPr>
        <w:pStyle w:val="Heading2"/>
      </w:pPr>
      <w:bookmarkStart w:id="84" w:name="_bookmark32"/>
      <w:bookmarkStart w:id="85" w:name="_Toc75787972"/>
      <w:bookmarkEnd w:id="84"/>
      <w:r>
        <w:t>Summary of evidence</w:t>
      </w:r>
      <w:bookmarkEnd w:id="85"/>
    </w:p>
    <w:p w14:paraId="629F2DFD" w14:textId="77777777" w:rsidR="00AC0F19" w:rsidRPr="00FA6312" w:rsidRDefault="00AC0F19" w:rsidP="00C2461F">
      <w:r w:rsidRPr="00FA6312">
        <w:t>Babies born preterm (</w:t>
      </w:r>
      <w:r w:rsidR="00436939">
        <w:t>&lt;</w:t>
      </w:r>
      <w:r w:rsidR="00EB43A9">
        <w:t>37 weeks</w:t>
      </w:r>
      <w:r w:rsidR="00B0606D">
        <w:t>’</w:t>
      </w:r>
      <w:r w:rsidRPr="00FA6312">
        <w:t xml:space="preserve"> gestational age) have a higher incidence of neonatal mortality and morbidity and long-term neurodevelopmental impairment than babies born at term (</w:t>
      </w:r>
      <w:proofErr w:type="spellStart"/>
      <w:r w:rsidRPr="00FA6312">
        <w:t>Saigal</w:t>
      </w:r>
      <w:proofErr w:type="spellEnd"/>
      <w:r w:rsidRPr="00FA6312">
        <w:t xml:space="preserve"> </w:t>
      </w:r>
      <w:r>
        <w:t xml:space="preserve">and Doyle </w:t>
      </w:r>
      <w:r w:rsidRPr="00FA6312">
        <w:t xml:space="preserve">2008; </w:t>
      </w:r>
      <w:proofErr w:type="spellStart"/>
      <w:r w:rsidRPr="00FA6312">
        <w:t>Petrini</w:t>
      </w:r>
      <w:proofErr w:type="spellEnd"/>
      <w:r w:rsidRPr="00FA6312">
        <w:t xml:space="preserve"> </w:t>
      </w:r>
      <w:r w:rsidR="000F3C98">
        <w:t>et al</w:t>
      </w:r>
      <w:r>
        <w:t xml:space="preserve"> </w:t>
      </w:r>
      <w:r w:rsidRPr="00FA6312">
        <w:t>2009). Early</w:t>
      </w:r>
      <w:r>
        <w:t>-</w:t>
      </w:r>
      <w:r w:rsidRPr="00FA6312">
        <w:t>term birth (37</w:t>
      </w:r>
      <w:r>
        <w:t>–</w:t>
      </w:r>
      <w:r w:rsidRPr="00FA6312">
        <w:t>38+6 weeks</w:t>
      </w:r>
      <w:r w:rsidR="00B0606D">
        <w:t>’</w:t>
      </w:r>
      <w:r w:rsidRPr="00FA6312">
        <w:t xml:space="preserve"> gestational age) is also associated with poorer neonatal outcomes compared </w:t>
      </w:r>
      <w:r>
        <w:t>with</w:t>
      </w:r>
      <w:r w:rsidRPr="00FA6312">
        <w:t xml:space="preserve"> babies born at 39</w:t>
      </w:r>
      <w:r>
        <w:t>–</w:t>
      </w:r>
      <w:r w:rsidR="00EB43A9">
        <w:t>41 weeks</w:t>
      </w:r>
      <w:r w:rsidR="00B0606D">
        <w:t>’</w:t>
      </w:r>
      <w:r w:rsidRPr="00FA6312">
        <w:t xml:space="preserve"> gestational age. Babies born by planned caesarean section at early term have a higher rate of neonatal death or serious morbidity (respiratory complications, NICU admission and hypoglycaemia) compared </w:t>
      </w:r>
      <w:r>
        <w:t>with</w:t>
      </w:r>
      <w:r w:rsidRPr="00FA6312">
        <w:t xml:space="preserve"> those born at </w:t>
      </w:r>
      <w:r w:rsidR="00EB43A9">
        <w:t>39 weeks</w:t>
      </w:r>
      <w:r w:rsidR="00B0606D">
        <w:t>’</w:t>
      </w:r>
      <w:r w:rsidRPr="00FA6312">
        <w:t xml:space="preserve"> or </w:t>
      </w:r>
      <w:r>
        <w:t>longer</w:t>
      </w:r>
      <w:r w:rsidRPr="00FA6312">
        <w:t xml:space="preserve"> gestation (</w:t>
      </w:r>
      <w:proofErr w:type="spellStart"/>
      <w:r w:rsidRPr="00FA6312">
        <w:t>Tita</w:t>
      </w:r>
      <w:proofErr w:type="spellEnd"/>
      <w:r w:rsidRPr="00FA6312">
        <w:t xml:space="preserve"> </w:t>
      </w:r>
      <w:r w:rsidR="000F3C98">
        <w:t>et al</w:t>
      </w:r>
      <w:r>
        <w:t xml:space="preserve"> </w:t>
      </w:r>
      <w:r w:rsidRPr="00FA6312">
        <w:t xml:space="preserve">2009). Cohort studies in Canada and New York have also shown an increased risk of NICU admission and respiratory morbidity for babies born early term compared </w:t>
      </w:r>
      <w:r>
        <w:t>with</w:t>
      </w:r>
      <w:r w:rsidRPr="00FA6312">
        <w:t xml:space="preserve"> babies born at 39</w:t>
      </w:r>
      <w:r>
        <w:t>–</w:t>
      </w:r>
      <w:r w:rsidRPr="00FA6312">
        <w:t xml:space="preserve">41+6 weeks gestation (Brown </w:t>
      </w:r>
      <w:r w:rsidR="000F3C98">
        <w:t>et al</w:t>
      </w:r>
      <w:r>
        <w:t xml:space="preserve"> </w:t>
      </w:r>
      <w:r w:rsidRPr="00FA6312">
        <w:t xml:space="preserve">2013; Sengupta </w:t>
      </w:r>
      <w:r w:rsidR="000F3C98">
        <w:t>et al</w:t>
      </w:r>
      <w:r>
        <w:t xml:space="preserve"> </w:t>
      </w:r>
      <w:r w:rsidRPr="00FA6312">
        <w:t>2013).</w:t>
      </w:r>
    </w:p>
    <w:p w14:paraId="0FB42E96" w14:textId="77777777" w:rsidR="00AC0F19" w:rsidRPr="00FA6312" w:rsidRDefault="00AC0F19" w:rsidP="00C2461F"/>
    <w:p w14:paraId="0E6BE4A5" w14:textId="77777777" w:rsidR="00AC0F19" w:rsidRDefault="00AC0F19" w:rsidP="00C2461F">
      <w:r w:rsidRPr="00FA6312">
        <w:t>Babies born early term are also at higher risk of long-term childhood impairment</w:t>
      </w:r>
      <w:r>
        <w:t>s,</w:t>
      </w:r>
      <w:r w:rsidRPr="00FA6312">
        <w:t xml:space="preserve"> such as cerebral palsy and special education needs (</w:t>
      </w:r>
      <w:proofErr w:type="spellStart"/>
      <w:r w:rsidRPr="00FA6312">
        <w:t>Moster</w:t>
      </w:r>
      <w:proofErr w:type="spellEnd"/>
      <w:r w:rsidRPr="00FA6312">
        <w:t xml:space="preserve"> </w:t>
      </w:r>
      <w:r w:rsidR="000F3C98">
        <w:t>et al</w:t>
      </w:r>
      <w:r>
        <w:t xml:space="preserve"> </w:t>
      </w:r>
      <w:r w:rsidRPr="00FA6312">
        <w:t xml:space="preserve">2010; Mackay </w:t>
      </w:r>
      <w:r w:rsidR="000F3C98">
        <w:t>et al</w:t>
      </w:r>
      <w:r>
        <w:t xml:space="preserve"> </w:t>
      </w:r>
      <w:r w:rsidRPr="00FA6312">
        <w:t xml:space="preserve">2010). New Zealand children born early term are at higher risk of requiring hospital admission in childhood and have lower National Certificate </w:t>
      </w:r>
      <w:r>
        <w:t>in</w:t>
      </w:r>
      <w:r w:rsidRPr="00FA6312">
        <w:t xml:space="preserve"> Educational Achievement </w:t>
      </w:r>
      <w:r>
        <w:t xml:space="preserve">(NCEA) </w:t>
      </w:r>
      <w:r w:rsidRPr="00FA6312">
        <w:t>scores than children born at 39</w:t>
      </w:r>
      <w:r>
        <w:t>–</w:t>
      </w:r>
      <w:r w:rsidR="00763E83">
        <w:t>40 weeks</w:t>
      </w:r>
      <w:r w:rsidR="00B0606D">
        <w:t>’</w:t>
      </w:r>
      <w:r w:rsidRPr="00FA6312">
        <w:t xml:space="preserve"> gestation (Berry </w:t>
      </w:r>
      <w:r w:rsidR="000F3C98">
        <w:t>et al</w:t>
      </w:r>
      <w:r>
        <w:t xml:space="preserve"> </w:t>
      </w:r>
      <w:r w:rsidRPr="00FA6312">
        <w:t>2018).</w:t>
      </w:r>
    </w:p>
    <w:p w14:paraId="5C2F519A" w14:textId="77777777" w:rsidR="00AC0F19" w:rsidRPr="00FA6312" w:rsidRDefault="00AC0F19" w:rsidP="00C2461F"/>
    <w:p w14:paraId="1E5A5B9C" w14:textId="77777777" w:rsidR="00AC0F19" w:rsidRDefault="00AC0F19" w:rsidP="00C2461F">
      <w:pPr>
        <w:pStyle w:val="Heading2"/>
      </w:pPr>
      <w:bookmarkStart w:id="86" w:name="_bookmark33"/>
      <w:bookmarkStart w:id="87" w:name="_Toc75787973"/>
      <w:bookmarkEnd w:id="86"/>
      <w:r>
        <w:t>Discussion</w:t>
      </w:r>
      <w:bookmarkEnd w:id="87"/>
    </w:p>
    <w:p w14:paraId="0B794146" w14:textId="77777777" w:rsidR="00AC0F19" w:rsidRDefault="00AC0F19" w:rsidP="00C2461F">
      <w:r>
        <w:t>There is currently insufficient high-</w:t>
      </w:r>
      <w:r w:rsidRPr="00FA6312">
        <w:t>quality</w:t>
      </w:r>
      <w:r>
        <w:t xml:space="preserve"> evidence to make a clear recommendation.</w:t>
      </w:r>
    </w:p>
    <w:p w14:paraId="45C9C67D" w14:textId="77777777" w:rsidR="00AC0F19" w:rsidRDefault="00AC0F19" w:rsidP="00C2461F"/>
    <w:tbl>
      <w:tblPr>
        <w:tblW w:w="0" w:type="auto"/>
        <w:tblInd w:w="57" w:type="dxa"/>
        <w:tblBorders>
          <w:bottom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8080"/>
      </w:tblGrid>
      <w:tr w:rsidR="00AC0F19" w:rsidRPr="00C2461F" w14:paraId="21288CDB" w14:textId="77777777" w:rsidTr="00C2461F">
        <w:trPr>
          <w:cantSplit/>
        </w:trPr>
        <w:tc>
          <w:tcPr>
            <w:tcW w:w="8080" w:type="dxa"/>
            <w:tcBorders>
              <w:bottom w:val="nil"/>
            </w:tcBorders>
            <w:shd w:val="clear" w:color="auto" w:fill="D9D9D9" w:themeFill="background1" w:themeFillShade="D9"/>
          </w:tcPr>
          <w:p w14:paraId="68D07BC1" w14:textId="77777777" w:rsidR="00AC0F19" w:rsidRPr="00C2461F" w:rsidRDefault="00AC0F19" w:rsidP="00C2461F">
            <w:pPr>
              <w:pStyle w:val="TableText"/>
              <w:rPr>
                <w:b/>
              </w:rPr>
            </w:pPr>
            <w:r w:rsidRPr="00C2461F">
              <w:rPr>
                <w:b/>
              </w:rPr>
              <w:t>Practice point</w:t>
            </w:r>
          </w:p>
        </w:tc>
      </w:tr>
      <w:tr w:rsidR="00AC0F19" w:rsidRPr="00E6535E" w14:paraId="2CBA7793" w14:textId="77777777" w:rsidTr="00C2461F">
        <w:trPr>
          <w:cantSplit/>
        </w:trPr>
        <w:tc>
          <w:tcPr>
            <w:tcW w:w="8080" w:type="dxa"/>
            <w:tcBorders>
              <w:top w:val="nil"/>
              <w:bottom w:val="single" w:sz="4" w:space="0" w:color="A6A6A6" w:themeColor="background1" w:themeShade="A6"/>
            </w:tcBorders>
          </w:tcPr>
          <w:p w14:paraId="2BB07D0F" w14:textId="77777777" w:rsidR="00AC0F19" w:rsidRPr="00844E96" w:rsidRDefault="00AC0F19" w:rsidP="00C2461F">
            <w:pPr>
              <w:pStyle w:val="TableBullet"/>
            </w:pPr>
            <w:r w:rsidRPr="00844E96">
              <w:t xml:space="preserve">Continue expectant management to </w:t>
            </w:r>
            <w:r w:rsidR="00EB43A9">
              <w:t>39 weeks</w:t>
            </w:r>
            <w:r w:rsidR="00B0606D">
              <w:t>’</w:t>
            </w:r>
            <w:r w:rsidRPr="00844E96">
              <w:t xml:space="preserve"> gestation or more, unless there is an evidence-based</w:t>
            </w:r>
            <w:r>
              <w:t xml:space="preserve"> </w:t>
            </w:r>
            <w:r w:rsidRPr="00844E96">
              <w:t>indication supporting earlier planned birth.</w:t>
            </w:r>
          </w:p>
        </w:tc>
      </w:tr>
    </w:tbl>
    <w:p w14:paraId="088A150D" w14:textId="77777777" w:rsidR="00C2461F" w:rsidRDefault="00C2461F" w:rsidP="00C2461F"/>
    <w:p w14:paraId="3456549D" w14:textId="77777777" w:rsidR="00AC0F19" w:rsidRDefault="00AC0F19" w:rsidP="009B305F">
      <w:pPr>
        <w:pStyle w:val="Heading1"/>
      </w:pPr>
      <w:bookmarkStart w:id="88" w:name="Chapter_3_-_Membrane_sweeping_at_term_fo"/>
      <w:bookmarkStart w:id="89" w:name="_bookmark34"/>
      <w:bookmarkStart w:id="90" w:name="_Toc75787974"/>
      <w:bookmarkEnd w:id="88"/>
      <w:bookmarkEnd w:id="89"/>
      <w:r>
        <w:lastRenderedPageBreak/>
        <w:t>:</w:t>
      </w:r>
      <w:r w:rsidR="009B305F">
        <w:t xml:space="preserve"> </w:t>
      </w:r>
      <w:r>
        <w:t>Membrane sweeping at term to reduce the need for induction of labour</w:t>
      </w:r>
      <w:bookmarkEnd w:id="90"/>
    </w:p>
    <w:p w14:paraId="6EF8CA0C" w14:textId="77777777" w:rsidR="00AC0F19" w:rsidRDefault="00AC0F19" w:rsidP="008D53E4">
      <w:pPr>
        <w:pStyle w:val="Heading2"/>
      </w:pPr>
      <w:bookmarkStart w:id="91" w:name="_bookmark35"/>
      <w:bookmarkStart w:id="92" w:name="_Toc75787975"/>
      <w:bookmarkEnd w:id="91"/>
      <w:r>
        <w:t>Summary of evidence</w:t>
      </w:r>
      <w:bookmarkEnd w:id="92"/>
    </w:p>
    <w:p w14:paraId="596C2558" w14:textId="77777777" w:rsidR="00AC0F19" w:rsidRPr="00853060" w:rsidRDefault="00AC0F19" w:rsidP="008D53E4">
      <w:r w:rsidRPr="00853060">
        <w:t>One systematic review was identified.</w:t>
      </w:r>
    </w:p>
    <w:p w14:paraId="24E18BE5" w14:textId="77777777" w:rsidR="00AC0F19" w:rsidRPr="00853060" w:rsidRDefault="00AC0F19" w:rsidP="008D53E4"/>
    <w:p w14:paraId="7BC08B62" w14:textId="77777777" w:rsidR="00AC0F19" w:rsidRPr="00853060" w:rsidRDefault="00AC0F19" w:rsidP="008D53E4">
      <w:r w:rsidRPr="00853060">
        <w:t>A 2005 Cochrane review (including 22 trials of 2,797 women) comparing membrane sweeping performed in an outpatient setting at term (38–</w:t>
      </w:r>
      <w:r w:rsidR="00763E83">
        <w:t>40 weeks</w:t>
      </w:r>
      <w:r w:rsidR="00B0606D">
        <w:t>’</w:t>
      </w:r>
      <w:r w:rsidRPr="00853060">
        <w:t xml:space="preserve"> gestation) with no treatment or other treatment found that membrane sweeping increased the likelihood of birth within one week (</w:t>
      </w:r>
      <w:r w:rsidR="00230FF7">
        <w:t>RR </w:t>
      </w:r>
      <w:r w:rsidRPr="00853060">
        <w:t>0.71, 95% CI</w:t>
      </w:r>
      <w:r>
        <w:t> </w:t>
      </w:r>
      <w:r w:rsidRPr="00853060">
        <w:t xml:space="preserve">0.65–0.78), reduced the frequency of pregnancy continuing beyond </w:t>
      </w:r>
      <w:r w:rsidR="00EB43A9">
        <w:t>41 weeks</w:t>
      </w:r>
      <w:r w:rsidRPr="00853060">
        <w:t xml:space="preserve"> (</w:t>
      </w:r>
      <w:r w:rsidR="00230FF7">
        <w:t>RR </w:t>
      </w:r>
      <w:r w:rsidRPr="00853060">
        <w:t>0.59, 95% CI 0.46–0.74) and reduced the frequency of using other methods to induce labour (</w:t>
      </w:r>
      <w:r w:rsidR="00230FF7">
        <w:t>RR </w:t>
      </w:r>
      <w:r w:rsidRPr="00853060">
        <w:t>0.60, 95% CI 0.51–0.71) (</w:t>
      </w:r>
      <w:proofErr w:type="spellStart"/>
      <w:r w:rsidRPr="00853060">
        <w:t>Boulvain</w:t>
      </w:r>
      <w:proofErr w:type="spellEnd"/>
      <w:r w:rsidRPr="00853060">
        <w:t xml:space="preserve"> </w:t>
      </w:r>
      <w:r w:rsidR="000F3C98">
        <w:t>et al</w:t>
      </w:r>
      <w:r w:rsidRPr="00853060">
        <w:t xml:space="preserve"> 2005). Eight women need to have membrane sweeping to avoid one formal IOL (number needed to treat (NNT) = 8).</w:t>
      </w:r>
    </w:p>
    <w:p w14:paraId="24B01B79" w14:textId="77777777" w:rsidR="00AC0F19" w:rsidRPr="00853060" w:rsidRDefault="00AC0F19" w:rsidP="008D53E4"/>
    <w:p w14:paraId="131AC7F4" w14:textId="77777777" w:rsidR="00AC0F19" w:rsidRPr="00853060" w:rsidRDefault="00AC0F19" w:rsidP="008D53E4">
      <w:r w:rsidRPr="00853060">
        <w:t>There was no difference in caesarean section (</w:t>
      </w:r>
      <w:r w:rsidR="00230FF7">
        <w:t>RR </w:t>
      </w:r>
      <w:r w:rsidRPr="00853060">
        <w:t>0.90, 95% CI 0.70–1.15). No serious maternal morbidity/mortality was reported (including septicaemia). There was no difference in risk of maternal infection/fever (</w:t>
      </w:r>
      <w:r w:rsidR="00230FF7">
        <w:t>RR </w:t>
      </w:r>
      <w:r w:rsidRPr="00853060">
        <w:t>1.05, 95% CI 0.68–1.65) or neonatal infection/fever (</w:t>
      </w:r>
      <w:r w:rsidR="00230FF7">
        <w:t>RR </w:t>
      </w:r>
      <w:r w:rsidRPr="00853060">
        <w:t xml:space="preserve">0.92, 95% CI 0.3–2.82). When compared with no treatment, discomfort and other minor adverse effects were more frequently reported with membrane sweeping. They did not report on maternal satisfaction. The authors concluded that, although sweeping the membranes as a general policy from 38 to </w:t>
      </w:r>
      <w:r w:rsidR="00763E83">
        <w:t>40 weeks</w:t>
      </w:r>
      <w:r w:rsidR="00B0606D">
        <w:t>’</w:t>
      </w:r>
      <w:r w:rsidRPr="00853060">
        <w:t xml:space="preserve"> gestation onwards decreased the rate of post-term pregnancy and need for formal IOL, it did not seem to improve any other clinical outcomes, was associated with some adverse effects and thus should be balanced against more formal options for IOL. Membrane sweeping does not replace a formal method of IOL.</w:t>
      </w:r>
    </w:p>
    <w:p w14:paraId="05758AB3" w14:textId="77777777" w:rsidR="00AC0F19" w:rsidRPr="00853060" w:rsidRDefault="00AC0F19" w:rsidP="008D53E4"/>
    <w:p w14:paraId="0956AB34" w14:textId="77777777" w:rsidR="00AC0F19" w:rsidRDefault="00AC0F19" w:rsidP="008D53E4">
      <w:pPr>
        <w:pStyle w:val="Heading2"/>
      </w:pPr>
      <w:bookmarkStart w:id="93" w:name="_bookmark36"/>
      <w:bookmarkStart w:id="94" w:name="_Toc75787976"/>
      <w:bookmarkEnd w:id="93"/>
      <w:r>
        <w:lastRenderedPageBreak/>
        <w:t>Discussion</w:t>
      </w:r>
      <w:bookmarkEnd w:id="94"/>
    </w:p>
    <w:p w14:paraId="5CF2A9E1" w14:textId="77777777" w:rsidR="00AC0F19" w:rsidRDefault="00AC0F19" w:rsidP="008D53E4">
      <w:pPr>
        <w:keepLines/>
      </w:pPr>
      <w:r>
        <w:t xml:space="preserve">Studies of membrane sweeping have shown that the potential risks are minimal. Women who do not go into labour following membrane sweeping experience pregnancies of shorter duration and decreased need for formal IOL. Membrane sweeping appears to have an excellent NNT, reducing the need for a </w:t>
      </w:r>
      <w:r w:rsidRPr="00FA6312">
        <w:t>formal</w:t>
      </w:r>
      <w:r>
        <w:t xml:space="preserve"> IOL. Women need to be reassured that although membrane sweeping may be an uncomfortable procedure, there are no associated harms. The Cochrane review refers to membrane sweeping at 38–</w:t>
      </w:r>
      <w:r w:rsidR="00763E83">
        <w:t>40 weeks</w:t>
      </w:r>
      <w:r w:rsidR="00B0606D">
        <w:t>’</w:t>
      </w:r>
      <w:r>
        <w:t xml:space="preserve"> gestation, whereas this guideline advocates for continuation of pregnancies until </w:t>
      </w:r>
      <w:r w:rsidR="00EB43A9">
        <w:t>39 weeks</w:t>
      </w:r>
      <w:r w:rsidR="00B0606D">
        <w:t>’</w:t>
      </w:r>
      <w:r>
        <w:t xml:space="preserve"> gestation. The panel felt that membrane sweeping may be beneficial for women beyond </w:t>
      </w:r>
      <w:r w:rsidR="00EB43A9">
        <w:t>39 weeks</w:t>
      </w:r>
      <w:r w:rsidR="00B0606D">
        <w:t>’</w:t>
      </w:r>
      <w:r>
        <w:rPr>
          <w:spacing w:val="-37"/>
        </w:rPr>
        <w:t xml:space="preserve"> </w:t>
      </w:r>
      <w:r>
        <w:t>gestation. There is insufficient evidence to make a clear recommendation for membrane sweeping at different gestational</w:t>
      </w:r>
      <w:r>
        <w:rPr>
          <w:spacing w:val="-5"/>
        </w:rPr>
        <w:t xml:space="preserve"> </w:t>
      </w:r>
      <w:r>
        <w:t>ages.</w:t>
      </w:r>
    </w:p>
    <w:p w14:paraId="646BFB39" w14:textId="77777777" w:rsidR="00AC0F19" w:rsidRDefault="00AC0F19" w:rsidP="008D53E4"/>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8D53E4" w14:paraId="2422528E" w14:textId="77777777" w:rsidTr="008D53E4">
        <w:trPr>
          <w:cantSplit/>
        </w:trPr>
        <w:tc>
          <w:tcPr>
            <w:tcW w:w="4678" w:type="dxa"/>
            <w:tcBorders>
              <w:top w:val="nil"/>
              <w:left w:val="nil"/>
              <w:bottom w:val="nil"/>
              <w:right w:val="nil"/>
            </w:tcBorders>
            <w:shd w:val="clear" w:color="auto" w:fill="D9D9D9" w:themeFill="background1" w:themeFillShade="D9"/>
          </w:tcPr>
          <w:p w14:paraId="1D91956C" w14:textId="77777777" w:rsidR="008D53E4" w:rsidRPr="00806252" w:rsidRDefault="008D53E4" w:rsidP="00AC6551">
            <w:pPr>
              <w:pStyle w:val="TableText"/>
              <w:rPr>
                <w:b/>
              </w:rPr>
            </w:pPr>
            <w:r w:rsidRPr="00806252">
              <w:rPr>
                <w:b/>
              </w:rPr>
              <w:t>Recommendation</w:t>
            </w:r>
          </w:p>
        </w:tc>
        <w:tc>
          <w:tcPr>
            <w:tcW w:w="1701" w:type="dxa"/>
            <w:tcBorders>
              <w:top w:val="nil"/>
              <w:left w:val="nil"/>
              <w:bottom w:val="nil"/>
              <w:right w:val="nil"/>
            </w:tcBorders>
            <w:shd w:val="clear" w:color="auto" w:fill="D9D9D9" w:themeFill="background1" w:themeFillShade="D9"/>
          </w:tcPr>
          <w:p w14:paraId="751E104C" w14:textId="77777777" w:rsidR="008D53E4" w:rsidRPr="00806252" w:rsidRDefault="008D53E4" w:rsidP="00AC6551">
            <w:pPr>
              <w:pStyle w:val="TableText"/>
              <w:rPr>
                <w:b/>
              </w:rPr>
            </w:pPr>
            <w:r w:rsidRPr="00806252">
              <w:rPr>
                <w:b/>
              </w:rPr>
              <w:t>Level of</w:t>
            </w:r>
            <w:r w:rsidR="00AC6551">
              <w:rPr>
                <w:b/>
              </w:rPr>
              <w:br/>
            </w:r>
            <w:r w:rsidRPr="00806252">
              <w:rPr>
                <w:b/>
              </w:rPr>
              <w:t>evidence</w:t>
            </w:r>
          </w:p>
        </w:tc>
        <w:tc>
          <w:tcPr>
            <w:tcW w:w="1701" w:type="dxa"/>
            <w:tcBorders>
              <w:top w:val="nil"/>
              <w:left w:val="nil"/>
              <w:bottom w:val="nil"/>
              <w:right w:val="nil"/>
            </w:tcBorders>
            <w:shd w:val="clear" w:color="auto" w:fill="D9D9D9" w:themeFill="background1" w:themeFillShade="D9"/>
          </w:tcPr>
          <w:p w14:paraId="1D641911" w14:textId="77777777" w:rsidR="008D53E4" w:rsidRPr="00806252" w:rsidRDefault="008D53E4" w:rsidP="00AC6551">
            <w:pPr>
              <w:pStyle w:val="TableText"/>
              <w:rPr>
                <w:b/>
              </w:rPr>
            </w:pPr>
            <w:r w:rsidRPr="00806252">
              <w:rPr>
                <w:b/>
              </w:rPr>
              <w:t>Strength of recommendation</w:t>
            </w:r>
          </w:p>
        </w:tc>
      </w:tr>
      <w:tr w:rsidR="008D53E4" w14:paraId="47330DB5" w14:textId="77777777" w:rsidTr="008D53E4">
        <w:trPr>
          <w:cantSplit/>
        </w:trPr>
        <w:tc>
          <w:tcPr>
            <w:tcW w:w="4678" w:type="dxa"/>
            <w:tcBorders>
              <w:top w:val="nil"/>
              <w:left w:val="nil"/>
              <w:bottom w:val="single" w:sz="4" w:space="0" w:color="A6A6A6" w:themeColor="background1" w:themeShade="A6"/>
              <w:right w:val="nil"/>
            </w:tcBorders>
          </w:tcPr>
          <w:p w14:paraId="53C5DFF6" w14:textId="77777777" w:rsidR="008D53E4" w:rsidRDefault="008D53E4" w:rsidP="008D53E4">
            <w:pPr>
              <w:pStyle w:val="TableText"/>
              <w:ind w:right="113"/>
            </w:pPr>
            <w:r>
              <w:t xml:space="preserve">Consider offering membrane sweeping at term to reduce the frequency of pregnancies continuing beyond </w:t>
            </w:r>
            <w:r w:rsidR="00EB43A9">
              <w:t>41 weeks</w:t>
            </w:r>
            <w:r>
              <w:t>’ gestation.</w:t>
            </w:r>
          </w:p>
        </w:tc>
        <w:tc>
          <w:tcPr>
            <w:tcW w:w="1701" w:type="dxa"/>
            <w:tcBorders>
              <w:top w:val="nil"/>
              <w:left w:val="nil"/>
              <w:bottom w:val="single" w:sz="4" w:space="0" w:color="A6A6A6" w:themeColor="background1" w:themeShade="A6"/>
              <w:right w:val="nil"/>
            </w:tcBorders>
          </w:tcPr>
          <w:p w14:paraId="692DBA0E" w14:textId="77777777" w:rsidR="008D53E4" w:rsidRDefault="008D53E4" w:rsidP="00AC6551">
            <w:pPr>
              <w:pStyle w:val="TableText"/>
            </w:pPr>
            <w:r>
              <w:t>Level 1; moderate quality</w:t>
            </w:r>
          </w:p>
        </w:tc>
        <w:tc>
          <w:tcPr>
            <w:tcW w:w="1701" w:type="dxa"/>
            <w:tcBorders>
              <w:top w:val="nil"/>
              <w:left w:val="nil"/>
              <w:bottom w:val="single" w:sz="4" w:space="0" w:color="A6A6A6" w:themeColor="background1" w:themeShade="A6"/>
              <w:right w:val="nil"/>
            </w:tcBorders>
          </w:tcPr>
          <w:p w14:paraId="1A479530" w14:textId="77777777" w:rsidR="008D53E4" w:rsidRDefault="008D53E4" w:rsidP="00AC6551">
            <w:pPr>
              <w:pStyle w:val="TableText"/>
            </w:pPr>
            <w:r>
              <w:t>Conditional</w:t>
            </w:r>
          </w:p>
        </w:tc>
      </w:tr>
    </w:tbl>
    <w:p w14:paraId="0CA1A63C" w14:textId="77777777" w:rsidR="008D53E4" w:rsidRDefault="008D53E4"/>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D53E4" w14:paraId="45A9BE42" w14:textId="77777777" w:rsidTr="008D53E4">
        <w:trPr>
          <w:cantSplit/>
        </w:trPr>
        <w:tc>
          <w:tcPr>
            <w:tcW w:w="8080" w:type="dxa"/>
            <w:tcBorders>
              <w:top w:val="nil"/>
              <w:left w:val="nil"/>
              <w:bottom w:val="nil"/>
              <w:right w:val="nil"/>
            </w:tcBorders>
            <w:shd w:val="clear" w:color="auto" w:fill="D9D9D9" w:themeFill="background1" w:themeFillShade="D9"/>
          </w:tcPr>
          <w:p w14:paraId="3072F83B" w14:textId="77777777" w:rsidR="008D53E4" w:rsidRPr="008D53E4" w:rsidRDefault="008D53E4" w:rsidP="00AC6551">
            <w:pPr>
              <w:pStyle w:val="TableText"/>
            </w:pPr>
            <w:r w:rsidRPr="00806252">
              <w:rPr>
                <w:b/>
                <w:iCs/>
              </w:rPr>
              <w:t>Practice point</w:t>
            </w:r>
          </w:p>
        </w:tc>
      </w:tr>
      <w:tr w:rsidR="008D53E4" w14:paraId="188774E9" w14:textId="77777777" w:rsidTr="008D53E4">
        <w:trPr>
          <w:cantSplit/>
        </w:trPr>
        <w:tc>
          <w:tcPr>
            <w:tcW w:w="8080" w:type="dxa"/>
            <w:tcBorders>
              <w:top w:val="nil"/>
              <w:left w:val="nil"/>
              <w:bottom w:val="single" w:sz="4" w:space="0" w:color="A6A6A6" w:themeColor="background1" w:themeShade="A6"/>
              <w:right w:val="nil"/>
            </w:tcBorders>
          </w:tcPr>
          <w:p w14:paraId="1BF4C71D" w14:textId="77777777" w:rsidR="008D53E4" w:rsidRDefault="008D53E4" w:rsidP="00AC6551">
            <w:pPr>
              <w:pStyle w:val="TableBullet"/>
            </w:pPr>
            <w:r w:rsidRPr="008E12A8">
              <w:t xml:space="preserve">If offering membrane sweeping, consider performing </w:t>
            </w:r>
            <w:r>
              <w:t xml:space="preserve">it </w:t>
            </w:r>
            <w:r w:rsidRPr="008E12A8">
              <w:t xml:space="preserve">from around </w:t>
            </w:r>
            <w:r w:rsidR="00EB43A9">
              <w:t>39 weeks</w:t>
            </w:r>
            <w:r>
              <w:t>’</w:t>
            </w:r>
            <w:r w:rsidRPr="008E12A8">
              <w:t xml:space="preserve"> gestation.</w:t>
            </w:r>
          </w:p>
        </w:tc>
      </w:tr>
    </w:tbl>
    <w:p w14:paraId="1F9CCC2A" w14:textId="77777777" w:rsidR="008D53E4" w:rsidRDefault="008D53E4"/>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8D53E4" w14:paraId="0C364791" w14:textId="77777777" w:rsidTr="008D53E4">
        <w:trPr>
          <w:cantSplit/>
        </w:trPr>
        <w:tc>
          <w:tcPr>
            <w:tcW w:w="8080" w:type="dxa"/>
            <w:tcBorders>
              <w:top w:val="nil"/>
              <w:left w:val="nil"/>
              <w:bottom w:val="nil"/>
              <w:right w:val="nil"/>
            </w:tcBorders>
            <w:shd w:val="clear" w:color="auto" w:fill="D9D9D9" w:themeFill="background1" w:themeFillShade="D9"/>
          </w:tcPr>
          <w:p w14:paraId="5D511F9A" w14:textId="77777777" w:rsidR="008D53E4" w:rsidRPr="008D53E4" w:rsidRDefault="008D53E4" w:rsidP="008D53E4">
            <w:pPr>
              <w:pStyle w:val="TableText"/>
              <w:rPr>
                <w:b/>
              </w:rPr>
            </w:pPr>
            <w:r w:rsidRPr="008D53E4">
              <w:rPr>
                <w:b/>
              </w:rPr>
              <w:t>Research gaps</w:t>
            </w:r>
          </w:p>
        </w:tc>
      </w:tr>
      <w:tr w:rsidR="008D53E4" w14:paraId="1AD2C1F9" w14:textId="77777777" w:rsidTr="008D53E4">
        <w:trPr>
          <w:cantSplit/>
        </w:trPr>
        <w:tc>
          <w:tcPr>
            <w:tcW w:w="8080" w:type="dxa"/>
            <w:tcBorders>
              <w:top w:val="nil"/>
              <w:left w:val="nil"/>
              <w:bottom w:val="single" w:sz="4" w:space="0" w:color="A6A6A6" w:themeColor="background1" w:themeShade="A6"/>
              <w:right w:val="nil"/>
            </w:tcBorders>
          </w:tcPr>
          <w:p w14:paraId="19643961" w14:textId="77777777" w:rsidR="008D53E4" w:rsidRDefault="008D53E4" w:rsidP="00AC6551">
            <w:pPr>
              <w:pStyle w:val="TableBullet"/>
            </w:pPr>
            <w:r>
              <w:t>To explore women’s perspectives and experiences of membrane sweeping.</w:t>
            </w:r>
          </w:p>
          <w:p w14:paraId="34F9FE74" w14:textId="77777777" w:rsidR="008D53E4" w:rsidRDefault="008D53E4" w:rsidP="00AC6551">
            <w:pPr>
              <w:pStyle w:val="TableBullet"/>
            </w:pPr>
            <w:r>
              <w:t>In women at term, to determine the effect of membrane sweeping compared with no treatment on maternal, perinatal and neonatal outcomes, stratifying participants by cervical status and parity.</w:t>
            </w:r>
          </w:p>
          <w:p w14:paraId="75A3752A" w14:textId="77777777" w:rsidR="008D53E4" w:rsidRDefault="008D53E4" w:rsidP="00AC6551">
            <w:pPr>
              <w:pStyle w:val="TableBullet"/>
            </w:pPr>
            <w:r>
              <w:t>To explore alternative methods to encourage labour, besides membrane sweeping.</w:t>
            </w:r>
          </w:p>
        </w:tc>
      </w:tr>
    </w:tbl>
    <w:p w14:paraId="22682EB9" w14:textId="77777777" w:rsidR="008D53E4" w:rsidRDefault="008D53E4" w:rsidP="008D53E4"/>
    <w:p w14:paraId="11D52AB4" w14:textId="77777777" w:rsidR="00AC0F19" w:rsidRDefault="00AC0F19" w:rsidP="00AC6551">
      <w:pPr>
        <w:pStyle w:val="Heading1"/>
      </w:pPr>
      <w:bookmarkStart w:id="95" w:name="Chapter_4_-_Indications_and_timing_of_in"/>
      <w:bookmarkStart w:id="96" w:name="_bookmark37"/>
      <w:bookmarkStart w:id="97" w:name="_Toc75787977"/>
      <w:bookmarkEnd w:id="95"/>
      <w:bookmarkEnd w:id="96"/>
      <w:r>
        <w:lastRenderedPageBreak/>
        <w:t>:</w:t>
      </w:r>
      <w:r w:rsidR="00AC6551">
        <w:t xml:space="preserve"> </w:t>
      </w:r>
      <w:r>
        <w:t>Indications and timing of induction of labour</w:t>
      </w:r>
      <w:bookmarkEnd w:id="97"/>
    </w:p>
    <w:p w14:paraId="39D3F769" w14:textId="77777777" w:rsidR="00AC0F19" w:rsidRDefault="00AC0F19" w:rsidP="00AC6551">
      <w:pPr>
        <w:pStyle w:val="Heading2"/>
      </w:pPr>
      <w:bookmarkStart w:id="98" w:name="_bookmark38"/>
      <w:bookmarkStart w:id="99" w:name="_Toc75787978"/>
      <w:bookmarkEnd w:id="98"/>
      <w:r w:rsidRPr="00FA6312">
        <w:t>Introduction</w:t>
      </w:r>
      <w:bookmarkEnd w:id="99"/>
    </w:p>
    <w:p w14:paraId="13C73D95" w14:textId="77777777" w:rsidR="00AC0F19" w:rsidRDefault="00AC0F19" w:rsidP="002E5969">
      <w:r>
        <w:t>The panel recommends offering IOL where there is clear evidence of benefit</w:t>
      </w:r>
      <w:r>
        <w:rPr>
          <w:spacing w:val="-15"/>
        </w:rPr>
        <w:t xml:space="preserve"> </w:t>
      </w:r>
      <w:r>
        <w:t>to</w:t>
      </w:r>
      <w:r>
        <w:rPr>
          <w:spacing w:val="-14"/>
        </w:rPr>
        <w:t xml:space="preserve"> </w:t>
      </w:r>
      <w:r>
        <w:t>the</w:t>
      </w:r>
      <w:r>
        <w:rPr>
          <w:spacing w:val="-15"/>
        </w:rPr>
        <w:t xml:space="preserve"> pregnant </w:t>
      </w:r>
      <w:r>
        <w:t>woman</w:t>
      </w:r>
      <w:r>
        <w:rPr>
          <w:spacing w:val="-14"/>
        </w:rPr>
        <w:t xml:space="preserve"> </w:t>
      </w:r>
      <w:r>
        <w:t>or</w:t>
      </w:r>
      <w:r>
        <w:rPr>
          <w:spacing w:val="-13"/>
        </w:rPr>
        <w:t xml:space="preserve"> </w:t>
      </w:r>
      <w:r>
        <w:t>her</w:t>
      </w:r>
      <w:r>
        <w:rPr>
          <w:spacing w:val="-13"/>
        </w:rPr>
        <w:t xml:space="preserve"> </w:t>
      </w:r>
      <w:r>
        <w:t>baby</w:t>
      </w:r>
      <w:r>
        <w:rPr>
          <w:spacing w:val="-13"/>
        </w:rPr>
        <w:t xml:space="preserve"> </w:t>
      </w:r>
      <w:r>
        <w:t>and</w:t>
      </w:r>
      <w:r>
        <w:rPr>
          <w:spacing w:val="-14"/>
        </w:rPr>
        <w:t xml:space="preserve"> </w:t>
      </w:r>
      <w:r>
        <w:t>supports</w:t>
      </w:r>
      <w:r>
        <w:rPr>
          <w:spacing w:val="-12"/>
        </w:rPr>
        <w:t xml:space="preserve"> </w:t>
      </w:r>
      <w:r>
        <w:t>clinicians</w:t>
      </w:r>
      <w:r>
        <w:rPr>
          <w:spacing w:val="-12"/>
        </w:rPr>
        <w:t xml:space="preserve"> </w:t>
      </w:r>
      <w:r>
        <w:t>offering</w:t>
      </w:r>
      <w:r>
        <w:rPr>
          <w:spacing w:val="-13"/>
        </w:rPr>
        <w:t xml:space="preserve"> </w:t>
      </w:r>
      <w:r>
        <w:t>expectant</w:t>
      </w:r>
      <w:r>
        <w:rPr>
          <w:spacing w:val="-15"/>
        </w:rPr>
        <w:t xml:space="preserve"> </w:t>
      </w:r>
      <w:r>
        <w:t>management</w:t>
      </w:r>
      <w:r>
        <w:rPr>
          <w:spacing w:val="-15"/>
        </w:rPr>
        <w:t xml:space="preserve"> </w:t>
      </w:r>
      <w:r>
        <w:t xml:space="preserve">where there is no clear evidence of benefit from IOL. If a clinician and the pregnant woman are considering IOL where evidence is insufficient to make a recommendation, then the panel recommends not offering IOL before </w:t>
      </w:r>
      <w:r w:rsidR="00EB43A9">
        <w:t>39 weeks</w:t>
      </w:r>
      <w:r w:rsidR="00B0606D">
        <w:t>’</w:t>
      </w:r>
      <w:r>
        <w:t xml:space="preserve"> gestation in order to optimise short- and long-term outcomes for the</w:t>
      </w:r>
      <w:r>
        <w:rPr>
          <w:spacing w:val="-3"/>
        </w:rPr>
        <w:t xml:space="preserve"> </w:t>
      </w:r>
      <w:r>
        <w:t>baby.</w:t>
      </w:r>
    </w:p>
    <w:p w14:paraId="5D9226B6" w14:textId="77777777" w:rsidR="00AC0F19" w:rsidRDefault="00AC0F19" w:rsidP="002E5969"/>
    <w:p w14:paraId="4AE40D0D" w14:textId="77777777" w:rsidR="00AC0F19" w:rsidRDefault="00AC0F19" w:rsidP="002E5969">
      <w:r>
        <w:t>Women</w:t>
      </w:r>
      <w:r>
        <w:rPr>
          <w:spacing w:val="-8"/>
        </w:rPr>
        <w:t xml:space="preserve"> </w:t>
      </w:r>
      <w:r>
        <w:t>may</w:t>
      </w:r>
      <w:r>
        <w:rPr>
          <w:spacing w:val="-7"/>
        </w:rPr>
        <w:t xml:space="preserve"> </w:t>
      </w:r>
      <w:r>
        <w:t>have</w:t>
      </w:r>
      <w:r>
        <w:rPr>
          <w:spacing w:val="-4"/>
        </w:rPr>
        <w:t xml:space="preserve"> </w:t>
      </w:r>
      <w:r>
        <w:t>more</w:t>
      </w:r>
      <w:r>
        <w:rPr>
          <w:spacing w:val="-3"/>
        </w:rPr>
        <w:t xml:space="preserve"> </w:t>
      </w:r>
      <w:r>
        <w:t>than</w:t>
      </w:r>
      <w:r>
        <w:rPr>
          <w:spacing w:val="-8"/>
        </w:rPr>
        <w:t xml:space="preserve"> </w:t>
      </w:r>
      <w:r>
        <w:t>one</w:t>
      </w:r>
      <w:r>
        <w:rPr>
          <w:spacing w:val="-3"/>
        </w:rPr>
        <w:t xml:space="preserve"> </w:t>
      </w:r>
      <w:r>
        <w:t>risk</w:t>
      </w:r>
      <w:r>
        <w:rPr>
          <w:spacing w:val="-8"/>
        </w:rPr>
        <w:t xml:space="preserve"> </w:t>
      </w:r>
      <w:r>
        <w:t>factor</w:t>
      </w:r>
      <w:r>
        <w:rPr>
          <w:spacing w:val="-6"/>
        </w:rPr>
        <w:t xml:space="preserve"> </w:t>
      </w:r>
      <w:r>
        <w:t>during</w:t>
      </w:r>
      <w:r>
        <w:rPr>
          <w:spacing w:val="-8"/>
        </w:rPr>
        <w:t xml:space="preserve"> </w:t>
      </w:r>
      <w:r>
        <w:t>their</w:t>
      </w:r>
      <w:r>
        <w:rPr>
          <w:spacing w:val="-7"/>
        </w:rPr>
        <w:t xml:space="preserve"> </w:t>
      </w:r>
      <w:r>
        <w:t>pregnancy.</w:t>
      </w:r>
      <w:r>
        <w:rPr>
          <w:spacing w:val="-8"/>
        </w:rPr>
        <w:t xml:space="preserve"> </w:t>
      </w:r>
      <w:r>
        <w:t>Therefore,</w:t>
      </w:r>
      <w:r>
        <w:rPr>
          <w:spacing w:val="-7"/>
        </w:rPr>
        <w:t xml:space="preserve"> </w:t>
      </w:r>
      <w:r>
        <w:t>clinicians</w:t>
      </w:r>
      <w:r>
        <w:rPr>
          <w:spacing w:val="-6"/>
        </w:rPr>
        <w:t xml:space="preserve"> </w:t>
      </w:r>
      <w:r>
        <w:t>need to individualise care when considering IOL. Clinicians should have informed discussions with women about the risks and benefits of IOL and expectant management and plan</w:t>
      </w:r>
      <w:r>
        <w:rPr>
          <w:spacing w:val="-7"/>
        </w:rPr>
        <w:t xml:space="preserve"> individualised </w:t>
      </w:r>
      <w:r>
        <w:t>care</w:t>
      </w:r>
      <w:r>
        <w:rPr>
          <w:spacing w:val="-7"/>
        </w:rPr>
        <w:t xml:space="preserve"> </w:t>
      </w:r>
      <w:r>
        <w:t>with</w:t>
      </w:r>
      <w:r>
        <w:rPr>
          <w:spacing w:val="-7"/>
        </w:rPr>
        <w:t xml:space="preserve"> </w:t>
      </w:r>
      <w:r>
        <w:t>each</w:t>
      </w:r>
      <w:r>
        <w:rPr>
          <w:spacing w:val="-3"/>
        </w:rPr>
        <w:t xml:space="preserve"> </w:t>
      </w:r>
      <w:r>
        <w:t>woman</w:t>
      </w:r>
      <w:r>
        <w:rPr>
          <w:spacing w:val="-6"/>
        </w:rPr>
        <w:t xml:space="preserve"> </w:t>
      </w:r>
      <w:r>
        <w:t>and</w:t>
      </w:r>
      <w:r>
        <w:rPr>
          <w:spacing w:val="-7"/>
        </w:rPr>
        <w:t xml:space="preserve"> </w:t>
      </w:r>
      <w:r>
        <w:t>her</w:t>
      </w:r>
      <w:r>
        <w:rPr>
          <w:spacing w:val="-7"/>
        </w:rPr>
        <w:t xml:space="preserve"> </w:t>
      </w:r>
      <w:r>
        <w:t>LMC.</w:t>
      </w:r>
      <w:r>
        <w:rPr>
          <w:spacing w:val="-5"/>
        </w:rPr>
        <w:t xml:space="preserve"> </w:t>
      </w:r>
      <w:r>
        <w:t>The</w:t>
      </w:r>
      <w:r>
        <w:rPr>
          <w:spacing w:val="-8"/>
        </w:rPr>
        <w:t xml:space="preserve"> </w:t>
      </w:r>
      <w:r>
        <w:t>panel</w:t>
      </w:r>
      <w:r>
        <w:rPr>
          <w:spacing w:val="-8"/>
        </w:rPr>
        <w:t xml:space="preserve"> </w:t>
      </w:r>
      <w:r>
        <w:t>acknowledges</w:t>
      </w:r>
      <w:r>
        <w:rPr>
          <w:spacing w:val="-4"/>
        </w:rPr>
        <w:t xml:space="preserve"> </w:t>
      </w:r>
      <w:r>
        <w:t>that</w:t>
      </w:r>
      <w:r>
        <w:rPr>
          <w:spacing w:val="-8"/>
        </w:rPr>
        <w:t xml:space="preserve"> </w:t>
      </w:r>
      <w:r>
        <w:t>even</w:t>
      </w:r>
      <w:r>
        <w:rPr>
          <w:spacing w:val="-7"/>
        </w:rPr>
        <w:t xml:space="preserve"> </w:t>
      </w:r>
      <w:r>
        <w:t>for</w:t>
      </w:r>
      <w:r>
        <w:rPr>
          <w:spacing w:val="-5"/>
        </w:rPr>
        <w:t xml:space="preserve"> </w:t>
      </w:r>
      <w:r>
        <w:t>indications where there are no reported harms in women having IOL, the intervention of IOL itself can</w:t>
      </w:r>
      <w:r>
        <w:rPr>
          <w:spacing w:val="-42"/>
        </w:rPr>
        <w:t xml:space="preserve"> </w:t>
      </w:r>
      <w:r>
        <w:t>be considered</w:t>
      </w:r>
      <w:r>
        <w:rPr>
          <w:spacing w:val="-12"/>
        </w:rPr>
        <w:t xml:space="preserve"> </w:t>
      </w:r>
      <w:r>
        <w:t>by</w:t>
      </w:r>
      <w:r>
        <w:rPr>
          <w:spacing w:val="-7"/>
        </w:rPr>
        <w:t xml:space="preserve"> </w:t>
      </w:r>
      <w:r>
        <w:t>some</w:t>
      </w:r>
      <w:r>
        <w:rPr>
          <w:spacing w:val="-8"/>
        </w:rPr>
        <w:t xml:space="preserve"> </w:t>
      </w:r>
      <w:r>
        <w:t>to</w:t>
      </w:r>
      <w:r>
        <w:rPr>
          <w:spacing w:val="-12"/>
        </w:rPr>
        <w:t xml:space="preserve"> </w:t>
      </w:r>
      <w:r>
        <w:t>be</w:t>
      </w:r>
      <w:r>
        <w:rPr>
          <w:spacing w:val="-8"/>
        </w:rPr>
        <w:t xml:space="preserve"> </w:t>
      </w:r>
      <w:r>
        <w:t>a</w:t>
      </w:r>
      <w:r>
        <w:rPr>
          <w:spacing w:val="-12"/>
        </w:rPr>
        <w:t xml:space="preserve"> </w:t>
      </w:r>
      <w:r>
        <w:t>harm.</w:t>
      </w:r>
      <w:r>
        <w:rPr>
          <w:spacing w:val="-11"/>
        </w:rPr>
        <w:t xml:space="preserve"> </w:t>
      </w:r>
      <w:r>
        <w:t>Moreover,</w:t>
      </w:r>
      <w:r>
        <w:rPr>
          <w:spacing w:val="-7"/>
        </w:rPr>
        <w:t xml:space="preserve"> </w:t>
      </w:r>
      <w:r>
        <w:t>some</w:t>
      </w:r>
      <w:r>
        <w:rPr>
          <w:spacing w:val="-8"/>
        </w:rPr>
        <w:t xml:space="preserve"> </w:t>
      </w:r>
      <w:r>
        <w:t>important</w:t>
      </w:r>
      <w:r>
        <w:rPr>
          <w:spacing w:val="-8"/>
        </w:rPr>
        <w:t xml:space="preserve"> </w:t>
      </w:r>
      <w:r>
        <w:t>or</w:t>
      </w:r>
      <w:r>
        <w:rPr>
          <w:spacing w:val="-11"/>
        </w:rPr>
        <w:t xml:space="preserve"> </w:t>
      </w:r>
      <w:r>
        <w:t>long-term</w:t>
      </w:r>
      <w:r>
        <w:rPr>
          <w:spacing w:val="-8"/>
        </w:rPr>
        <w:t xml:space="preserve"> </w:t>
      </w:r>
      <w:r>
        <w:t>outcomes</w:t>
      </w:r>
      <w:r>
        <w:rPr>
          <w:spacing w:val="-9"/>
        </w:rPr>
        <w:t xml:space="preserve"> </w:t>
      </w:r>
      <w:r>
        <w:t>have</w:t>
      </w:r>
      <w:r>
        <w:rPr>
          <w:spacing w:val="-13"/>
        </w:rPr>
        <w:t xml:space="preserve"> </w:t>
      </w:r>
      <w:r>
        <w:t>not yet been explored.</w:t>
      </w:r>
    </w:p>
    <w:p w14:paraId="29D58C02" w14:textId="77777777" w:rsidR="00AC0F19" w:rsidRDefault="00AC0F19" w:rsidP="002E5969"/>
    <w:p w14:paraId="0068EBDE" w14:textId="77777777" w:rsidR="00AC0F19" w:rsidRDefault="00AC0F19" w:rsidP="002E5969">
      <w:r>
        <w:t>Clinicians should engage in shared decision-making that respects women</w:t>
      </w:r>
      <w:r w:rsidR="00B0606D">
        <w:t>’</w:t>
      </w:r>
      <w:r>
        <w:t>s choices and autonomy. If women choose expectant management when they have been offered IOL, then the woman should be supported to revisit the decision at any time. Where clinicians do not follow guideline recommendations, then they should document their rationale adhering to the recommendation.</w:t>
      </w:r>
    </w:p>
    <w:p w14:paraId="542D4D88" w14:textId="77777777" w:rsidR="00AC0F19" w:rsidRDefault="00AC0F19" w:rsidP="002E5969"/>
    <w:p w14:paraId="690448DA" w14:textId="77777777" w:rsidR="00AC0F19" w:rsidRDefault="00AC0F19" w:rsidP="00AC0F19">
      <w:pPr>
        <w:pStyle w:val="Heading2"/>
      </w:pPr>
      <w:bookmarkStart w:id="100" w:name="_Toc75787979"/>
      <w:r>
        <w:lastRenderedPageBreak/>
        <w:t>Mobilisation and physical restrictions during labour and birth</w:t>
      </w:r>
      <w:bookmarkEnd w:id="100"/>
    </w:p>
    <w:p w14:paraId="646BB161" w14:textId="77777777" w:rsidR="00AC0F19" w:rsidRDefault="00AC0F19" w:rsidP="002E5969">
      <w:pPr>
        <w:keepLines/>
      </w:pPr>
      <w:r>
        <w:t xml:space="preserve">For many people, performing </w:t>
      </w:r>
      <w:proofErr w:type="spellStart"/>
      <w:r>
        <w:t>turakanga</w:t>
      </w:r>
      <w:proofErr w:type="spellEnd"/>
      <w:r>
        <w:t xml:space="preserve"> (strengthening ceremony connected with childbirth), </w:t>
      </w:r>
      <w:proofErr w:type="spellStart"/>
      <w:r>
        <w:t>waituhi</w:t>
      </w:r>
      <w:proofErr w:type="spellEnd"/>
      <w:r>
        <w:t xml:space="preserve"> (performing certain rites over a woman at or after childbirth), hands on healing and the ability to move freely are important aspects of </w:t>
      </w:r>
      <w:proofErr w:type="spellStart"/>
      <w:r w:rsidRPr="00E25891">
        <w:t>whakamamae</w:t>
      </w:r>
      <w:proofErr w:type="spellEnd"/>
      <w:r>
        <w:t xml:space="preserve"> (labour) and </w:t>
      </w:r>
      <w:proofErr w:type="spellStart"/>
      <w:r>
        <w:t>whakawhānau</w:t>
      </w:r>
      <w:proofErr w:type="spellEnd"/>
      <w:r>
        <w:t xml:space="preserve"> (giving birth). Energy can be transferred via movement and touch, for example, </w:t>
      </w:r>
      <w:proofErr w:type="spellStart"/>
      <w:r>
        <w:t>rongoā</w:t>
      </w:r>
      <w:proofErr w:type="spellEnd"/>
      <w:r>
        <w:t xml:space="preserve"> </w:t>
      </w:r>
      <w:proofErr w:type="spellStart"/>
      <w:r>
        <w:t>māori</w:t>
      </w:r>
      <w:proofErr w:type="spellEnd"/>
      <w:r>
        <w:t xml:space="preserve"> (traditional treatments), such as mirimiri (massage), and practices such as acupressure and acupuncture. It is commonplace during IOLs to attach monitoring equipment, intravenous lines and other devices, and such equipment often restricts movement and hands-on contact. Consider less restrictive solutions where possible.</w:t>
      </w:r>
    </w:p>
    <w:p w14:paraId="1280BC72" w14:textId="77777777" w:rsidR="00AC0F19" w:rsidRDefault="00AC0F19" w:rsidP="002E5969"/>
    <w:p w14:paraId="6FCA0B99" w14:textId="77777777" w:rsidR="00AC0F19" w:rsidRDefault="00AC0F19" w:rsidP="002E5969">
      <w:r>
        <w:t>In making the recommendations for IOL, the panel considered the implications of limited resources and capacity within the current New Zealand health system if women were routinely offered IOL for clinical indications currently managed expectantly. The panel also considered the resources required for women being managed expectantly, such as specialist consultations, clinical assessments and ultrasound scans. Maternity services should accommodate requests for IOL if IOL options are available at the service. The panel acknowledges that not all services can provide IOL at all times due to limited resources. Resources and costs were beyond the scope of this guideline.</w:t>
      </w:r>
    </w:p>
    <w:p w14:paraId="352BD08A" w14:textId="77777777" w:rsidR="00AC0F19" w:rsidRDefault="00AC0F19" w:rsidP="002E5969"/>
    <w:p w14:paraId="6CEBFD98" w14:textId="77777777" w:rsidR="00AC0F19" w:rsidRDefault="00AC0F19" w:rsidP="002E5969">
      <w:r>
        <w:t>Each</w:t>
      </w:r>
      <w:r>
        <w:rPr>
          <w:spacing w:val="-4"/>
        </w:rPr>
        <w:t xml:space="preserve"> </w:t>
      </w:r>
      <w:r>
        <w:t>clinical</w:t>
      </w:r>
      <w:r>
        <w:rPr>
          <w:spacing w:val="-5"/>
        </w:rPr>
        <w:t xml:space="preserve"> </w:t>
      </w:r>
      <w:r>
        <w:t>indication</w:t>
      </w:r>
      <w:r>
        <w:rPr>
          <w:spacing w:val="-4"/>
        </w:rPr>
        <w:t xml:space="preserve"> </w:t>
      </w:r>
      <w:r>
        <w:t>listed</w:t>
      </w:r>
      <w:r>
        <w:rPr>
          <w:spacing w:val="-3"/>
        </w:rPr>
        <w:t xml:space="preserve"> </w:t>
      </w:r>
      <w:r>
        <w:t>below</w:t>
      </w:r>
      <w:r>
        <w:rPr>
          <w:spacing w:val="-2"/>
        </w:rPr>
        <w:t xml:space="preserve"> </w:t>
      </w:r>
      <w:r>
        <w:t>briefly</w:t>
      </w:r>
      <w:r>
        <w:rPr>
          <w:spacing w:val="-3"/>
        </w:rPr>
        <w:t xml:space="preserve"> </w:t>
      </w:r>
      <w:r>
        <w:t>summarises</w:t>
      </w:r>
      <w:r>
        <w:rPr>
          <w:spacing w:val="-5"/>
        </w:rPr>
        <w:t xml:space="preserve"> </w:t>
      </w:r>
      <w:r>
        <w:t>the</w:t>
      </w:r>
      <w:r>
        <w:rPr>
          <w:spacing w:val="-6"/>
        </w:rPr>
        <w:t xml:space="preserve"> </w:t>
      </w:r>
      <w:r>
        <w:t>condition</w:t>
      </w:r>
      <w:r>
        <w:rPr>
          <w:spacing w:val="-3"/>
        </w:rPr>
        <w:t xml:space="preserve"> </w:t>
      </w:r>
      <w:r>
        <w:t>and</w:t>
      </w:r>
      <w:r>
        <w:rPr>
          <w:spacing w:val="-4"/>
        </w:rPr>
        <w:t xml:space="preserve"> </w:t>
      </w:r>
      <w:r>
        <w:t>the</w:t>
      </w:r>
      <w:r>
        <w:rPr>
          <w:spacing w:val="-5"/>
        </w:rPr>
        <w:t xml:space="preserve"> </w:t>
      </w:r>
      <w:r>
        <w:t>evidence</w:t>
      </w:r>
      <w:r>
        <w:rPr>
          <w:spacing w:val="-5"/>
        </w:rPr>
        <w:t xml:space="preserve"> </w:t>
      </w:r>
      <w:r>
        <w:t xml:space="preserve">for IOL. Summaries of selected observational studies are available in </w:t>
      </w:r>
      <w:r w:rsidRPr="00C90D40">
        <w:t>Appendix</w:t>
      </w:r>
      <w:r w:rsidRPr="00C90D40">
        <w:rPr>
          <w:spacing w:val="-10"/>
        </w:rPr>
        <w:t xml:space="preserve"> </w:t>
      </w:r>
      <w:r w:rsidRPr="00C90D40">
        <w:t>C.</w:t>
      </w:r>
    </w:p>
    <w:p w14:paraId="346CAAA7" w14:textId="77777777" w:rsidR="00AC0F19" w:rsidRDefault="00AC0F19" w:rsidP="002E5969"/>
    <w:p w14:paraId="47DB9B04" w14:textId="77777777" w:rsidR="00AC0F19" w:rsidRDefault="00AC0F19" w:rsidP="002E5969">
      <w:pPr>
        <w:pStyle w:val="Heading2"/>
      </w:pPr>
      <w:bookmarkStart w:id="101" w:name="4.1_Pregnancy_≥_41_weeks’_gestation"/>
      <w:bookmarkStart w:id="102" w:name="_bookmark39"/>
      <w:bookmarkStart w:id="103" w:name="_Toc75787980"/>
      <w:bookmarkEnd w:id="101"/>
      <w:bookmarkEnd w:id="102"/>
      <w:r w:rsidRPr="00FA6312">
        <w:t>Pregnancy</w:t>
      </w:r>
      <w:r>
        <w:t xml:space="preserve"> lasting longer than</w:t>
      </w:r>
      <w:r>
        <w:rPr>
          <w:rFonts w:ascii="Times New Roman" w:hAnsi="Times New Roman"/>
        </w:rPr>
        <w:t xml:space="preserve"> </w:t>
      </w:r>
      <w:r w:rsidR="00EB43A9">
        <w:t>41 weeks</w:t>
      </w:r>
      <w:r w:rsidR="00B0606D">
        <w:t>’</w:t>
      </w:r>
      <w:r>
        <w:rPr>
          <w:spacing w:val="-14"/>
        </w:rPr>
        <w:t xml:space="preserve"> </w:t>
      </w:r>
      <w:r>
        <w:t>gestation</w:t>
      </w:r>
      <w:bookmarkEnd w:id="103"/>
    </w:p>
    <w:p w14:paraId="4ED6B3D5" w14:textId="77777777" w:rsidR="00AC0F19" w:rsidRDefault="00AC0F19" w:rsidP="002E5969">
      <w:r>
        <w:t xml:space="preserve">Approximately one in four pregnancies lasts longer than </w:t>
      </w:r>
      <w:r w:rsidR="00EB43A9">
        <w:t>41 weeks</w:t>
      </w:r>
      <w:r w:rsidR="00B0606D">
        <w:t>’</w:t>
      </w:r>
      <w:r>
        <w:t xml:space="preserve"> gestation. The risk of stillbirth or early </w:t>
      </w:r>
      <w:r w:rsidRPr="00FA6312">
        <w:t>neonatal</w:t>
      </w:r>
      <w:r>
        <w:t xml:space="preserve"> death increases with gestational age after </w:t>
      </w:r>
      <w:r w:rsidR="00763E83">
        <w:t>40 weeks</w:t>
      </w:r>
      <w:r w:rsidR="00B0606D">
        <w:t>’</w:t>
      </w:r>
      <w:r>
        <w:t xml:space="preserve"> gestation (</w:t>
      </w:r>
      <w:proofErr w:type="spellStart"/>
      <w:r>
        <w:t>MacDorman</w:t>
      </w:r>
      <w:proofErr w:type="spellEnd"/>
      <w:r>
        <w:t xml:space="preserve"> </w:t>
      </w:r>
      <w:r w:rsidR="000F3C98">
        <w:t>et al</w:t>
      </w:r>
      <w:r>
        <w:t xml:space="preserve"> 2015). Prolonged pregnancy is one of the most common indications for IOL.</w:t>
      </w:r>
    </w:p>
    <w:p w14:paraId="1DBDC1E1" w14:textId="77777777" w:rsidR="00AC0F19" w:rsidRDefault="00AC0F19" w:rsidP="002E5969">
      <w:bookmarkStart w:id="104" w:name="_bookmark40"/>
      <w:bookmarkEnd w:id="104"/>
    </w:p>
    <w:p w14:paraId="13C3A3DE" w14:textId="77777777" w:rsidR="00AC0F19" w:rsidRDefault="00AC0F19" w:rsidP="002E5969">
      <w:pPr>
        <w:pStyle w:val="Heading3"/>
      </w:pPr>
      <w:r>
        <w:t>Summary of evidence</w:t>
      </w:r>
    </w:p>
    <w:p w14:paraId="537227EE" w14:textId="77777777" w:rsidR="00AC0F19" w:rsidRDefault="00AC0F19" w:rsidP="002E5969">
      <w:r>
        <w:t>The panel identified one Cochrane review (2018), three systematic reviews (2003, 2008, 2009) and one RCT published since the most recent review. The trials included in the three earlier systematic reviews were all included in the Cochrane review and thus are not described here.</w:t>
      </w:r>
    </w:p>
    <w:p w14:paraId="5D72BCB6" w14:textId="77777777" w:rsidR="00AC0F19" w:rsidRDefault="00AC0F19" w:rsidP="002E5969"/>
    <w:p w14:paraId="15BE7780" w14:textId="77777777" w:rsidR="00AC0F19" w:rsidRDefault="00AC0F19" w:rsidP="002E5969">
      <w:pPr>
        <w:keepLines/>
      </w:pPr>
      <w:r>
        <w:lastRenderedPageBreak/>
        <w:t>A</w:t>
      </w:r>
      <w:r>
        <w:rPr>
          <w:spacing w:val="-7"/>
        </w:rPr>
        <w:t xml:space="preserve"> </w:t>
      </w:r>
      <w:r>
        <w:t>Cochrane</w:t>
      </w:r>
      <w:r>
        <w:rPr>
          <w:spacing w:val="-10"/>
        </w:rPr>
        <w:t xml:space="preserve"> </w:t>
      </w:r>
      <w:r>
        <w:t>systematic</w:t>
      </w:r>
      <w:r>
        <w:rPr>
          <w:spacing w:val="-9"/>
        </w:rPr>
        <w:t xml:space="preserve"> </w:t>
      </w:r>
      <w:r>
        <w:t>review</w:t>
      </w:r>
      <w:r>
        <w:rPr>
          <w:spacing w:val="-7"/>
        </w:rPr>
        <w:t xml:space="preserve"> </w:t>
      </w:r>
      <w:r>
        <w:t>including</w:t>
      </w:r>
      <w:r>
        <w:rPr>
          <w:spacing w:val="-9"/>
        </w:rPr>
        <w:t xml:space="preserve"> </w:t>
      </w:r>
      <w:r>
        <w:t>30</w:t>
      </w:r>
      <w:r>
        <w:rPr>
          <w:spacing w:val="-8"/>
        </w:rPr>
        <w:t xml:space="preserve"> </w:t>
      </w:r>
      <w:r>
        <w:t>trials</w:t>
      </w:r>
      <w:r>
        <w:rPr>
          <w:spacing w:val="-7"/>
        </w:rPr>
        <w:t xml:space="preserve"> </w:t>
      </w:r>
      <w:r>
        <w:t>of 12,479 women from a range of</w:t>
      </w:r>
      <w:r>
        <w:rPr>
          <w:spacing w:val="-9"/>
        </w:rPr>
        <w:t xml:space="preserve"> </w:t>
      </w:r>
      <w:r>
        <w:t>upper-</w:t>
      </w:r>
      <w:r>
        <w:rPr>
          <w:spacing w:val="-7"/>
        </w:rPr>
        <w:t xml:space="preserve"> </w:t>
      </w:r>
      <w:r>
        <w:t>and</w:t>
      </w:r>
      <w:r>
        <w:rPr>
          <w:spacing w:val="-9"/>
        </w:rPr>
        <w:t xml:space="preserve"> </w:t>
      </w:r>
      <w:r>
        <w:t>lower-income</w:t>
      </w:r>
      <w:r>
        <w:rPr>
          <w:spacing w:val="-9"/>
        </w:rPr>
        <w:t xml:space="preserve"> </w:t>
      </w:r>
      <w:r>
        <w:t xml:space="preserve">countries (Middleton </w:t>
      </w:r>
      <w:r w:rsidR="000F3C98">
        <w:t>et al</w:t>
      </w:r>
      <w:r>
        <w:t xml:space="preserve"> 2018) compared a policy of IOL with a policy of expectant management.</w:t>
      </w:r>
      <w:r>
        <w:rPr>
          <w:spacing w:val="-14"/>
        </w:rPr>
        <w:t xml:space="preserve"> </w:t>
      </w:r>
      <w:r>
        <w:t>IOL</w:t>
      </w:r>
      <w:r>
        <w:rPr>
          <w:spacing w:val="-15"/>
        </w:rPr>
        <w:t xml:space="preserve"> </w:t>
      </w:r>
      <w:r>
        <w:t>was</w:t>
      </w:r>
      <w:r>
        <w:rPr>
          <w:spacing w:val="-13"/>
        </w:rPr>
        <w:t xml:space="preserve"> </w:t>
      </w:r>
      <w:r>
        <w:t>undertaken</w:t>
      </w:r>
      <w:r>
        <w:rPr>
          <w:spacing w:val="-14"/>
        </w:rPr>
        <w:t xml:space="preserve"> </w:t>
      </w:r>
      <w:r>
        <w:t>at</w:t>
      </w:r>
      <w:r>
        <w:rPr>
          <w:spacing w:val="-14"/>
        </w:rPr>
        <w:t xml:space="preserve"> </w:t>
      </w:r>
      <w:r>
        <w:t>or</w:t>
      </w:r>
      <w:r>
        <w:rPr>
          <w:spacing w:val="-14"/>
        </w:rPr>
        <w:t xml:space="preserve"> </w:t>
      </w:r>
      <w:r>
        <w:t>beyond</w:t>
      </w:r>
      <w:r>
        <w:rPr>
          <w:spacing w:val="-14"/>
        </w:rPr>
        <w:t xml:space="preserve"> </w:t>
      </w:r>
      <w:r>
        <w:t>term</w:t>
      </w:r>
      <w:r w:rsidR="002E5969">
        <w:br/>
      </w:r>
      <w:r>
        <w:t>(37–</w:t>
      </w:r>
      <w:r w:rsidR="00EB43A9">
        <w:t>41 weeks</w:t>
      </w:r>
      <w:r w:rsidR="00B0606D">
        <w:t>’</w:t>
      </w:r>
      <w:r>
        <w:rPr>
          <w:spacing w:val="-19"/>
        </w:rPr>
        <w:t xml:space="preserve"> </w:t>
      </w:r>
      <w:r>
        <w:t>gestation),</w:t>
      </w:r>
      <w:r>
        <w:rPr>
          <w:spacing w:val="-13"/>
        </w:rPr>
        <w:t xml:space="preserve"> </w:t>
      </w:r>
      <w:r>
        <w:t>using</w:t>
      </w:r>
      <w:r>
        <w:rPr>
          <w:spacing w:val="-14"/>
        </w:rPr>
        <w:t xml:space="preserve"> </w:t>
      </w:r>
      <w:r>
        <w:t>a</w:t>
      </w:r>
      <w:r>
        <w:rPr>
          <w:spacing w:val="-15"/>
        </w:rPr>
        <w:t xml:space="preserve"> </w:t>
      </w:r>
      <w:r>
        <w:t xml:space="preserve">variety of methods. There was no gestational age limit imposed for expectant management in nine trials; the remaining trials identified expectant management as the provision of IOL between </w:t>
      </w:r>
      <w:r w:rsidR="00EB43A9">
        <w:t>41 weeks</w:t>
      </w:r>
      <w:r>
        <w:t xml:space="preserve"> and 44 weeks of pregnancy if labour had not spontaneously occurred. Perinatal mortality</w:t>
      </w:r>
      <w:r>
        <w:rPr>
          <w:spacing w:val="-9"/>
        </w:rPr>
        <w:t xml:space="preserve"> </w:t>
      </w:r>
      <w:r>
        <w:t>was</w:t>
      </w:r>
      <w:r>
        <w:rPr>
          <w:spacing w:val="-6"/>
        </w:rPr>
        <w:t xml:space="preserve"> </w:t>
      </w:r>
      <w:r>
        <w:t>the</w:t>
      </w:r>
      <w:r>
        <w:rPr>
          <w:spacing w:val="-9"/>
        </w:rPr>
        <w:t xml:space="preserve"> </w:t>
      </w:r>
      <w:r>
        <w:t>primary</w:t>
      </w:r>
      <w:r>
        <w:rPr>
          <w:spacing w:val="-7"/>
        </w:rPr>
        <w:t xml:space="preserve"> </w:t>
      </w:r>
      <w:r>
        <w:t>outcome</w:t>
      </w:r>
      <w:r>
        <w:rPr>
          <w:spacing w:val="-4"/>
        </w:rPr>
        <w:t xml:space="preserve"> </w:t>
      </w:r>
      <w:r>
        <w:t>in</w:t>
      </w:r>
      <w:r>
        <w:rPr>
          <w:spacing w:val="-8"/>
        </w:rPr>
        <w:t xml:space="preserve"> </w:t>
      </w:r>
      <w:r>
        <w:t>20</w:t>
      </w:r>
      <w:r>
        <w:rPr>
          <w:spacing w:val="-8"/>
        </w:rPr>
        <w:t xml:space="preserve"> </w:t>
      </w:r>
      <w:r>
        <w:t>of</w:t>
      </w:r>
      <w:r>
        <w:rPr>
          <w:spacing w:val="-7"/>
        </w:rPr>
        <w:t xml:space="preserve"> </w:t>
      </w:r>
      <w:r>
        <w:t>the</w:t>
      </w:r>
      <w:r>
        <w:rPr>
          <w:spacing w:val="-9"/>
        </w:rPr>
        <w:t xml:space="preserve"> </w:t>
      </w:r>
      <w:r>
        <w:t>30</w:t>
      </w:r>
      <w:r>
        <w:rPr>
          <w:spacing w:val="-8"/>
        </w:rPr>
        <w:t xml:space="preserve"> </w:t>
      </w:r>
      <w:r>
        <w:t>studies.</w:t>
      </w:r>
      <w:r>
        <w:rPr>
          <w:spacing w:val="-8"/>
        </w:rPr>
        <w:t xml:space="preserve"> </w:t>
      </w:r>
      <w:r>
        <w:t>Significantly</w:t>
      </w:r>
      <w:r>
        <w:rPr>
          <w:spacing w:val="-8"/>
        </w:rPr>
        <w:t xml:space="preserve"> </w:t>
      </w:r>
      <w:r>
        <w:t>fewer</w:t>
      </w:r>
      <w:r>
        <w:rPr>
          <w:spacing w:val="-8"/>
        </w:rPr>
        <w:t xml:space="preserve"> </w:t>
      </w:r>
      <w:r>
        <w:t>perinatal</w:t>
      </w:r>
      <w:r>
        <w:rPr>
          <w:spacing w:val="-9"/>
        </w:rPr>
        <w:t xml:space="preserve"> </w:t>
      </w:r>
      <w:r>
        <w:t>deaths occurred</w:t>
      </w:r>
      <w:r>
        <w:rPr>
          <w:spacing w:val="-8"/>
        </w:rPr>
        <w:t xml:space="preserve"> </w:t>
      </w:r>
      <w:r>
        <w:t>in</w:t>
      </w:r>
      <w:r>
        <w:rPr>
          <w:spacing w:val="-2"/>
        </w:rPr>
        <w:t xml:space="preserve"> </w:t>
      </w:r>
      <w:r>
        <w:t>the</w:t>
      </w:r>
      <w:r>
        <w:rPr>
          <w:spacing w:val="-3"/>
        </w:rPr>
        <w:t xml:space="preserve"> </w:t>
      </w:r>
      <w:r>
        <w:t>IOL</w:t>
      </w:r>
      <w:r>
        <w:rPr>
          <w:spacing w:val="-8"/>
        </w:rPr>
        <w:t xml:space="preserve"> </w:t>
      </w:r>
      <w:r>
        <w:t>group</w:t>
      </w:r>
      <w:r>
        <w:rPr>
          <w:spacing w:val="-6"/>
        </w:rPr>
        <w:t xml:space="preserve"> </w:t>
      </w:r>
      <w:r>
        <w:t>(two</w:t>
      </w:r>
      <w:r>
        <w:rPr>
          <w:spacing w:val="-8"/>
        </w:rPr>
        <w:t xml:space="preserve"> </w:t>
      </w:r>
      <w:r>
        <w:t>deaths)</w:t>
      </w:r>
      <w:r>
        <w:rPr>
          <w:spacing w:val="-1"/>
        </w:rPr>
        <w:t xml:space="preserve"> </w:t>
      </w:r>
      <w:r>
        <w:t>than</w:t>
      </w:r>
      <w:r>
        <w:rPr>
          <w:spacing w:val="-1"/>
        </w:rPr>
        <w:t xml:space="preserve"> </w:t>
      </w:r>
      <w:r>
        <w:t>the</w:t>
      </w:r>
      <w:r>
        <w:rPr>
          <w:spacing w:val="-8"/>
        </w:rPr>
        <w:t xml:space="preserve"> </w:t>
      </w:r>
      <w:r>
        <w:t>expectant</w:t>
      </w:r>
      <w:r>
        <w:rPr>
          <w:spacing w:val="-3"/>
        </w:rPr>
        <w:t xml:space="preserve"> </w:t>
      </w:r>
      <w:r>
        <w:t>management</w:t>
      </w:r>
      <w:r>
        <w:rPr>
          <w:spacing w:val="-9"/>
        </w:rPr>
        <w:t xml:space="preserve"> </w:t>
      </w:r>
      <w:r>
        <w:t>group</w:t>
      </w:r>
      <w:r>
        <w:rPr>
          <w:spacing w:val="-6"/>
        </w:rPr>
        <w:t xml:space="preserve"> </w:t>
      </w:r>
      <w:r>
        <w:t>(16</w:t>
      </w:r>
      <w:r>
        <w:rPr>
          <w:spacing w:val="-2"/>
        </w:rPr>
        <w:t xml:space="preserve"> </w:t>
      </w:r>
      <w:r>
        <w:t>deaths)</w:t>
      </w:r>
      <w:r>
        <w:rPr>
          <w:spacing w:val="-7"/>
        </w:rPr>
        <w:t xml:space="preserve"> </w:t>
      </w:r>
      <w:r>
        <w:t>(</w:t>
      </w:r>
      <w:r w:rsidR="00230FF7">
        <w:t>RR </w:t>
      </w:r>
      <w:r>
        <w:t>0.33, 95% CI 0.14–0.78; 20 trials; 9,960 infants; moderate quality). The NNT with IOL in order to prevent one perinatal death was 426 (95% CI 338–1,337). For planned subgroup analysis,</w:t>
      </w:r>
      <w:r>
        <w:rPr>
          <w:spacing w:val="-8"/>
        </w:rPr>
        <w:t xml:space="preserve"> </w:t>
      </w:r>
      <w:r>
        <w:t>the</w:t>
      </w:r>
      <w:r>
        <w:rPr>
          <w:spacing w:val="-8"/>
        </w:rPr>
        <w:t xml:space="preserve"> </w:t>
      </w:r>
      <w:r>
        <w:t>authors</w:t>
      </w:r>
      <w:r>
        <w:rPr>
          <w:spacing w:val="-5"/>
        </w:rPr>
        <w:t xml:space="preserve"> </w:t>
      </w:r>
      <w:r>
        <w:t>collapsed</w:t>
      </w:r>
      <w:r>
        <w:rPr>
          <w:spacing w:val="-1"/>
        </w:rPr>
        <w:t xml:space="preserve"> </w:t>
      </w:r>
      <w:r>
        <w:t>the</w:t>
      </w:r>
      <w:r>
        <w:rPr>
          <w:spacing w:val="-3"/>
        </w:rPr>
        <w:t xml:space="preserve"> </w:t>
      </w:r>
      <w:r>
        <w:t>trials</w:t>
      </w:r>
      <w:r>
        <w:rPr>
          <w:spacing w:val="-5"/>
        </w:rPr>
        <w:t xml:space="preserve"> </w:t>
      </w:r>
      <w:r>
        <w:t>into</w:t>
      </w:r>
      <w:r>
        <w:rPr>
          <w:spacing w:val="-2"/>
        </w:rPr>
        <w:t xml:space="preserve"> </w:t>
      </w:r>
      <w:r>
        <w:t>three</w:t>
      </w:r>
      <w:r>
        <w:rPr>
          <w:spacing w:val="-8"/>
        </w:rPr>
        <w:t xml:space="preserve"> </w:t>
      </w:r>
      <w:r>
        <w:t>groups</w:t>
      </w:r>
      <w:r>
        <w:rPr>
          <w:spacing w:val="-5"/>
        </w:rPr>
        <w:t xml:space="preserve"> </w:t>
      </w:r>
      <w:r>
        <w:t>(</w:t>
      </w:r>
      <w:r w:rsidR="00436939">
        <w:t>&lt;</w:t>
      </w:r>
      <w:r w:rsidR="00EB43A9">
        <w:t>41 weeks</w:t>
      </w:r>
      <w:r w:rsidR="00B0606D">
        <w:t>’</w:t>
      </w:r>
      <w:r>
        <w:rPr>
          <w:spacing w:val="-7"/>
        </w:rPr>
        <w:t xml:space="preserve"> </w:t>
      </w:r>
      <w:r>
        <w:t>gestation,</w:t>
      </w:r>
      <w:r>
        <w:rPr>
          <w:spacing w:val="-3"/>
        </w:rPr>
        <w:t xml:space="preserve"> </w:t>
      </w:r>
      <w:r>
        <w:t>10</w:t>
      </w:r>
      <w:r>
        <w:rPr>
          <w:spacing w:val="-7"/>
        </w:rPr>
        <w:t xml:space="preserve"> </w:t>
      </w:r>
      <w:r>
        <w:t>trials;</w:t>
      </w:r>
      <w:r>
        <w:rPr>
          <w:spacing w:val="-1"/>
        </w:rPr>
        <w:t xml:space="preserve"> </w:t>
      </w:r>
      <w:r w:rsidR="002E5969">
        <w:t>≥</w:t>
      </w:r>
      <w:r w:rsidR="00EB43A9">
        <w:t>41 weeks</w:t>
      </w:r>
      <w:r w:rsidR="00B0606D">
        <w:t>’</w:t>
      </w:r>
      <w:r>
        <w:t xml:space="preserve"> gestation, 19 trials; and 37–</w:t>
      </w:r>
      <w:r w:rsidR="00EB43A9">
        <w:t>42 weeks</w:t>
      </w:r>
      <w:r w:rsidR="00B0606D">
        <w:t>’</w:t>
      </w:r>
      <w:r>
        <w:t xml:space="preserve"> gestation, 1 trial). For the primary outcome of perinatal death, no difference between timing of IOL subgroups was found.</w:t>
      </w:r>
    </w:p>
    <w:p w14:paraId="46FB13C2" w14:textId="77777777" w:rsidR="00AC0F19" w:rsidRDefault="00AC0F19" w:rsidP="002E5969"/>
    <w:p w14:paraId="2931E467" w14:textId="77777777" w:rsidR="00AC0F19" w:rsidRDefault="00AC0F19" w:rsidP="002E5969">
      <w:r>
        <w:t>For</w:t>
      </w:r>
      <w:r>
        <w:rPr>
          <w:spacing w:val="-17"/>
        </w:rPr>
        <w:t xml:space="preserve"> </w:t>
      </w:r>
      <w:r>
        <w:t>women</w:t>
      </w:r>
      <w:r>
        <w:rPr>
          <w:spacing w:val="-13"/>
        </w:rPr>
        <w:t xml:space="preserve"> </w:t>
      </w:r>
      <w:r>
        <w:t>in</w:t>
      </w:r>
      <w:r>
        <w:rPr>
          <w:spacing w:val="-13"/>
        </w:rPr>
        <w:t xml:space="preserve"> </w:t>
      </w:r>
      <w:r>
        <w:t>the</w:t>
      </w:r>
      <w:r>
        <w:rPr>
          <w:spacing w:val="-18"/>
        </w:rPr>
        <w:t xml:space="preserve"> </w:t>
      </w:r>
      <w:r>
        <w:t>IOL</w:t>
      </w:r>
      <w:r>
        <w:rPr>
          <w:spacing w:val="-13"/>
        </w:rPr>
        <w:t xml:space="preserve"> </w:t>
      </w:r>
      <w:r>
        <w:t>groups,</w:t>
      </w:r>
      <w:r>
        <w:rPr>
          <w:spacing w:val="-17"/>
        </w:rPr>
        <w:t xml:space="preserve"> </w:t>
      </w:r>
      <w:r>
        <w:t>there</w:t>
      </w:r>
      <w:r>
        <w:rPr>
          <w:spacing w:val="-19"/>
        </w:rPr>
        <w:t xml:space="preserve"> </w:t>
      </w:r>
      <w:r>
        <w:t>were</w:t>
      </w:r>
      <w:r>
        <w:rPr>
          <w:spacing w:val="-19"/>
        </w:rPr>
        <w:t xml:space="preserve"> </w:t>
      </w:r>
      <w:r>
        <w:t>significantly</w:t>
      </w:r>
      <w:r>
        <w:rPr>
          <w:spacing w:val="-17"/>
        </w:rPr>
        <w:t xml:space="preserve"> </w:t>
      </w:r>
      <w:r>
        <w:t>fewer</w:t>
      </w:r>
      <w:r>
        <w:rPr>
          <w:spacing w:val="-17"/>
        </w:rPr>
        <w:t xml:space="preserve"> </w:t>
      </w:r>
      <w:r>
        <w:t>caesarean</w:t>
      </w:r>
      <w:r>
        <w:rPr>
          <w:spacing w:val="-13"/>
        </w:rPr>
        <w:t xml:space="preserve"> </w:t>
      </w:r>
      <w:r>
        <w:t>sections compared</w:t>
      </w:r>
      <w:r>
        <w:rPr>
          <w:spacing w:val="-13"/>
        </w:rPr>
        <w:t xml:space="preserve"> </w:t>
      </w:r>
      <w:r>
        <w:t>with the</w:t>
      </w:r>
      <w:r>
        <w:rPr>
          <w:spacing w:val="-13"/>
        </w:rPr>
        <w:t xml:space="preserve"> </w:t>
      </w:r>
      <w:r>
        <w:t>expectant</w:t>
      </w:r>
      <w:r>
        <w:rPr>
          <w:spacing w:val="-13"/>
        </w:rPr>
        <w:t xml:space="preserve"> </w:t>
      </w:r>
      <w:r>
        <w:t>management</w:t>
      </w:r>
      <w:r>
        <w:rPr>
          <w:spacing w:val="-18"/>
        </w:rPr>
        <w:t xml:space="preserve"> groups </w:t>
      </w:r>
      <w:r>
        <w:t>(</w:t>
      </w:r>
      <w:r w:rsidR="00230FF7">
        <w:t>RR </w:t>
      </w:r>
      <w:r>
        <w:t>0.92,</w:t>
      </w:r>
      <w:r>
        <w:rPr>
          <w:spacing w:val="-12"/>
        </w:rPr>
        <w:t xml:space="preserve"> </w:t>
      </w:r>
      <w:r>
        <w:t>95%</w:t>
      </w:r>
      <w:r>
        <w:rPr>
          <w:spacing w:val="-17"/>
        </w:rPr>
        <w:t xml:space="preserve"> </w:t>
      </w:r>
      <w:r>
        <w:t>CI</w:t>
      </w:r>
      <w:r>
        <w:rPr>
          <w:spacing w:val="-17"/>
        </w:rPr>
        <w:t xml:space="preserve"> </w:t>
      </w:r>
      <w:r>
        <w:t>0.85–0.99;</w:t>
      </w:r>
      <w:r>
        <w:rPr>
          <w:spacing w:val="-19"/>
        </w:rPr>
        <w:t xml:space="preserve"> </w:t>
      </w:r>
      <w:r>
        <w:t>27</w:t>
      </w:r>
      <w:r>
        <w:rPr>
          <w:spacing w:val="-12"/>
        </w:rPr>
        <w:t xml:space="preserve"> </w:t>
      </w:r>
      <w:r>
        <w:t>trials;</w:t>
      </w:r>
      <w:r>
        <w:rPr>
          <w:spacing w:val="-17"/>
        </w:rPr>
        <w:t xml:space="preserve"> </w:t>
      </w:r>
      <w:r>
        <w:t>11</w:t>
      </w:r>
      <w:r>
        <w:rPr>
          <w:spacing w:val="-9"/>
        </w:rPr>
        <w:t>,</w:t>
      </w:r>
      <w:r>
        <w:t>738</w:t>
      </w:r>
      <w:r>
        <w:rPr>
          <w:spacing w:val="-13"/>
        </w:rPr>
        <w:t xml:space="preserve"> </w:t>
      </w:r>
      <w:r>
        <w:t>women; moderate</w:t>
      </w:r>
      <w:r>
        <w:rPr>
          <w:spacing w:val="-9"/>
        </w:rPr>
        <w:t xml:space="preserve"> </w:t>
      </w:r>
      <w:r>
        <w:t>quality).</w:t>
      </w:r>
      <w:r>
        <w:rPr>
          <w:spacing w:val="-3"/>
        </w:rPr>
        <w:t xml:space="preserve"> </w:t>
      </w:r>
      <w:r>
        <w:t>In</w:t>
      </w:r>
      <w:r>
        <w:rPr>
          <w:spacing w:val="-6"/>
        </w:rPr>
        <w:t xml:space="preserve"> </w:t>
      </w:r>
      <w:r>
        <w:t>subgroup</w:t>
      </w:r>
      <w:r>
        <w:rPr>
          <w:spacing w:val="-7"/>
        </w:rPr>
        <w:t xml:space="preserve"> </w:t>
      </w:r>
      <w:r>
        <w:t>analysis,</w:t>
      </w:r>
      <w:r>
        <w:rPr>
          <w:spacing w:val="-7"/>
        </w:rPr>
        <w:t xml:space="preserve"> </w:t>
      </w:r>
      <w:r>
        <w:t>this</w:t>
      </w:r>
      <w:r>
        <w:rPr>
          <w:spacing w:val="-6"/>
        </w:rPr>
        <w:t xml:space="preserve"> </w:t>
      </w:r>
      <w:r>
        <w:t>reduction</w:t>
      </w:r>
      <w:r>
        <w:rPr>
          <w:spacing w:val="-8"/>
        </w:rPr>
        <w:t xml:space="preserve"> </w:t>
      </w:r>
      <w:r>
        <w:t>was</w:t>
      </w:r>
      <w:r>
        <w:rPr>
          <w:spacing w:val="-5"/>
        </w:rPr>
        <w:t xml:space="preserve"> </w:t>
      </w:r>
      <w:r>
        <w:t>significant</w:t>
      </w:r>
      <w:r>
        <w:rPr>
          <w:spacing w:val="-9"/>
        </w:rPr>
        <w:t xml:space="preserve"> </w:t>
      </w:r>
      <w:r>
        <w:t>only</w:t>
      </w:r>
      <w:r>
        <w:rPr>
          <w:spacing w:val="-7"/>
        </w:rPr>
        <w:t xml:space="preserve"> </w:t>
      </w:r>
      <w:r>
        <w:t>in</w:t>
      </w:r>
      <w:r>
        <w:rPr>
          <w:spacing w:val="-3"/>
        </w:rPr>
        <w:t xml:space="preserve"> </w:t>
      </w:r>
      <w:r>
        <w:t>women</w:t>
      </w:r>
      <w:r>
        <w:rPr>
          <w:spacing w:val="-2"/>
        </w:rPr>
        <w:t xml:space="preserve"> </w:t>
      </w:r>
      <w:r>
        <w:t>induced at</w:t>
      </w:r>
      <w:r>
        <w:rPr>
          <w:spacing w:val="-15"/>
        </w:rPr>
        <w:t xml:space="preserve"> </w:t>
      </w:r>
      <w:r w:rsidR="002E5969">
        <w:t>≥</w:t>
      </w:r>
      <w:r w:rsidR="00EB43A9">
        <w:t>41 weeks</w:t>
      </w:r>
      <w:r w:rsidR="00B0606D">
        <w:t>’</w:t>
      </w:r>
      <w:r>
        <w:rPr>
          <w:spacing w:val="-11"/>
        </w:rPr>
        <w:t xml:space="preserve"> </w:t>
      </w:r>
      <w:r>
        <w:t>gestation.</w:t>
      </w:r>
      <w:r>
        <w:rPr>
          <w:spacing w:val="-13"/>
        </w:rPr>
        <w:t xml:space="preserve"> </w:t>
      </w:r>
      <w:r>
        <w:t>There</w:t>
      </w:r>
      <w:r>
        <w:rPr>
          <w:spacing w:val="-14"/>
        </w:rPr>
        <w:t xml:space="preserve"> </w:t>
      </w:r>
      <w:r>
        <w:t>was</w:t>
      </w:r>
      <w:r>
        <w:rPr>
          <w:spacing w:val="-12"/>
        </w:rPr>
        <w:t xml:space="preserve"> </w:t>
      </w:r>
      <w:r>
        <w:t>no</w:t>
      </w:r>
      <w:r>
        <w:rPr>
          <w:spacing w:val="-13"/>
        </w:rPr>
        <w:t xml:space="preserve"> </w:t>
      </w:r>
      <w:r>
        <w:t>difference</w:t>
      </w:r>
      <w:r>
        <w:rPr>
          <w:spacing w:val="-14"/>
        </w:rPr>
        <w:t xml:space="preserve"> </w:t>
      </w:r>
      <w:r>
        <w:t>between</w:t>
      </w:r>
      <w:r>
        <w:rPr>
          <w:spacing w:val="-13"/>
        </w:rPr>
        <w:t xml:space="preserve"> </w:t>
      </w:r>
      <w:r>
        <w:t>groups</w:t>
      </w:r>
      <w:r>
        <w:rPr>
          <w:spacing w:val="-11"/>
        </w:rPr>
        <w:t xml:space="preserve"> </w:t>
      </w:r>
      <w:r>
        <w:t>for</w:t>
      </w:r>
      <w:r>
        <w:rPr>
          <w:spacing w:val="-13"/>
        </w:rPr>
        <w:t xml:space="preserve"> </w:t>
      </w:r>
      <w:r>
        <w:t>assisted</w:t>
      </w:r>
      <w:r>
        <w:rPr>
          <w:spacing w:val="-13"/>
        </w:rPr>
        <w:t xml:space="preserve"> </w:t>
      </w:r>
      <w:r>
        <w:t>vaginal</w:t>
      </w:r>
      <w:r>
        <w:rPr>
          <w:spacing w:val="-14"/>
        </w:rPr>
        <w:t xml:space="preserve"> </w:t>
      </w:r>
      <w:r>
        <w:t>birth</w:t>
      </w:r>
      <w:r>
        <w:rPr>
          <w:spacing w:val="-13"/>
        </w:rPr>
        <w:t xml:space="preserve"> </w:t>
      </w:r>
      <w:r>
        <w:t>(</w:t>
      </w:r>
      <w:r w:rsidR="00230FF7">
        <w:t>RR </w:t>
      </w:r>
      <w:r>
        <w:t>1.07,</w:t>
      </w:r>
      <w:r>
        <w:rPr>
          <w:spacing w:val="-13"/>
        </w:rPr>
        <w:t xml:space="preserve"> </w:t>
      </w:r>
      <w:r>
        <w:t>95%</w:t>
      </w:r>
      <w:r>
        <w:rPr>
          <w:spacing w:val="-11"/>
        </w:rPr>
        <w:t xml:space="preserve"> </w:t>
      </w:r>
      <w:r>
        <w:t>CI</w:t>
      </w:r>
      <w:r>
        <w:rPr>
          <w:spacing w:val="-12"/>
        </w:rPr>
        <w:t xml:space="preserve"> </w:t>
      </w:r>
      <w:r>
        <w:t>0.99–1.16;</w:t>
      </w:r>
      <w:r>
        <w:rPr>
          <w:spacing w:val="-13"/>
        </w:rPr>
        <w:t xml:space="preserve"> </w:t>
      </w:r>
      <w:r>
        <w:t>18</w:t>
      </w:r>
      <w:r>
        <w:rPr>
          <w:spacing w:val="-7"/>
        </w:rPr>
        <w:t xml:space="preserve"> </w:t>
      </w:r>
      <w:r>
        <w:t>trials;</w:t>
      </w:r>
      <w:r>
        <w:rPr>
          <w:spacing w:val="-13"/>
        </w:rPr>
        <w:t xml:space="preserve"> </w:t>
      </w:r>
      <w:r>
        <w:t>9</w:t>
      </w:r>
      <w:r>
        <w:rPr>
          <w:spacing w:val="-12"/>
        </w:rPr>
        <w:t>,</w:t>
      </w:r>
      <w:r>
        <w:t>281</w:t>
      </w:r>
      <w:r>
        <w:rPr>
          <w:spacing w:val="-12"/>
        </w:rPr>
        <w:t xml:space="preserve"> </w:t>
      </w:r>
      <w:r>
        <w:t>women).</w:t>
      </w:r>
      <w:r>
        <w:rPr>
          <w:spacing w:val="-11"/>
        </w:rPr>
        <w:t xml:space="preserve"> </w:t>
      </w:r>
      <w:r>
        <w:t>In</w:t>
      </w:r>
      <w:r>
        <w:rPr>
          <w:spacing w:val="-8"/>
        </w:rPr>
        <w:t xml:space="preserve"> </w:t>
      </w:r>
      <w:r>
        <w:t>subgroup</w:t>
      </w:r>
      <w:r>
        <w:rPr>
          <w:spacing w:val="-11"/>
        </w:rPr>
        <w:t xml:space="preserve"> </w:t>
      </w:r>
      <w:r>
        <w:t>analysis,</w:t>
      </w:r>
      <w:r>
        <w:rPr>
          <w:spacing w:val="-12"/>
        </w:rPr>
        <w:t xml:space="preserve"> </w:t>
      </w:r>
      <w:r>
        <w:t>the</w:t>
      </w:r>
      <w:r>
        <w:rPr>
          <w:spacing w:val="-9"/>
        </w:rPr>
        <w:t xml:space="preserve"> </w:t>
      </w:r>
      <w:r>
        <w:t>marginal</w:t>
      </w:r>
      <w:r>
        <w:rPr>
          <w:spacing w:val="-13"/>
        </w:rPr>
        <w:t xml:space="preserve"> </w:t>
      </w:r>
      <w:r>
        <w:t>increase was</w:t>
      </w:r>
      <w:r>
        <w:rPr>
          <w:spacing w:val="-12"/>
        </w:rPr>
        <w:t xml:space="preserve"> </w:t>
      </w:r>
      <w:r>
        <w:t>significant</w:t>
      </w:r>
      <w:r>
        <w:rPr>
          <w:spacing w:val="-14"/>
        </w:rPr>
        <w:t xml:space="preserve"> </w:t>
      </w:r>
      <w:r>
        <w:t>only</w:t>
      </w:r>
      <w:r>
        <w:rPr>
          <w:spacing w:val="-14"/>
        </w:rPr>
        <w:t xml:space="preserve"> </w:t>
      </w:r>
      <w:r>
        <w:t>in</w:t>
      </w:r>
      <w:r>
        <w:rPr>
          <w:spacing w:val="-13"/>
        </w:rPr>
        <w:t xml:space="preserve"> </w:t>
      </w:r>
      <w:r>
        <w:t>women</w:t>
      </w:r>
      <w:r>
        <w:rPr>
          <w:spacing w:val="-14"/>
        </w:rPr>
        <w:t xml:space="preserve"> </w:t>
      </w:r>
      <w:r>
        <w:t>induced</w:t>
      </w:r>
      <w:r>
        <w:rPr>
          <w:spacing w:val="-13"/>
        </w:rPr>
        <w:t xml:space="preserve"> </w:t>
      </w:r>
      <w:r w:rsidR="00436939">
        <w:t>&lt;</w:t>
      </w:r>
      <w:r w:rsidR="00EB43A9">
        <w:t>41 weeks</w:t>
      </w:r>
      <w:r w:rsidR="00B0606D">
        <w:t>’</w:t>
      </w:r>
      <w:r>
        <w:rPr>
          <w:spacing w:val="-13"/>
        </w:rPr>
        <w:t xml:space="preserve"> </w:t>
      </w:r>
      <w:r>
        <w:t>gestation.</w:t>
      </w:r>
      <w:r>
        <w:rPr>
          <w:spacing w:val="-13"/>
        </w:rPr>
        <w:t xml:space="preserve"> </w:t>
      </w:r>
      <w:r>
        <w:t>There</w:t>
      </w:r>
      <w:r>
        <w:rPr>
          <w:spacing w:val="-15"/>
        </w:rPr>
        <w:t xml:space="preserve"> </w:t>
      </w:r>
      <w:r>
        <w:t>was</w:t>
      </w:r>
      <w:r>
        <w:rPr>
          <w:spacing w:val="-11"/>
        </w:rPr>
        <w:t xml:space="preserve"> </w:t>
      </w:r>
      <w:r>
        <w:t>no</w:t>
      </w:r>
      <w:r>
        <w:rPr>
          <w:spacing w:val="-14"/>
        </w:rPr>
        <w:t xml:space="preserve"> </w:t>
      </w:r>
      <w:r>
        <w:t>difference</w:t>
      </w:r>
      <w:r>
        <w:rPr>
          <w:spacing w:val="-14"/>
        </w:rPr>
        <w:t xml:space="preserve"> </w:t>
      </w:r>
      <w:r>
        <w:t>between groups for postpartum haemorrhage (PPH) (</w:t>
      </w:r>
      <w:r w:rsidR="00230FF7">
        <w:t>RR </w:t>
      </w:r>
      <w:r>
        <w:t>1.09, 95% CI 0.92–1.30; 5 trials; 3,315 women). NICU admission rate was lower when IOL was compared with expectant management</w:t>
      </w:r>
      <w:r>
        <w:rPr>
          <w:spacing w:val="-5"/>
        </w:rPr>
        <w:t xml:space="preserve"> </w:t>
      </w:r>
      <w:r>
        <w:t>(</w:t>
      </w:r>
      <w:r w:rsidR="00230FF7">
        <w:t>RR </w:t>
      </w:r>
      <w:r>
        <w:t>0.88,</w:t>
      </w:r>
      <w:r>
        <w:rPr>
          <w:spacing w:val="-2"/>
        </w:rPr>
        <w:t xml:space="preserve"> </w:t>
      </w:r>
      <w:r>
        <w:t>95%</w:t>
      </w:r>
      <w:r>
        <w:rPr>
          <w:spacing w:val="-2"/>
        </w:rPr>
        <w:t xml:space="preserve"> </w:t>
      </w:r>
      <w:r>
        <w:t>CI</w:t>
      </w:r>
      <w:r>
        <w:rPr>
          <w:spacing w:val="-3"/>
        </w:rPr>
        <w:t xml:space="preserve"> </w:t>
      </w:r>
      <w:r>
        <w:t>0.77</w:t>
      </w:r>
      <w:r>
        <w:rPr>
          <w:spacing w:val="-2"/>
        </w:rPr>
        <w:t xml:space="preserve"> </w:t>
      </w:r>
      <w:r>
        <w:t>to</w:t>
      </w:r>
      <w:r>
        <w:rPr>
          <w:spacing w:val="-2"/>
        </w:rPr>
        <w:t xml:space="preserve"> </w:t>
      </w:r>
      <w:r>
        <w:t>1.01;</w:t>
      </w:r>
      <w:r>
        <w:rPr>
          <w:spacing w:val="-9"/>
        </w:rPr>
        <w:t xml:space="preserve"> </w:t>
      </w:r>
      <w:r>
        <w:t>13</w:t>
      </w:r>
      <w:r>
        <w:rPr>
          <w:spacing w:val="-2"/>
        </w:rPr>
        <w:t xml:space="preserve"> </w:t>
      </w:r>
      <w:r>
        <w:t>trials;</w:t>
      </w:r>
      <w:r>
        <w:rPr>
          <w:spacing w:val="-3"/>
        </w:rPr>
        <w:t xml:space="preserve"> </w:t>
      </w:r>
      <w:r>
        <w:t>8</w:t>
      </w:r>
      <w:r>
        <w:rPr>
          <w:spacing w:val="-2"/>
        </w:rPr>
        <w:t>,</w:t>
      </w:r>
      <w:r>
        <w:t>531</w:t>
      </w:r>
      <w:r>
        <w:rPr>
          <w:spacing w:val="-8"/>
        </w:rPr>
        <w:t xml:space="preserve"> </w:t>
      </w:r>
      <w:r>
        <w:t>infants;</w:t>
      </w:r>
      <w:r>
        <w:rPr>
          <w:spacing w:val="-4"/>
        </w:rPr>
        <w:t xml:space="preserve"> </w:t>
      </w:r>
      <w:r>
        <w:t>moderate</w:t>
      </w:r>
      <w:r>
        <w:rPr>
          <w:spacing w:val="-4"/>
        </w:rPr>
        <w:t xml:space="preserve"> </w:t>
      </w:r>
      <w:r>
        <w:t>quality).</w:t>
      </w:r>
      <w:r>
        <w:rPr>
          <w:spacing w:val="1"/>
        </w:rPr>
        <w:t xml:space="preserve"> </w:t>
      </w:r>
      <w:r>
        <w:t xml:space="preserve">Fewer babies had </w:t>
      </w:r>
      <w:r w:rsidR="00763E83">
        <w:t>5</w:t>
      </w:r>
      <w:r w:rsidR="00763E83">
        <w:noBreakHyphen/>
        <w:t>minute</w:t>
      </w:r>
      <w:r>
        <w:t xml:space="preserve"> Apgar score </w:t>
      </w:r>
      <w:r w:rsidR="00436939">
        <w:t>&lt;</w:t>
      </w:r>
      <w:r>
        <w:t>7 in the IOL group compared with the expectant management group (</w:t>
      </w:r>
      <w:r w:rsidR="00230FF7">
        <w:t>RR </w:t>
      </w:r>
      <w:r>
        <w:t>0.70,</w:t>
      </w:r>
      <w:r>
        <w:rPr>
          <w:spacing w:val="13"/>
        </w:rPr>
        <w:t xml:space="preserve"> </w:t>
      </w:r>
      <w:r>
        <w:t>95%</w:t>
      </w:r>
      <w:r>
        <w:rPr>
          <w:spacing w:val="12"/>
        </w:rPr>
        <w:t xml:space="preserve"> </w:t>
      </w:r>
      <w:r>
        <w:t>CI</w:t>
      </w:r>
      <w:r>
        <w:rPr>
          <w:spacing w:val="13"/>
        </w:rPr>
        <w:t xml:space="preserve"> </w:t>
      </w:r>
      <w:r>
        <w:t>0.50–0.98;</w:t>
      </w:r>
      <w:r>
        <w:rPr>
          <w:spacing w:val="12"/>
        </w:rPr>
        <w:t xml:space="preserve"> </w:t>
      </w:r>
      <w:r>
        <w:t>16</w:t>
      </w:r>
      <w:r>
        <w:rPr>
          <w:spacing w:val="13"/>
        </w:rPr>
        <w:t xml:space="preserve"> </w:t>
      </w:r>
      <w:r>
        <w:t>trials;</w:t>
      </w:r>
      <w:r>
        <w:rPr>
          <w:spacing w:val="12"/>
        </w:rPr>
        <w:t xml:space="preserve"> </w:t>
      </w:r>
      <w:r>
        <w:t>9</w:t>
      </w:r>
      <w:r>
        <w:rPr>
          <w:spacing w:val="13"/>
        </w:rPr>
        <w:t>,</w:t>
      </w:r>
      <w:r>
        <w:t>047</w:t>
      </w:r>
      <w:r>
        <w:rPr>
          <w:spacing w:val="13"/>
        </w:rPr>
        <w:t xml:space="preserve"> </w:t>
      </w:r>
      <w:r>
        <w:t>infants;</w:t>
      </w:r>
      <w:r>
        <w:rPr>
          <w:spacing w:val="11"/>
        </w:rPr>
        <w:t xml:space="preserve"> </w:t>
      </w:r>
      <w:r>
        <w:t>moderate</w:t>
      </w:r>
      <w:r>
        <w:rPr>
          <w:spacing w:val="12"/>
        </w:rPr>
        <w:t xml:space="preserve"> </w:t>
      </w:r>
      <w:r>
        <w:t>quality),</w:t>
      </w:r>
      <w:r>
        <w:rPr>
          <w:spacing w:val="13"/>
        </w:rPr>
        <w:t xml:space="preserve"> </w:t>
      </w:r>
      <w:r>
        <w:t>and</w:t>
      </w:r>
      <w:r>
        <w:rPr>
          <w:spacing w:val="12"/>
        </w:rPr>
        <w:t xml:space="preserve"> </w:t>
      </w:r>
      <w:r>
        <w:t>fewer</w:t>
      </w:r>
      <w:r>
        <w:rPr>
          <w:spacing w:val="13"/>
        </w:rPr>
        <w:t xml:space="preserve"> </w:t>
      </w:r>
      <w:r>
        <w:t>babies had meconium aspiration syndrome (</w:t>
      </w:r>
      <w:r w:rsidR="00230FF7">
        <w:t>RR </w:t>
      </w:r>
      <w:r>
        <w:t>0.77 95% CI 0.62–0.96; 11 trials; 7,781 infants; moderate quality). Only two trials reported on maternal satisfaction. One trial</w:t>
      </w:r>
      <w:r>
        <w:rPr>
          <w:spacing w:val="-39"/>
        </w:rPr>
        <w:t xml:space="preserve"> </w:t>
      </w:r>
      <w:r>
        <w:t>had similar</w:t>
      </w:r>
      <w:r>
        <w:rPr>
          <w:spacing w:val="-8"/>
        </w:rPr>
        <w:t xml:space="preserve"> </w:t>
      </w:r>
      <w:r>
        <w:t>numbers</w:t>
      </w:r>
      <w:r>
        <w:rPr>
          <w:spacing w:val="-5"/>
        </w:rPr>
        <w:t xml:space="preserve"> </w:t>
      </w:r>
      <w:r>
        <w:t>of</w:t>
      </w:r>
      <w:r>
        <w:rPr>
          <w:spacing w:val="-7"/>
        </w:rPr>
        <w:t xml:space="preserve"> </w:t>
      </w:r>
      <w:r>
        <w:t>women</w:t>
      </w:r>
      <w:r>
        <w:rPr>
          <w:spacing w:val="-2"/>
        </w:rPr>
        <w:t xml:space="preserve"> </w:t>
      </w:r>
      <w:r>
        <w:t>indicate</w:t>
      </w:r>
      <w:r>
        <w:rPr>
          <w:spacing w:val="-9"/>
        </w:rPr>
        <w:t xml:space="preserve"> </w:t>
      </w:r>
      <w:r>
        <w:t>that</w:t>
      </w:r>
      <w:r>
        <w:rPr>
          <w:spacing w:val="-8"/>
        </w:rPr>
        <w:t xml:space="preserve"> </w:t>
      </w:r>
      <w:r>
        <w:t>they</w:t>
      </w:r>
      <w:r>
        <w:rPr>
          <w:spacing w:val="-8"/>
        </w:rPr>
        <w:t xml:space="preserve"> </w:t>
      </w:r>
      <w:r>
        <w:t>preferred</w:t>
      </w:r>
      <w:r>
        <w:rPr>
          <w:spacing w:val="-7"/>
        </w:rPr>
        <w:t xml:space="preserve"> </w:t>
      </w:r>
      <w:r>
        <w:t>the</w:t>
      </w:r>
      <w:r>
        <w:rPr>
          <w:spacing w:val="-8"/>
        </w:rPr>
        <w:t xml:space="preserve"> </w:t>
      </w:r>
      <w:r>
        <w:t>group</w:t>
      </w:r>
      <w:r>
        <w:rPr>
          <w:spacing w:val="-7"/>
        </w:rPr>
        <w:t xml:space="preserve"> </w:t>
      </w:r>
      <w:r>
        <w:t>to</w:t>
      </w:r>
      <w:r>
        <w:rPr>
          <w:spacing w:val="-2"/>
        </w:rPr>
        <w:t xml:space="preserve"> </w:t>
      </w:r>
      <w:r>
        <w:t>which</w:t>
      </w:r>
      <w:r>
        <w:rPr>
          <w:spacing w:val="-8"/>
        </w:rPr>
        <w:t xml:space="preserve"> </w:t>
      </w:r>
      <w:r>
        <w:t>they</w:t>
      </w:r>
      <w:r>
        <w:rPr>
          <w:spacing w:val="-7"/>
        </w:rPr>
        <w:t xml:space="preserve"> </w:t>
      </w:r>
      <w:r>
        <w:t>were</w:t>
      </w:r>
      <w:r>
        <w:rPr>
          <w:spacing w:val="-4"/>
        </w:rPr>
        <w:t xml:space="preserve"> </w:t>
      </w:r>
      <w:r>
        <w:t>allocated, whereas</w:t>
      </w:r>
      <w:r>
        <w:rPr>
          <w:spacing w:val="-11"/>
        </w:rPr>
        <w:t xml:space="preserve"> </w:t>
      </w:r>
      <w:r>
        <w:t>in</w:t>
      </w:r>
      <w:r>
        <w:rPr>
          <w:spacing w:val="-13"/>
        </w:rPr>
        <w:t xml:space="preserve"> </w:t>
      </w:r>
      <w:r>
        <w:t>the</w:t>
      </w:r>
      <w:r>
        <w:rPr>
          <w:spacing w:val="-13"/>
        </w:rPr>
        <w:t xml:space="preserve"> </w:t>
      </w:r>
      <w:r>
        <w:t>second</w:t>
      </w:r>
      <w:r>
        <w:rPr>
          <w:spacing w:val="-13"/>
        </w:rPr>
        <w:t xml:space="preserve"> </w:t>
      </w:r>
      <w:r>
        <w:t>trial,</w:t>
      </w:r>
      <w:r>
        <w:rPr>
          <w:spacing w:val="-12"/>
        </w:rPr>
        <w:t xml:space="preserve"> </w:t>
      </w:r>
      <w:r>
        <w:t>women</w:t>
      </w:r>
      <w:r>
        <w:rPr>
          <w:spacing w:val="-8"/>
        </w:rPr>
        <w:t xml:space="preserve"> </w:t>
      </w:r>
      <w:r>
        <w:t>allocated</w:t>
      </w:r>
      <w:r>
        <w:rPr>
          <w:spacing w:val="-13"/>
        </w:rPr>
        <w:t xml:space="preserve"> </w:t>
      </w:r>
      <w:r>
        <w:t>to</w:t>
      </w:r>
      <w:r>
        <w:rPr>
          <w:spacing w:val="-7"/>
        </w:rPr>
        <w:t xml:space="preserve"> </w:t>
      </w:r>
      <w:r>
        <w:t>induction</w:t>
      </w:r>
      <w:r>
        <w:rPr>
          <w:spacing w:val="-13"/>
        </w:rPr>
        <w:t xml:space="preserve"> </w:t>
      </w:r>
      <w:r>
        <w:t>were</w:t>
      </w:r>
      <w:r>
        <w:rPr>
          <w:spacing w:val="-13"/>
        </w:rPr>
        <w:t xml:space="preserve"> </w:t>
      </w:r>
      <w:r>
        <w:t>more</w:t>
      </w:r>
      <w:r>
        <w:rPr>
          <w:spacing w:val="-14"/>
        </w:rPr>
        <w:t xml:space="preserve"> </w:t>
      </w:r>
      <w:r>
        <w:t>likely</w:t>
      </w:r>
      <w:r>
        <w:rPr>
          <w:spacing w:val="-8"/>
        </w:rPr>
        <w:t xml:space="preserve"> </w:t>
      </w:r>
      <w:r>
        <w:t>to</w:t>
      </w:r>
      <w:r>
        <w:rPr>
          <w:spacing w:val="-12"/>
        </w:rPr>
        <w:t xml:space="preserve"> </w:t>
      </w:r>
      <w:r>
        <w:t>indicate</w:t>
      </w:r>
      <w:r>
        <w:rPr>
          <w:spacing w:val="-14"/>
        </w:rPr>
        <w:t xml:space="preserve"> </w:t>
      </w:r>
      <w:r>
        <w:t>that</w:t>
      </w:r>
      <w:r>
        <w:rPr>
          <w:spacing w:val="-13"/>
        </w:rPr>
        <w:t xml:space="preserve"> </w:t>
      </w:r>
      <w:r>
        <w:t>they would choose the same group</w:t>
      </w:r>
      <w:r>
        <w:rPr>
          <w:spacing w:val="-9"/>
        </w:rPr>
        <w:t xml:space="preserve"> </w:t>
      </w:r>
      <w:r>
        <w:t>again.</w:t>
      </w:r>
    </w:p>
    <w:p w14:paraId="7A13FE9C" w14:textId="77777777" w:rsidR="00AC0F19" w:rsidRDefault="00AC0F19" w:rsidP="002E5969"/>
    <w:p w14:paraId="6C1B938A" w14:textId="77777777" w:rsidR="00AC0F19" w:rsidRDefault="00AC0F19" w:rsidP="002E5969">
      <w:r>
        <w:t>The Cochrane authors concluded that a policy of IOL at or beyond term compared with expectant management is associated with fewer perinatal deaths and fewer caesarean</w:t>
      </w:r>
      <w:r>
        <w:rPr>
          <w:spacing w:val="-38"/>
        </w:rPr>
        <w:t xml:space="preserve"> </w:t>
      </w:r>
      <w:r>
        <w:t>sections; NICU admissions were less frequent and fewer babies had low Apgar score. No important differences</w:t>
      </w:r>
      <w:r>
        <w:rPr>
          <w:spacing w:val="-15"/>
        </w:rPr>
        <w:t xml:space="preserve"> </w:t>
      </w:r>
      <w:r>
        <w:t>were</w:t>
      </w:r>
      <w:r>
        <w:rPr>
          <w:spacing w:val="-18"/>
        </w:rPr>
        <w:t xml:space="preserve"> </w:t>
      </w:r>
      <w:r>
        <w:t>seen</w:t>
      </w:r>
      <w:r>
        <w:rPr>
          <w:spacing w:val="-16"/>
        </w:rPr>
        <w:t xml:space="preserve"> </w:t>
      </w:r>
      <w:r>
        <w:t>for</w:t>
      </w:r>
      <w:r>
        <w:rPr>
          <w:spacing w:val="-11"/>
        </w:rPr>
        <w:t xml:space="preserve"> </w:t>
      </w:r>
      <w:r>
        <w:t>most</w:t>
      </w:r>
      <w:r>
        <w:rPr>
          <w:spacing w:val="-18"/>
        </w:rPr>
        <w:t xml:space="preserve"> </w:t>
      </w:r>
      <w:r>
        <w:t>of</w:t>
      </w:r>
      <w:r>
        <w:rPr>
          <w:spacing w:val="-15"/>
        </w:rPr>
        <w:t xml:space="preserve"> </w:t>
      </w:r>
      <w:r>
        <w:t>the</w:t>
      </w:r>
      <w:r>
        <w:rPr>
          <w:spacing w:val="-18"/>
        </w:rPr>
        <w:t xml:space="preserve"> </w:t>
      </w:r>
      <w:r>
        <w:t>other</w:t>
      </w:r>
      <w:r>
        <w:rPr>
          <w:spacing w:val="-16"/>
        </w:rPr>
        <w:t xml:space="preserve"> </w:t>
      </w:r>
      <w:r>
        <w:t>maternal</w:t>
      </w:r>
      <w:r>
        <w:rPr>
          <w:spacing w:val="-17"/>
        </w:rPr>
        <w:t xml:space="preserve"> </w:t>
      </w:r>
      <w:r>
        <w:t>and</w:t>
      </w:r>
      <w:r>
        <w:rPr>
          <w:spacing w:val="-17"/>
        </w:rPr>
        <w:t xml:space="preserve"> </w:t>
      </w:r>
      <w:r>
        <w:t>infant</w:t>
      </w:r>
      <w:r>
        <w:rPr>
          <w:spacing w:val="-18"/>
        </w:rPr>
        <w:t xml:space="preserve"> </w:t>
      </w:r>
      <w:r>
        <w:t>outcomes.</w:t>
      </w:r>
      <w:r>
        <w:rPr>
          <w:spacing w:val="-16"/>
        </w:rPr>
        <w:t xml:space="preserve"> </w:t>
      </w:r>
      <w:r>
        <w:t>Most</w:t>
      </w:r>
      <w:r>
        <w:rPr>
          <w:spacing w:val="-18"/>
        </w:rPr>
        <w:t xml:space="preserve"> </w:t>
      </w:r>
      <w:r>
        <w:t>of</w:t>
      </w:r>
      <w:r>
        <w:rPr>
          <w:spacing w:val="-16"/>
        </w:rPr>
        <w:t xml:space="preserve"> </w:t>
      </w:r>
      <w:r>
        <w:t>the</w:t>
      </w:r>
      <w:r>
        <w:rPr>
          <w:spacing w:val="-12"/>
        </w:rPr>
        <w:t xml:space="preserve"> </w:t>
      </w:r>
      <w:r>
        <w:t>important outcomes assessed using GRADE had a rating of moderate or low-quality evidence; with downgrading decisions generally due to study limitations, such as lack of blinding (a</w:t>
      </w:r>
      <w:r>
        <w:rPr>
          <w:spacing w:val="-42"/>
        </w:rPr>
        <w:t xml:space="preserve"> </w:t>
      </w:r>
      <w:r>
        <w:t>condition inherent in comparisons between policies of acting and waiting) or imprecise effect estimates. The authors concluded that although the absolute risk of perinatal death is small, it may be helpful to offer women appropriate counselling when considering the</w:t>
      </w:r>
      <w:r>
        <w:rPr>
          <w:spacing w:val="-11"/>
        </w:rPr>
        <w:t xml:space="preserve"> </w:t>
      </w:r>
      <w:r>
        <w:t>decision.</w:t>
      </w:r>
    </w:p>
    <w:p w14:paraId="78F8127C" w14:textId="77777777" w:rsidR="00AC0F19" w:rsidRDefault="00AC0F19" w:rsidP="002E5969"/>
    <w:p w14:paraId="5FEA1AE7" w14:textId="77777777" w:rsidR="00AC0F19" w:rsidRDefault="00AC0F19" w:rsidP="002E5969">
      <w:pPr>
        <w:keepLines/>
      </w:pPr>
      <w:r>
        <w:lastRenderedPageBreak/>
        <w:t xml:space="preserve">A multicentre RCT (INDEX) of 1,801 women from midwifery practices and hospitals in the Netherlands compared IOL at </w:t>
      </w:r>
      <w:r w:rsidR="00EB43A9">
        <w:t>41 weeks</w:t>
      </w:r>
      <w:r>
        <w:t xml:space="preserve"> with expectant management (</w:t>
      </w:r>
      <w:proofErr w:type="spellStart"/>
      <w:r>
        <w:t>Keulen</w:t>
      </w:r>
      <w:proofErr w:type="spellEnd"/>
      <w:r>
        <w:t xml:space="preserve"> </w:t>
      </w:r>
      <w:r w:rsidR="000F3C98">
        <w:t>et al</w:t>
      </w:r>
      <w:r>
        <w:t xml:space="preserve"> 2019). Women were eligible if they had a low risk, uncomplicated singleton pregnancy with cephalic presentation and certain gestational age of 40+5 to </w:t>
      </w:r>
      <w:r w:rsidR="00EB43A9">
        <w:t>41 weeks</w:t>
      </w:r>
      <w:r>
        <w:t xml:space="preserve"> and no contraindications to expectant management. The IOL group was induced at 41– 41+1 weeks</w:t>
      </w:r>
      <w:r w:rsidR="00B0606D">
        <w:t>’</w:t>
      </w:r>
      <w:r>
        <w:t xml:space="preserve"> gestation; the expectant management group awaited spontaneous onset of labour until </w:t>
      </w:r>
      <w:r w:rsidR="00EB43A9">
        <w:t>42 weeks</w:t>
      </w:r>
      <w:r w:rsidR="00B0606D">
        <w:t>’</w:t>
      </w:r>
      <w:r>
        <w:t xml:space="preserve"> gestation. The primary outcome was a composite of perinatal and neonatal morbidity; defined as any one of </w:t>
      </w:r>
      <w:r w:rsidR="00763E83">
        <w:t>5</w:t>
      </w:r>
      <w:r w:rsidR="00763E83">
        <w:noBreakHyphen/>
        <w:t>minute</w:t>
      </w:r>
      <w:r>
        <w:t xml:space="preserve"> Apgar </w:t>
      </w:r>
      <w:r w:rsidR="00436939">
        <w:t>&lt;</w:t>
      </w:r>
      <w:r>
        <w:t xml:space="preserve">7, NICU admission, arterial umbilical cord pH </w:t>
      </w:r>
      <w:r w:rsidR="00436939">
        <w:t>&lt;</w:t>
      </w:r>
      <w:r>
        <w:t>7.05, meconium aspiration syndrome, brachial plexus injury or intracranial haemorrhage. Secondary outcomes included composite</w:t>
      </w:r>
      <w:r>
        <w:rPr>
          <w:spacing w:val="-4"/>
        </w:rPr>
        <w:t xml:space="preserve"> </w:t>
      </w:r>
      <w:r>
        <w:t>adverse</w:t>
      </w:r>
      <w:r>
        <w:rPr>
          <w:spacing w:val="-4"/>
        </w:rPr>
        <w:t xml:space="preserve"> </w:t>
      </w:r>
      <w:r>
        <w:t>maternal</w:t>
      </w:r>
      <w:r>
        <w:rPr>
          <w:spacing w:val="-8"/>
        </w:rPr>
        <w:t xml:space="preserve"> </w:t>
      </w:r>
      <w:r>
        <w:t>outcome</w:t>
      </w:r>
      <w:r>
        <w:rPr>
          <w:spacing w:val="-8"/>
        </w:rPr>
        <w:t xml:space="preserve"> </w:t>
      </w:r>
      <w:r>
        <w:t>(defined</w:t>
      </w:r>
      <w:r>
        <w:rPr>
          <w:spacing w:val="-8"/>
        </w:rPr>
        <w:t xml:space="preserve"> </w:t>
      </w:r>
      <w:r>
        <w:t>as</w:t>
      </w:r>
      <w:r>
        <w:rPr>
          <w:spacing w:val="-5"/>
        </w:rPr>
        <w:t xml:space="preserve"> </w:t>
      </w:r>
      <w:r>
        <w:t>any</w:t>
      </w:r>
      <w:r>
        <w:rPr>
          <w:spacing w:val="-3"/>
        </w:rPr>
        <w:t xml:space="preserve"> </w:t>
      </w:r>
      <w:r>
        <w:t>one</w:t>
      </w:r>
      <w:r>
        <w:rPr>
          <w:spacing w:val="-8"/>
        </w:rPr>
        <w:t xml:space="preserve"> </w:t>
      </w:r>
      <w:r>
        <w:t>of</w:t>
      </w:r>
      <w:r>
        <w:rPr>
          <w:spacing w:val="-7"/>
        </w:rPr>
        <w:t xml:space="preserve"> </w:t>
      </w:r>
      <w:r>
        <w:t>PPH</w:t>
      </w:r>
      <w:r>
        <w:rPr>
          <w:spacing w:val="-5"/>
        </w:rPr>
        <w:t xml:space="preserve"> </w:t>
      </w:r>
      <w:r w:rsidR="002E5969">
        <w:t>≥</w:t>
      </w:r>
      <w:r>
        <w:t>1000 mL,</w:t>
      </w:r>
      <w:r>
        <w:rPr>
          <w:spacing w:val="-7"/>
        </w:rPr>
        <w:t xml:space="preserve"> </w:t>
      </w:r>
      <w:r>
        <w:t>third-</w:t>
      </w:r>
      <w:r>
        <w:rPr>
          <w:spacing w:val="-7"/>
        </w:rPr>
        <w:t xml:space="preserve"> </w:t>
      </w:r>
      <w:r>
        <w:t>or</w:t>
      </w:r>
      <w:r>
        <w:rPr>
          <w:spacing w:val="-2"/>
        </w:rPr>
        <w:t xml:space="preserve"> </w:t>
      </w:r>
      <w:r>
        <w:t>fourth-degree perineal tear, admission to intensive care unit or manual removal of placenta). There was more</w:t>
      </w:r>
      <w:r>
        <w:rPr>
          <w:spacing w:val="-3"/>
        </w:rPr>
        <w:t xml:space="preserve"> </w:t>
      </w:r>
      <w:r>
        <w:t>risk</w:t>
      </w:r>
      <w:r>
        <w:rPr>
          <w:spacing w:val="-7"/>
        </w:rPr>
        <w:t xml:space="preserve"> </w:t>
      </w:r>
      <w:r>
        <w:t>of</w:t>
      </w:r>
      <w:r>
        <w:rPr>
          <w:spacing w:val="-2"/>
        </w:rPr>
        <w:t xml:space="preserve"> </w:t>
      </w:r>
      <w:r>
        <w:t>composite</w:t>
      </w:r>
      <w:r>
        <w:rPr>
          <w:spacing w:val="-8"/>
        </w:rPr>
        <w:t xml:space="preserve"> </w:t>
      </w:r>
      <w:r>
        <w:t>adverse</w:t>
      </w:r>
      <w:r>
        <w:rPr>
          <w:spacing w:val="-8"/>
        </w:rPr>
        <w:t xml:space="preserve"> </w:t>
      </w:r>
      <w:r>
        <w:t>perinatal</w:t>
      </w:r>
      <w:r>
        <w:rPr>
          <w:spacing w:val="-9"/>
        </w:rPr>
        <w:t xml:space="preserve"> </w:t>
      </w:r>
      <w:r>
        <w:t>outcome</w:t>
      </w:r>
      <w:r>
        <w:rPr>
          <w:spacing w:val="-8"/>
        </w:rPr>
        <w:t xml:space="preserve"> </w:t>
      </w:r>
      <w:r>
        <w:t>in</w:t>
      </w:r>
      <w:r>
        <w:rPr>
          <w:spacing w:val="-1"/>
        </w:rPr>
        <w:t xml:space="preserve"> </w:t>
      </w:r>
      <w:r>
        <w:t>the</w:t>
      </w:r>
      <w:r>
        <w:rPr>
          <w:spacing w:val="-4"/>
        </w:rPr>
        <w:t xml:space="preserve"> </w:t>
      </w:r>
      <w:r>
        <w:t>expectant</w:t>
      </w:r>
      <w:r>
        <w:rPr>
          <w:spacing w:val="-3"/>
        </w:rPr>
        <w:t xml:space="preserve"> </w:t>
      </w:r>
      <w:r>
        <w:t>management</w:t>
      </w:r>
      <w:r>
        <w:rPr>
          <w:spacing w:val="-8"/>
        </w:rPr>
        <w:t xml:space="preserve"> </w:t>
      </w:r>
      <w:r>
        <w:t>group;</w:t>
      </w:r>
      <w:r>
        <w:rPr>
          <w:spacing w:val="-9"/>
        </w:rPr>
        <w:t xml:space="preserve"> </w:t>
      </w:r>
      <w:r>
        <w:t>28 (3.1%) compared with 15 women (1.7%) in the IOL group (risk difference</w:t>
      </w:r>
      <w:r>
        <w:rPr>
          <w:spacing w:val="-12"/>
        </w:rPr>
        <w:t xml:space="preserve"> </w:t>
      </w:r>
      <w:r>
        <w:t>-1.4%,</w:t>
      </w:r>
      <w:r>
        <w:rPr>
          <w:spacing w:val="-10"/>
        </w:rPr>
        <w:t xml:space="preserve"> </w:t>
      </w:r>
      <w:r>
        <w:t>95%</w:t>
      </w:r>
      <w:r>
        <w:rPr>
          <w:spacing w:val="-10"/>
        </w:rPr>
        <w:t xml:space="preserve"> </w:t>
      </w:r>
      <w:r>
        <w:t>CI</w:t>
      </w:r>
      <w:r>
        <w:rPr>
          <w:spacing w:val="-11"/>
        </w:rPr>
        <w:t xml:space="preserve"> </w:t>
      </w:r>
      <w:r>
        <w:t>-2.9%–0.0%;</w:t>
      </w:r>
      <w:r>
        <w:rPr>
          <w:spacing w:val="-13"/>
        </w:rPr>
        <w:t xml:space="preserve"> </w:t>
      </w:r>
      <w:r>
        <w:t>NNT</w:t>
      </w:r>
      <w:r>
        <w:rPr>
          <w:spacing w:val="-12"/>
        </w:rPr>
        <w:t xml:space="preserve"> </w:t>
      </w:r>
      <w:r>
        <w:t>69;</w:t>
      </w:r>
      <w:r>
        <w:rPr>
          <w:spacing w:val="-11"/>
        </w:rPr>
        <w:t xml:space="preserve"> </w:t>
      </w:r>
      <w:r>
        <w:t>95%</w:t>
      </w:r>
      <w:r>
        <w:rPr>
          <w:spacing w:val="-10"/>
        </w:rPr>
        <w:t xml:space="preserve"> </w:t>
      </w:r>
      <w:r>
        <w:t>CI</w:t>
      </w:r>
      <w:r>
        <w:rPr>
          <w:spacing w:val="-12"/>
        </w:rPr>
        <w:t xml:space="preserve"> </w:t>
      </w:r>
      <w:r>
        <w:t>35–3,059).</w:t>
      </w:r>
      <w:r>
        <w:rPr>
          <w:spacing w:val="-6"/>
        </w:rPr>
        <w:t xml:space="preserve"> </w:t>
      </w:r>
      <w:r>
        <w:t>There were</w:t>
      </w:r>
      <w:r>
        <w:rPr>
          <w:spacing w:val="-7"/>
        </w:rPr>
        <w:t xml:space="preserve"> </w:t>
      </w:r>
      <w:r>
        <w:t>two perinatal deaths and eight NICU admissions in the expectant management group compared with</w:t>
      </w:r>
      <w:r>
        <w:rPr>
          <w:spacing w:val="-9"/>
        </w:rPr>
        <w:t xml:space="preserve"> </w:t>
      </w:r>
      <w:r>
        <w:t>one</w:t>
      </w:r>
      <w:r>
        <w:rPr>
          <w:spacing w:val="-12"/>
        </w:rPr>
        <w:t xml:space="preserve"> </w:t>
      </w:r>
      <w:r>
        <w:t xml:space="preserve">perinatal death and three NICU admissions in the IOL group. No neonatal deaths occurred. There </w:t>
      </w:r>
      <w:r>
        <w:rPr>
          <w:spacing w:val="3"/>
        </w:rPr>
        <w:t xml:space="preserve">was </w:t>
      </w:r>
      <w:r>
        <w:t>no significant difference in composite adverse maternal outcome (11.3%</w:t>
      </w:r>
      <w:r>
        <w:rPr>
          <w:spacing w:val="-6"/>
        </w:rPr>
        <w:t xml:space="preserve"> </w:t>
      </w:r>
      <w:r>
        <w:t>in</w:t>
      </w:r>
      <w:r>
        <w:rPr>
          <w:spacing w:val="-7"/>
        </w:rPr>
        <w:t xml:space="preserve"> </w:t>
      </w:r>
      <w:r>
        <w:t>the</w:t>
      </w:r>
      <w:r>
        <w:rPr>
          <w:spacing w:val="-8"/>
        </w:rPr>
        <w:t xml:space="preserve"> </w:t>
      </w:r>
      <w:r>
        <w:t>expectant</w:t>
      </w:r>
      <w:r>
        <w:rPr>
          <w:spacing w:val="-8"/>
        </w:rPr>
        <w:t xml:space="preserve"> </w:t>
      </w:r>
      <w:r>
        <w:t>group compared with 13.6% in the IOL group).</w:t>
      </w:r>
      <w:r>
        <w:rPr>
          <w:spacing w:val="-1"/>
        </w:rPr>
        <w:t xml:space="preserve"> </w:t>
      </w:r>
      <w:r>
        <w:t>The caesarean</w:t>
      </w:r>
      <w:r>
        <w:rPr>
          <w:spacing w:val="-6"/>
        </w:rPr>
        <w:t xml:space="preserve"> </w:t>
      </w:r>
      <w:r>
        <w:t>section</w:t>
      </w:r>
      <w:r>
        <w:rPr>
          <w:spacing w:val="-2"/>
        </w:rPr>
        <w:t xml:space="preserve"> </w:t>
      </w:r>
      <w:r>
        <w:t>rate</w:t>
      </w:r>
      <w:r>
        <w:rPr>
          <w:spacing w:val="-8"/>
        </w:rPr>
        <w:t xml:space="preserve"> </w:t>
      </w:r>
      <w:r>
        <w:t>was</w:t>
      </w:r>
      <w:r>
        <w:rPr>
          <w:spacing w:val="-5"/>
        </w:rPr>
        <w:t xml:space="preserve"> </w:t>
      </w:r>
      <w:r>
        <w:t>10.8</w:t>
      </w:r>
      <w:r w:rsidR="006F7C71">
        <w:t>%</w:t>
      </w:r>
      <w:r>
        <w:rPr>
          <w:spacing w:val="-6"/>
        </w:rPr>
        <w:t xml:space="preserve"> </w:t>
      </w:r>
      <w:r>
        <w:t>in</w:t>
      </w:r>
      <w:r>
        <w:rPr>
          <w:spacing w:val="-2"/>
        </w:rPr>
        <w:t xml:space="preserve"> </w:t>
      </w:r>
      <w:r>
        <w:t>both</w:t>
      </w:r>
      <w:r>
        <w:rPr>
          <w:spacing w:val="-2"/>
        </w:rPr>
        <w:t xml:space="preserve"> </w:t>
      </w:r>
      <w:r>
        <w:t>groups.</w:t>
      </w:r>
      <w:r>
        <w:rPr>
          <w:spacing w:val="-6"/>
        </w:rPr>
        <w:t xml:space="preserve"> </w:t>
      </w:r>
      <w:r>
        <w:t>They</w:t>
      </w:r>
      <w:r>
        <w:rPr>
          <w:spacing w:val="-2"/>
        </w:rPr>
        <w:t xml:space="preserve"> </w:t>
      </w:r>
      <w:r>
        <w:t>did</w:t>
      </w:r>
      <w:r>
        <w:rPr>
          <w:spacing w:val="-7"/>
        </w:rPr>
        <w:t xml:space="preserve"> </w:t>
      </w:r>
      <w:r>
        <w:t>not report on maternal</w:t>
      </w:r>
      <w:r>
        <w:rPr>
          <w:spacing w:val="-5"/>
        </w:rPr>
        <w:t xml:space="preserve"> </w:t>
      </w:r>
      <w:r>
        <w:t>satisfaction.</w:t>
      </w:r>
    </w:p>
    <w:p w14:paraId="3316F380" w14:textId="77777777" w:rsidR="00AC0F19" w:rsidRDefault="00AC0F19" w:rsidP="002E5969"/>
    <w:p w14:paraId="12883857" w14:textId="77777777" w:rsidR="00AC0F19" w:rsidRDefault="00AC0F19" w:rsidP="002E5969">
      <w:pPr>
        <w:pStyle w:val="Heading3"/>
      </w:pPr>
      <w:bookmarkStart w:id="105" w:name="_bookmark41"/>
      <w:bookmarkEnd w:id="105"/>
      <w:r>
        <w:t>Discussion</w:t>
      </w:r>
    </w:p>
    <w:p w14:paraId="0EE615FC" w14:textId="77777777" w:rsidR="00AC0F19" w:rsidRPr="00FA6312" w:rsidRDefault="00AC0F19" w:rsidP="002E5969">
      <w:r w:rsidRPr="00FA6312">
        <w:t>The evidence included in the systematic reviews is limited in quality with evidence of heterogeneity, specifically in relation to the gestational age at which IOL was offered compared with the expectant management groups. These differences make effective comparisons between groups difficult. However, 75</w:t>
      </w:r>
      <w:r w:rsidR="006F7C71">
        <w:t>%</w:t>
      </w:r>
      <w:r w:rsidRPr="00FA6312">
        <w:t xml:space="preserve"> of participants in the Cochrane review had IOL at </w:t>
      </w:r>
      <w:r w:rsidR="002E5969">
        <w:t>≥</w:t>
      </w:r>
      <w:r w:rsidR="00EB43A9">
        <w:t>41 weeks</w:t>
      </w:r>
      <w:r w:rsidR="00B0606D">
        <w:t>’</w:t>
      </w:r>
      <w:r w:rsidRPr="00FA6312">
        <w:t xml:space="preserve"> gestation, and the sensitivity analysis including only these studies showed the same benefits of IOL with no harms.</w:t>
      </w:r>
    </w:p>
    <w:p w14:paraId="2BE616C0" w14:textId="77777777" w:rsidR="00AC0F19" w:rsidRPr="00FA6312" w:rsidRDefault="00AC0F19" w:rsidP="002E5969"/>
    <w:p w14:paraId="3503920D" w14:textId="77777777" w:rsidR="00AC0F19" w:rsidRPr="00FA6312" w:rsidRDefault="00AC0F19" w:rsidP="002E5969">
      <w:r w:rsidRPr="00FA6312">
        <w:t xml:space="preserve">A policy of routine IOL at or beyond </w:t>
      </w:r>
      <w:r w:rsidR="00763E83">
        <w:t>40 weeks</w:t>
      </w:r>
      <w:r w:rsidR="00B0606D">
        <w:t>’</w:t>
      </w:r>
      <w:r w:rsidRPr="00FA6312">
        <w:t xml:space="preserve"> gestation was associated with fewer perinatal deaths, fewer caesarean sections and fewer babies with low Apgar score</w:t>
      </w:r>
      <w:r>
        <w:t>s</w:t>
      </w:r>
      <w:r w:rsidRPr="00FA6312">
        <w:t xml:space="preserve"> and meconium aspiration syndrome compared with expectant management. The </w:t>
      </w:r>
      <w:r>
        <w:t>p</w:t>
      </w:r>
      <w:r w:rsidRPr="00FA6312">
        <w:t>anel recommends that clinicians have informed discussion</w:t>
      </w:r>
      <w:r>
        <w:t>s</w:t>
      </w:r>
      <w:r w:rsidRPr="00FA6312">
        <w:t xml:space="preserve"> with women around the time of their estimated due date to discuss the benefits of IOL for women whose pregnancies may be prolonged. The </w:t>
      </w:r>
      <w:r>
        <w:t>p</w:t>
      </w:r>
      <w:r w:rsidRPr="00FA6312">
        <w:t>anel acknowledges that women</w:t>
      </w:r>
      <w:r w:rsidR="00B0606D">
        <w:t>’</w:t>
      </w:r>
      <w:r w:rsidRPr="00FA6312">
        <w:t xml:space="preserve">s experience of IOL for this condition </w:t>
      </w:r>
      <w:r>
        <w:t>has</w:t>
      </w:r>
      <w:r w:rsidRPr="00FA6312">
        <w:t xml:space="preserve"> not</w:t>
      </w:r>
      <w:r>
        <w:t xml:space="preserve"> been</w:t>
      </w:r>
      <w:r w:rsidRPr="00FA6312">
        <w:t xml:space="preserve"> fully explored.</w:t>
      </w:r>
    </w:p>
    <w:p w14:paraId="6506CF71" w14:textId="77777777" w:rsidR="00AC0F19" w:rsidRPr="00FA6312" w:rsidRDefault="00AC0F19" w:rsidP="002E5969"/>
    <w:p w14:paraId="51511045" w14:textId="77777777" w:rsidR="00AC0F19" w:rsidRPr="00FA6312" w:rsidRDefault="00AC0F19" w:rsidP="002E5969">
      <w:r w:rsidRPr="00FA6312">
        <w:t>For women who choose expectant management, identify and document a plan for ongoing assessment of the woman</w:t>
      </w:r>
      <w:r w:rsidR="00B0606D">
        <w:t>’</w:t>
      </w:r>
      <w:r>
        <w:t>s</w:t>
      </w:r>
      <w:r w:rsidRPr="00FA6312">
        <w:t xml:space="preserve"> and baby</w:t>
      </w:r>
      <w:r w:rsidR="00B0606D">
        <w:t>’</w:t>
      </w:r>
      <w:r w:rsidRPr="00FA6312">
        <w:t xml:space="preserve">s wellbeing and provide the opportunity to revisit the offer of IOL at any time. Consider additional maternal and fetal monitoring if clinically indicated (for example, additional antenatal risk factors or from </w:t>
      </w:r>
      <w:r w:rsidR="00EB43A9">
        <w:t>42 weeks</w:t>
      </w:r>
      <w:r w:rsidR="00B0606D">
        <w:t>’</w:t>
      </w:r>
      <w:r w:rsidRPr="00FA6312">
        <w:t xml:space="preserve"> gestation). The </w:t>
      </w:r>
      <w:r>
        <w:t>p</w:t>
      </w:r>
      <w:r w:rsidRPr="00FA6312">
        <w:t xml:space="preserve">anel has not provided specific guidance on additional monitoring because there is no evidence to support any particular method or frequency, and thus each DHB will need to identify and develop its own pathway. If any concerns about maternal or fetal wellbeing arise, then the clinician should re-discuss the benefits of IOL in light of </w:t>
      </w:r>
      <w:r>
        <w:t xml:space="preserve">the </w:t>
      </w:r>
      <w:r w:rsidRPr="00FA6312">
        <w:t>new context and re-offer IOL.</w:t>
      </w:r>
    </w:p>
    <w:p w14:paraId="2DEA0853" w14:textId="77777777" w:rsidR="00AC0F19" w:rsidRPr="00FA6312" w:rsidRDefault="00AC0F19" w:rsidP="002E5969">
      <w:pPr>
        <w:spacing w:before="240"/>
      </w:pPr>
      <w:r w:rsidRPr="00FA6312">
        <w:lastRenderedPageBreak/>
        <w:t xml:space="preserve">SWEPIS </w:t>
      </w:r>
      <w:r>
        <w:t>(</w:t>
      </w:r>
      <w:proofErr w:type="spellStart"/>
      <w:r>
        <w:t>SWEdish</w:t>
      </w:r>
      <w:proofErr w:type="spellEnd"/>
      <w:r>
        <w:t xml:space="preserve"> Post-term Induction Study) </w:t>
      </w:r>
      <w:r w:rsidRPr="00FA6312">
        <w:t xml:space="preserve">is a multicentre RCT in Sweden designed to evaluate if IOL at </w:t>
      </w:r>
      <w:r w:rsidR="00EB43A9">
        <w:t>41 weeks</w:t>
      </w:r>
      <w:r w:rsidRPr="00FA6312">
        <w:t xml:space="preserve"> improves perinatal outcome</w:t>
      </w:r>
      <w:r>
        <w:t>s</w:t>
      </w:r>
      <w:r w:rsidRPr="00FA6312">
        <w:t xml:space="preserve"> compared </w:t>
      </w:r>
      <w:r>
        <w:t>with</w:t>
      </w:r>
      <w:r w:rsidRPr="00FA6312">
        <w:t xml:space="preserve"> expectant management with IOL at </w:t>
      </w:r>
      <w:r w:rsidR="00EB43A9">
        <w:t>42 weeks</w:t>
      </w:r>
      <w:r w:rsidRPr="00FA6312">
        <w:t>. The trial is complete</w:t>
      </w:r>
      <w:r>
        <w:t>,</w:t>
      </w:r>
      <w:r w:rsidRPr="00FA6312">
        <w:t xml:space="preserve"> but results were not available </w:t>
      </w:r>
      <w:r>
        <w:t xml:space="preserve">when the panel completed its </w:t>
      </w:r>
      <w:r w:rsidRPr="00FA6312">
        <w:t>review of the evidence.</w:t>
      </w:r>
    </w:p>
    <w:p w14:paraId="064E2927" w14:textId="77777777" w:rsidR="00AC0F19" w:rsidRDefault="00AC0F19" w:rsidP="00C60C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C60CA9" w14:paraId="3CE7EB78" w14:textId="77777777" w:rsidTr="00335664">
        <w:trPr>
          <w:cantSplit/>
        </w:trPr>
        <w:tc>
          <w:tcPr>
            <w:tcW w:w="4678" w:type="dxa"/>
            <w:tcBorders>
              <w:top w:val="nil"/>
              <w:left w:val="nil"/>
              <w:bottom w:val="nil"/>
              <w:right w:val="nil"/>
            </w:tcBorders>
            <w:shd w:val="clear" w:color="auto" w:fill="D9D9D9" w:themeFill="background1" w:themeFillShade="D9"/>
          </w:tcPr>
          <w:p w14:paraId="7F8D7E34" w14:textId="77777777" w:rsidR="00C60CA9" w:rsidRPr="00806252" w:rsidRDefault="00C60CA9" w:rsidP="00335664">
            <w:pPr>
              <w:pStyle w:val="TableText"/>
              <w:rPr>
                <w:b/>
              </w:rPr>
            </w:pPr>
            <w:r w:rsidRPr="00806252">
              <w:rPr>
                <w:b/>
              </w:rPr>
              <w:t>Recommendation</w:t>
            </w:r>
          </w:p>
        </w:tc>
        <w:tc>
          <w:tcPr>
            <w:tcW w:w="1701" w:type="dxa"/>
            <w:tcBorders>
              <w:top w:val="nil"/>
              <w:left w:val="nil"/>
              <w:bottom w:val="nil"/>
              <w:right w:val="nil"/>
            </w:tcBorders>
            <w:shd w:val="clear" w:color="auto" w:fill="D9D9D9" w:themeFill="background1" w:themeFillShade="D9"/>
          </w:tcPr>
          <w:p w14:paraId="722F8434" w14:textId="77777777" w:rsidR="00C60CA9" w:rsidRPr="00806252" w:rsidRDefault="00C60CA9" w:rsidP="00335664">
            <w:pPr>
              <w:pStyle w:val="TableText"/>
              <w:rPr>
                <w:b/>
              </w:rPr>
            </w:pPr>
            <w:r w:rsidRPr="00806252">
              <w:rPr>
                <w:b/>
              </w:rPr>
              <w:t>Level of</w:t>
            </w:r>
            <w:r>
              <w:rPr>
                <w:b/>
              </w:rPr>
              <w:br/>
            </w:r>
            <w:r w:rsidRPr="00806252">
              <w:rPr>
                <w:b/>
              </w:rPr>
              <w:t>evidence</w:t>
            </w:r>
          </w:p>
        </w:tc>
        <w:tc>
          <w:tcPr>
            <w:tcW w:w="1701" w:type="dxa"/>
            <w:tcBorders>
              <w:top w:val="nil"/>
              <w:left w:val="nil"/>
              <w:bottom w:val="nil"/>
              <w:right w:val="nil"/>
            </w:tcBorders>
            <w:shd w:val="clear" w:color="auto" w:fill="D9D9D9" w:themeFill="background1" w:themeFillShade="D9"/>
          </w:tcPr>
          <w:p w14:paraId="23EFADB6" w14:textId="77777777" w:rsidR="00C60CA9" w:rsidRPr="00806252" w:rsidRDefault="00C60CA9" w:rsidP="00335664">
            <w:pPr>
              <w:pStyle w:val="TableText"/>
              <w:rPr>
                <w:b/>
              </w:rPr>
            </w:pPr>
            <w:r w:rsidRPr="00806252">
              <w:rPr>
                <w:b/>
              </w:rPr>
              <w:t>Strength of recommendation</w:t>
            </w:r>
          </w:p>
        </w:tc>
      </w:tr>
      <w:tr w:rsidR="00C60CA9" w14:paraId="16E9B34D" w14:textId="77777777" w:rsidTr="00335664">
        <w:trPr>
          <w:cantSplit/>
        </w:trPr>
        <w:tc>
          <w:tcPr>
            <w:tcW w:w="4678" w:type="dxa"/>
            <w:tcBorders>
              <w:top w:val="nil"/>
              <w:left w:val="nil"/>
              <w:bottom w:val="single" w:sz="4" w:space="0" w:color="A6A6A6" w:themeColor="background1" w:themeShade="A6"/>
              <w:right w:val="nil"/>
            </w:tcBorders>
          </w:tcPr>
          <w:p w14:paraId="284137F5" w14:textId="77777777" w:rsidR="00C60CA9" w:rsidRDefault="00C60CA9" w:rsidP="00C60CA9">
            <w:pPr>
              <w:pStyle w:val="TableText"/>
              <w:ind w:right="113"/>
            </w:pPr>
            <w:r>
              <w:t>Offer IOL between 41</w:t>
            </w:r>
            <w:r>
              <w:rPr>
                <w:position w:val="7"/>
                <w:sz w:val="14"/>
              </w:rPr>
              <w:t>+0</w:t>
            </w:r>
            <w:r>
              <w:t xml:space="preserve"> and 42</w:t>
            </w:r>
            <w:r>
              <w:rPr>
                <w:position w:val="7"/>
                <w:sz w:val="14"/>
              </w:rPr>
              <w:t>+0</w:t>
            </w:r>
            <w:r>
              <w:t xml:space="preserve"> weeks’ gestation to women with uncomplicated pregnancies, to reduce the risks of perinatal death, caesarean section, </w:t>
            </w:r>
            <w:r w:rsidR="00763E83">
              <w:t>5</w:t>
            </w:r>
            <w:r w:rsidR="00763E83">
              <w:noBreakHyphen/>
              <w:t>minute</w:t>
            </w:r>
            <w:r>
              <w:t xml:space="preserve"> Apgar &lt;7 and meconium aspiration syndrome.</w:t>
            </w:r>
          </w:p>
        </w:tc>
        <w:tc>
          <w:tcPr>
            <w:tcW w:w="1701" w:type="dxa"/>
            <w:tcBorders>
              <w:top w:val="nil"/>
              <w:left w:val="nil"/>
              <w:bottom w:val="single" w:sz="4" w:space="0" w:color="A6A6A6" w:themeColor="background1" w:themeShade="A6"/>
              <w:right w:val="nil"/>
            </w:tcBorders>
          </w:tcPr>
          <w:p w14:paraId="690C71EA" w14:textId="77777777" w:rsidR="00C60CA9" w:rsidRDefault="00C60CA9" w:rsidP="00335664">
            <w:pPr>
              <w:pStyle w:val="TableText"/>
            </w:pPr>
            <w:r>
              <w:t>Level 1; moderate quality</w:t>
            </w:r>
          </w:p>
        </w:tc>
        <w:tc>
          <w:tcPr>
            <w:tcW w:w="1701" w:type="dxa"/>
            <w:tcBorders>
              <w:top w:val="nil"/>
              <w:left w:val="nil"/>
              <w:bottom w:val="single" w:sz="4" w:space="0" w:color="A6A6A6" w:themeColor="background1" w:themeShade="A6"/>
              <w:right w:val="nil"/>
            </w:tcBorders>
          </w:tcPr>
          <w:p w14:paraId="1D7B1BE4" w14:textId="77777777" w:rsidR="00C60CA9" w:rsidRDefault="00C60CA9" w:rsidP="00335664">
            <w:pPr>
              <w:pStyle w:val="TableText"/>
            </w:pPr>
            <w:r>
              <w:t>Conditional</w:t>
            </w:r>
          </w:p>
        </w:tc>
      </w:tr>
    </w:tbl>
    <w:p w14:paraId="1E9050AA" w14:textId="77777777" w:rsidR="00C60CA9" w:rsidRDefault="00C60CA9" w:rsidP="00C60C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C60CA9" w14:paraId="5F459E58" w14:textId="77777777" w:rsidTr="00335664">
        <w:trPr>
          <w:cantSplit/>
        </w:trPr>
        <w:tc>
          <w:tcPr>
            <w:tcW w:w="8080" w:type="dxa"/>
            <w:tcBorders>
              <w:top w:val="nil"/>
              <w:left w:val="nil"/>
              <w:bottom w:val="nil"/>
              <w:right w:val="nil"/>
            </w:tcBorders>
            <w:shd w:val="clear" w:color="auto" w:fill="D9D9D9" w:themeFill="background1" w:themeFillShade="D9"/>
          </w:tcPr>
          <w:p w14:paraId="21734C5F" w14:textId="77777777" w:rsidR="00C60CA9" w:rsidRPr="008D53E4" w:rsidRDefault="00D2284E" w:rsidP="00335664">
            <w:pPr>
              <w:pStyle w:val="TableText"/>
              <w:rPr>
                <w:b/>
              </w:rPr>
            </w:pPr>
            <w:r>
              <w:rPr>
                <w:b/>
              </w:rPr>
              <w:t>Research gap</w:t>
            </w:r>
          </w:p>
        </w:tc>
      </w:tr>
      <w:tr w:rsidR="00C60CA9" w14:paraId="67EF96BB" w14:textId="77777777" w:rsidTr="00335664">
        <w:trPr>
          <w:cantSplit/>
        </w:trPr>
        <w:tc>
          <w:tcPr>
            <w:tcW w:w="8080" w:type="dxa"/>
            <w:tcBorders>
              <w:top w:val="nil"/>
              <w:left w:val="nil"/>
              <w:bottom w:val="single" w:sz="4" w:space="0" w:color="A6A6A6" w:themeColor="background1" w:themeShade="A6"/>
              <w:right w:val="nil"/>
            </w:tcBorders>
          </w:tcPr>
          <w:p w14:paraId="0CD87AE7" w14:textId="77777777" w:rsidR="00C60CA9" w:rsidRDefault="00C60CA9" w:rsidP="00335664">
            <w:pPr>
              <w:pStyle w:val="TableBullet"/>
            </w:pPr>
            <w:r>
              <w:t>To explore risk profiles (including age, BMI, ethnicity, smoking), values and preferences, perspectives and experiences of women being offered IOL or expectant management at or beyond term within the New Zealand context.</w:t>
            </w:r>
          </w:p>
        </w:tc>
      </w:tr>
    </w:tbl>
    <w:p w14:paraId="6D766138" w14:textId="77777777" w:rsidR="00C60CA9" w:rsidRDefault="00C60CA9" w:rsidP="00C60CA9"/>
    <w:p w14:paraId="717C80A6" w14:textId="77777777" w:rsidR="00AC0F19" w:rsidRDefault="00AC0F19" w:rsidP="00EB43A9">
      <w:pPr>
        <w:pStyle w:val="Heading2"/>
      </w:pPr>
      <w:bookmarkStart w:id="106" w:name="4.2_Pre-labour_rupture_of_membranes_≥37_"/>
      <w:bookmarkStart w:id="107" w:name="_bookmark42"/>
      <w:bookmarkStart w:id="108" w:name="_Toc75787981"/>
      <w:bookmarkEnd w:id="106"/>
      <w:bookmarkEnd w:id="107"/>
      <w:r>
        <w:t>Pre-</w:t>
      </w:r>
      <w:r w:rsidRPr="00FA6312">
        <w:t>labour</w:t>
      </w:r>
      <w:r>
        <w:t xml:space="preserve"> rupture of membranes at </w:t>
      </w:r>
      <w:r w:rsidR="00EB43A9">
        <w:t>37 weeks</w:t>
      </w:r>
      <w:r w:rsidR="00B0606D">
        <w:t>’</w:t>
      </w:r>
      <w:r>
        <w:rPr>
          <w:spacing w:val="-14"/>
        </w:rPr>
        <w:t xml:space="preserve"> or more </w:t>
      </w:r>
      <w:r>
        <w:t>gestation</w:t>
      </w:r>
      <w:bookmarkEnd w:id="108"/>
    </w:p>
    <w:p w14:paraId="5060624E" w14:textId="77777777" w:rsidR="00AC0F19" w:rsidRDefault="00AC0F19" w:rsidP="00EB43A9">
      <w:r>
        <w:t>In</w:t>
      </w:r>
      <w:r>
        <w:rPr>
          <w:spacing w:val="-13"/>
        </w:rPr>
        <w:t xml:space="preserve"> </w:t>
      </w:r>
      <w:r>
        <w:t>approximately</w:t>
      </w:r>
      <w:r>
        <w:rPr>
          <w:spacing w:val="-13"/>
        </w:rPr>
        <w:t xml:space="preserve"> </w:t>
      </w:r>
      <w:r>
        <w:t>1</w:t>
      </w:r>
      <w:r>
        <w:rPr>
          <w:spacing w:val="-14"/>
        </w:rPr>
        <w:t xml:space="preserve"> </w:t>
      </w:r>
      <w:r>
        <w:t>in</w:t>
      </w:r>
      <w:r>
        <w:rPr>
          <w:spacing w:val="-13"/>
        </w:rPr>
        <w:t xml:space="preserve"> </w:t>
      </w:r>
      <w:r>
        <w:t>12</w:t>
      </w:r>
      <w:r>
        <w:rPr>
          <w:spacing w:val="-8"/>
        </w:rPr>
        <w:t xml:space="preserve"> </w:t>
      </w:r>
      <w:r>
        <w:t>pregnancies</w:t>
      </w:r>
      <w:r>
        <w:rPr>
          <w:spacing w:val="-11"/>
        </w:rPr>
        <w:t xml:space="preserve"> </w:t>
      </w:r>
      <w:r>
        <w:t>at</w:t>
      </w:r>
      <w:r>
        <w:rPr>
          <w:spacing w:val="-9"/>
        </w:rPr>
        <w:t xml:space="preserve"> </w:t>
      </w:r>
      <w:r>
        <w:t>term,</w:t>
      </w:r>
      <w:r>
        <w:rPr>
          <w:spacing w:val="-13"/>
        </w:rPr>
        <w:t xml:space="preserve"> </w:t>
      </w:r>
      <w:r>
        <w:t>the</w:t>
      </w:r>
      <w:r>
        <w:rPr>
          <w:spacing w:val="-10"/>
        </w:rPr>
        <w:t xml:space="preserve"> </w:t>
      </w:r>
      <w:r>
        <w:t>membranes</w:t>
      </w:r>
      <w:r>
        <w:rPr>
          <w:spacing w:val="-11"/>
        </w:rPr>
        <w:t xml:space="preserve"> </w:t>
      </w:r>
      <w:r>
        <w:t>rupture</w:t>
      </w:r>
      <w:r>
        <w:rPr>
          <w:spacing w:val="-14"/>
        </w:rPr>
        <w:t xml:space="preserve"> </w:t>
      </w:r>
      <w:r>
        <w:t>before</w:t>
      </w:r>
      <w:r>
        <w:rPr>
          <w:spacing w:val="-13"/>
        </w:rPr>
        <w:t xml:space="preserve"> </w:t>
      </w:r>
      <w:r>
        <w:t>labour</w:t>
      </w:r>
      <w:r>
        <w:rPr>
          <w:spacing w:val="-12"/>
        </w:rPr>
        <w:t xml:space="preserve"> </w:t>
      </w:r>
      <w:r>
        <w:t>starts. Approximately 79</w:t>
      </w:r>
      <w:r w:rsidR="006F7C71">
        <w:t>%</w:t>
      </w:r>
      <w:r>
        <w:t xml:space="preserve"> of women will spontaneously labour within </w:t>
      </w:r>
      <w:r w:rsidR="003A4BD4">
        <w:t>12 hours</w:t>
      </w:r>
      <w:r>
        <w:t xml:space="preserve"> of ruptured membranes (Middleton </w:t>
      </w:r>
      <w:r w:rsidR="000F3C98">
        <w:t>et al</w:t>
      </w:r>
      <w:r>
        <w:t xml:space="preserve"> 2017). The risk of infection increases with the duration of ruptured membranes. PROM is a common indication for</w:t>
      </w:r>
      <w:r>
        <w:rPr>
          <w:spacing w:val="-12"/>
        </w:rPr>
        <w:t xml:space="preserve"> </w:t>
      </w:r>
      <w:r>
        <w:t>IOL.</w:t>
      </w:r>
    </w:p>
    <w:p w14:paraId="1CA829DF" w14:textId="77777777" w:rsidR="00AC0F19" w:rsidRDefault="00AC0F19" w:rsidP="00EB43A9"/>
    <w:p w14:paraId="7A5B1A30" w14:textId="77777777" w:rsidR="00AC0F19" w:rsidRDefault="00AC0F19" w:rsidP="00EB43A9">
      <w:pPr>
        <w:pStyle w:val="Heading3"/>
      </w:pPr>
      <w:bookmarkStart w:id="109" w:name="_bookmark43"/>
      <w:bookmarkEnd w:id="109"/>
      <w:r>
        <w:t>Summary of evidence</w:t>
      </w:r>
    </w:p>
    <w:p w14:paraId="14089CE6" w14:textId="77777777" w:rsidR="00AC0F19" w:rsidRPr="00FA6312" w:rsidRDefault="00AC0F19" w:rsidP="00EB43A9">
      <w:r w:rsidRPr="00FA6312">
        <w:t>One systematic review was identified.</w:t>
      </w:r>
    </w:p>
    <w:p w14:paraId="2977E7F7" w14:textId="77777777" w:rsidR="00AC0F19" w:rsidRPr="00FA6312" w:rsidRDefault="00AC0F19" w:rsidP="00EB43A9"/>
    <w:p w14:paraId="780AC259" w14:textId="77777777" w:rsidR="00AC0F19" w:rsidRPr="00FA6312" w:rsidRDefault="00AC0F19" w:rsidP="00EB43A9">
      <w:r w:rsidRPr="00FA6312">
        <w:t>A Cochrane systematic review including 23 RCTs of 8</w:t>
      </w:r>
      <w:r>
        <w:t>,</w:t>
      </w:r>
      <w:r w:rsidRPr="00FA6312">
        <w:t xml:space="preserve">615 women with PROM at </w:t>
      </w:r>
      <w:r w:rsidR="002E5969">
        <w:t>≥</w:t>
      </w:r>
      <w:r w:rsidR="00EB43A9">
        <w:t>37 weeks</w:t>
      </w:r>
      <w:r w:rsidR="00B0606D">
        <w:t>’</w:t>
      </w:r>
      <w:r w:rsidRPr="00FA6312">
        <w:t xml:space="preserve"> gestation compared planned early birth with expectant management (Middleton </w:t>
      </w:r>
      <w:r w:rsidR="000F3C98">
        <w:t>et al</w:t>
      </w:r>
      <w:r>
        <w:t xml:space="preserve"> </w:t>
      </w:r>
      <w:r w:rsidRPr="00FA6312">
        <w:t xml:space="preserve">2017). Planned early birth was defined as a decision to expedite birth through IOL or by caesarean section immediately or within </w:t>
      </w:r>
      <w:r w:rsidR="00EB43A9">
        <w:t>24 hours</w:t>
      </w:r>
      <w:r w:rsidRPr="00FA6312">
        <w:t xml:space="preserve">, and expectant management </w:t>
      </w:r>
      <w:r>
        <w:t xml:space="preserve">was defined </w:t>
      </w:r>
      <w:r w:rsidRPr="00FA6312">
        <w:t xml:space="preserve">as an intended delay of at least </w:t>
      </w:r>
      <w:r w:rsidR="00EB43A9">
        <w:t>24 hours</w:t>
      </w:r>
      <w:r w:rsidRPr="00FA6312">
        <w:t>. The primary maternal outcomes were infectious morbidity (chorioamnionitis and/or endometritis), caesarean section and serious morbidity or mortality. Primary neonatal outcomes were early-onset neonatal sepsis (definite or probable) and perinatal death. Women who had planned early birth</w:t>
      </w:r>
      <w:r>
        <w:t>s</w:t>
      </w:r>
      <w:r w:rsidRPr="00FA6312">
        <w:t xml:space="preserve"> were at reduced risk of maternal infectious morbidity compared with women who had expectant management (</w:t>
      </w:r>
      <w:r w:rsidR="00230FF7">
        <w:t>RR </w:t>
      </w:r>
      <w:r w:rsidRPr="00FA6312">
        <w:t>0.49; 95% CI 0.33</w:t>
      </w:r>
      <w:r>
        <w:t>–</w:t>
      </w:r>
      <w:r w:rsidRPr="00FA6312">
        <w:t>0.72; eight trials</w:t>
      </w:r>
      <w:r>
        <w:t>;</w:t>
      </w:r>
      <w:r w:rsidRPr="00FA6312">
        <w:t xml:space="preserve"> 6</w:t>
      </w:r>
      <w:r>
        <w:t>,</w:t>
      </w:r>
      <w:r w:rsidRPr="00FA6312">
        <w:t>864 women; low quality), and their neonates were less likely to have early-onset neonatal sepsis (</w:t>
      </w:r>
      <w:r w:rsidR="00230FF7">
        <w:t>RR </w:t>
      </w:r>
      <w:r w:rsidRPr="00FA6312">
        <w:t>0.73; 95% CI 0.58</w:t>
      </w:r>
      <w:r>
        <w:t>–</w:t>
      </w:r>
      <w:r w:rsidRPr="00FA6312">
        <w:t xml:space="preserve">0.92; </w:t>
      </w:r>
      <w:r>
        <w:t>16</w:t>
      </w:r>
      <w:r w:rsidRPr="00FA6312">
        <w:t xml:space="preserve"> trials</w:t>
      </w:r>
      <w:r>
        <w:t>;</w:t>
      </w:r>
      <w:r w:rsidRPr="00FA6312">
        <w:t xml:space="preserve"> 7</w:t>
      </w:r>
      <w:r>
        <w:t>,</w:t>
      </w:r>
      <w:r w:rsidRPr="00FA6312">
        <w:t>314 infants; low quality).</w:t>
      </w:r>
    </w:p>
    <w:p w14:paraId="4FCEC572" w14:textId="77777777" w:rsidR="00AC0F19" w:rsidRPr="00FA6312" w:rsidRDefault="00AC0F19" w:rsidP="00EB43A9"/>
    <w:p w14:paraId="4A797CA8" w14:textId="77777777" w:rsidR="00B0606D" w:rsidRDefault="00AC0F19" w:rsidP="00EB43A9">
      <w:pPr>
        <w:keepLines/>
      </w:pPr>
      <w:r w:rsidRPr="00FA6312">
        <w:lastRenderedPageBreak/>
        <w:t xml:space="preserve">No differences were found between the planned early birth and expectant management groups for caesarean section (average </w:t>
      </w:r>
      <w:r w:rsidR="00230FF7">
        <w:t>RR </w:t>
      </w:r>
      <w:r w:rsidRPr="00FA6312">
        <w:t>0.84; 95% CI 0.69</w:t>
      </w:r>
      <w:r>
        <w:t>–</w:t>
      </w:r>
      <w:r w:rsidRPr="00FA6312">
        <w:t>1.04; low quality); serious maternal morbidity or mortality (no events reported</w:t>
      </w:r>
      <w:r>
        <w:t>;</w:t>
      </w:r>
      <w:r w:rsidRPr="00FA6312">
        <w:t xml:space="preserve"> three trials</w:t>
      </w:r>
      <w:r>
        <w:t xml:space="preserve">; </w:t>
      </w:r>
      <w:r w:rsidRPr="00FA6312">
        <w:t>425</w:t>
      </w:r>
      <w:r w:rsidR="00EB43A9">
        <w:t> </w:t>
      </w:r>
      <w:r w:rsidRPr="00FA6312">
        <w:t>women; very low quality); definite early-onset neonatal sepsis (</w:t>
      </w:r>
      <w:r w:rsidR="00230FF7">
        <w:t>RR </w:t>
      </w:r>
      <w:r w:rsidRPr="00FA6312">
        <w:t>0.57; 95% CI 0.24</w:t>
      </w:r>
      <w:r>
        <w:t>–</w:t>
      </w:r>
      <w:r w:rsidRPr="00FA6312">
        <w:t>1.33; very low quality) or perinatal death (</w:t>
      </w:r>
      <w:r w:rsidR="00230FF7">
        <w:t>RR </w:t>
      </w:r>
      <w:r w:rsidRPr="00FA6312">
        <w:t>0.47; 95% CI 0.13</w:t>
      </w:r>
      <w:r>
        <w:t>–</w:t>
      </w:r>
      <w:r w:rsidRPr="00FA6312">
        <w:t>1.66; moderate quality). The neonates in the planned early birth group were less likely to be admitted to NICU (</w:t>
      </w:r>
      <w:r w:rsidR="00230FF7">
        <w:t>RR </w:t>
      </w:r>
      <w:r w:rsidRPr="00FA6312">
        <w:t>0.75; 95% CI 0.66</w:t>
      </w:r>
      <w:r>
        <w:t>–</w:t>
      </w:r>
      <w:r w:rsidRPr="00FA6312">
        <w:t xml:space="preserve">0.85). No clear differences between groups were observed for endometritis, uterine rupture, postpartum haemorrhage, stillbirth, neonatal mortality or </w:t>
      </w:r>
      <w:r w:rsidR="00763E83">
        <w:t>5</w:t>
      </w:r>
      <w:r w:rsidR="00763E83">
        <w:noBreakHyphen/>
        <w:t>minute</w:t>
      </w:r>
      <w:r w:rsidRPr="00FA6312">
        <w:t xml:space="preserve"> Apgar score </w:t>
      </w:r>
      <w:r w:rsidR="00436939">
        <w:t>&lt;</w:t>
      </w:r>
      <w:r w:rsidRPr="00FA6312">
        <w:t>7.</w:t>
      </w:r>
    </w:p>
    <w:p w14:paraId="31B0157E" w14:textId="77777777" w:rsidR="00AC0F19" w:rsidRDefault="00AC0F19" w:rsidP="00EB43A9"/>
    <w:p w14:paraId="4B356228" w14:textId="77777777" w:rsidR="00AC0F19" w:rsidRPr="00FA6312" w:rsidRDefault="00AC0F19" w:rsidP="00EB43A9">
      <w:r w:rsidRPr="00FA6312">
        <w:t>Only two trials reported on maternal views of care.</w:t>
      </w:r>
      <w:r>
        <w:t xml:space="preserve"> </w:t>
      </w:r>
      <w:r w:rsidRPr="00FA6312">
        <w:t xml:space="preserve">One trial recorded responses to the question </w:t>
      </w:r>
      <w:r w:rsidR="00B0606D">
        <w:t>“</w:t>
      </w:r>
      <w:r>
        <w:t>H</w:t>
      </w:r>
      <w:r w:rsidRPr="00FA6312">
        <w:t>ow do you experience your plan of treatment after PROM?</w:t>
      </w:r>
      <w:r w:rsidR="00B0606D">
        <w:t>”</w:t>
      </w:r>
      <w:r w:rsidRPr="00FA6312">
        <w:t xml:space="preserve"> by a visual analogue scale (0 = very negative to 100 = very positive) and observed that women who had planned early birth</w:t>
      </w:r>
      <w:r>
        <w:t>s</w:t>
      </w:r>
      <w:r w:rsidRPr="00FA6312">
        <w:t xml:space="preserve"> had a more positive experience compared </w:t>
      </w:r>
      <w:r>
        <w:t>with</w:t>
      </w:r>
      <w:r w:rsidRPr="00FA6312">
        <w:t xml:space="preserve"> expectant management </w:t>
      </w:r>
      <w:r>
        <w:t xml:space="preserve">women </w:t>
      </w:r>
      <w:r w:rsidRPr="00FA6312">
        <w:t>(mean difference 11.8 higher; 95% CI 4.36</w:t>
      </w:r>
      <w:r>
        <w:t>–</w:t>
      </w:r>
      <w:r w:rsidRPr="00FA6312">
        <w:t>19.24; 93 women). Another study reported that women who had planned early birth</w:t>
      </w:r>
      <w:r>
        <w:t>s</w:t>
      </w:r>
      <w:r w:rsidRPr="00FA6312">
        <w:t xml:space="preserve"> were less likely to report that they liked no part of their management (</w:t>
      </w:r>
      <w:r w:rsidR="00230FF7">
        <w:t>RR </w:t>
      </w:r>
      <w:r w:rsidRPr="00FA6312">
        <w:t>0.43; 95% CI 0.36</w:t>
      </w:r>
      <w:r>
        <w:t>–</w:t>
      </w:r>
      <w:r w:rsidRPr="00FA6312">
        <w:t>0.52; 5</w:t>
      </w:r>
      <w:r>
        <w:t>,</w:t>
      </w:r>
      <w:r w:rsidRPr="00FA6312">
        <w:t>041</w:t>
      </w:r>
      <w:r w:rsidR="00EB43A9">
        <w:t> </w:t>
      </w:r>
      <w:r w:rsidRPr="00FA6312">
        <w:t>women) and were more likely to report that there was nothing they disliked about their management (</w:t>
      </w:r>
      <w:r w:rsidR="00230FF7">
        <w:t>RR </w:t>
      </w:r>
      <w:r w:rsidRPr="00FA6312">
        <w:t>1.2; 95% CI 1.10</w:t>
      </w:r>
      <w:r>
        <w:t>–</w:t>
      </w:r>
      <w:r w:rsidRPr="00FA6312">
        <w:t>1.30; 5</w:t>
      </w:r>
      <w:r>
        <w:t>,</w:t>
      </w:r>
      <w:r w:rsidRPr="00FA6312">
        <w:t xml:space="preserve">041 women) compared </w:t>
      </w:r>
      <w:r>
        <w:t>with</w:t>
      </w:r>
      <w:r w:rsidRPr="00FA6312">
        <w:t xml:space="preserve"> expectant management</w:t>
      </w:r>
      <w:r>
        <w:t xml:space="preserve"> women</w:t>
      </w:r>
      <w:r w:rsidRPr="00FA6312">
        <w:t>.</w:t>
      </w:r>
    </w:p>
    <w:p w14:paraId="5A037B23" w14:textId="77777777" w:rsidR="00AC0F19" w:rsidRPr="00FA6312" w:rsidRDefault="00AC0F19" w:rsidP="00EB43A9"/>
    <w:p w14:paraId="5297C90D" w14:textId="77777777" w:rsidR="00AC0F19" w:rsidRDefault="00AC0F19" w:rsidP="00EB43A9">
      <w:r w:rsidRPr="00FA6312">
        <w:t xml:space="preserve">The authors concluded that for PROM at </w:t>
      </w:r>
      <w:r w:rsidR="00EB43A9">
        <w:t>37 weeks</w:t>
      </w:r>
      <w:r w:rsidR="00B0606D">
        <w:t>’</w:t>
      </w:r>
      <w:r w:rsidRPr="00FA6312">
        <w:t xml:space="preserve"> gestation or later, planned early birth (with IOL methods such as oxytocin or prostaglandins</w:t>
      </w:r>
      <w:r>
        <w:t>, PG</w:t>
      </w:r>
      <w:r w:rsidRPr="00FA6312">
        <w:t>) reduces the risk of maternal infectious morbidity and neonatal sepsis compared with expectant management, with increased maternal</w:t>
      </w:r>
      <w:r>
        <w:t xml:space="preserve"> satisfaction.</w:t>
      </w:r>
    </w:p>
    <w:p w14:paraId="2408E1AC" w14:textId="77777777" w:rsidR="00AC0F19" w:rsidRDefault="00AC0F19" w:rsidP="00EB43A9"/>
    <w:p w14:paraId="03C6572F" w14:textId="77777777" w:rsidR="00AC0F19" w:rsidRDefault="00AC0F19" w:rsidP="00EB43A9">
      <w:pPr>
        <w:pStyle w:val="Heading3"/>
      </w:pPr>
      <w:bookmarkStart w:id="110" w:name="_bookmark44"/>
      <w:bookmarkEnd w:id="110"/>
      <w:r>
        <w:t>Discussion</w:t>
      </w:r>
    </w:p>
    <w:p w14:paraId="6B0B556D" w14:textId="77777777" w:rsidR="00AC0F19" w:rsidRDefault="00AC0F19" w:rsidP="00EB43A9">
      <w:r>
        <w:t xml:space="preserve">The evidence is based on a systematic review in which the review authors noted that </w:t>
      </w:r>
      <w:r w:rsidR="00B0606D">
        <w:t>“</w:t>
      </w:r>
      <w:r>
        <w:t>the quality of</w:t>
      </w:r>
      <w:r>
        <w:rPr>
          <w:spacing w:val="-7"/>
        </w:rPr>
        <w:t xml:space="preserve"> </w:t>
      </w:r>
      <w:r>
        <w:t>the</w:t>
      </w:r>
      <w:r>
        <w:rPr>
          <w:spacing w:val="-8"/>
        </w:rPr>
        <w:t xml:space="preserve"> </w:t>
      </w:r>
      <w:r>
        <w:t>trials</w:t>
      </w:r>
      <w:r>
        <w:rPr>
          <w:spacing w:val="-6"/>
        </w:rPr>
        <w:t xml:space="preserve"> </w:t>
      </w:r>
      <w:r>
        <w:t>and</w:t>
      </w:r>
      <w:r>
        <w:rPr>
          <w:spacing w:val="-1"/>
        </w:rPr>
        <w:t xml:space="preserve"> </w:t>
      </w:r>
      <w:r>
        <w:t>evidence</w:t>
      </w:r>
      <w:r>
        <w:rPr>
          <w:spacing w:val="-9"/>
        </w:rPr>
        <w:t xml:space="preserve"> </w:t>
      </w:r>
      <w:r>
        <w:t>was</w:t>
      </w:r>
      <w:r>
        <w:rPr>
          <w:spacing w:val="-5"/>
        </w:rPr>
        <w:t xml:space="preserve"> </w:t>
      </w:r>
      <w:r>
        <w:t>not</w:t>
      </w:r>
      <w:r>
        <w:rPr>
          <w:spacing w:val="-9"/>
        </w:rPr>
        <w:t xml:space="preserve"> </w:t>
      </w:r>
      <w:r>
        <w:t>high</w:t>
      </w:r>
      <w:r>
        <w:rPr>
          <w:spacing w:val="-7"/>
        </w:rPr>
        <w:t xml:space="preserve"> </w:t>
      </w:r>
      <w:r>
        <w:t>overall,</w:t>
      </w:r>
      <w:r>
        <w:rPr>
          <w:spacing w:val="-7"/>
        </w:rPr>
        <w:t xml:space="preserve"> </w:t>
      </w:r>
      <w:r>
        <w:t>and</w:t>
      </w:r>
      <w:r>
        <w:rPr>
          <w:spacing w:val="-2"/>
        </w:rPr>
        <w:t xml:space="preserve"> </w:t>
      </w:r>
      <w:r>
        <w:t>there</w:t>
      </w:r>
      <w:r>
        <w:rPr>
          <w:spacing w:val="-8"/>
        </w:rPr>
        <w:t xml:space="preserve"> </w:t>
      </w:r>
      <w:r>
        <w:t>was</w:t>
      </w:r>
      <w:r>
        <w:rPr>
          <w:spacing w:val="-6"/>
        </w:rPr>
        <w:t xml:space="preserve"> </w:t>
      </w:r>
      <w:r>
        <w:t>limited</w:t>
      </w:r>
      <w:r>
        <w:rPr>
          <w:spacing w:val="-7"/>
        </w:rPr>
        <w:t xml:space="preserve"> </w:t>
      </w:r>
      <w:r>
        <w:t>reporting</w:t>
      </w:r>
      <w:r>
        <w:rPr>
          <w:spacing w:val="-3"/>
        </w:rPr>
        <w:t xml:space="preserve"> </w:t>
      </w:r>
      <w:r>
        <w:t>for</w:t>
      </w:r>
      <w:r>
        <w:rPr>
          <w:spacing w:val="-6"/>
        </w:rPr>
        <w:t xml:space="preserve"> </w:t>
      </w:r>
      <w:r>
        <w:t>a</w:t>
      </w:r>
      <w:r>
        <w:rPr>
          <w:spacing w:val="-8"/>
        </w:rPr>
        <w:t xml:space="preserve"> </w:t>
      </w:r>
      <w:r>
        <w:t>number</w:t>
      </w:r>
      <w:r>
        <w:rPr>
          <w:spacing w:val="-8"/>
        </w:rPr>
        <w:t xml:space="preserve"> </w:t>
      </w:r>
      <w:r>
        <w:t>of important</w:t>
      </w:r>
      <w:r>
        <w:rPr>
          <w:spacing w:val="-13"/>
        </w:rPr>
        <w:t xml:space="preserve"> </w:t>
      </w:r>
      <w:r>
        <w:t>outcomes</w:t>
      </w:r>
      <w:r w:rsidR="00EB43A9">
        <w:t>”</w:t>
      </w:r>
      <w:r>
        <w:t>.</w:t>
      </w:r>
      <w:r>
        <w:rPr>
          <w:spacing w:val="-8"/>
        </w:rPr>
        <w:t xml:space="preserve"> </w:t>
      </w:r>
      <w:r>
        <w:t>Women</w:t>
      </w:r>
      <w:r>
        <w:rPr>
          <w:spacing w:val="-12"/>
        </w:rPr>
        <w:t xml:space="preserve"> </w:t>
      </w:r>
      <w:r>
        <w:t>should</w:t>
      </w:r>
      <w:r>
        <w:rPr>
          <w:spacing w:val="-12"/>
        </w:rPr>
        <w:t xml:space="preserve"> </w:t>
      </w:r>
      <w:r>
        <w:t>be</w:t>
      </w:r>
      <w:r>
        <w:rPr>
          <w:spacing w:val="-13"/>
        </w:rPr>
        <w:t xml:space="preserve"> </w:t>
      </w:r>
      <w:r>
        <w:t>well</w:t>
      </w:r>
      <w:r>
        <w:rPr>
          <w:spacing w:val="-13"/>
        </w:rPr>
        <w:t xml:space="preserve"> </w:t>
      </w:r>
      <w:r>
        <w:t>informed</w:t>
      </w:r>
      <w:r>
        <w:rPr>
          <w:spacing w:val="-12"/>
        </w:rPr>
        <w:t xml:space="preserve"> </w:t>
      </w:r>
      <w:r>
        <w:t>of</w:t>
      </w:r>
      <w:r>
        <w:rPr>
          <w:spacing w:val="-11"/>
        </w:rPr>
        <w:t xml:space="preserve"> </w:t>
      </w:r>
      <w:r>
        <w:t>the</w:t>
      </w:r>
      <w:r>
        <w:rPr>
          <w:spacing w:val="-8"/>
        </w:rPr>
        <w:t xml:space="preserve"> </w:t>
      </w:r>
      <w:r>
        <w:t>benefits</w:t>
      </w:r>
      <w:r>
        <w:rPr>
          <w:spacing w:val="-10"/>
        </w:rPr>
        <w:t xml:space="preserve"> </w:t>
      </w:r>
      <w:r>
        <w:t>of</w:t>
      </w:r>
      <w:r>
        <w:rPr>
          <w:spacing w:val="-11"/>
        </w:rPr>
        <w:t xml:space="preserve"> </w:t>
      </w:r>
      <w:r>
        <w:t>IOL</w:t>
      </w:r>
      <w:r>
        <w:rPr>
          <w:spacing w:val="-13"/>
        </w:rPr>
        <w:t xml:space="preserve"> </w:t>
      </w:r>
      <w:r>
        <w:t>and</w:t>
      </w:r>
      <w:r>
        <w:rPr>
          <w:spacing w:val="-7"/>
        </w:rPr>
        <w:t xml:space="preserve"> </w:t>
      </w:r>
      <w:r>
        <w:t>be</w:t>
      </w:r>
      <w:r>
        <w:rPr>
          <w:spacing w:val="-13"/>
        </w:rPr>
        <w:t xml:space="preserve"> </w:t>
      </w:r>
      <w:r>
        <w:t>supported in their</w:t>
      </w:r>
      <w:r>
        <w:rPr>
          <w:spacing w:val="3"/>
        </w:rPr>
        <w:t xml:space="preserve"> </w:t>
      </w:r>
      <w:r>
        <w:t>choice.</w:t>
      </w:r>
    </w:p>
    <w:p w14:paraId="2CD92F02" w14:textId="77777777" w:rsidR="00AC0F19" w:rsidRPr="00FA6312" w:rsidRDefault="00AC0F19" w:rsidP="00EB43A9"/>
    <w:p w14:paraId="22ED35AC" w14:textId="77777777" w:rsidR="00AC0F19" w:rsidRPr="00FA6312" w:rsidRDefault="00AC0F19" w:rsidP="00EB43A9">
      <w:r w:rsidRPr="00FA6312">
        <w:t xml:space="preserve">For women who choose expectant management, identify and document a plan for ongoing assessment of the woman and </w:t>
      </w:r>
      <w:r>
        <w:t xml:space="preserve">their </w:t>
      </w:r>
      <w:r w:rsidRPr="00FA6312">
        <w:t>baby</w:t>
      </w:r>
      <w:r w:rsidR="00B0606D">
        <w:t>’</w:t>
      </w:r>
      <w:r w:rsidRPr="00FA6312">
        <w:t xml:space="preserve">s wellbeing, and provide the opportunity to revisit the offer of IOL at any time. Consider additional maternal and fetal monitoring as time goes on. If any concerns about maternal or fetal wellbeing arise, then the clinician should re-discuss the benefits of IOL in light of </w:t>
      </w:r>
      <w:r>
        <w:t xml:space="preserve">the </w:t>
      </w:r>
      <w:r w:rsidRPr="00FA6312">
        <w:t>new context and re-offer IOL. Timing of IOL should be mutually agreed.</w:t>
      </w:r>
    </w:p>
    <w:p w14:paraId="0130C814" w14:textId="77777777" w:rsidR="00AC0F19" w:rsidRPr="00FA6312" w:rsidRDefault="00AC0F19" w:rsidP="00EB43A9"/>
    <w:p w14:paraId="47784A68" w14:textId="77777777" w:rsidR="00AC0F19" w:rsidRPr="00FA6312" w:rsidRDefault="00AC0F19" w:rsidP="00EB43A9">
      <w:r w:rsidRPr="00FA6312">
        <w:t xml:space="preserve">The </w:t>
      </w:r>
      <w:r w:rsidRPr="0018269A">
        <w:rPr>
          <w:i/>
          <w:iCs/>
        </w:rPr>
        <w:t>Referral Guidelines</w:t>
      </w:r>
      <w:r w:rsidRPr="00FA6312">
        <w:t xml:space="preserve"> for consulti</w:t>
      </w:r>
      <w:r>
        <w:t>ng</w:t>
      </w:r>
      <w:r w:rsidRPr="00FA6312">
        <w:t xml:space="preserve"> obstetric and related medical services (Ministry of Health 2012) </w:t>
      </w:r>
      <w:r>
        <w:t>flag</w:t>
      </w:r>
      <w:r w:rsidRPr="00FA6312">
        <w:t xml:space="preserve"> that a</w:t>
      </w:r>
      <w:r>
        <w:t>n</w:t>
      </w:r>
      <w:r w:rsidRPr="00FA6312">
        <w:t xml:space="preserve"> LMC should recommend the woman </w:t>
      </w:r>
      <w:r>
        <w:t>consults</w:t>
      </w:r>
      <w:r w:rsidRPr="00FA6312">
        <w:t xml:space="preserve"> with a specialist </w:t>
      </w:r>
      <w:r>
        <w:t>within</w:t>
      </w:r>
      <w:r w:rsidRPr="00FA6312">
        <w:t xml:space="preserve"> </w:t>
      </w:r>
      <w:r w:rsidR="00EB43A9">
        <w:t>24 hours</w:t>
      </w:r>
      <w:r w:rsidRPr="00FA6312">
        <w:t xml:space="preserve"> following PROM at term.</w:t>
      </w:r>
      <w:r>
        <w:t xml:space="preserve"> </w:t>
      </w:r>
      <w:r w:rsidRPr="00FA6312">
        <w:t xml:space="preserve">The management of preterm PROM was considered </w:t>
      </w:r>
      <w:r>
        <w:t>beyond</w:t>
      </w:r>
      <w:r w:rsidRPr="00FA6312">
        <w:t xml:space="preserve"> this guideline</w:t>
      </w:r>
      <w:r w:rsidR="00B0606D">
        <w:t>’</w:t>
      </w:r>
      <w:r>
        <w:t>s</w:t>
      </w:r>
      <w:r w:rsidRPr="00FA6312">
        <w:t xml:space="preserve"> scope.</w:t>
      </w:r>
    </w:p>
    <w:p w14:paraId="6CCB58E3" w14:textId="77777777" w:rsidR="00AC0F19" w:rsidRDefault="00AC0F1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EB43A9" w14:paraId="27167453" w14:textId="77777777" w:rsidTr="00335664">
        <w:trPr>
          <w:cantSplit/>
        </w:trPr>
        <w:tc>
          <w:tcPr>
            <w:tcW w:w="4678" w:type="dxa"/>
            <w:tcBorders>
              <w:top w:val="nil"/>
              <w:left w:val="nil"/>
              <w:bottom w:val="nil"/>
              <w:right w:val="nil"/>
            </w:tcBorders>
            <w:shd w:val="clear" w:color="auto" w:fill="D9D9D9" w:themeFill="background1" w:themeFillShade="D9"/>
          </w:tcPr>
          <w:p w14:paraId="501DF15A" w14:textId="77777777" w:rsidR="00EB43A9" w:rsidRPr="00806252" w:rsidRDefault="00EB43A9" w:rsidP="00EB43A9">
            <w:pPr>
              <w:pStyle w:val="TableText"/>
              <w:keepNext/>
              <w:rPr>
                <w:b/>
              </w:rPr>
            </w:pPr>
            <w:r w:rsidRPr="00806252">
              <w:rPr>
                <w:b/>
              </w:rPr>
              <w:lastRenderedPageBreak/>
              <w:t>Recommendation</w:t>
            </w:r>
          </w:p>
        </w:tc>
        <w:tc>
          <w:tcPr>
            <w:tcW w:w="1701" w:type="dxa"/>
            <w:tcBorders>
              <w:top w:val="nil"/>
              <w:left w:val="nil"/>
              <w:bottom w:val="nil"/>
              <w:right w:val="nil"/>
            </w:tcBorders>
            <w:shd w:val="clear" w:color="auto" w:fill="D9D9D9" w:themeFill="background1" w:themeFillShade="D9"/>
          </w:tcPr>
          <w:p w14:paraId="27C0F153" w14:textId="77777777" w:rsidR="00EB43A9" w:rsidRPr="00806252" w:rsidRDefault="00EB43A9" w:rsidP="00EB43A9">
            <w:pPr>
              <w:pStyle w:val="TableText"/>
              <w:keepNext/>
              <w:rPr>
                <w:b/>
              </w:rPr>
            </w:pPr>
            <w:r w:rsidRPr="00806252">
              <w:rPr>
                <w:b/>
              </w:rPr>
              <w:t>Level of</w:t>
            </w:r>
            <w:r>
              <w:rPr>
                <w:b/>
              </w:rPr>
              <w:br/>
            </w:r>
            <w:r w:rsidRPr="00806252">
              <w:rPr>
                <w:b/>
              </w:rPr>
              <w:t>evidence</w:t>
            </w:r>
          </w:p>
        </w:tc>
        <w:tc>
          <w:tcPr>
            <w:tcW w:w="1701" w:type="dxa"/>
            <w:tcBorders>
              <w:top w:val="nil"/>
              <w:left w:val="nil"/>
              <w:bottom w:val="nil"/>
              <w:right w:val="nil"/>
            </w:tcBorders>
            <w:shd w:val="clear" w:color="auto" w:fill="D9D9D9" w:themeFill="background1" w:themeFillShade="D9"/>
          </w:tcPr>
          <w:p w14:paraId="2FF6B8A6" w14:textId="77777777" w:rsidR="00EB43A9" w:rsidRPr="00806252" w:rsidRDefault="00EB43A9" w:rsidP="00EB43A9">
            <w:pPr>
              <w:pStyle w:val="TableText"/>
              <w:keepNext/>
              <w:rPr>
                <w:b/>
              </w:rPr>
            </w:pPr>
            <w:r w:rsidRPr="00806252">
              <w:rPr>
                <w:b/>
              </w:rPr>
              <w:t>Strength of recommendation</w:t>
            </w:r>
          </w:p>
        </w:tc>
      </w:tr>
      <w:tr w:rsidR="00EB43A9" w14:paraId="4BBE73F5" w14:textId="77777777" w:rsidTr="00335664">
        <w:trPr>
          <w:cantSplit/>
        </w:trPr>
        <w:tc>
          <w:tcPr>
            <w:tcW w:w="4678" w:type="dxa"/>
            <w:tcBorders>
              <w:top w:val="nil"/>
              <w:left w:val="nil"/>
              <w:bottom w:val="single" w:sz="4" w:space="0" w:color="A6A6A6" w:themeColor="background1" w:themeShade="A6"/>
              <w:right w:val="nil"/>
            </w:tcBorders>
          </w:tcPr>
          <w:p w14:paraId="23795A96" w14:textId="77777777" w:rsidR="00EB43A9" w:rsidRDefault="00EB43A9" w:rsidP="00335664">
            <w:pPr>
              <w:pStyle w:val="TableText"/>
            </w:pPr>
            <w:r>
              <w:t>For women with PROM at ≥37 weeks’ gestation, offer planned early birth* to reduce the risks of maternal infectious morbidity, definite or probable early-onset neonatal sepsis and NICU admission.</w:t>
            </w:r>
          </w:p>
          <w:p w14:paraId="0194FC72" w14:textId="77777777" w:rsidR="00EB43A9" w:rsidRPr="00EB43A9" w:rsidRDefault="00EB43A9" w:rsidP="00335664">
            <w:pPr>
              <w:pStyle w:val="TableText"/>
              <w:rPr>
                <w:sz w:val="16"/>
                <w:szCs w:val="16"/>
              </w:rPr>
            </w:pPr>
            <w:r w:rsidRPr="00EB43A9">
              <w:rPr>
                <w:sz w:val="16"/>
                <w:szCs w:val="16"/>
              </w:rPr>
              <w:t>*</w:t>
            </w:r>
            <w:r>
              <w:rPr>
                <w:sz w:val="16"/>
                <w:szCs w:val="16"/>
              </w:rPr>
              <w:t xml:space="preserve"> </w:t>
            </w:r>
            <w:r w:rsidRPr="00EB43A9">
              <w:rPr>
                <w:sz w:val="16"/>
                <w:szCs w:val="16"/>
              </w:rPr>
              <w:t>immediate intervention or intervention within 24 hours</w:t>
            </w:r>
          </w:p>
        </w:tc>
        <w:tc>
          <w:tcPr>
            <w:tcW w:w="1701" w:type="dxa"/>
            <w:tcBorders>
              <w:top w:val="nil"/>
              <w:left w:val="nil"/>
              <w:bottom w:val="single" w:sz="4" w:space="0" w:color="A6A6A6" w:themeColor="background1" w:themeShade="A6"/>
              <w:right w:val="nil"/>
            </w:tcBorders>
          </w:tcPr>
          <w:p w14:paraId="4BA54D9F" w14:textId="77777777" w:rsidR="00EB43A9" w:rsidRDefault="00EB43A9" w:rsidP="00335664">
            <w:pPr>
              <w:pStyle w:val="TableText"/>
            </w:pPr>
            <w:r>
              <w:t>Level 1; low quality</w:t>
            </w:r>
          </w:p>
        </w:tc>
        <w:tc>
          <w:tcPr>
            <w:tcW w:w="1701" w:type="dxa"/>
            <w:tcBorders>
              <w:top w:val="nil"/>
              <w:left w:val="nil"/>
              <w:bottom w:val="single" w:sz="4" w:space="0" w:color="A6A6A6" w:themeColor="background1" w:themeShade="A6"/>
              <w:right w:val="nil"/>
            </w:tcBorders>
          </w:tcPr>
          <w:p w14:paraId="1F9FAD0C" w14:textId="77777777" w:rsidR="00EB43A9" w:rsidRDefault="00EB43A9" w:rsidP="00335664">
            <w:pPr>
              <w:pStyle w:val="TableText"/>
            </w:pPr>
            <w:r>
              <w:t>Conditional</w:t>
            </w:r>
          </w:p>
        </w:tc>
      </w:tr>
    </w:tbl>
    <w:p w14:paraId="64736C99" w14:textId="77777777" w:rsidR="00EB43A9" w:rsidRDefault="00EB43A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7097912E" w14:textId="77777777" w:rsidTr="00335664">
        <w:trPr>
          <w:cantSplit/>
        </w:trPr>
        <w:tc>
          <w:tcPr>
            <w:tcW w:w="8080" w:type="dxa"/>
            <w:tcBorders>
              <w:top w:val="nil"/>
              <w:left w:val="nil"/>
              <w:bottom w:val="nil"/>
              <w:right w:val="nil"/>
            </w:tcBorders>
            <w:shd w:val="clear" w:color="auto" w:fill="D9D9D9" w:themeFill="background1" w:themeFillShade="D9"/>
          </w:tcPr>
          <w:p w14:paraId="3B1A0751" w14:textId="77777777" w:rsidR="00EB43A9" w:rsidRPr="008D53E4" w:rsidRDefault="00EB43A9" w:rsidP="00335664">
            <w:pPr>
              <w:pStyle w:val="TableText"/>
            </w:pPr>
            <w:r w:rsidRPr="00806252">
              <w:rPr>
                <w:b/>
                <w:iCs/>
              </w:rPr>
              <w:t>Practice point</w:t>
            </w:r>
            <w:r>
              <w:rPr>
                <w:b/>
                <w:iCs/>
              </w:rPr>
              <w:t>s</w:t>
            </w:r>
          </w:p>
        </w:tc>
      </w:tr>
      <w:tr w:rsidR="00EB43A9" w14:paraId="707C423D" w14:textId="77777777" w:rsidTr="00335664">
        <w:trPr>
          <w:cantSplit/>
        </w:trPr>
        <w:tc>
          <w:tcPr>
            <w:tcW w:w="8080" w:type="dxa"/>
            <w:tcBorders>
              <w:top w:val="nil"/>
              <w:left w:val="nil"/>
              <w:bottom w:val="single" w:sz="4" w:space="0" w:color="A6A6A6" w:themeColor="background1" w:themeShade="A6"/>
              <w:right w:val="nil"/>
            </w:tcBorders>
          </w:tcPr>
          <w:p w14:paraId="01A97AFD" w14:textId="77777777" w:rsidR="00EB43A9" w:rsidRPr="0018269A" w:rsidRDefault="00EB43A9" w:rsidP="00335664">
            <w:pPr>
              <w:pStyle w:val="TableBullet"/>
            </w:pPr>
            <w:r w:rsidRPr="0018269A">
              <w:t xml:space="preserve">For women with </w:t>
            </w:r>
            <w:r>
              <w:t>PROM</w:t>
            </w:r>
            <w:r w:rsidRPr="0018269A">
              <w:t xml:space="preserve">, share information with </w:t>
            </w:r>
            <w:r>
              <w:t xml:space="preserve">the </w:t>
            </w:r>
            <w:r w:rsidRPr="0018269A">
              <w:t>women as early as</w:t>
            </w:r>
            <w:r>
              <w:t xml:space="preserve"> </w:t>
            </w:r>
            <w:r w:rsidRPr="0018269A">
              <w:t>practical after rupture of membranes to support informed decision-making</w:t>
            </w:r>
            <w:r>
              <w:t>.</w:t>
            </w:r>
          </w:p>
          <w:p w14:paraId="5DDFF754" w14:textId="77777777" w:rsidR="00EB43A9" w:rsidRPr="0018269A" w:rsidRDefault="00EB43A9" w:rsidP="00335664">
            <w:pPr>
              <w:pStyle w:val="TableBullet"/>
            </w:pPr>
            <w:r w:rsidRPr="0018269A">
              <w:t>Unless immediate IOL is planned, avoid digital vaginal examination.</w:t>
            </w:r>
          </w:p>
          <w:p w14:paraId="74202CED" w14:textId="77777777" w:rsidR="00EB43A9" w:rsidRPr="0018269A" w:rsidRDefault="00EB43A9" w:rsidP="00335664">
            <w:pPr>
              <w:pStyle w:val="TableBullet"/>
            </w:pPr>
            <w:r w:rsidRPr="0018269A">
              <w:t xml:space="preserve">If neonates are at risk </w:t>
            </w:r>
            <w:r>
              <w:t>of</w:t>
            </w:r>
            <w:r w:rsidRPr="0018269A">
              <w:t xml:space="preserve"> early-onset neonatal group B streptococcal sepsis (</w:t>
            </w:r>
            <w:proofErr w:type="spellStart"/>
            <w:r w:rsidRPr="0018269A">
              <w:t>Darlow</w:t>
            </w:r>
            <w:proofErr w:type="spellEnd"/>
            <w:r w:rsidRPr="0018269A">
              <w:t xml:space="preserve"> </w:t>
            </w:r>
            <w:r w:rsidR="000F3C98">
              <w:t>et al</w:t>
            </w:r>
            <w:r>
              <w:t xml:space="preserve"> </w:t>
            </w:r>
            <w:r w:rsidRPr="0018269A">
              <w:t>201</w:t>
            </w:r>
            <w:r>
              <w:t xml:space="preserve">4; </w:t>
            </w:r>
            <w:r w:rsidRPr="0018269A">
              <w:t>RANZCOG 2016), offer immediate IOL.</w:t>
            </w:r>
          </w:p>
          <w:p w14:paraId="11687C7B" w14:textId="77777777" w:rsidR="00EB43A9" w:rsidRPr="0018269A" w:rsidRDefault="00EB43A9" w:rsidP="00335664">
            <w:pPr>
              <w:pStyle w:val="TableBullet"/>
            </w:pPr>
            <w:r w:rsidRPr="0018269A">
              <w:t>If liquor is meconium</w:t>
            </w:r>
            <w:r>
              <w:t xml:space="preserve"> </w:t>
            </w:r>
            <w:r w:rsidRPr="0018269A">
              <w:t>stained, consider immediate IOL.</w:t>
            </w:r>
          </w:p>
        </w:tc>
      </w:tr>
    </w:tbl>
    <w:p w14:paraId="6A0609E8" w14:textId="77777777" w:rsidR="00EB43A9" w:rsidRDefault="00EB43A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785EE07B" w14:textId="77777777" w:rsidTr="00335664">
        <w:trPr>
          <w:cantSplit/>
        </w:trPr>
        <w:tc>
          <w:tcPr>
            <w:tcW w:w="8080" w:type="dxa"/>
            <w:tcBorders>
              <w:top w:val="nil"/>
              <w:left w:val="nil"/>
              <w:bottom w:val="nil"/>
              <w:right w:val="nil"/>
            </w:tcBorders>
            <w:shd w:val="clear" w:color="auto" w:fill="D9D9D9" w:themeFill="background1" w:themeFillShade="D9"/>
          </w:tcPr>
          <w:p w14:paraId="04B6EAEB" w14:textId="77777777" w:rsidR="00EB43A9" w:rsidRPr="008D53E4" w:rsidRDefault="00EB43A9" w:rsidP="00335664">
            <w:pPr>
              <w:pStyle w:val="TableText"/>
              <w:rPr>
                <w:b/>
              </w:rPr>
            </w:pPr>
            <w:r w:rsidRPr="008D53E4">
              <w:rPr>
                <w:b/>
              </w:rPr>
              <w:t>Research gaps</w:t>
            </w:r>
          </w:p>
        </w:tc>
      </w:tr>
      <w:tr w:rsidR="00EB43A9" w14:paraId="1BBF9255" w14:textId="77777777" w:rsidTr="00335664">
        <w:trPr>
          <w:cantSplit/>
        </w:trPr>
        <w:tc>
          <w:tcPr>
            <w:tcW w:w="8080" w:type="dxa"/>
            <w:tcBorders>
              <w:top w:val="nil"/>
              <w:left w:val="nil"/>
              <w:bottom w:val="single" w:sz="4" w:space="0" w:color="A6A6A6" w:themeColor="background1" w:themeShade="A6"/>
              <w:right w:val="nil"/>
            </w:tcBorders>
          </w:tcPr>
          <w:p w14:paraId="6AD6C7D7" w14:textId="77777777" w:rsidR="00EB43A9" w:rsidRDefault="00EB43A9" w:rsidP="00335664">
            <w:pPr>
              <w:pStyle w:val="TableBullet"/>
            </w:pPr>
            <w:r>
              <w:t>In women with PROM at term, to further evaluate the effect of planned early IOL compared with expectant management on maternal, fetal, neonatal and longer-term childhood outcomes, along with the impact on maternity services.</w:t>
            </w:r>
          </w:p>
          <w:p w14:paraId="4CBD785E" w14:textId="77777777" w:rsidR="00EB43A9" w:rsidRDefault="00EB43A9" w:rsidP="00335664">
            <w:pPr>
              <w:pStyle w:val="TableBullet"/>
            </w:pPr>
            <w:r>
              <w:t>In women with PROM at term, to evaluate the effect of different methods of cervical ripening on outcomes.</w:t>
            </w:r>
          </w:p>
        </w:tc>
      </w:tr>
    </w:tbl>
    <w:p w14:paraId="1F5D74BD" w14:textId="77777777" w:rsidR="00EB43A9" w:rsidRDefault="00EB43A9" w:rsidP="00EB43A9"/>
    <w:p w14:paraId="5F54306E" w14:textId="77777777" w:rsidR="00B0606D" w:rsidRDefault="00AC0F19" w:rsidP="00EB43A9">
      <w:pPr>
        <w:pStyle w:val="Heading2"/>
        <w:rPr>
          <w:spacing w:val="-16"/>
        </w:rPr>
      </w:pPr>
      <w:bookmarkStart w:id="111" w:name="4.3_Suspected_small_for_gestational_age_"/>
      <w:bookmarkStart w:id="112" w:name="_bookmark45"/>
      <w:bookmarkStart w:id="113" w:name="_Toc75787982"/>
      <w:bookmarkEnd w:id="111"/>
      <w:bookmarkEnd w:id="112"/>
      <w:r>
        <w:t xml:space="preserve">Suspected small for </w:t>
      </w:r>
      <w:r w:rsidRPr="004A2D53">
        <w:t>gestational</w:t>
      </w:r>
      <w:r>
        <w:t xml:space="preserve"> age / fetal growth restriction</w:t>
      </w:r>
      <w:bookmarkEnd w:id="113"/>
    </w:p>
    <w:p w14:paraId="3BD2C786" w14:textId="77777777" w:rsidR="00AC0F19" w:rsidRPr="00EB43A9" w:rsidRDefault="00AC0F19" w:rsidP="00EB43A9">
      <w:r>
        <w:t>Small for gestational age (SGA) is defined as an infant with birthweight under the 10th centile or a fetus with estimated fetal weight (EFW) under the 10th centile. Customised standards to define SGA have a stronger association with perinatal morbidity and mortality than population standards (NZMFM 2014). Fetal growth restriction (FGR) is defined as a fetus that has failed to reach its growth potential, but this is more difficult to define in practice. Identification and management of an SGA baby are essential to prevent or minimise adverse outcomes.</w:t>
      </w:r>
      <w:bookmarkStart w:id="114" w:name="_bookmark46"/>
      <w:bookmarkEnd w:id="114"/>
    </w:p>
    <w:p w14:paraId="203D382C" w14:textId="77777777" w:rsidR="00AC0F19" w:rsidRDefault="00AC0F19" w:rsidP="00EB43A9"/>
    <w:p w14:paraId="67A0B750" w14:textId="77777777" w:rsidR="00AC0F19" w:rsidRDefault="00AC0F19" w:rsidP="00EB43A9">
      <w:pPr>
        <w:pStyle w:val="Heading3"/>
      </w:pPr>
      <w:r>
        <w:lastRenderedPageBreak/>
        <w:t>Summary of evidence</w:t>
      </w:r>
    </w:p>
    <w:p w14:paraId="1BA57545" w14:textId="77777777" w:rsidR="00AC0F19" w:rsidRPr="004A2D53" w:rsidRDefault="00AC0F19" w:rsidP="00EB43A9">
      <w:pPr>
        <w:keepNext/>
      </w:pPr>
      <w:r w:rsidRPr="004A2D53">
        <w:t>One systematic review was identified.</w:t>
      </w:r>
    </w:p>
    <w:p w14:paraId="35909F8D" w14:textId="77777777" w:rsidR="00AC0F19" w:rsidRPr="004A2D53" w:rsidRDefault="00AC0F19" w:rsidP="00EB43A9">
      <w:pPr>
        <w:keepNext/>
      </w:pPr>
    </w:p>
    <w:p w14:paraId="0845A2A4" w14:textId="77777777" w:rsidR="00AC0F19" w:rsidRPr="004A2D53" w:rsidRDefault="00AC0F19" w:rsidP="00EB43A9">
      <w:pPr>
        <w:keepLines/>
      </w:pPr>
      <w:r w:rsidRPr="004A2D53">
        <w:t xml:space="preserve">A Cochrane review (Bond </w:t>
      </w:r>
      <w:r w:rsidR="000F3C98">
        <w:t>et al</w:t>
      </w:r>
      <w:r>
        <w:t xml:space="preserve"> </w:t>
      </w:r>
      <w:r w:rsidRPr="004A2D53">
        <w:t xml:space="preserve">2015) evaluating the effects of immediate birth compared </w:t>
      </w:r>
      <w:r>
        <w:t>with</w:t>
      </w:r>
      <w:r w:rsidRPr="004A2D53">
        <w:t xml:space="preserve"> expectant management on the neonatal, maternal and long</w:t>
      </w:r>
      <w:r>
        <w:t>-</w:t>
      </w:r>
      <w:r w:rsidRPr="004A2D53">
        <w:t>term outcomes for a compromised baby found three trials that met the inclusion criteria. Two trials compared outcomes for babies with intrauterine growth restriction (IUGR) (</w:t>
      </w:r>
      <w:r>
        <w:t xml:space="preserve">a </w:t>
      </w:r>
      <w:r w:rsidRPr="004A2D53">
        <w:t xml:space="preserve">pilot study of 33 women that became the DIGITAT study and the DIGITAT study), and one study of 54 women </w:t>
      </w:r>
      <w:r>
        <w:t>with</w:t>
      </w:r>
      <w:r w:rsidRPr="004A2D53">
        <w:t xml:space="preserve"> pregnancies complicated by oligohydramnios. IUGR was defined as failure of a baby to reach its growth potential due to maternal, fetal or placental factors, as distinguished from SGA. The intervention was planned early birth </w:t>
      </w:r>
      <w:r w:rsidR="002E5969">
        <w:t>≥</w:t>
      </w:r>
      <w:r w:rsidR="00EB43A9">
        <w:t>37 weeks</w:t>
      </w:r>
      <w:r w:rsidR="00B0606D">
        <w:t>’</w:t>
      </w:r>
      <w:r w:rsidRPr="004A2D53">
        <w:t xml:space="preserve"> gestation initiated within </w:t>
      </w:r>
      <w:r w:rsidR="00EB43A9">
        <w:t>24 hours</w:t>
      </w:r>
      <w:r w:rsidRPr="004A2D53">
        <w:t xml:space="preserve"> of randomisation and expectant management involved waiting </w:t>
      </w:r>
      <w:r w:rsidR="00EB43A9">
        <w:t>24 hours</w:t>
      </w:r>
      <w:r w:rsidRPr="004A2D53">
        <w:t xml:space="preserve"> for spontaneous labour or</w:t>
      </w:r>
      <w:r>
        <w:t>,</w:t>
      </w:r>
      <w:r w:rsidRPr="004A2D53">
        <w:t xml:space="preserve"> in the absence of other complications</w:t>
      </w:r>
      <w:r>
        <w:t>,</w:t>
      </w:r>
      <w:r w:rsidRPr="004A2D53">
        <w:t xml:space="preserve"> IOL at </w:t>
      </w:r>
      <w:r w:rsidR="00436939">
        <w:t>&gt;</w:t>
      </w:r>
      <w:r w:rsidR="00EB43A9">
        <w:t>41 weeks</w:t>
      </w:r>
      <w:r w:rsidR="00B0606D">
        <w:t>’</w:t>
      </w:r>
      <w:r w:rsidRPr="004A2D53">
        <w:t xml:space="preserve"> gestation. The primary outcomes were perinatal and maternal mortality and morbidity. They did not report on maternal satisfaction.</w:t>
      </w:r>
    </w:p>
    <w:p w14:paraId="727D2CD1" w14:textId="77777777" w:rsidR="00AC0F19" w:rsidRPr="004A2D53" w:rsidRDefault="00AC0F19" w:rsidP="00EB43A9"/>
    <w:p w14:paraId="472D3374" w14:textId="77777777" w:rsidR="00AC0F19" w:rsidRDefault="00AC0F19" w:rsidP="00EB43A9">
      <w:r w:rsidRPr="004A2D53">
        <w:t>For the purposes of this guideline, the DIGITAT trial that contributed most of the evidence to the Cochrane review will be reviewed in more detail. The Dutch multicentre DIGITAT trial</w:t>
      </w:r>
      <w:r>
        <w:t xml:space="preserve"> (Boers </w:t>
      </w:r>
      <w:r w:rsidR="000F3C98">
        <w:t>et al</w:t>
      </w:r>
      <w:r>
        <w:t xml:space="preserve"> 2010) randomised 650 women with suspected IUGR </w:t>
      </w:r>
      <w:r w:rsidR="00436939">
        <w:t>&gt;</w:t>
      </w:r>
      <w:r w:rsidR="00EB43A9">
        <w:t>36 weeks</w:t>
      </w:r>
      <w:r w:rsidR="00B0606D">
        <w:t>’</w:t>
      </w:r>
      <w:r>
        <w:t xml:space="preserve"> gestation to IOL (within </w:t>
      </w:r>
      <w:r w:rsidR="00EB43A9">
        <w:t>48 hours</w:t>
      </w:r>
      <w:r>
        <w:t xml:space="preserve">) or expectant management (monitoring until </w:t>
      </w:r>
      <w:r w:rsidR="00EB43A9">
        <w:t>41 weeks</w:t>
      </w:r>
      <w:r w:rsidR="00B0606D">
        <w:t>’</w:t>
      </w:r>
      <w:r>
        <w:t xml:space="preserve"> gestation with daily fetal movement counting and twice-weekly cardiotocography (CTG), ultrasound and pre-eclampsia screening). Suspected IUGR was defined as one or more of fetal abdominal circumference (AC) under the 10th centile, EFW under the 10th centile</w:t>
      </w:r>
      <w:r>
        <w:rPr>
          <w:spacing w:val="-38"/>
        </w:rPr>
        <w:t xml:space="preserve"> </w:t>
      </w:r>
      <w:r>
        <w:t xml:space="preserve">or flattening of the growth curve in the third trimester (as judged by a clinician). Fetuses with normal and abnormal dopplers were included. The primary outcome was a composite of neonatal mortality and morbidity. There was no difference between groups in the composite neonatal outcome (difference </w:t>
      </w:r>
      <w:r w:rsidRPr="0018269A">
        <w:rPr>
          <w:vertAlign w:val="superscript"/>
        </w:rPr>
        <w:t>-</w:t>
      </w:r>
      <w:r>
        <w:t xml:space="preserve">0.8%, 95%CI </w:t>
      </w:r>
      <w:r w:rsidRPr="0018269A">
        <w:rPr>
          <w:vertAlign w:val="superscript"/>
        </w:rPr>
        <w:t>-</w:t>
      </w:r>
      <w:r>
        <w:t>4.3%–2.8%; low quality). There were no perinatal deaths. There was no difference between groups for caesarean section (difference 0.3%,</w:t>
      </w:r>
      <w:r>
        <w:rPr>
          <w:spacing w:val="-11"/>
        </w:rPr>
        <w:t xml:space="preserve"> </w:t>
      </w:r>
      <w:r>
        <w:t>95%</w:t>
      </w:r>
      <w:r>
        <w:rPr>
          <w:spacing w:val="-10"/>
        </w:rPr>
        <w:t xml:space="preserve"> </w:t>
      </w:r>
      <w:r>
        <w:t>CI</w:t>
      </w:r>
      <w:r>
        <w:rPr>
          <w:spacing w:val="-12"/>
        </w:rPr>
        <w:t xml:space="preserve"> </w:t>
      </w:r>
      <w:r>
        <w:rPr>
          <w:vertAlign w:val="superscript"/>
        </w:rPr>
        <w:t>-</w:t>
      </w:r>
      <w:r>
        <w:t>5.0%–5.6%;</w:t>
      </w:r>
      <w:r>
        <w:rPr>
          <w:spacing w:val="-8"/>
        </w:rPr>
        <w:t xml:space="preserve"> </w:t>
      </w:r>
      <w:r>
        <w:t>low</w:t>
      </w:r>
      <w:r>
        <w:rPr>
          <w:spacing w:val="-9"/>
        </w:rPr>
        <w:t xml:space="preserve"> </w:t>
      </w:r>
      <w:r>
        <w:t>quality)</w:t>
      </w:r>
      <w:r>
        <w:rPr>
          <w:spacing w:val="-11"/>
        </w:rPr>
        <w:t xml:space="preserve"> </w:t>
      </w:r>
      <w:r>
        <w:t>or</w:t>
      </w:r>
      <w:r>
        <w:rPr>
          <w:spacing w:val="-10"/>
        </w:rPr>
        <w:t xml:space="preserve"> </w:t>
      </w:r>
      <w:r>
        <w:t>PPH</w:t>
      </w:r>
      <w:r>
        <w:rPr>
          <w:spacing w:val="-9"/>
        </w:rPr>
        <w:t xml:space="preserve"> </w:t>
      </w:r>
      <w:r>
        <w:t>(difference</w:t>
      </w:r>
      <w:r>
        <w:rPr>
          <w:spacing w:val="-13"/>
        </w:rPr>
        <w:t xml:space="preserve"> </w:t>
      </w:r>
      <w:r>
        <w:rPr>
          <w:vertAlign w:val="superscript"/>
        </w:rPr>
        <w:t>-</w:t>
      </w:r>
      <w:r>
        <w:t>1.5%,</w:t>
      </w:r>
      <w:r>
        <w:rPr>
          <w:spacing w:val="-11"/>
        </w:rPr>
        <w:t xml:space="preserve"> </w:t>
      </w:r>
      <w:r>
        <w:t>95%CI</w:t>
      </w:r>
      <w:r>
        <w:rPr>
          <w:spacing w:val="-10"/>
        </w:rPr>
        <w:t xml:space="preserve"> </w:t>
      </w:r>
      <w:r>
        <w:rPr>
          <w:vertAlign w:val="superscript"/>
        </w:rPr>
        <w:t>-</w:t>
      </w:r>
      <w:r>
        <w:t>4.5%–1.5%). There</w:t>
      </w:r>
      <w:r>
        <w:rPr>
          <w:spacing w:val="-9"/>
        </w:rPr>
        <w:t xml:space="preserve"> </w:t>
      </w:r>
      <w:r>
        <w:t>was</w:t>
      </w:r>
      <w:r>
        <w:rPr>
          <w:spacing w:val="-5"/>
        </w:rPr>
        <w:t xml:space="preserve"> </w:t>
      </w:r>
      <w:r>
        <w:t>one</w:t>
      </w:r>
      <w:r>
        <w:rPr>
          <w:spacing w:val="-3"/>
        </w:rPr>
        <w:t xml:space="preserve"> </w:t>
      </w:r>
      <w:r>
        <w:t>maternal</w:t>
      </w:r>
      <w:r>
        <w:rPr>
          <w:spacing w:val="-3"/>
        </w:rPr>
        <w:t xml:space="preserve"> </w:t>
      </w:r>
      <w:r>
        <w:t>death</w:t>
      </w:r>
      <w:r>
        <w:rPr>
          <w:spacing w:val="-7"/>
        </w:rPr>
        <w:t xml:space="preserve"> </w:t>
      </w:r>
      <w:r>
        <w:t>reported</w:t>
      </w:r>
      <w:r>
        <w:rPr>
          <w:spacing w:val="-7"/>
        </w:rPr>
        <w:t xml:space="preserve"> </w:t>
      </w:r>
      <w:r>
        <w:t>in</w:t>
      </w:r>
      <w:r>
        <w:rPr>
          <w:spacing w:val="-2"/>
        </w:rPr>
        <w:t xml:space="preserve"> </w:t>
      </w:r>
      <w:r>
        <w:t>the</w:t>
      </w:r>
      <w:r>
        <w:rPr>
          <w:spacing w:val="-8"/>
        </w:rPr>
        <w:t xml:space="preserve"> </w:t>
      </w:r>
      <w:r>
        <w:t>IOL</w:t>
      </w:r>
      <w:r>
        <w:rPr>
          <w:spacing w:val="-3"/>
        </w:rPr>
        <w:t xml:space="preserve"> </w:t>
      </w:r>
      <w:r>
        <w:t>group</w:t>
      </w:r>
      <w:r>
        <w:rPr>
          <w:spacing w:val="-8"/>
        </w:rPr>
        <w:t xml:space="preserve"> </w:t>
      </w:r>
      <w:r>
        <w:t>that</w:t>
      </w:r>
      <w:r>
        <w:rPr>
          <w:spacing w:val="-8"/>
        </w:rPr>
        <w:t xml:space="preserve"> </w:t>
      </w:r>
      <w:r>
        <w:t>occurred</w:t>
      </w:r>
      <w:r>
        <w:rPr>
          <w:spacing w:val="-2"/>
        </w:rPr>
        <w:t xml:space="preserve"> </w:t>
      </w:r>
      <w:r>
        <w:t>10</w:t>
      </w:r>
      <w:r>
        <w:rPr>
          <w:spacing w:val="-7"/>
        </w:rPr>
        <w:t xml:space="preserve"> </w:t>
      </w:r>
      <w:r>
        <w:t>days</w:t>
      </w:r>
      <w:r>
        <w:rPr>
          <w:spacing w:val="-5"/>
        </w:rPr>
        <w:t xml:space="preserve"> </w:t>
      </w:r>
      <w:r>
        <w:t>postpartum</w:t>
      </w:r>
      <w:r>
        <w:rPr>
          <w:spacing w:val="-3"/>
        </w:rPr>
        <w:t xml:space="preserve"> </w:t>
      </w:r>
      <w:r>
        <w:t xml:space="preserve">and was unrelated to the intervention. IOL was associated with fewer cases of pre-eclampsia (difference </w:t>
      </w:r>
      <w:r>
        <w:rPr>
          <w:vertAlign w:val="superscript"/>
        </w:rPr>
        <w:t>-</w:t>
      </w:r>
      <w:r>
        <w:t xml:space="preserve">4.2%, 95%CI </w:t>
      </w:r>
      <w:r>
        <w:rPr>
          <w:vertAlign w:val="superscript"/>
        </w:rPr>
        <w:t>-</w:t>
      </w:r>
      <w:r>
        <w:t>7.7%–</w:t>
      </w:r>
      <w:r>
        <w:rPr>
          <w:vertAlign w:val="superscript"/>
        </w:rPr>
        <w:t>-</w:t>
      </w:r>
      <w:r>
        <w:t xml:space="preserve">0.6%). There was no difference between groups for </w:t>
      </w:r>
      <w:r w:rsidR="00763E83">
        <w:rPr>
          <w:spacing w:val="4"/>
        </w:rPr>
        <w:t>5</w:t>
      </w:r>
      <w:r w:rsidR="00763E83">
        <w:rPr>
          <w:spacing w:val="4"/>
        </w:rPr>
        <w:noBreakHyphen/>
        <w:t>minute</w:t>
      </w:r>
      <w:r>
        <w:t xml:space="preserve"> Apgar score </w:t>
      </w:r>
      <w:r w:rsidR="00436939">
        <w:t>&lt;</w:t>
      </w:r>
      <w:r>
        <w:t xml:space="preserve">7 (difference 1.6%, 95%CI </w:t>
      </w:r>
      <w:r>
        <w:rPr>
          <w:vertAlign w:val="superscript"/>
        </w:rPr>
        <w:t>-</w:t>
      </w:r>
      <w:r>
        <w:t xml:space="preserve">0.2%–3.4%) or NICU admission (difference </w:t>
      </w:r>
      <w:r>
        <w:rPr>
          <w:vertAlign w:val="superscript"/>
        </w:rPr>
        <w:t>-</w:t>
      </w:r>
      <w:r>
        <w:t xml:space="preserve">1.2%, 95%CI </w:t>
      </w:r>
      <w:r>
        <w:rPr>
          <w:vertAlign w:val="superscript"/>
        </w:rPr>
        <w:t>-</w:t>
      </w:r>
      <w:r>
        <w:t>4.0%–1.6%; very low quality). There was a difference in gestational age a birth; where women induced had a shorter duration of pregnancy (266 days compared with 277</w:t>
      </w:r>
      <w:r w:rsidR="00EB43A9">
        <w:t> </w:t>
      </w:r>
      <w:r>
        <w:t xml:space="preserve">days, MD </w:t>
      </w:r>
      <w:r>
        <w:rPr>
          <w:vertAlign w:val="superscript"/>
        </w:rPr>
        <w:t>-</w:t>
      </w:r>
      <w:r>
        <w:t xml:space="preserve">9.9 days; 95% CI </w:t>
      </w:r>
      <w:r>
        <w:rPr>
          <w:vertAlign w:val="superscript"/>
        </w:rPr>
        <w:t>-</w:t>
      </w:r>
      <w:r>
        <w:t>11.3 to</w:t>
      </w:r>
      <w:r>
        <w:rPr>
          <w:spacing w:val="2"/>
        </w:rPr>
        <w:t xml:space="preserve"> </w:t>
      </w:r>
      <w:r w:rsidRPr="0018269A">
        <w:rPr>
          <w:vertAlign w:val="superscript"/>
        </w:rPr>
        <w:t>-</w:t>
      </w:r>
      <w:r>
        <w:t>8.6).</w:t>
      </w:r>
    </w:p>
    <w:p w14:paraId="2C1BC7C7" w14:textId="77777777" w:rsidR="00AC0F19" w:rsidRDefault="00AC0F19" w:rsidP="00EB43A9"/>
    <w:p w14:paraId="40CBE094" w14:textId="77777777" w:rsidR="00AC0F19" w:rsidRDefault="00AC0F19" w:rsidP="00EB43A9">
      <w:pPr>
        <w:pStyle w:val="Heading3"/>
      </w:pPr>
      <w:bookmarkStart w:id="115" w:name="_bookmark47"/>
      <w:bookmarkEnd w:id="115"/>
      <w:r>
        <w:t>Discussion</w:t>
      </w:r>
    </w:p>
    <w:p w14:paraId="68736BF3" w14:textId="77777777" w:rsidR="00AC0F19" w:rsidRDefault="00AC0F19" w:rsidP="00EB43A9">
      <w:r>
        <w:t>The evidence is strongly influenced by a single trial with unclear risk of bias that was not powered to detect differences between groups for late stillbirth. In settings where detailed Doppler</w:t>
      </w:r>
      <w:r>
        <w:rPr>
          <w:spacing w:val="-18"/>
        </w:rPr>
        <w:t xml:space="preserve"> </w:t>
      </w:r>
      <w:r>
        <w:t>studies</w:t>
      </w:r>
      <w:r>
        <w:rPr>
          <w:spacing w:val="-16"/>
        </w:rPr>
        <w:t xml:space="preserve"> </w:t>
      </w:r>
      <w:r>
        <w:t>are</w:t>
      </w:r>
      <w:r>
        <w:rPr>
          <w:spacing w:val="-15"/>
        </w:rPr>
        <w:t xml:space="preserve"> </w:t>
      </w:r>
      <w:r>
        <w:t>available,</w:t>
      </w:r>
      <w:r>
        <w:rPr>
          <w:spacing w:val="-18"/>
        </w:rPr>
        <w:t xml:space="preserve"> </w:t>
      </w:r>
      <w:r>
        <w:t>the</w:t>
      </w:r>
      <w:r>
        <w:rPr>
          <w:spacing w:val="-20"/>
        </w:rPr>
        <w:t xml:space="preserve"> </w:t>
      </w:r>
      <w:r>
        <w:t>decision</w:t>
      </w:r>
      <w:r>
        <w:rPr>
          <w:spacing w:val="-13"/>
        </w:rPr>
        <w:t xml:space="preserve"> </w:t>
      </w:r>
      <w:r>
        <w:t>about</w:t>
      </w:r>
      <w:r>
        <w:rPr>
          <w:spacing w:val="-20"/>
        </w:rPr>
        <w:t xml:space="preserve"> </w:t>
      </w:r>
      <w:r>
        <w:t>IOL</w:t>
      </w:r>
      <w:r>
        <w:rPr>
          <w:spacing w:val="-14"/>
        </w:rPr>
        <w:t xml:space="preserve"> </w:t>
      </w:r>
      <w:r>
        <w:t>needs</w:t>
      </w:r>
      <w:r>
        <w:rPr>
          <w:spacing w:val="-17"/>
        </w:rPr>
        <w:t xml:space="preserve"> </w:t>
      </w:r>
      <w:r>
        <w:t>to</w:t>
      </w:r>
      <w:r>
        <w:rPr>
          <w:spacing w:val="-18"/>
        </w:rPr>
        <w:t xml:space="preserve"> </w:t>
      </w:r>
      <w:r>
        <w:t>be</w:t>
      </w:r>
      <w:r>
        <w:rPr>
          <w:spacing w:val="-20"/>
        </w:rPr>
        <w:t xml:space="preserve"> </w:t>
      </w:r>
      <w:r>
        <w:t>individualised,</w:t>
      </w:r>
      <w:r>
        <w:rPr>
          <w:spacing w:val="-18"/>
        </w:rPr>
        <w:t xml:space="preserve"> </w:t>
      </w:r>
      <w:r>
        <w:t>in</w:t>
      </w:r>
      <w:r>
        <w:rPr>
          <w:spacing w:val="-14"/>
        </w:rPr>
        <w:t xml:space="preserve"> </w:t>
      </w:r>
      <w:r>
        <w:t xml:space="preserve">consultation with an obstetrician. Factors to consider </w:t>
      </w:r>
      <w:proofErr w:type="gramStart"/>
      <w:r>
        <w:t>include:</w:t>
      </w:r>
      <w:proofErr w:type="gramEnd"/>
      <w:r>
        <w:t xml:space="preserve"> maternal perception of fetal movements; CTG; ultrasound findings (liquor volume, Doppler studies, severity of growth restriction) and maternal preference. The quality of the umbilical Doppler studies would appear to be</w:t>
      </w:r>
      <w:r>
        <w:rPr>
          <w:spacing w:val="-1"/>
        </w:rPr>
        <w:t xml:space="preserve"> </w:t>
      </w:r>
      <w:r>
        <w:t>important.</w:t>
      </w:r>
    </w:p>
    <w:p w14:paraId="2F012F7B" w14:textId="77777777" w:rsidR="00AC0F19" w:rsidRDefault="00AC0F19" w:rsidP="00EB43A9">
      <w:pPr>
        <w:spacing w:before="240"/>
      </w:pPr>
      <w:r>
        <w:lastRenderedPageBreak/>
        <w:t>The 2014 New Zealand Maternal Fetal Medicine Network</w:t>
      </w:r>
      <w:r w:rsidR="00B0606D">
        <w:t>’</w:t>
      </w:r>
      <w:r>
        <w:t>s (NZMFM</w:t>
      </w:r>
      <w:r w:rsidR="00B0606D">
        <w:t>’</w:t>
      </w:r>
      <w:r>
        <w:t xml:space="preserve">s) </w:t>
      </w:r>
      <w:r>
        <w:rPr>
          <w:i/>
          <w:iCs/>
        </w:rPr>
        <w:t>Guideline for the Management of Suspected Small for Gestational Age Singleton Pregnancies and Infants</w:t>
      </w:r>
      <w:r>
        <w:rPr>
          <w:spacing w:val="-9"/>
        </w:rPr>
        <w:t xml:space="preserve"> </w:t>
      </w:r>
      <w:r w:rsidRPr="0018269A">
        <w:rPr>
          <w:i/>
          <w:iCs/>
        </w:rPr>
        <w:t>after</w:t>
      </w:r>
      <w:r w:rsidRPr="0018269A">
        <w:rPr>
          <w:i/>
          <w:iCs/>
          <w:spacing w:val="-9"/>
        </w:rPr>
        <w:t xml:space="preserve"> </w:t>
      </w:r>
      <w:r w:rsidR="003A4BD4">
        <w:rPr>
          <w:i/>
          <w:iCs/>
        </w:rPr>
        <w:t>34 weeks</w:t>
      </w:r>
      <w:r w:rsidR="00B0606D">
        <w:rPr>
          <w:i/>
          <w:iCs/>
        </w:rPr>
        <w:t>’</w:t>
      </w:r>
      <w:r w:rsidRPr="0018269A">
        <w:rPr>
          <w:i/>
          <w:iCs/>
          <w:spacing w:val="-9"/>
        </w:rPr>
        <w:t xml:space="preserve"> </w:t>
      </w:r>
      <w:r w:rsidRPr="0018269A">
        <w:rPr>
          <w:i/>
          <w:iCs/>
        </w:rPr>
        <w:t>Gestation</w:t>
      </w:r>
      <w:r>
        <w:rPr>
          <w:spacing w:val="-10"/>
        </w:rPr>
        <w:t xml:space="preserve"> </w:t>
      </w:r>
      <w:r>
        <w:t>reviewed timing</w:t>
      </w:r>
      <w:r>
        <w:rPr>
          <w:spacing w:val="-9"/>
        </w:rPr>
        <w:t xml:space="preserve"> </w:t>
      </w:r>
      <w:r>
        <w:t>of</w:t>
      </w:r>
      <w:r>
        <w:rPr>
          <w:spacing w:val="-7"/>
        </w:rPr>
        <w:t xml:space="preserve"> </w:t>
      </w:r>
      <w:r>
        <w:t>birth.</w:t>
      </w:r>
      <w:r>
        <w:rPr>
          <w:spacing w:val="-8"/>
        </w:rPr>
        <w:t xml:space="preserve"> </w:t>
      </w:r>
      <w:r>
        <w:t>The</w:t>
      </w:r>
      <w:r>
        <w:rPr>
          <w:spacing w:val="-9"/>
        </w:rPr>
        <w:t xml:space="preserve"> </w:t>
      </w:r>
      <w:r>
        <w:t>guideline</w:t>
      </w:r>
      <w:r>
        <w:rPr>
          <w:spacing w:val="-10"/>
        </w:rPr>
        <w:t xml:space="preserve"> </w:t>
      </w:r>
      <w:r>
        <w:t>differentiates</w:t>
      </w:r>
      <w:r>
        <w:rPr>
          <w:spacing w:val="-6"/>
        </w:rPr>
        <w:t xml:space="preserve"> </w:t>
      </w:r>
      <w:r>
        <w:t>management</w:t>
      </w:r>
      <w:r>
        <w:rPr>
          <w:spacing w:val="-9"/>
        </w:rPr>
        <w:t xml:space="preserve"> </w:t>
      </w:r>
      <w:r>
        <w:t>strategies</w:t>
      </w:r>
      <w:r>
        <w:rPr>
          <w:spacing w:val="-7"/>
        </w:rPr>
        <w:t xml:space="preserve"> </w:t>
      </w:r>
      <w:r>
        <w:t>based</w:t>
      </w:r>
      <w:r>
        <w:rPr>
          <w:spacing w:val="-8"/>
        </w:rPr>
        <w:t xml:space="preserve"> </w:t>
      </w:r>
      <w:r>
        <w:t>on</w:t>
      </w:r>
      <w:r>
        <w:rPr>
          <w:spacing w:val="-8"/>
        </w:rPr>
        <w:t xml:space="preserve"> </w:t>
      </w:r>
      <w:r>
        <w:t>the</w:t>
      </w:r>
      <w:r>
        <w:rPr>
          <w:spacing w:val="-4"/>
        </w:rPr>
        <w:t xml:space="preserve"> </w:t>
      </w:r>
      <w:r>
        <w:t>availability</w:t>
      </w:r>
      <w:r>
        <w:rPr>
          <w:spacing w:val="-9"/>
        </w:rPr>
        <w:t xml:space="preserve"> </w:t>
      </w:r>
      <w:r>
        <w:t>of Doppler studies to stratify risk and whether the ultrasound scan findings are normal or abnormal. This</w:t>
      </w:r>
      <w:r>
        <w:rPr>
          <w:spacing w:val="20"/>
        </w:rPr>
        <w:t xml:space="preserve"> </w:t>
      </w:r>
      <w:r>
        <w:t>stratified</w:t>
      </w:r>
      <w:r>
        <w:rPr>
          <w:spacing w:val="17"/>
        </w:rPr>
        <w:t xml:space="preserve"> </w:t>
      </w:r>
      <w:r>
        <w:t>plan</w:t>
      </w:r>
      <w:r>
        <w:rPr>
          <w:spacing w:val="19"/>
        </w:rPr>
        <w:t xml:space="preserve"> </w:t>
      </w:r>
      <w:r>
        <w:t>is</w:t>
      </w:r>
      <w:r>
        <w:rPr>
          <w:spacing w:val="19"/>
        </w:rPr>
        <w:t xml:space="preserve"> </w:t>
      </w:r>
      <w:r>
        <w:t>supported</w:t>
      </w:r>
      <w:r>
        <w:rPr>
          <w:spacing w:val="17"/>
        </w:rPr>
        <w:t xml:space="preserve"> </w:t>
      </w:r>
      <w:r>
        <w:t>by</w:t>
      </w:r>
      <w:r>
        <w:rPr>
          <w:spacing w:val="17"/>
        </w:rPr>
        <w:t xml:space="preserve"> </w:t>
      </w:r>
      <w:r>
        <w:t>an</w:t>
      </w:r>
      <w:r>
        <w:rPr>
          <w:spacing w:val="17"/>
        </w:rPr>
        <w:t xml:space="preserve"> </w:t>
      </w:r>
      <w:r>
        <w:t>observational</w:t>
      </w:r>
      <w:r>
        <w:rPr>
          <w:spacing w:val="16"/>
        </w:rPr>
        <w:t xml:space="preserve"> </w:t>
      </w:r>
      <w:r>
        <w:t>study</w:t>
      </w:r>
      <w:r>
        <w:rPr>
          <w:spacing w:val="17"/>
        </w:rPr>
        <w:t xml:space="preserve"> </w:t>
      </w:r>
      <w:r>
        <w:t>that</w:t>
      </w:r>
      <w:r>
        <w:rPr>
          <w:spacing w:val="16"/>
        </w:rPr>
        <w:t xml:space="preserve"> </w:t>
      </w:r>
      <w:r>
        <w:t>shows</w:t>
      </w:r>
      <w:r>
        <w:rPr>
          <w:spacing w:val="19"/>
        </w:rPr>
        <w:t xml:space="preserve"> </w:t>
      </w:r>
      <w:r>
        <w:t>reduced</w:t>
      </w:r>
      <w:r>
        <w:rPr>
          <w:spacing w:val="22"/>
        </w:rPr>
        <w:t xml:space="preserve"> </w:t>
      </w:r>
      <w:r>
        <w:t>maternal</w:t>
      </w:r>
      <w:r>
        <w:rPr>
          <w:spacing w:val="21"/>
        </w:rPr>
        <w:t xml:space="preserve"> </w:t>
      </w:r>
      <w:r>
        <w:t>and neonatal morbidity with expectant management for lower risk babies (</w:t>
      </w:r>
      <w:proofErr w:type="spellStart"/>
      <w:r>
        <w:t>Veglia</w:t>
      </w:r>
      <w:proofErr w:type="spellEnd"/>
      <w:r>
        <w:t xml:space="preserve"> </w:t>
      </w:r>
      <w:r w:rsidR="000F3C98">
        <w:t>et al</w:t>
      </w:r>
      <w:r>
        <w:t xml:space="preserve"> 2018). The panel identified the need to ensure consistency with those guideline practice points regarding timing of birth. Note: The NZMFM</w:t>
      </w:r>
      <w:r w:rsidR="00B0606D">
        <w:t>’</w:t>
      </w:r>
      <w:r>
        <w:t>s guidelines refer to planned birth, whereas this guideline refers to planned IOL.</w:t>
      </w:r>
    </w:p>
    <w:p w14:paraId="5B87523B" w14:textId="77777777" w:rsidR="00AC0F19" w:rsidRPr="004A2D53" w:rsidRDefault="00AC0F19" w:rsidP="00EB43A9"/>
    <w:p w14:paraId="716A8563" w14:textId="77777777" w:rsidR="00AC0F19" w:rsidRPr="004A2D53" w:rsidRDefault="00AC0F19" w:rsidP="00EB43A9">
      <w:r w:rsidRPr="004A2D53">
        <w:t>There is currently insufficient high-quality evidence to make a clear recommendation about IOL for this condition.</w:t>
      </w:r>
    </w:p>
    <w:p w14:paraId="1E8C0CA5" w14:textId="77777777" w:rsidR="00AC0F19" w:rsidRDefault="00AC0F1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5D837F36" w14:textId="77777777" w:rsidTr="00335664">
        <w:trPr>
          <w:cantSplit/>
        </w:trPr>
        <w:tc>
          <w:tcPr>
            <w:tcW w:w="8080" w:type="dxa"/>
            <w:tcBorders>
              <w:top w:val="nil"/>
              <w:left w:val="nil"/>
              <w:bottom w:val="nil"/>
              <w:right w:val="nil"/>
            </w:tcBorders>
            <w:shd w:val="clear" w:color="auto" w:fill="D9D9D9" w:themeFill="background1" w:themeFillShade="D9"/>
          </w:tcPr>
          <w:p w14:paraId="7DCDDC25" w14:textId="77777777" w:rsidR="00EB43A9" w:rsidRPr="008D53E4" w:rsidRDefault="00EB43A9" w:rsidP="00335664">
            <w:pPr>
              <w:pStyle w:val="TableText"/>
            </w:pPr>
            <w:r w:rsidRPr="00806252">
              <w:rPr>
                <w:b/>
                <w:iCs/>
              </w:rPr>
              <w:t>Practice point</w:t>
            </w:r>
            <w:r>
              <w:rPr>
                <w:b/>
                <w:iCs/>
              </w:rPr>
              <w:t>s</w:t>
            </w:r>
          </w:p>
        </w:tc>
      </w:tr>
      <w:tr w:rsidR="00EB43A9" w14:paraId="436D4A4F" w14:textId="77777777" w:rsidTr="00335664">
        <w:trPr>
          <w:cantSplit/>
        </w:trPr>
        <w:tc>
          <w:tcPr>
            <w:tcW w:w="8080" w:type="dxa"/>
            <w:tcBorders>
              <w:top w:val="nil"/>
              <w:left w:val="nil"/>
              <w:bottom w:val="single" w:sz="4" w:space="0" w:color="A6A6A6" w:themeColor="background1" w:themeShade="A6"/>
              <w:right w:val="nil"/>
            </w:tcBorders>
          </w:tcPr>
          <w:p w14:paraId="18B4198E" w14:textId="77777777" w:rsidR="00EB43A9" w:rsidRPr="00187EC7" w:rsidRDefault="00EB43A9" w:rsidP="00335664">
            <w:pPr>
              <w:pStyle w:val="TableBullet"/>
            </w:pPr>
            <w:r w:rsidRPr="00187EC7">
              <w:t xml:space="preserve">For women with suspected </w:t>
            </w:r>
            <w:r>
              <w:t>SGA</w:t>
            </w:r>
            <w:r w:rsidRPr="00187EC7">
              <w:t xml:space="preserve"> fetus or </w:t>
            </w:r>
            <w:r>
              <w:t>FGR</w:t>
            </w:r>
            <w:r w:rsidRPr="00187EC7">
              <w:t xml:space="preserve">, in settings where detailed Doppler studies are unavailable, offer IOL at around </w:t>
            </w:r>
            <w:r>
              <w:t>38 weeks’</w:t>
            </w:r>
            <w:r w:rsidRPr="00187EC7">
              <w:t xml:space="preserve"> gestation (or</w:t>
            </w:r>
            <w:r>
              <w:t xml:space="preserve"> </w:t>
            </w:r>
            <w:r w:rsidRPr="00187EC7">
              <w:t>earlier if concern</w:t>
            </w:r>
            <w:r>
              <w:t>ed</w:t>
            </w:r>
            <w:r w:rsidRPr="00187EC7">
              <w:t>).</w:t>
            </w:r>
          </w:p>
          <w:p w14:paraId="50451562" w14:textId="77777777" w:rsidR="00EB43A9" w:rsidRPr="00187EC7" w:rsidRDefault="00EB43A9" w:rsidP="00335664">
            <w:pPr>
              <w:pStyle w:val="TableBullet"/>
            </w:pPr>
            <w:r w:rsidRPr="00187EC7">
              <w:t xml:space="preserve">For women with suspected </w:t>
            </w:r>
            <w:r>
              <w:t>SGA</w:t>
            </w:r>
            <w:r w:rsidRPr="00187EC7">
              <w:t xml:space="preserve"> fetus with abnormal umbilical artery Dopplers, consider offering </w:t>
            </w:r>
            <w:r>
              <w:t>IOL</w:t>
            </w:r>
            <w:r w:rsidRPr="00187EC7">
              <w:t xml:space="preserve"> at around </w:t>
            </w:r>
            <w:r>
              <w:t>37 weeks’</w:t>
            </w:r>
            <w:r w:rsidRPr="00187EC7">
              <w:t xml:space="preserve"> gestation (low threshold for</w:t>
            </w:r>
            <w:r>
              <w:t xml:space="preserve"> </w:t>
            </w:r>
            <w:r w:rsidRPr="00187EC7">
              <w:t>planned birth if there is any concern about maternal or fetal wellbeing or if there is suspected cessation of fetal growth).</w:t>
            </w:r>
          </w:p>
          <w:p w14:paraId="05521E4E" w14:textId="77777777" w:rsidR="00EB43A9" w:rsidRPr="00187EC7" w:rsidRDefault="00EB43A9" w:rsidP="00335664">
            <w:pPr>
              <w:pStyle w:val="TableBullet"/>
            </w:pPr>
            <w:r w:rsidRPr="00187EC7">
              <w:t>For women with</w:t>
            </w:r>
            <w:r>
              <w:t xml:space="preserve"> a</w:t>
            </w:r>
            <w:r w:rsidRPr="00187EC7">
              <w:t xml:space="preserve"> suspected </w:t>
            </w:r>
            <w:r>
              <w:t>SGA</w:t>
            </w:r>
            <w:r w:rsidRPr="00187EC7">
              <w:t xml:space="preserve"> fetus with abnormal </w:t>
            </w:r>
            <w:r>
              <w:t>middle cerebral artery (</w:t>
            </w:r>
            <w:r w:rsidRPr="00187EC7">
              <w:t>MCA</w:t>
            </w:r>
            <w:r>
              <w:t>)</w:t>
            </w:r>
            <w:r w:rsidRPr="00187EC7">
              <w:t xml:space="preserve">, CPR or uterine artery Dopplers or EFW </w:t>
            </w:r>
            <w:r>
              <w:t>under the 3rd</w:t>
            </w:r>
            <w:r w:rsidRPr="00187EC7">
              <w:rPr>
                <w:position w:val="7"/>
                <w:sz w:val="14"/>
              </w:rPr>
              <w:t xml:space="preserve"> </w:t>
            </w:r>
            <w:r w:rsidRPr="00187EC7">
              <w:t xml:space="preserve">centile, offer IOL at around </w:t>
            </w:r>
            <w:r>
              <w:t>38 weeks’</w:t>
            </w:r>
            <w:r w:rsidRPr="00187EC7">
              <w:t xml:space="preserve"> gestation (or earlier if</w:t>
            </w:r>
            <w:r>
              <w:t xml:space="preserve"> </w:t>
            </w:r>
            <w:r w:rsidRPr="00187EC7">
              <w:t>concern</w:t>
            </w:r>
            <w:r>
              <w:t>ed</w:t>
            </w:r>
            <w:r w:rsidRPr="00187EC7">
              <w:t>).</w:t>
            </w:r>
          </w:p>
          <w:p w14:paraId="3A6157AD" w14:textId="77777777" w:rsidR="00EB43A9" w:rsidRPr="00187EC7" w:rsidRDefault="00EB43A9" w:rsidP="00EB43A9">
            <w:pPr>
              <w:pStyle w:val="TableBullet"/>
            </w:pPr>
            <w:r w:rsidRPr="00187EC7">
              <w:t xml:space="preserve">For women with suspected </w:t>
            </w:r>
            <w:r>
              <w:t>SGA</w:t>
            </w:r>
            <w:r w:rsidRPr="00187EC7">
              <w:t xml:space="preserve"> fetus with normal MCA, CPR and uterine artery Dopplers and EFW </w:t>
            </w:r>
            <w:r>
              <w:t xml:space="preserve">at or over the 3rd </w:t>
            </w:r>
            <w:r w:rsidRPr="00187EC7">
              <w:t xml:space="preserve">centile, offer IOL at around </w:t>
            </w:r>
            <w:r w:rsidR="00763E83">
              <w:t>40 weeks</w:t>
            </w:r>
            <w:r>
              <w:t>’</w:t>
            </w:r>
            <w:r w:rsidRPr="00187EC7">
              <w:t xml:space="preserve"> gestation (or earlier if</w:t>
            </w:r>
            <w:r>
              <w:t xml:space="preserve"> </w:t>
            </w:r>
            <w:r w:rsidRPr="00187EC7">
              <w:t>concern</w:t>
            </w:r>
            <w:r>
              <w:t>ed</w:t>
            </w:r>
            <w:r w:rsidRPr="00187EC7">
              <w:t>). These babies are likely to be constitutionally small and are at lower risk of adverse outcome</w:t>
            </w:r>
            <w:r>
              <w:t>s</w:t>
            </w:r>
            <w:r w:rsidRPr="00187EC7">
              <w:t>.</w:t>
            </w:r>
          </w:p>
        </w:tc>
      </w:tr>
    </w:tbl>
    <w:p w14:paraId="52C896F5" w14:textId="77777777" w:rsidR="00EB43A9" w:rsidRDefault="00EB43A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5AAFE4C6" w14:textId="77777777" w:rsidTr="00335664">
        <w:trPr>
          <w:cantSplit/>
        </w:trPr>
        <w:tc>
          <w:tcPr>
            <w:tcW w:w="8080" w:type="dxa"/>
            <w:tcBorders>
              <w:top w:val="nil"/>
              <w:left w:val="nil"/>
              <w:bottom w:val="nil"/>
              <w:right w:val="nil"/>
            </w:tcBorders>
            <w:shd w:val="clear" w:color="auto" w:fill="D9D9D9" w:themeFill="background1" w:themeFillShade="D9"/>
          </w:tcPr>
          <w:p w14:paraId="7454222C" w14:textId="77777777" w:rsidR="00EB43A9" w:rsidRPr="008D53E4" w:rsidRDefault="00D2284E" w:rsidP="00335664">
            <w:pPr>
              <w:pStyle w:val="TableText"/>
              <w:rPr>
                <w:b/>
              </w:rPr>
            </w:pPr>
            <w:r>
              <w:rPr>
                <w:b/>
              </w:rPr>
              <w:t>Research gap</w:t>
            </w:r>
          </w:p>
        </w:tc>
      </w:tr>
      <w:tr w:rsidR="00EB43A9" w14:paraId="765B1A21" w14:textId="77777777" w:rsidTr="00335664">
        <w:trPr>
          <w:cantSplit/>
        </w:trPr>
        <w:tc>
          <w:tcPr>
            <w:tcW w:w="8080" w:type="dxa"/>
            <w:tcBorders>
              <w:top w:val="nil"/>
              <w:left w:val="nil"/>
              <w:bottom w:val="single" w:sz="4" w:space="0" w:color="A6A6A6" w:themeColor="background1" w:themeShade="A6"/>
              <w:right w:val="nil"/>
            </w:tcBorders>
          </w:tcPr>
          <w:p w14:paraId="28E86443" w14:textId="77777777" w:rsidR="00EB43A9" w:rsidRDefault="00EB43A9" w:rsidP="00335664">
            <w:pPr>
              <w:pStyle w:val="TableBullet"/>
            </w:pPr>
            <w:r>
              <w:t>For women with suspected SGA fetus / FGR, to further evaluate planned IOL at different gestational ages, compared with expectant management with different methods of fetal monitoring, on outcomes such as perinatal death, pre-eclampsia and the women’s perspectives and experiences.</w:t>
            </w:r>
          </w:p>
        </w:tc>
      </w:tr>
    </w:tbl>
    <w:p w14:paraId="2006623F" w14:textId="77777777" w:rsidR="00EB43A9" w:rsidRDefault="00EB43A9" w:rsidP="00EB43A9"/>
    <w:p w14:paraId="2FF3C0E9" w14:textId="77777777" w:rsidR="00AC0F19" w:rsidRDefault="00AC0F19" w:rsidP="00335664">
      <w:pPr>
        <w:pStyle w:val="Heading2"/>
      </w:pPr>
      <w:bookmarkStart w:id="116" w:name="4.4_Diabetes_in_pregnancy"/>
      <w:bookmarkStart w:id="117" w:name="_bookmark48"/>
      <w:bookmarkStart w:id="118" w:name="_Toc75787983"/>
      <w:bookmarkEnd w:id="116"/>
      <w:bookmarkEnd w:id="117"/>
      <w:r>
        <w:t>Diabetes in</w:t>
      </w:r>
      <w:r>
        <w:rPr>
          <w:spacing w:val="-4"/>
        </w:rPr>
        <w:t xml:space="preserve"> </w:t>
      </w:r>
      <w:r w:rsidRPr="00976C61">
        <w:t>pregnancy</w:t>
      </w:r>
      <w:bookmarkEnd w:id="118"/>
    </w:p>
    <w:p w14:paraId="353C8310" w14:textId="77777777" w:rsidR="00AC0F19" w:rsidRDefault="00AC0F19" w:rsidP="00335664">
      <w:r w:rsidRPr="00976C61">
        <w:t xml:space="preserve">Gestational diabetes </w:t>
      </w:r>
      <w:r>
        <w:t xml:space="preserve">mellitus </w:t>
      </w:r>
      <w:r w:rsidRPr="00976C61">
        <w:t xml:space="preserve">(GDM) is a growing problem in </w:t>
      </w:r>
      <w:r>
        <w:t>New Zealand</w:t>
      </w:r>
      <w:r w:rsidRPr="00976C61">
        <w:t xml:space="preserve">, affecting approximately </w:t>
      </w:r>
      <w:r>
        <w:t>1</w:t>
      </w:r>
      <w:r w:rsidRPr="00976C61">
        <w:t xml:space="preserve"> in 20 pregnancies. The rate varies by maternal ethnicity and by geographic region. Diabetes in pregnancy is associated with an increased risk of maternal and infant adverse outcomes. Timely diagnosis, treatment and continued follow</w:t>
      </w:r>
      <w:r>
        <w:t>-</w:t>
      </w:r>
      <w:r w:rsidRPr="00976C61">
        <w:t>up are essential to prevent or minimise these adverse outcomes.</w:t>
      </w:r>
    </w:p>
    <w:p w14:paraId="6D7CBD2C" w14:textId="77777777" w:rsidR="00AC0F19" w:rsidRPr="00976C61" w:rsidRDefault="00AC0F19" w:rsidP="00335664"/>
    <w:p w14:paraId="6572424F" w14:textId="77777777" w:rsidR="00AC0F19" w:rsidRDefault="00AC0F19" w:rsidP="00335664">
      <w:pPr>
        <w:pStyle w:val="Heading3"/>
      </w:pPr>
      <w:bookmarkStart w:id="119" w:name="Gestational_diabetes"/>
      <w:bookmarkStart w:id="120" w:name="_bookmark49"/>
      <w:bookmarkEnd w:id="119"/>
      <w:bookmarkEnd w:id="120"/>
      <w:r>
        <w:lastRenderedPageBreak/>
        <w:t>Gestational diabetes</w:t>
      </w:r>
    </w:p>
    <w:p w14:paraId="6B66BE51" w14:textId="77777777" w:rsidR="00AC0F19" w:rsidRDefault="00AC0F19" w:rsidP="00335664">
      <w:pPr>
        <w:pStyle w:val="Heading4"/>
      </w:pPr>
      <w:bookmarkStart w:id="121" w:name="_bookmark50"/>
      <w:bookmarkEnd w:id="121"/>
      <w:r>
        <w:t>Summary of evidence</w:t>
      </w:r>
    </w:p>
    <w:p w14:paraId="5FA01FA9" w14:textId="77777777" w:rsidR="00AC0F19" w:rsidRDefault="00AC0F19" w:rsidP="00335664">
      <w:pPr>
        <w:keepNext/>
      </w:pPr>
      <w:r>
        <w:t>One systematic review was identified.</w:t>
      </w:r>
    </w:p>
    <w:p w14:paraId="1CEB8883" w14:textId="77777777" w:rsidR="00AC0F19" w:rsidRDefault="00AC0F19" w:rsidP="00335664"/>
    <w:p w14:paraId="12E0D592" w14:textId="77777777" w:rsidR="00AC0F19" w:rsidRDefault="00AC0F19" w:rsidP="00335664">
      <w:r>
        <w:t>A Cochrane systematic review (</w:t>
      </w:r>
      <w:proofErr w:type="spellStart"/>
      <w:r>
        <w:t>Biesty</w:t>
      </w:r>
      <w:proofErr w:type="spellEnd"/>
      <w:r>
        <w:t xml:space="preserve"> </w:t>
      </w:r>
      <w:r w:rsidR="000F3C98">
        <w:t>et al</w:t>
      </w:r>
      <w:r>
        <w:t xml:space="preserve"> 2018a) set out to compare planned birth at or near term with</w:t>
      </w:r>
      <w:r>
        <w:rPr>
          <w:spacing w:val="-11"/>
        </w:rPr>
        <w:t xml:space="preserve"> </w:t>
      </w:r>
      <w:r>
        <w:t>expectant</w:t>
      </w:r>
      <w:r>
        <w:rPr>
          <w:spacing w:val="-11"/>
        </w:rPr>
        <w:t xml:space="preserve"> </w:t>
      </w:r>
      <w:r>
        <w:t>management</w:t>
      </w:r>
      <w:r>
        <w:rPr>
          <w:spacing w:val="-8"/>
        </w:rPr>
        <w:t xml:space="preserve"> </w:t>
      </w:r>
      <w:r>
        <w:t>in</w:t>
      </w:r>
      <w:r>
        <w:rPr>
          <w:spacing w:val="-10"/>
        </w:rPr>
        <w:t xml:space="preserve"> </w:t>
      </w:r>
      <w:r>
        <w:t>women</w:t>
      </w:r>
      <w:r>
        <w:rPr>
          <w:spacing w:val="-11"/>
        </w:rPr>
        <w:t xml:space="preserve"> </w:t>
      </w:r>
      <w:r>
        <w:t>with</w:t>
      </w:r>
      <w:r>
        <w:rPr>
          <w:spacing w:val="-10"/>
        </w:rPr>
        <w:t xml:space="preserve"> </w:t>
      </w:r>
      <w:r>
        <w:t>gestational</w:t>
      </w:r>
      <w:r>
        <w:rPr>
          <w:spacing w:val="-11"/>
        </w:rPr>
        <w:t xml:space="preserve"> </w:t>
      </w:r>
      <w:r>
        <w:t>diabetes.</w:t>
      </w:r>
      <w:r>
        <w:rPr>
          <w:spacing w:val="-10"/>
        </w:rPr>
        <w:t xml:space="preserve"> </w:t>
      </w:r>
      <w:r>
        <w:t>The</w:t>
      </w:r>
      <w:r>
        <w:rPr>
          <w:spacing w:val="-11"/>
        </w:rPr>
        <w:t xml:space="preserve"> </w:t>
      </w:r>
      <w:r>
        <w:t>intervention</w:t>
      </w:r>
      <w:r>
        <w:rPr>
          <w:spacing w:val="-11"/>
        </w:rPr>
        <w:t xml:space="preserve"> </w:t>
      </w:r>
      <w:r>
        <w:t>was</w:t>
      </w:r>
      <w:r>
        <w:rPr>
          <w:spacing w:val="-8"/>
        </w:rPr>
        <w:t xml:space="preserve"> </w:t>
      </w:r>
      <w:r>
        <w:t>planned birth at 37–</w:t>
      </w:r>
      <w:r w:rsidR="00763E83">
        <w:t>40 weeks</w:t>
      </w:r>
      <w:r w:rsidR="00B0606D">
        <w:t>’</w:t>
      </w:r>
      <w:r>
        <w:t xml:space="preserve"> gestation, and the control group was awaiting spontaneous labour in the absence of maternal or fetal complications. The primary outcome was maternal and perinatal mortality and</w:t>
      </w:r>
      <w:r>
        <w:rPr>
          <w:spacing w:val="1"/>
        </w:rPr>
        <w:t xml:space="preserve"> </w:t>
      </w:r>
      <w:r>
        <w:t>morbidity.</w:t>
      </w:r>
    </w:p>
    <w:p w14:paraId="566DFC8F" w14:textId="77777777" w:rsidR="00AC0F19" w:rsidRDefault="00AC0F19" w:rsidP="00335664"/>
    <w:p w14:paraId="547ECE78" w14:textId="77777777" w:rsidR="00AC0F19" w:rsidRDefault="00AC0F19" w:rsidP="00335664">
      <w:r>
        <w:t>One</w:t>
      </w:r>
      <w:r>
        <w:rPr>
          <w:spacing w:val="-10"/>
        </w:rPr>
        <w:t xml:space="preserve"> </w:t>
      </w:r>
      <w:r>
        <w:t>RCT</w:t>
      </w:r>
      <w:r>
        <w:rPr>
          <w:spacing w:val="-9"/>
        </w:rPr>
        <w:t xml:space="preserve"> </w:t>
      </w:r>
      <w:r>
        <w:t>was</w:t>
      </w:r>
      <w:r>
        <w:rPr>
          <w:spacing w:val="-6"/>
        </w:rPr>
        <w:t xml:space="preserve"> </w:t>
      </w:r>
      <w:r>
        <w:t>included</w:t>
      </w:r>
      <w:r>
        <w:rPr>
          <w:spacing w:val="-8"/>
        </w:rPr>
        <w:t xml:space="preserve"> </w:t>
      </w:r>
      <w:r>
        <w:t>in</w:t>
      </w:r>
      <w:r>
        <w:rPr>
          <w:spacing w:val="-8"/>
        </w:rPr>
        <w:t xml:space="preserve"> </w:t>
      </w:r>
      <w:r>
        <w:t>the</w:t>
      </w:r>
      <w:r>
        <w:rPr>
          <w:spacing w:val="-9"/>
        </w:rPr>
        <w:t xml:space="preserve"> </w:t>
      </w:r>
      <w:r>
        <w:t>review.</w:t>
      </w:r>
      <w:r>
        <w:rPr>
          <w:spacing w:val="-8"/>
        </w:rPr>
        <w:t xml:space="preserve"> </w:t>
      </w:r>
      <w:r>
        <w:t>The</w:t>
      </w:r>
      <w:r>
        <w:rPr>
          <w:spacing w:val="-9"/>
        </w:rPr>
        <w:t xml:space="preserve"> </w:t>
      </w:r>
      <w:r>
        <w:t>multicentre</w:t>
      </w:r>
      <w:r>
        <w:rPr>
          <w:spacing w:val="-9"/>
        </w:rPr>
        <w:t xml:space="preserve"> </w:t>
      </w:r>
      <w:r>
        <w:t>GINEXMAL</w:t>
      </w:r>
      <w:r>
        <w:rPr>
          <w:spacing w:val="-10"/>
        </w:rPr>
        <w:t xml:space="preserve"> </w:t>
      </w:r>
      <w:r>
        <w:t>trial</w:t>
      </w:r>
      <w:r>
        <w:rPr>
          <w:spacing w:val="-4"/>
        </w:rPr>
        <w:t xml:space="preserve"> </w:t>
      </w:r>
      <w:r>
        <w:t>in</w:t>
      </w:r>
      <w:r>
        <w:rPr>
          <w:spacing w:val="-8"/>
        </w:rPr>
        <w:t xml:space="preserve"> </w:t>
      </w:r>
      <w:r>
        <w:t>Italy,</w:t>
      </w:r>
      <w:r>
        <w:rPr>
          <w:spacing w:val="-8"/>
        </w:rPr>
        <w:t xml:space="preserve"> </w:t>
      </w:r>
      <w:r>
        <w:t>Slovenia</w:t>
      </w:r>
      <w:r>
        <w:rPr>
          <w:spacing w:val="-9"/>
        </w:rPr>
        <w:t xml:space="preserve"> </w:t>
      </w:r>
      <w:r>
        <w:t>and Israel (</w:t>
      </w:r>
      <w:proofErr w:type="spellStart"/>
      <w:r>
        <w:t>Alberico</w:t>
      </w:r>
      <w:proofErr w:type="spellEnd"/>
      <w:r>
        <w:t xml:space="preserve"> </w:t>
      </w:r>
      <w:r w:rsidR="000F3C98">
        <w:t>et al</w:t>
      </w:r>
      <w:r>
        <w:t xml:space="preserve"> 2017) randomised 425 women with GDM at </w:t>
      </w:r>
      <w:r w:rsidR="00EB43A9">
        <w:t>38 weeks</w:t>
      </w:r>
      <w:r w:rsidR="00B0606D">
        <w:t>’</w:t>
      </w:r>
      <w:r>
        <w:t xml:space="preserve"> gestation to IOL or expectant management. IOL was undertaken at </w:t>
      </w:r>
      <w:r w:rsidR="00EB43A9">
        <w:t>38 weeks</w:t>
      </w:r>
      <w:r w:rsidR="00B0606D">
        <w:t>’</w:t>
      </w:r>
      <w:r>
        <w:t xml:space="preserve"> gestation, using </w:t>
      </w:r>
      <w:proofErr w:type="spellStart"/>
      <w:r>
        <w:t>dinoprostone</w:t>
      </w:r>
      <w:proofErr w:type="spellEnd"/>
      <w:r>
        <w:t xml:space="preserve"> for cervical ripening (vaginal or intracervical) followed by artificial rupture of membranes (ARM) and oxytocin. Women</w:t>
      </w:r>
      <w:r>
        <w:rPr>
          <w:spacing w:val="-3"/>
        </w:rPr>
        <w:t xml:space="preserve"> </w:t>
      </w:r>
      <w:r>
        <w:t>allocated expectant</w:t>
      </w:r>
      <w:r>
        <w:rPr>
          <w:spacing w:val="-5"/>
        </w:rPr>
        <w:t xml:space="preserve"> </w:t>
      </w:r>
      <w:r>
        <w:t>management</w:t>
      </w:r>
      <w:r>
        <w:rPr>
          <w:spacing w:val="-5"/>
        </w:rPr>
        <w:t xml:space="preserve"> </w:t>
      </w:r>
      <w:r>
        <w:t>were</w:t>
      </w:r>
      <w:r>
        <w:rPr>
          <w:spacing w:val="-5"/>
        </w:rPr>
        <w:t xml:space="preserve"> </w:t>
      </w:r>
      <w:r>
        <w:t>followed</w:t>
      </w:r>
      <w:r>
        <w:rPr>
          <w:spacing w:val="-3"/>
        </w:rPr>
        <w:t xml:space="preserve"> </w:t>
      </w:r>
      <w:r>
        <w:t>up</w:t>
      </w:r>
      <w:r>
        <w:rPr>
          <w:spacing w:val="-3"/>
        </w:rPr>
        <w:t xml:space="preserve"> </w:t>
      </w:r>
      <w:r>
        <w:t>twice</w:t>
      </w:r>
      <w:r>
        <w:rPr>
          <w:spacing w:val="-5"/>
        </w:rPr>
        <w:t xml:space="preserve"> </w:t>
      </w:r>
      <w:r>
        <w:t>a</w:t>
      </w:r>
      <w:r>
        <w:rPr>
          <w:spacing w:val="-5"/>
        </w:rPr>
        <w:t xml:space="preserve"> </w:t>
      </w:r>
      <w:r>
        <w:t>week</w:t>
      </w:r>
      <w:r>
        <w:rPr>
          <w:spacing w:val="-3"/>
        </w:rPr>
        <w:t xml:space="preserve"> </w:t>
      </w:r>
      <w:r>
        <w:t>with</w:t>
      </w:r>
      <w:r>
        <w:rPr>
          <w:spacing w:val="-3"/>
        </w:rPr>
        <w:t xml:space="preserve"> </w:t>
      </w:r>
      <w:r>
        <w:t>CTG</w:t>
      </w:r>
      <w:r>
        <w:rPr>
          <w:spacing w:val="-7"/>
        </w:rPr>
        <w:t xml:space="preserve"> </w:t>
      </w:r>
      <w:r>
        <w:t>and</w:t>
      </w:r>
      <w:r>
        <w:rPr>
          <w:spacing w:val="4"/>
        </w:rPr>
        <w:t xml:space="preserve"> </w:t>
      </w:r>
      <w:r>
        <w:t>biophysical</w:t>
      </w:r>
      <w:r>
        <w:rPr>
          <w:spacing w:val="-5"/>
        </w:rPr>
        <w:t xml:space="preserve"> </w:t>
      </w:r>
      <w:r>
        <w:t>profile</w:t>
      </w:r>
      <w:r>
        <w:rPr>
          <w:spacing w:val="-4"/>
        </w:rPr>
        <w:t xml:space="preserve"> </w:t>
      </w:r>
      <w:r>
        <w:t xml:space="preserve">until </w:t>
      </w:r>
      <w:r w:rsidR="00EB43A9">
        <w:t>41 weeks</w:t>
      </w:r>
      <w:r w:rsidR="00B0606D">
        <w:t>’</w:t>
      </w:r>
      <w:r>
        <w:t xml:space="preserve"> gestation and induced at that time if they had not yet spontaneously laboured. The primary outcome was caesarean section. The population was considered to be low risk, as women with EFW </w:t>
      </w:r>
      <w:r w:rsidR="00436939">
        <w:t>&gt;</w:t>
      </w:r>
      <w:r>
        <w:t>4</w:t>
      </w:r>
      <w:r w:rsidR="00763E83">
        <w:t>,</w:t>
      </w:r>
      <w:r>
        <w:t xml:space="preserve">000 g were excluded. There was no difference in caesarean section (IOL 12.6% vs expectant 11.8%, </w:t>
      </w:r>
      <w:r w:rsidR="00230FF7">
        <w:t>RR </w:t>
      </w:r>
      <w:r>
        <w:t xml:space="preserve">1.06; 95%CI 0.63–1.77), assisted vaginal birth or PPH. There were no perinatal deaths and no difference in </w:t>
      </w:r>
      <w:r w:rsidR="00763E83">
        <w:t>5</w:t>
      </w:r>
      <w:r w:rsidR="00763E83">
        <w:noBreakHyphen/>
        <w:t>minute</w:t>
      </w:r>
      <w:r>
        <w:t xml:space="preserve"> Apgar </w:t>
      </w:r>
      <w:r w:rsidR="00436939">
        <w:t>&lt;</w:t>
      </w:r>
      <w:r>
        <w:t>7, shoulder dystocia or NICU admission. The authors concluded that for women with GDM but no other maternal/fetal conditions, there was no difference in birth outcomes. However, the study</w:t>
      </w:r>
      <w:r>
        <w:rPr>
          <w:spacing w:val="-8"/>
        </w:rPr>
        <w:t xml:space="preserve"> </w:t>
      </w:r>
      <w:r>
        <w:t>was</w:t>
      </w:r>
      <w:r>
        <w:rPr>
          <w:spacing w:val="-6"/>
        </w:rPr>
        <w:t xml:space="preserve"> </w:t>
      </w:r>
      <w:r>
        <w:t>underpowered</w:t>
      </w:r>
      <w:r>
        <w:rPr>
          <w:spacing w:val="-7"/>
        </w:rPr>
        <w:t xml:space="preserve"> </w:t>
      </w:r>
      <w:r>
        <w:t>to</w:t>
      </w:r>
      <w:r>
        <w:rPr>
          <w:spacing w:val="-8"/>
        </w:rPr>
        <w:t xml:space="preserve"> </w:t>
      </w:r>
      <w:r>
        <w:t>detect</w:t>
      </w:r>
      <w:r>
        <w:rPr>
          <w:spacing w:val="-8"/>
        </w:rPr>
        <w:t xml:space="preserve"> </w:t>
      </w:r>
      <w:r>
        <w:t>significant</w:t>
      </w:r>
      <w:r>
        <w:rPr>
          <w:spacing w:val="-9"/>
        </w:rPr>
        <w:t xml:space="preserve"> </w:t>
      </w:r>
      <w:r>
        <w:t>difference</w:t>
      </w:r>
      <w:r>
        <w:rPr>
          <w:spacing w:val="-8"/>
        </w:rPr>
        <w:t xml:space="preserve"> </w:t>
      </w:r>
      <w:r>
        <w:t>in</w:t>
      </w:r>
      <w:r>
        <w:rPr>
          <w:spacing w:val="-7"/>
        </w:rPr>
        <w:t xml:space="preserve"> </w:t>
      </w:r>
      <w:r>
        <w:t>uncommon</w:t>
      </w:r>
      <w:r>
        <w:rPr>
          <w:spacing w:val="-8"/>
        </w:rPr>
        <w:t xml:space="preserve"> </w:t>
      </w:r>
      <w:r>
        <w:t>outcomes.</w:t>
      </w:r>
      <w:r>
        <w:rPr>
          <w:spacing w:val="-8"/>
        </w:rPr>
        <w:t xml:space="preserve"> </w:t>
      </w:r>
      <w:r>
        <w:t>It</w:t>
      </w:r>
      <w:r>
        <w:rPr>
          <w:spacing w:val="-7"/>
        </w:rPr>
        <w:t xml:space="preserve"> </w:t>
      </w:r>
      <w:r>
        <w:t>did</w:t>
      </w:r>
      <w:r>
        <w:rPr>
          <w:spacing w:val="-8"/>
        </w:rPr>
        <w:t xml:space="preserve"> </w:t>
      </w:r>
      <w:r>
        <w:t>not report on maternal</w:t>
      </w:r>
      <w:r>
        <w:rPr>
          <w:spacing w:val="-5"/>
        </w:rPr>
        <w:t xml:space="preserve"> </w:t>
      </w:r>
      <w:r>
        <w:t>satisfaction.</w:t>
      </w:r>
    </w:p>
    <w:p w14:paraId="1FC3A73D" w14:textId="77777777" w:rsidR="00AC0F19" w:rsidRDefault="00AC0F19" w:rsidP="00763E83"/>
    <w:p w14:paraId="2FF39A3D" w14:textId="77777777" w:rsidR="00AC0F19" w:rsidRDefault="00AC0F19" w:rsidP="00763E83">
      <w:pPr>
        <w:pStyle w:val="Heading4"/>
      </w:pPr>
      <w:bookmarkStart w:id="122" w:name="_bookmark51"/>
      <w:bookmarkEnd w:id="122"/>
      <w:r>
        <w:t>Discussion</w:t>
      </w:r>
    </w:p>
    <w:p w14:paraId="2F70F026" w14:textId="77777777" w:rsidR="00AC0F19" w:rsidRDefault="00AC0F19" w:rsidP="00763E83">
      <w:r>
        <w:t>Based on observational data, GDM may be associated with adverse maternal and infant outcomes.</w:t>
      </w:r>
      <w:r>
        <w:rPr>
          <w:spacing w:val="-14"/>
        </w:rPr>
        <w:t xml:space="preserve"> </w:t>
      </w:r>
      <w:r>
        <w:t>Treatment</w:t>
      </w:r>
      <w:r>
        <w:rPr>
          <w:spacing w:val="-14"/>
        </w:rPr>
        <w:t xml:space="preserve"> </w:t>
      </w:r>
      <w:r>
        <w:t>of</w:t>
      </w:r>
      <w:r>
        <w:rPr>
          <w:spacing w:val="-7"/>
        </w:rPr>
        <w:t xml:space="preserve"> </w:t>
      </w:r>
      <w:r>
        <w:t>GDM</w:t>
      </w:r>
      <w:r>
        <w:rPr>
          <w:spacing w:val="-10"/>
        </w:rPr>
        <w:t xml:space="preserve"> </w:t>
      </w:r>
      <w:r>
        <w:t>during</w:t>
      </w:r>
      <w:r>
        <w:rPr>
          <w:spacing w:val="-13"/>
        </w:rPr>
        <w:t xml:space="preserve"> </w:t>
      </w:r>
      <w:r>
        <w:t>pregnancy</w:t>
      </w:r>
      <w:r>
        <w:rPr>
          <w:spacing w:val="-14"/>
        </w:rPr>
        <w:t xml:space="preserve"> </w:t>
      </w:r>
      <w:r>
        <w:t>is</w:t>
      </w:r>
      <w:r>
        <w:rPr>
          <w:spacing w:val="-11"/>
        </w:rPr>
        <w:t xml:space="preserve"> </w:t>
      </w:r>
      <w:r>
        <w:t>associated</w:t>
      </w:r>
      <w:r>
        <w:rPr>
          <w:spacing w:val="-13"/>
        </w:rPr>
        <w:t xml:space="preserve"> </w:t>
      </w:r>
      <w:r>
        <w:t>with</w:t>
      </w:r>
      <w:r>
        <w:rPr>
          <w:spacing w:val="-13"/>
        </w:rPr>
        <w:t xml:space="preserve"> </w:t>
      </w:r>
      <w:r>
        <w:t>reduced</w:t>
      </w:r>
      <w:r>
        <w:rPr>
          <w:spacing w:val="-14"/>
        </w:rPr>
        <w:t xml:space="preserve"> </w:t>
      </w:r>
      <w:r>
        <w:t>perinatal</w:t>
      </w:r>
      <w:r>
        <w:rPr>
          <w:spacing w:val="-14"/>
        </w:rPr>
        <w:t xml:space="preserve"> </w:t>
      </w:r>
      <w:r>
        <w:t xml:space="preserve">morbidity and mortality. There is insufficient high-quality evidence to show that IOL reduces adverse outcomes. Moreover, there </w:t>
      </w:r>
      <w:r w:rsidRPr="00976C61">
        <w:t>is</w:t>
      </w:r>
      <w:r>
        <w:t xml:space="preserve"> insufficient evidence to make a recommendation about optimal timing of planned birth. Factors to consider in individualising timing of birth include glucose control,</w:t>
      </w:r>
      <w:r>
        <w:rPr>
          <w:spacing w:val="-14"/>
        </w:rPr>
        <w:t xml:space="preserve"> </w:t>
      </w:r>
      <w:r>
        <w:t>EFW,</w:t>
      </w:r>
      <w:r>
        <w:rPr>
          <w:spacing w:val="-13"/>
        </w:rPr>
        <w:t xml:space="preserve"> </w:t>
      </w:r>
      <w:r>
        <w:t>disproportion</w:t>
      </w:r>
      <w:r>
        <w:rPr>
          <w:spacing w:val="-14"/>
        </w:rPr>
        <w:t xml:space="preserve"> </w:t>
      </w:r>
      <w:r>
        <w:t>between</w:t>
      </w:r>
      <w:r>
        <w:rPr>
          <w:spacing w:val="-14"/>
        </w:rPr>
        <w:t xml:space="preserve"> </w:t>
      </w:r>
      <w:r>
        <w:t>fetal</w:t>
      </w:r>
      <w:r>
        <w:rPr>
          <w:spacing w:val="-15"/>
        </w:rPr>
        <w:t xml:space="preserve"> </w:t>
      </w:r>
      <w:r>
        <w:t>AC</w:t>
      </w:r>
      <w:r>
        <w:rPr>
          <w:spacing w:val="-14"/>
        </w:rPr>
        <w:t xml:space="preserve"> </w:t>
      </w:r>
      <w:r>
        <w:t>and other measurements, additional antenatal risk factors and maternal</w:t>
      </w:r>
      <w:r>
        <w:rPr>
          <w:spacing w:val="-11"/>
        </w:rPr>
        <w:t xml:space="preserve"> </w:t>
      </w:r>
      <w:r>
        <w:t>preference.</w:t>
      </w:r>
    </w:p>
    <w:p w14:paraId="1AB9C16A" w14:textId="77777777" w:rsidR="00AC0F19" w:rsidRPr="00976C61" w:rsidRDefault="00AC0F19" w:rsidP="00763E83"/>
    <w:p w14:paraId="633DD0A7" w14:textId="77777777" w:rsidR="00AC0F19" w:rsidRPr="00976C61" w:rsidRDefault="00AC0F19" w:rsidP="00763E83">
      <w:r w:rsidRPr="00976C61">
        <w:t>Limitations of the GINEXMAL study were identified as:</w:t>
      </w:r>
    </w:p>
    <w:p w14:paraId="557A8C01" w14:textId="77777777" w:rsidR="00AC0F19" w:rsidRDefault="00AC0F19" w:rsidP="00763E83">
      <w:pPr>
        <w:pStyle w:val="Bullet"/>
      </w:pPr>
      <w:r>
        <w:t>The study did not reach its planned sample</w:t>
      </w:r>
      <w:r>
        <w:rPr>
          <w:spacing w:val="-3"/>
        </w:rPr>
        <w:t xml:space="preserve"> </w:t>
      </w:r>
      <w:r>
        <w:t>size.</w:t>
      </w:r>
    </w:p>
    <w:p w14:paraId="5959ED6F" w14:textId="77777777" w:rsidR="00AC0F19" w:rsidRDefault="00AC0F19" w:rsidP="00763E83">
      <w:pPr>
        <w:pStyle w:val="Bullet"/>
      </w:pPr>
      <w:r>
        <w:t>The study was underpowered to detect significant differences in uncommon</w:t>
      </w:r>
      <w:r>
        <w:rPr>
          <w:spacing w:val="-10"/>
        </w:rPr>
        <w:t xml:space="preserve"> </w:t>
      </w:r>
      <w:r>
        <w:t>outcomes.</w:t>
      </w:r>
    </w:p>
    <w:p w14:paraId="69F6AAD1" w14:textId="77777777" w:rsidR="00AC0F19" w:rsidRDefault="00AC0F19" w:rsidP="00763E83">
      <w:pPr>
        <w:pStyle w:val="Bullet"/>
      </w:pPr>
      <w:r>
        <w:t xml:space="preserve">Women with a fetus EFW </w:t>
      </w:r>
      <w:r w:rsidR="00436939">
        <w:t>&gt;</w:t>
      </w:r>
      <w:r>
        <w:t>4,000 g were</w:t>
      </w:r>
      <w:r>
        <w:rPr>
          <w:spacing w:val="-7"/>
        </w:rPr>
        <w:t xml:space="preserve"> </w:t>
      </w:r>
      <w:r>
        <w:t>excluded.</w:t>
      </w:r>
    </w:p>
    <w:p w14:paraId="3703F88E" w14:textId="77777777" w:rsidR="00AC0F19" w:rsidRDefault="00AC0F19" w:rsidP="00763E83">
      <w:pPr>
        <w:pStyle w:val="Bullet"/>
      </w:pPr>
      <w:r>
        <w:t>Despite randomisation, there were more nullipara in the IOL group, and there was no adjustment for</w:t>
      </w:r>
      <w:r>
        <w:rPr>
          <w:spacing w:val="-3"/>
        </w:rPr>
        <w:t xml:space="preserve"> </w:t>
      </w:r>
      <w:r>
        <w:t>parity.</w:t>
      </w:r>
    </w:p>
    <w:p w14:paraId="2E633741" w14:textId="77777777" w:rsidR="00AC0F19" w:rsidRDefault="00AC0F19" w:rsidP="00763E83">
      <w:pPr>
        <w:pStyle w:val="Bullet"/>
        <w:keepLines/>
      </w:pPr>
      <w:r>
        <w:lastRenderedPageBreak/>
        <w:t xml:space="preserve">The findings may not be generalisable to the New Zealand population (for example, in the study, mean BMI was 25, 75% were </w:t>
      </w:r>
      <w:r>
        <w:rPr>
          <w:spacing w:val="-3"/>
        </w:rPr>
        <w:t xml:space="preserve">White, </w:t>
      </w:r>
      <w:r w:rsidR="00436939">
        <w:t>&gt;</w:t>
      </w:r>
      <w:r>
        <w:t>50% were managed by di</w:t>
      </w:r>
      <w:r w:rsidR="000F3C98">
        <w:t>et al</w:t>
      </w:r>
      <w:r>
        <w:t>one, mean blood glucose level of 5.4</w:t>
      </w:r>
      <w:r w:rsidR="00763E83">
        <w:t> </w:t>
      </w:r>
      <w:r>
        <w:t>mg/dL was considered well controlled, participants had regular antenatal fetal surveillance, mean EFW was 3,200 g and different methods were used for diagnosing GDM and for cervical</w:t>
      </w:r>
      <w:r>
        <w:rPr>
          <w:spacing w:val="-1"/>
        </w:rPr>
        <w:t xml:space="preserve"> </w:t>
      </w:r>
      <w:r>
        <w:t>ripening).</w:t>
      </w:r>
    </w:p>
    <w:p w14:paraId="2F4B8005" w14:textId="77777777" w:rsidR="00AC0F19" w:rsidRPr="00976C61" w:rsidRDefault="00AC0F19" w:rsidP="00763E83"/>
    <w:p w14:paraId="7E7B1DA0" w14:textId="77777777" w:rsidR="00AC0F19" w:rsidRDefault="00AC0F19" w:rsidP="00763E83">
      <w:r>
        <w:t>However,</w:t>
      </w:r>
      <w:r>
        <w:rPr>
          <w:spacing w:val="-13"/>
        </w:rPr>
        <w:t xml:space="preserve"> </w:t>
      </w:r>
      <w:r>
        <w:t>results</w:t>
      </w:r>
      <w:r>
        <w:rPr>
          <w:spacing w:val="-11"/>
        </w:rPr>
        <w:t xml:space="preserve"> </w:t>
      </w:r>
      <w:r>
        <w:t>were</w:t>
      </w:r>
      <w:r>
        <w:rPr>
          <w:spacing w:val="-14"/>
        </w:rPr>
        <w:t xml:space="preserve"> </w:t>
      </w:r>
      <w:r>
        <w:t>reassuring</w:t>
      </w:r>
      <w:r>
        <w:rPr>
          <w:spacing w:val="-8"/>
        </w:rPr>
        <w:t xml:space="preserve"> </w:t>
      </w:r>
      <w:r>
        <w:t>in</w:t>
      </w:r>
      <w:r>
        <w:rPr>
          <w:spacing w:val="-13"/>
        </w:rPr>
        <w:t xml:space="preserve"> </w:t>
      </w:r>
      <w:r>
        <w:t>that</w:t>
      </w:r>
      <w:r>
        <w:rPr>
          <w:spacing w:val="-14"/>
        </w:rPr>
        <w:t xml:space="preserve"> </w:t>
      </w:r>
      <w:r>
        <w:t>for</w:t>
      </w:r>
      <w:r>
        <w:rPr>
          <w:spacing w:val="-12"/>
        </w:rPr>
        <w:t xml:space="preserve"> </w:t>
      </w:r>
      <w:r>
        <w:t>women</w:t>
      </w:r>
      <w:r>
        <w:rPr>
          <w:spacing w:val="-9"/>
        </w:rPr>
        <w:t xml:space="preserve"> </w:t>
      </w:r>
      <w:r>
        <w:t>with</w:t>
      </w:r>
      <w:r>
        <w:rPr>
          <w:spacing w:val="-13"/>
        </w:rPr>
        <w:t xml:space="preserve"> </w:t>
      </w:r>
      <w:r>
        <w:t>GDM</w:t>
      </w:r>
      <w:r>
        <w:rPr>
          <w:spacing w:val="-11"/>
        </w:rPr>
        <w:t xml:space="preserve"> </w:t>
      </w:r>
      <w:r>
        <w:t>induced</w:t>
      </w:r>
      <w:r>
        <w:rPr>
          <w:spacing w:val="-13"/>
        </w:rPr>
        <w:t xml:space="preserve"> </w:t>
      </w:r>
      <w:r>
        <w:t>at</w:t>
      </w:r>
      <w:r>
        <w:rPr>
          <w:spacing w:val="-14"/>
        </w:rPr>
        <w:t xml:space="preserve"> </w:t>
      </w:r>
      <w:r w:rsidR="00EB43A9">
        <w:t>38 weeks</w:t>
      </w:r>
      <w:r w:rsidR="00B0606D">
        <w:t>’</w:t>
      </w:r>
      <w:r>
        <w:rPr>
          <w:spacing w:val="-12"/>
        </w:rPr>
        <w:t xml:space="preserve"> </w:t>
      </w:r>
      <w:r>
        <w:t>gestation, there was no increased risk of caesarean</w:t>
      </w:r>
      <w:r>
        <w:rPr>
          <w:spacing w:val="-2"/>
        </w:rPr>
        <w:t xml:space="preserve"> </w:t>
      </w:r>
      <w:r>
        <w:t>section.</w:t>
      </w:r>
    </w:p>
    <w:p w14:paraId="542C6CD9" w14:textId="77777777" w:rsidR="00AC0F19" w:rsidRDefault="00AC0F19" w:rsidP="00763E83"/>
    <w:p w14:paraId="4758A60F" w14:textId="77777777" w:rsidR="00AC0F19" w:rsidRDefault="00AC0F19" w:rsidP="00763E83">
      <w:r>
        <w:t xml:space="preserve">The 2014 clinical practice guideline </w:t>
      </w:r>
      <w:hyperlink r:id="rId24">
        <w:r w:rsidRPr="00187EC7">
          <w:rPr>
            <w:i/>
            <w:iCs/>
          </w:rPr>
          <w:t>Screening, Diagnosis and Management of Gestational Diabetes Mellitus in New</w:t>
        </w:r>
      </w:hyperlink>
      <w:r w:rsidRPr="00187EC7">
        <w:rPr>
          <w:i/>
          <w:iCs/>
        </w:rPr>
        <w:t xml:space="preserve"> </w:t>
      </w:r>
      <w:hyperlink r:id="rId25">
        <w:r w:rsidRPr="00187EC7">
          <w:rPr>
            <w:i/>
            <w:iCs/>
          </w:rPr>
          <w:t xml:space="preserve">Zealand </w:t>
        </w:r>
      </w:hyperlink>
      <w:r>
        <w:t xml:space="preserve">(Ministry of Health 2014) reviewed timing of birth. It was based on low and very-low quality evidence from one RCT, one quasi-randomised RCT and one retrospective cohort study. In the executive summary, the guideline states that </w:t>
      </w:r>
      <w:r w:rsidR="00B0606D">
        <w:t>“</w:t>
      </w:r>
      <w:r>
        <w:t xml:space="preserve">Elective delivery prior to </w:t>
      </w:r>
      <w:r w:rsidR="00763E83">
        <w:t>40 weeks</w:t>
      </w:r>
      <w:r w:rsidR="00B0606D">
        <w:t>’</w:t>
      </w:r>
      <w:r>
        <w:t xml:space="preserve"> gestational age is not recommended in women who have no obstetric</w:t>
      </w:r>
      <w:r>
        <w:rPr>
          <w:spacing w:val="-9"/>
        </w:rPr>
        <w:t xml:space="preserve"> </w:t>
      </w:r>
      <w:r>
        <w:t>complications</w:t>
      </w:r>
      <w:r>
        <w:rPr>
          <w:spacing w:val="-10"/>
        </w:rPr>
        <w:t xml:space="preserve"> </w:t>
      </w:r>
      <w:r>
        <w:t>(including</w:t>
      </w:r>
      <w:r>
        <w:rPr>
          <w:spacing w:val="-12"/>
        </w:rPr>
        <w:t xml:space="preserve"> </w:t>
      </w:r>
      <w:r>
        <w:t>hypertension,</w:t>
      </w:r>
      <w:r>
        <w:rPr>
          <w:spacing w:val="-13"/>
        </w:rPr>
        <w:t xml:space="preserve"> </w:t>
      </w:r>
      <w:r>
        <w:t>pre-eclampsia,</w:t>
      </w:r>
      <w:r>
        <w:rPr>
          <w:spacing w:val="-12"/>
        </w:rPr>
        <w:t xml:space="preserve"> </w:t>
      </w:r>
      <w:r>
        <w:t>large for gestational age infant</w:t>
      </w:r>
      <w:r>
        <w:rPr>
          <w:spacing w:val="-10"/>
        </w:rPr>
        <w:t xml:space="preserve"> </w:t>
      </w:r>
      <w:r w:rsidR="002E5969">
        <w:t>≥</w:t>
      </w:r>
      <w:r>
        <w:t>90</w:t>
      </w:r>
      <w:r w:rsidR="00763E83">
        <w:t>th</w:t>
      </w:r>
      <w:r>
        <w:t xml:space="preserve"> centile,</w:t>
      </w:r>
      <w:r>
        <w:rPr>
          <w:spacing w:val="-12"/>
        </w:rPr>
        <w:t xml:space="preserve"> </w:t>
      </w:r>
      <w:r>
        <w:t>maternal</w:t>
      </w:r>
      <w:r>
        <w:rPr>
          <w:spacing w:val="-13"/>
        </w:rPr>
        <w:t xml:space="preserve"> </w:t>
      </w:r>
      <w:r>
        <w:t>age</w:t>
      </w:r>
      <w:r>
        <w:rPr>
          <w:spacing w:val="-13"/>
        </w:rPr>
        <w:t xml:space="preserve"> </w:t>
      </w:r>
      <w:r w:rsidR="00436939">
        <w:t>&gt;</w:t>
      </w:r>
      <w:r w:rsidR="00AC29F4">
        <w:t>40 years</w:t>
      </w:r>
      <w:r>
        <w:t>) and who have had good glucose control (</w:t>
      </w:r>
      <w:r w:rsidR="00436939">
        <w:t>&gt;</w:t>
      </w:r>
      <w:r>
        <w:t>90% of glucose readings within glucose treatment targets) throughout their pregnancy</w:t>
      </w:r>
      <w:r w:rsidR="00B0606D">
        <w:t>”</w:t>
      </w:r>
      <w:r>
        <w:t xml:space="preserve"> </w:t>
      </w:r>
      <w:r w:rsidRPr="00A8255C">
        <w:t>(page 34).</w:t>
      </w:r>
      <w:r>
        <w:t xml:space="preserve"> The panel endorses this practice</w:t>
      </w:r>
      <w:r>
        <w:rPr>
          <w:spacing w:val="-3"/>
        </w:rPr>
        <w:t xml:space="preserve"> </w:t>
      </w:r>
      <w:r>
        <w:t>point.</w:t>
      </w:r>
    </w:p>
    <w:p w14:paraId="2EE77680" w14:textId="77777777" w:rsidR="00AC0F19" w:rsidRDefault="00AC0F19" w:rsidP="00763E83"/>
    <w:p w14:paraId="00B9D94E" w14:textId="77777777" w:rsidR="00AC0F19" w:rsidRDefault="00AC0F19" w:rsidP="00763E83">
      <w:r>
        <w:t>There is currently insufficient high-quality evidence to make a clear recommendation about IOL for this condition.</w:t>
      </w:r>
    </w:p>
    <w:p w14:paraId="74D23FC7" w14:textId="77777777" w:rsidR="00AC0F19" w:rsidRDefault="00AC0F19" w:rsidP="00763E83"/>
    <w:p w14:paraId="40E5A935" w14:textId="77777777" w:rsidR="00AC0F19" w:rsidRDefault="00AC0F19" w:rsidP="00763E83">
      <w:pPr>
        <w:pStyle w:val="Heading3"/>
      </w:pPr>
      <w:bookmarkStart w:id="123" w:name="Pre-existing_diabetes_mellitus"/>
      <w:bookmarkStart w:id="124" w:name="_bookmark52"/>
      <w:bookmarkEnd w:id="123"/>
      <w:bookmarkEnd w:id="124"/>
      <w:r>
        <w:t>Pre-existing diabetes mellitus</w:t>
      </w:r>
    </w:p>
    <w:p w14:paraId="45993BA2" w14:textId="77777777" w:rsidR="00AC0F19" w:rsidRDefault="00AC0F19" w:rsidP="00763E83">
      <w:pPr>
        <w:pStyle w:val="Heading4"/>
      </w:pPr>
      <w:bookmarkStart w:id="125" w:name="_bookmark53"/>
      <w:bookmarkEnd w:id="125"/>
      <w:r>
        <w:t>Summary of evidence</w:t>
      </w:r>
    </w:p>
    <w:p w14:paraId="2291867A" w14:textId="77777777" w:rsidR="00AC0F19" w:rsidRDefault="00AC0F19" w:rsidP="00763E83">
      <w:r w:rsidRPr="001B2F11">
        <w:t>One systematic review was identified.</w:t>
      </w:r>
    </w:p>
    <w:p w14:paraId="43E0BAE1" w14:textId="77777777" w:rsidR="00AC0F19" w:rsidRPr="001B2F11" w:rsidRDefault="00AC0F19" w:rsidP="00763E83"/>
    <w:p w14:paraId="1F6E2B4C" w14:textId="77777777" w:rsidR="00AC0F19" w:rsidRDefault="00AC0F19" w:rsidP="00763E83">
      <w:r w:rsidRPr="001B2F11">
        <w:t>A Cochrane systematic review (</w:t>
      </w:r>
      <w:proofErr w:type="spellStart"/>
      <w:r w:rsidRPr="001B2F11">
        <w:t>Biesty</w:t>
      </w:r>
      <w:proofErr w:type="spellEnd"/>
      <w:r w:rsidRPr="001B2F11">
        <w:t xml:space="preserve"> </w:t>
      </w:r>
      <w:r w:rsidR="000F3C98">
        <w:t>et al</w:t>
      </w:r>
      <w:r>
        <w:t xml:space="preserve"> </w:t>
      </w:r>
      <w:r w:rsidRPr="001B2F11">
        <w:t>2018</w:t>
      </w:r>
      <w:r>
        <w:t>b</w:t>
      </w:r>
      <w:r w:rsidRPr="001B2F11">
        <w:t xml:space="preserve">) set out to compare planned birth at or near term with expectant management in women with pre-existing </w:t>
      </w:r>
      <w:r w:rsidR="00763E83">
        <w:t>type 1</w:t>
      </w:r>
      <w:r w:rsidRPr="001B2F11">
        <w:t xml:space="preserve"> or 2 diabetes. The intervention was planned birth at 37</w:t>
      </w:r>
      <w:r>
        <w:t>–</w:t>
      </w:r>
      <w:r w:rsidR="00763E83">
        <w:t>40 weeks</w:t>
      </w:r>
      <w:r w:rsidR="00B0606D">
        <w:t>’</w:t>
      </w:r>
      <w:r w:rsidRPr="001B2F11">
        <w:t xml:space="preserve"> gestation, and the control group was awaiting spontaneous labour in the absence of maternal or fetal complications. The primary outcome was maternal and perinatal mortality and morbidity. No eligible RCTs were identified for inclusion.</w:t>
      </w:r>
    </w:p>
    <w:p w14:paraId="607FC91E" w14:textId="77777777" w:rsidR="00AC0F19" w:rsidRPr="001B2F11" w:rsidRDefault="00AC0F19" w:rsidP="00763E83"/>
    <w:p w14:paraId="21535AD1" w14:textId="77777777" w:rsidR="00AC0F19" w:rsidRDefault="00AC0F19" w:rsidP="00763E83">
      <w:pPr>
        <w:pStyle w:val="Heading4"/>
      </w:pPr>
      <w:bookmarkStart w:id="126" w:name="_bookmark54"/>
      <w:bookmarkEnd w:id="126"/>
      <w:r>
        <w:t>Discussion</w:t>
      </w:r>
    </w:p>
    <w:p w14:paraId="15CFD261" w14:textId="77777777" w:rsidR="00AC0F19" w:rsidRDefault="00AC0F19" w:rsidP="00763E83">
      <w:r>
        <w:t>International guidelines were reviewed:</w:t>
      </w:r>
    </w:p>
    <w:p w14:paraId="60C68D88" w14:textId="77777777" w:rsidR="00AC0F19" w:rsidRDefault="00AC0F19" w:rsidP="00763E83">
      <w:pPr>
        <w:pStyle w:val="Bullet"/>
      </w:pPr>
      <w:r>
        <w:t xml:space="preserve">The Australasian Diabetes in Pregnancy Society (ADIPS) consensus guideline (McElduff </w:t>
      </w:r>
      <w:r w:rsidR="000F3C98">
        <w:t>et al</w:t>
      </w:r>
      <w:r>
        <w:t xml:space="preserve"> 2005) recommends that birth be at term unless there are obstetric or fetal indications. IOL should also be based on obstetric and fetal</w:t>
      </w:r>
      <w:r>
        <w:rPr>
          <w:spacing w:val="-10"/>
        </w:rPr>
        <w:t xml:space="preserve"> </w:t>
      </w:r>
      <w:r>
        <w:t>indications.</w:t>
      </w:r>
    </w:p>
    <w:p w14:paraId="3C308062" w14:textId="77777777" w:rsidR="00AC0F19" w:rsidRDefault="00AC0F19" w:rsidP="00763E83">
      <w:pPr>
        <w:pStyle w:val="Bullet"/>
      </w:pPr>
      <w:r>
        <w:t xml:space="preserve">The National Institute for Health and Care Excellence (NICE) clinical guideline (2015) recommends that women with </w:t>
      </w:r>
      <w:r w:rsidR="00763E83">
        <w:t>type 1</w:t>
      </w:r>
      <w:r>
        <w:t xml:space="preserve"> or 2 diabetes mellitus be advised to undergo planned birth between 37 and 38+6 weeks</w:t>
      </w:r>
      <w:r w:rsidR="00B0606D">
        <w:t>’</w:t>
      </w:r>
      <w:r>
        <w:t xml:space="preserve"> gestation. It also states that elective birth before </w:t>
      </w:r>
      <w:r w:rsidR="00EB43A9">
        <w:t>37 weeks</w:t>
      </w:r>
      <w:r w:rsidR="00B0606D">
        <w:t>’</w:t>
      </w:r>
      <w:r>
        <w:t xml:space="preserve"> may be indicated if</w:t>
      </w:r>
      <w:r>
        <w:rPr>
          <w:spacing w:val="-40"/>
        </w:rPr>
        <w:t xml:space="preserve"> </w:t>
      </w:r>
      <w:r>
        <w:t>there are metabolic, maternal or fetal</w:t>
      </w:r>
      <w:r>
        <w:rPr>
          <w:spacing w:val="-7"/>
        </w:rPr>
        <w:t xml:space="preserve"> </w:t>
      </w:r>
      <w:r>
        <w:t>complications.</w:t>
      </w:r>
    </w:p>
    <w:p w14:paraId="2BBA119C" w14:textId="77777777" w:rsidR="00AC0F19" w:rsidRDefault="00AC0F19" w:rsidP="00763E83">
      <w:pPr>
        <w:pStyle w:val="Bullet"/>
      </w:pPr>
      <w:r>
        <w:lastRenderedPageBreak/>
        <w:t>The American College of Obstetricians and Gynaecologists (ACOG 2018) recommends that for</w:t>
      </w:r>
      <w:r>
        <w:rPr>
          <w:spacing w:val="-12"/>
        </w:rPr>
        <w:t xml:space="preserve"> </w:t>
      </w:r>
      <w:r>
        <w:t>women</w:t>
      </w:r>
      <w:r>
        <w:rPr>
          <w:spacing w:val="-12"/>
        </w:rPr>
        <w:t xml:space="preserve"> </w:t>
      </w:r>
      <w:r>
        <w:t>with</w:t>
      </w:r>
      <w:r>
        <w:rPr>
          <w:spacing w:val="-7"/>
        </w:rPr>
        <w:t xml:space="preserve"> </w:t>
      </w:r>
      <w:r>
        <w:t>well-controlled</w:t>
      </w:r>
      <w:r>
        <w:rPr>
          <w:spacing w:val="-12"/>
        </w:rPr>
        <w:t xml:space="preserve"> </w:t>
      </w:r>
      <w:r>
        <w:t>pre-gestational</w:t>
      </w:r>
      <w:r>
        <w:rPr>
          <w:spacing w:val="-8"/>
        </w:rPr>
        <w:t xml:space="preserve"> </w:t>
      </w:r>
      <w:r>
        <w:t>diabetes,</w:t>
      </w:r>
      <w:r>
        <w:rPr>
          <w:spacing w:val="-12"/>
        </w:rPr>
        <w:t xml:space="preserve"> </w:t>
      </w:r>
      <w:r>
        <w:t>birth</w:t>
      </w:r>
      <w:r>
        <w:rPr>
          <w:spacing w:val="-8"/>
        </w:rPr>
        <w:t xml:space="preserve"> </w:t>
      </w:r>
      <w:r>
        <w:t>should</w:t>
      </w:r>
      <w:r>
        <w:rPr>
          <w:spacing w:val="-12"/>
        </w:rPr>
        <w:t xml:space="preserve"> </w:t>
      </w:r>
      <w:r>
        <w:t>be</w:t>
      </w:r>
      <w:r>
        <w:rPr>
          <w:spacing w:val="-8"/>
        </w:rPr>
        <w:t xml:space="preserve"> </w:t>
      </w:r>
      <w:r>
        <w:t>planned</w:t>
      </w:r>
      <w:r>
        <w:rPr>
          <w:spacing w:val="-12"/>
        </w:rPr>
        <w:t xml:space="preserve"> </w:t>
      </w:r>
      <w:r>
        <w:t>at</w:t>
      </w:r>
      <w:r>
        <w:rPr>
          <w:spacing w:val="-13"/>
        </w:rPr>
        <w:t xml:space="preserve"> </w:t>
      </w:r>
      <w:r>
        <w:t>full term (39–39+6 weeks</w:t>
      </w:r>
      <w:r w:rsidR="00B0606D">
        <w:t>’</w:t>
      </w:r>
      <w:r>
        <w:t xml:space="preserve"> gestation) or earlier (from 36 to 38+6 weeks</w:t>
      </w:r>
      <w:r w:rsidR="00B0606D">
        <w:t>’</w:t>
      </w:r>
      <w:r>
        <w:rPr>
          <w:spacing w:val="-42"/>
        </w:rPr>
        <w:t xml:space="preserve"> </w:t>
      </w:r>
      <w:r>
        <w:t>gestation) if the woman has vascular complications, poor glucose control or a previous</w:t>
      </w:r>
      <w:r>
        <w:rPr>
          <w:spacing w:val="-16"/>
        </w:rPr>
        <w:t xml:space="preserve"> </w:t>
      </w:r>
      <w:r>
        <w:t>stillbirth.</w:t>
      </w:r>
    </w:p>
    <w:p w14:paraId="1C4257A1" w14:textId="77777777" w:rsidR="00AC0F19" w:rsidRDefault="00AC0F19" w:rsidP="00763E83"/>
    <w:p w14:paraId="382879AE" w14:textId="77777777" w:rsidR="00AC0F19" w:rsidRDefault="00AC0F19" w:rsidP="00763E83">
      <w:r>
        <w:t>There is an increased risk of stillbirth in mothers with pre-pregnancy diabetes. There is significant</w:t>
      </w:r>
      <w:r>
        <w:rPr>
          <w:spacing w:val="-10"/>
        </w:rPr>
        <w:t xml:space="preserve"> </w:t>
      </w:r>
      <w:r>
        <w:t>disagreement</w:t>
      </w:r>
      <w:r>
        <w:rPr>
          <w:spacing w:val="-9"/>
        </w:rPr>
        <w:t xml:space="preserve"> </w:t>
      </w:r>
      <w:r>
        <w:t>between</w:t>
      </w:r>
      <w:r>
        <w:rPr>
          <w:spacing w:val="-8"/>
        </w:rPr>
        <w:t xml:space="preserve"> </w:t>
      </w:r>
      <w:r>
        <w:t>international</w:t>
      </w:r>
      <w:r>
        <w:rPr>
          <w:spacing w:val="-4"/>
        </w:rPr>
        <w:t xml:space="preserve"> </w:t>
      </w:r>
      <w:r>
        <w:t>guideline</w:t>
      </w:r>
      <w:r>
        <w:rPr>
          <w:spacing w:val="-9"/>
        </w:rPr>
        <w:t xml:space="preserve"> </w:t>
      </w:r>
      <w:r>
        <w:t>recommendations</w:t>
      </w:r>
      <w:r>
        <w:rPr>
          <w:spacing w:val="-7"/>
        </w:rPr>
        <w:t xml:space="preserve"> </w:t>
      </w:r>
      <w:r>
        <w:t>for</w:t>
      </w:r>
      <w:r>
        <w:rPr>
          <w:spacing w:val="-7"/>
        </w:rPr>
        <w:t xml:space="preserve"> </w:t>
      </w:r>
      <w:r>
        <w:t>timing</w:t>
      </w:r>
      <w:r>
        <w:rPr>
          <w:spacing w:val="-8"/>
        </w:rPr>
        <w:t xml:space="preserve"> </w:t>
      </w:r>
      <w:r>
        <w:t>of</w:t>
      </w:r>
      <w:r>
        <w:rPr>
          <w:spacing w:val="-7"/>
        </w:rPr>
        <w:t xml:space="preserve"> </w:t>
      </w:r>
      <w:r>
        <w:t>birth. There is also a need for local adaptation of international guidelines in order to take into consideration the New Zealand context and population characteristics (for example, proportion of pregnant women with poorly controlled diabetes who book late).</w:t>
      </w:r>
    </w:p>
    <w:p w14:paraId="03D0D8EA" w14:textId="77777777" w:rsidR="00AC0F19" w:rsidRDefault="00AC0F19" w:rsidP="00763E83"/>
    <w:p w14:paraId="7E1E2E2B" w14:textId="77777777" w:rsidR="00AC0F19" w:rsidRDefault="00AC0F19" w:rsidP="00763E83">
      <w:r>
        <w:t xml:space="preserve">The panel recommends that, if pre-pregnancy diabetes is well controlled, then there is no need to offer IOL unless there are other obstetric or fetal indications present (for example, impaired renal function, changing insulin requirements, SGA, pre-eclampsia, poor adherence to treatment, etc). High-quality evidence is needed before a recommendation to offer IOL </w:t>
      </w:r>
      <w:r w:rsidR="00436939">
        <w:t>&lt;</w:t>
      </w:r>
      <w:r w:rsidR="00EB43A9">
        <w:t>39 weeks</w:t>
      </w:r>
      <w:r w:rsidR="00B0606D">
        <w:t>’</w:t>
      </w:r>
      <w:r>
        <w:t xml:space="preserve"> gestation can be made. Individualised care should be provided based on additional risk factors or obstetric and/or fetal indications.</w:t>
      </w:r>
    </w:p>
    <w:p w14:paraId="66DE2B6B" w14:textId="77777777" w:rsidR="00AC0F19" w:rsidRDefault="00AC0F19" w:rsidP="00763E83"/>
    <w:p w14:paraId="74349530" w14:textId="77777777" w:rsidR="00AC0F19" w:rsidRDefault="00AC0F19" w:rsidP="00763E83">
      <w:r>
        <w:t>There is currently insufficient high-quality evidence to make a clear recommendation about IOL for this condition.</w:t>
      </w:r>
    </w:p>
    <w:p w14:paraId="204C532B" w14:textId="77777777" w:rsidR="00AC0F19" w:rsidRDefault="00AC0F19" w:rsidP="00763E83"/>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6B13289D" w14:textId="77777777" w:rsidTr="00335664">
        <w:trPr>
          <w:cantSplit/>
        </w:trPr>
        <w:tc>
          <w:tcPr>
            <w:tcW w:w="8080" w:type="dxa"/>
            <w:tcBorders>
              <w:top w:val="nil"/>
              <w:left w:val="nil"/>
              <w:bottom w:val="nil"/>
              <w:right w:val="nil"/>
            </w:tcBorders>
            <w:shd w:val="clear" w:color="auto" w:fill="D9D9D9" w:themeFill="background1" w:themeFillShade="D9"/>
          </w:tcPr>
          <w:p w14:paraId="2B1F4E7F" w14:textId="77777777" w:rsidR="00EB43A9" w:rsidRPr="008D53E4" w:rsidRDefault="00EB43A9" w:rsidP="00335664">
            <w:pPr>
              <w:pStyle w:val="TableText"/>
            </w:pPr>
            <w:r w:rsidRPr="00806252">
              <w:rPr>
                <w:b/>
                <w:iCs/>
              </w:rPr>
              <w:t>Practice point</w:t>
            </w:r>
            <w:r w:rsidR="00763E83">
              <w:rPr>
                <w:b/>
                <w:iCs/>
              </w:rPr>
              <w:t>s</w:t>
            </w:r>
          </w:p>
        </w:tc>
      </w:tr>
      <w:tr w:rsidR="00763E83" w14:paraId="52448B0C" w14:textId="77777777" w:rsidTr="00335664">
        <w:trPr>
          <w:cantSplit/>
        </w:trPr>
        <w:tc>
          <w:tcPr>
            <w:tcW w:w="8080" w:type="dxa"/>
            <w:tcBorders>
              <w:top w:val="nil"/>
              <w:left w:val="nil"/>
              <w:bottom w:val="single" w:sz="4" w:space="0" w:color="A6A6A6" w:themeColor="background1" w:themeShade="A6"/>
              <w:right w:val="nil"/>
            </w:tcBorders>
          </w:tcPr>
          <w:p w14:paraId="5909FE01" w14:textId="77777777" w:rsidR="00763E83" w:rsidRPr="001B2F11" w:rsidRDefault="00763E83" w:rsidP="00230FF7">
            <w:pPr>
              <w:pStyle w:val="TableBullet"/>
            </w:pPr>
            <w:r w:rsidRPr="001B2F11">
              <w:t xml:space="preserve">For women with gestational diabetes, continue expectant management to at least </w:t>
            </w:r>
            <w:r>
              <w:t xml:space="preserve">40 weeks’ </w:t>
            </w:r>
            <w:r w:rsidRPr="001B2F11">
              <w:t>gestation, in the setting of good glycaemic control, normal fetal growth and no obstetric</w:t>
            </w:r>
            <w:r>
              <w:t xml:space="preserve"> </w:t>
            </w:r>
            <w:r w:rsidRPr="001B2F11">
              <w:t>complications.</w:t>
            </w:r>
          </w:p>
          <w:p w14:paraId="6F6246A6" w14:textId="77777777" w:rsidR="00763E83" w:rsidRPr="001B2F11" w:rsidRDefault="00763E83" w:rsidP="00230FF7">
            <w:pPr>
              <w:pStyle w:val="TableBullet"/>
            </w:pPr>
            <w:r w:rsidRPr="001B2F11">
              <w:t xml:space="preserve">For women with </w:t>
            </w:r>
            <w:r>
              <w:t>type 2</w:t>
            </w:r>
            <w:r w:rsidRPr="001B2F11">
              <w:t xml:space="preserve"> diabetes, continue expectant management to </w:t>
            </w:r>
            <w:r>
              <w:t>39 weeks’</w:t>
            </w:r>
            <w:r w:rsidRPr="001B2F11">
              <w:t xml:space="preserve"> gestation, unless</w:t>
            </w:r>
            <w:r>
              <w:t xml:space="preserve"> </w:t>
            </w:r>
            <w:r w:rsidRPr="001B2F11">
              <w:t>there are obstetric or fetal indications for earlier birth or diabetes complications</w:t>
            </w:r>
            <w:r>
              <w:t>,</w:t>
            </w:r>
            <w:r w:rsidRPr="001B2F11">
              <w:t xml:space="preserve"> such as vascular disease.</w:t>
            </w:r>
          </w:p>
          <w:p w14:paraId="283D49CA" w14:textId="77777777" w:rsidR="00763E83" w:rsidRPr="001B2F11" w:rsidRDefault="00763E83" w:rsidP="00230FF7">
            <w:pPr>
              <w:pStyle w:val="TableBullet"/>
            </w:pPr>
            <w:r>
              <w:t>For w</w:t>
            </w:r>
            <w:r w:rsidRPr="001B2F11">
              <w:t xml:space="preserve">omen with </w:t>
            </w:r>
            <w:r>
              <w:t>type 1</w:t>
            </w:r>
            <w:r w:rsidRPr="001B2F11">
              <w:t xml:space="preserve"> diabetes</w:t>
            </w:r>
            <w:r>
              <w:t>, manage on a case-by-case basis</w:t>
            </w:r>
            <w:r w:rsidRPr="001B2F11">
              <w:t>.</w:t>
            </w:r>
          </w:p>
        </w:tc>
      </w:tr>
    </w:tbl>
    <w:p w14:paraId="2A971BD6" w14:textId="77777777" w:rsidR="00EB43A9" w:rsidRDefault="00EB43A9" w:rsidP="00EB43A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EB43A9" w14:paraId="44A2B495" w14:textId="77777777" w:rsidTr="00335664">
        <w:trPr>
          <w:cantSplit/>
        </w:trPr>
        <w:tc>
          <w:tcPr>
            <w:tcW w:w="8080" w:type="dxa"/>
            <w:tcBorders>
              <w:top w:val="nil"/>
              <w:left w:val="nil"/>
              <w:bottom w:val="nil"/>
              <w:right w:val="nil"/>
            </w:tcBorders>
            <w:shd w:val="clear" w:color="auto" w:fill="D9D9D9" w:themeFill="background1" w:themeFillShade="D9"/>
          </w:tcPr>
          <w:p w14:paraId="0213975E" w14:textId="77777777" w:rsidR="00EB43A9" w:rsidRPr="008D53E4" w:rsidRDefault="00763E83" w:rsidP="00335664">
            <w:pPr>
              <w:pStyle w:val="TableText"/>
              <w:rPr>
                <w:b/>
              </w:rPr>
            </w:pPr>
            <w:r>
              <w:rPr>
                <w:b/>
              </w:rPr>
              <w:t>Research gap</w:t>
            </w:r>
          </w:p>
        </w:tc>
      </w:tr>
      <w:tr w:rsidR="00EB43A9" w14:paraId="01082038" w14:textId="77777777" w:rsidTr="00335664">
        <w:trPr>
          <w:cantSplit/>
        </w:trPr>
        <w:tc>
          <w:tcPr>
            <w:tcW w:w="8080" w:type="dxa"/>
            <w:tcBorders>
              <w:top w:val="nil"/>
              <w:left w:val="nil"/>
              <w:bottom w:val="single" w:sz="4" w:space="0" w:color="A6A6A6" w:themeColor="background1" w:themeShade="A6"/>
              <w:right w:val="nil"/>
            </w:tcBorders>
          </w:tcPr>
          <w:p w14:paraId="30F6A441" w14:textId="77777777" w:rsidR="00EB43A9" w:rsidRDefault="00763E83" w:rsidP="00335664">
            <w:pPr>
              <w:pStyle w:val="TableBullet"/>
            </w:pPr>
            <w:r>
              <w:t>For women with diabetes in pregnancy, to evaluate the effect of IOL at different gestational ages versus expectant management on maternal, perinatal and neonatal outcomes, including women’s perspectives and experiences, stratified by type of diabetes.</w:t>
            </w:r>
          </w:p>
        </w:tc>
      </w:tr>
    </w:tbl>
    <w:p w14:paraId="2FC8A636" w14:textId="77777777" w:rsidR="00EB43A9" w:rsidRDefault="00EB43A9" w:rsidP="00763E83"/>
    <w:p w14:paraId="3F9D435B" w14:textId="77777777" w:rsidR="00AC0F19" w:rsidRDefault="00AC0F19" w:rsidP="00763E83">
      <w:pPr>
        <w:pStyle w:val="Heading2"/>
      </w:pPr>
      <w:bookmarkStart w:id="127" w:name="4.5_Maternal_obesity"/>
      <w:bookmarkStart w:id="128" w:name="_bookmark55"/>
      <w:bookmarkStart w:id="129" w:name="_Toc75787984"/>
      <w:bookmarkEnd w:id="127"/>
      <w:bookmarkEnd w:id="128"/>
      <w:r w:rsidRPr="007555C7">
        <w:lastRenderedPageBreak/>
        <w:t>Maternal</w:t>
      </w:r>
      <w:r>
        <w:rPr>
          <w:spacing w:val="-4"/>
        </w:rPr>
        <w:t xml:space="preserve"> </w:t>
      </w:r>
      <w:r>
        <w:t>obesity</w:t>
      </w:r>
      <w:bookmarkEnd w:id="129"/>
    </w:p>
    <w:p w14:paraId="0F2DC1F5" w14:textId="77777777" w:rsidR="00AC0F19" w:rsidRDefault="00AC0F19" w:rsidP="00763E83">
      <w:pPr>
        <w:keepLines/>
      </w:pPr>
      <w:r>
        <w:t>One in four women (26.4%) who gave birth in New Zealand in 2017 were identified as having obesity (BMI</w:t>
      </w:r>
      <w:r>
        <w:rPr>
          <w:spacing w:val="-3"/>
        </w:rPr>
        <w:t xml:space="preserve"> </w:t>
      </w:r>
      <w:r w:rsidR="002E5969">
        <w:t>≥</w:t>
      </w:r>
      <w:r>
        <w:t>30kg/m</w:t>
      </w:r>
      <w:r w:rsidRPr="00187EC7">
        <w:rPr>
          <w:vertAlign w:val="superscript"/>
        </w:rPr>
        <w:t>2</w:t>
      </w:r>
      <w:r>
        <w:t>)</w:t>
      </w:r>
      <w:r>
        <w:rPr>
          <w:spacing w:val="-3"/>
        </w:rPr>
        <w:t xml:space="preserve"> </w:t>
      </w:r>
      <w:r>
        <w:t>at</w:t>
      </w:r>
      <w:r>
        <w:rPr>
          <w:spacing w:val="-5"/>
        </w:rPr>
        <w:t xml:space="preserve"> </w:t>
      </w:r>
      <w:r>
        <w:t>first</w:t>
      </w:r>
      <w:r>
        <w:rPr>
          <w:spacing w:val="-4"/>
        </w:rPr>
        <w:t xml:space="preserve"> </w:t>
      </w:r>
      <w:r>
        <w:t>registration</w:t>
      </w:r>
      <w:r>
        <w:rPr>
          <w:spacing w:val="-3"/>
        </w:rPr>
        <w:t xml:space="preserve"> </w:t>
      </w:r>
      <w:r>
        <w:t>with</w:t>
      </w:r>
      <w:r>
        <w:rPr>
          <w:spacing w:val="-3"/>
        </w:rPr>
        <w:t xml:space="preserve"> </w:t>
      </w:r>
      <w:r>
        <w:t>their</w:t>
      </w:r>
      <w:r>
        <w:rPr>
          <w:spacing w:val="-3"/>
        </w:rPr>
        <w:t xml:space="preserve"> </w:t>
      </w:r>
      <w:r>
        <w:t>primary</w:t>
      </w:r>
      <w:r>
        <w:rPr>
          <w:spacing w:val="-2"/>
        </w:rPr>
        <w:t xml:space="preserve"> health </w:t>
      </w:r>
      <w:r>
        <w:t>care</w:t>
      </w:r>
      <w:r>
        <w:rPr>
          <w:spacing w:val="-5"/>
        </w:rPr>
        <w:t xml:space="preserve"> </w:t>
      </w:r>
      <w:r>
        <w:t>provider</w:t>
      </w:r>
      <w:r>
        <w:rPr>
          <w:spacing w:val="-3"/>
        </w:rPr>
        <w:t xml:space="preserve"> </w:t>
      </w:r>
      <w:r>
        <w:t>(Ministry</w:t>
      </w:r>
      <w:r>
        <w:rPr>
          <w:spacing w:val="-2"/>
        </w:rPr>
        <w:t xml:space="preserve"> </w:t>
      </w:r>
      <w:r>
        <w:t>of</w:t>
      </w:r>
      <w:r>
        <w:rPr>
          <w:spacing w:val="-3"/>
        </w:rPr>
        <w:t xml:space="preserve"> </w:t>
      </w:r>
      <w:r>
        <w:t>Health 2019b). Women with maternal obesity (obesity in pregnancy) are at higher risk of pregnancy-related complications, such as diabetes and hypertension. Moreover, women with maternal obesity</w:t>
      </w:r>
      <w:r>
        <w:rPr>
          <w:spacing w:val="-9"/>
        </w:rPr>
        <w:t xml:space="preserve"> </w:t>
      </w:r>
      <w:r>
        <w:t>are</w:t>
      </w:r>
      <w:r>
        <w:rPr>
          <w:spacing w:val="-5"/>
        </w:rPr>
        <w:t xml:space="preserve"> </w:t>
      </w:r>
      <w:r>
        <w:t>more</w:t>
      </w:r>
      <w:r>
        <w:rPr>
          <w:spacing w:val="-9"/>
        </w:rPr>
        <w:t xml:space="preserve"> </w:t>
      </w:r>
      <w:r>
        <w:t>likely</w:t>
      </w:r>
      <w:r>
        <w:rPr>
          <w:spacing w:val="-3"/>
        </w:rPr>
        <w:t xml:space="preserve"> </w:t>
      </w:r>
      <w:r>
        <w:t>to</w:t>
      </w:r>
      <w:r>
        <w:rPr>
          <w:spacing w:val="-9"/>
        </w:rPr>
        <w:t xml:space="preserve"> </w:t>
      </w:r>
      <w:r>
        <w:t>have</w:t>
      </w:r>
      <w:r>
        <w:rPr>
          <w:spacing w:val="-9"/>
        </w:rPr>
        <w:t xml:space="preserve"> </w:t>
      </w:r>
      <w:r>
        <w:t>a</w:t>
      </w:r>
      <w:r>
        <w:rPr>
          <w:spacing w:val="-5"/>
        </w:rPr>
        <w:t xml:space="preserve"> </w:t>
      </w:r>
      <w:r>
        <w:t>caesarean</w:t>
      </w:r>
      <w:r>
        <w:rPr>
          <w:spacing w:val="-9"/>
        </w:rPr>
        <w:t xml:space="preserve"> </w:t>
      </w:r>
      <w:r>
        <w:t>section</w:t>
      </w:r>
      <w:r>
        <w:rPr>
          <w:spacing w:val="-8"/>
        </w:rPr>
        <w:t xml:space="preserve"> </w:t>
      </w:r>
      <w:r>
        <w:t>and</w:t>
      </w:r>
      <w:r>
        <w:rPr>
          <w:spacing w:val="-9"/>
        </w:rPr>
        <w:t xml:space="preserve"> </w:t>
      </w:r>
      <w:r>
        <w:t>postpartum</w:t>
      </w:r>
      <w:r>
        <w:rPr>
          <w:spacing w:val="-10"/>
        </w:rPr>
        <w:t xml:space="preserve"> </w:t>
      </w:r>
      <w:r>
        <w:t>haemorrhage</w:t>
      </w:r>
      <w:r>
        <w:rPr>
          <w:spacing w:val="-2"/>
        </w:rPr>
        <w:t xml:space="preserve"> </w:t>
      </w:r>
      <w:r>
        <w:t>and</w:t>
      </w:r>
      <w:r>
        <w:rPr>
          <w:spacing w:val="-9"/>
        </w:rPr>
        <w:t xml:space="preserve"> </w:t>
      </w:r>
      <w:r>
        <w:t>are</w:t>
      </w:r>
      <w:r>
        <w:rPr>
          <w:spacing w:val="-5"/>
        </w:rPr>
        <w:t xml:space="preserve"> </w:t>
      </w:r>
      <w:r>
        <w:t>more likely</w:t>
      </w:r>
      <w:r>
        <w:rPr>
          <w:spacing w:val="-3"/>
        </w:rPr>
        <w:t xml:space="preserve"> </w:t>
      </w:r>
      <w:r>
        <w:t>to</w:t>
      </w:r>
      <w:r>
        <w:rPr>
          <w:spacing w:val="-8"/>
        </w:rPr>
        <w:t xml:space="preserve"> </w:t>
      </w:r>
      <w:r>
        <w:t>have</w:t>
      </w:r>
      <w:r>
        <w:rPr>
          <w:spacing w:val="-9"/>
        </w:rPr>
        <w:t xml:space="preserve"> </w:t>
      </w:r>
      <w:r>
        <w:t>a</w:t>
      </w:r>
      <w:r>
        <w:rPr>
          <w:spacing w:val="-9"/>
        </w:rPr>
        <w:t xml:space="preserve"> </w:t>
      </w:r>
      <w:r>
        <w:t>stillbirth;</w:t>
      </w:r>
      <w:r>
        <w:rPr>
          <w:spacing w:val="-9"/>
        </w:rPr>
        <w:t xml:space="preserve"> </w:t>
      </w:r>
      <w:r>
        <w:t>their</w:t>
      </w:r>
      <w:r>
        <w:rPr>
          <w:spacing w:val="-8"/>
        </w:rPr>
        <w:t xml:space="preserve"> </w:t>
      </w:r>
      <w:r>
        <w:t>babies</w:t>
      </w:r>
      <w:r>
        <w:rPr>
          <w:spacing w:val="-2"/>
        </w:rPr>
        <w:t xml:space="preserve"> </w:t>
      </w:r>
      <w:r>
        <w:t>are</w:t>
      </w:r>
      <w:r>
        <w:rPr>
          <w:spacing w:val="-9"/>
        </w:rPr>
        <w:t xml:space="preserve"> </w:t>
      </w:r>
      <w:r>
        <w:t>more</w:t>
      </w:r>
      <w:r>
        <w:rPr>
          <w:spacing w:val="-9"/>
        </w:rPr>
        <w:t xml:space="preserve"> </w:t>
      </w:r>
      <w:r>
        <w:t>likely</w:t>
      </w:r>
      <w:r>
        <w:rPr>
          <w:spacing w:val="-2"/>
        </w:rPr>
        <w:t xml:space="preserve"> </w:t>
      </w:r>
      <w:r>
        <w:t>to</w:t>
      </w:r>
      <w:r>
        <w:rPr>
          <w:spacing w:val="-8"/>
        </w:rPr>
        <w:t xml:space="preserve"> </w:t>
      </w:r>
      <w:r>
        <w:t>be</w:t>
      </w:r>
      <w:r>
        <w:rPr>
          <w:spacing w:val="-9"/>
        </w:rPr>
        <w:t xml:space="preserve"> </w:t>
      </w:r>
      <w:r>
        <w:t>large</w:t>
      </w:r>
      <w:r>
        <w:rPr>
          <w:spacing w:val="-9"/>
        </w:rPr>
        <w:t xml:space="preserve"> </w:t>
      </w:r>
      <w:r>
        <w:t>for</w:t>
      </w:r>
      <w:r>
        <w:rPr>
          <w:spacing w:val="-7"/>
        </w:rPr>
        <w:t xml:space="preserve"> </w:t>
      </w:r>
      <w:r>
        <w:t>gestational</w:t>
      </w:r>
      <w:r>
        <w:rPr>
          <w:spacing w:val="-9"/>
        </w:rPr>
        <w:t xml:space="preserve"> </w:t>
      </w:r>
      <w:r>
        <w:t>age</w:t>
      </w:r>
      <w:r>
        <w:rPr>
          <w:spacing w:val="-9"/>
        </w:rPr>
        <w:t xml:space="preserve"> </w:t>
      </w:r>
      <w:r>
        <w:t>(LGA)</w:t>
      </w:r>
      <w:r>
        <w:rPr>
          <w:spacing w:val="-8"/>
        </w:rPr>
        <w:t xml:space="preserve"> </w:t>
      </w:r>
      <w:r>
        <w:t>and be admitted to NICU (CMACE</w:t>
      </w:r>
      <w:r>
        <w:rPr>
          <w:spacing w:val="2"/>
        </w:rPr>
        <w:t xml:space="preserve"> </w:t>
      </w:r>
      <w:r>
        <w:t>2010).</w:t>
      </w:r>
    </w:p>
    <w:p w14:paraId="69767F29" w14:textId="77777777" w:rsidR="00AC0F19" w:rsidRDefault="00AC0F19" w:rsidP="00763E83"/>
    <w:p w14:paraId="01F939B7" w14:textId="77777777" w:rsidR="00AC0F19" w:rsidRDefault="00AC0F19" w:rsidP="00763E83">
      <w:pPr>
        <w:pStyle w:val="Heading3"/>
      </w:pPr>
      <w:bookmarkStart w:id="130" w:name="_bookmark56"/>
      <w:bookmarkEnd w:id="130"/>
      <w:r>
        <w:t>Summary of evidence</w:t>
      </w:r>
    </w:p>
    <w:p w14:paraId="5127D195" w14:textId="77777777" w:rsidR="00AC0F19" w:rsidRDefault="00AC0F19" w:rsidP="00763E83">
      <w:r>
        <w:t>No studies were identified on IOL in the setting of maternal obesity.</w:t>
      </w:r>
    </w:p>
    <w:p w14:paraId="7FA0327F" w14:textId="77777777" w:rsidR="00AC0F19" w:rsidRDefault="00AC0F19" w:rsidP="00763E83"/>
    <w:p w14:paraId="3FBE1C29" w14:textId="77777777" w:rsidR="00AC0F19" w:rsidRDefault="00AC0F19" w:rsidP="00763E83">
      <w:pPr>
        <w:pStyle w:val="Heading3"/>
      </w:pPr>
      <w:bookmarkStart w:id="131" w:name="_bookmark57"/>
      <w:bookmarkEnd w:id="131"/>
      <w:r>
        <w:t>Discussion</w:t>
      </w:r>
    </w:p>
    <w:p w14:paraId="7B4B2BA1" w14:textId="77777777" w:rsidR="00AC0F19" w:rsidRDefault="00AC0F19" w:rsidP="00763E83">
      <w:r>
        <w:t>There is an association with the degree of maternal obesity and the risk of stillbirth, with increasing</w:t>
      </w:r>
      <w:r>
        <w:rPr>
          <w:spacing w:val="-3"/>
        </w:rPr>
        <w:t xml:space="preserve"> </w:t>
      </w:r>
      <w:r>
        <w:t>risk</w:t>
      </w:r>
      <w:r>
        <w:rPr>
          <w:spacing w:val="-8"/>
        </w:rPr>
        <w:t xml:space="preserve"> </w:t>
      </w:r>
      <w:r>
        <w:t>as</w:t>
      </w:r>
      <w:r>
        <w:rPr>
          <w:spacing w:val="-5"/>
        </w:rPr>
        <w:t xml:space="preserve"> </w:t>
      </w:r>
      <w:r>
        <w:t>BMI</w:t>
      </w:r>
      <w:r>
        <w:rPr>
          <w:spacing w:val="-8"/>
        </w:rPr>
        <w:t xml:space="preserve"> </w:t>
      </w:r>
      <w:r>
        <w:t>increases in</w:t>
      </w:r>
      <w:r>
        <w:rPr>
          <w:spacing w:val="-3"/>
        </w:rPr>
        <w:t xml:space="preserve"> </w:t>
      </w:r>
      <w:r>
        <w:t>a</w:t>
      </w:r>
      <w:r>
        <w:rPr>
          <w:spacing w:val="-8"/>
        </w:rPr>
        <w:t xml:space="preserve"> </w:t>
      </w:r>
      <w:r w:rsidRPr="007555C7">
        <w:t>dose</w:t>
      </w:r>
      <w:r>
        <w:t>-dependent</w:t>
      </w:r>
      <w:r>
        <w:rPr>
          <w:spacing w:val="-4"/>
        </w:rPr>
        <w:t xml:space="preserve"> </w:t>
      </w:r>
      <w:r>
        <w:t>relationship,</w:t>
      </w:r>
      <w:r>
        <w:rPr>
          <w:spacing w:val="-7"/>
        </w:rPr>
        <w:t xml:space="preserve"> </w:t>
      </w:r>
      <w:r>
        <w:t>but</w:t>
      </w:r>
      <w:r>
        <w:rPr>
          <w:spacing w:val="-4"/>
        </w:rPr>
        <w:t xml:space="preserve"> </w:t>
      </w:r>
      <w:r>
        <w:t>there</w:t>
      </w:r>
      <w:r>
        <w:rPr>
          <w:spacing w:val="-8"/>
        </w:rPr>
        <w:t xml:space="preserve"> </w:t>
      </w:r>
      <w:r>
        <w:t>is</w:t>
      </w:r>
      <w:r>
        <w:rPr>
          <w:spacing w:val="-6"/>
        </w:rPr>
        <w:t xml:space="preserve"> </w:t>
      </w:r>
      <w:r>
        <w:t>no</w:t>
      </w:r>
      <w:r>
        <w:rPr>
          <w:spacing w:val="-2"/>
        </w:rPr>
        <w:t xml:space="preserve"> </w:t>
      </w:r>
      <w:r>
        <w:t>clear</w:t>
      </w:r>
      <w:r>
        <w:rPr>
          <w:spacing w:val="-8"/>
        </w:rPr>
        <w:t xml:space="preserve"> </w:t>
      </w:r>
      <w:r>
        <w:t>cut-off. New Zealand-specific data from the PMMRC 2016 annual report (PMMRC 2018) is limited by incomplete BMI reporting. The BMI recorded at pregnancy registration is not necessarily the pre-pregnancy BMI, is not always measured and may be based on maternal recall. The evidence for</w:t>
      </w:r>
      <w:r>
        <w:rPr>
          <w:spacing w:val="-12"/>
        </w:rPr>
        <w:t xml:space="preserve"> </w:t>
      </w:r>
      <w:r>
        <w:t>IOL</w:t>
      </w:r>
      <w:r>
        <w:rPr>
          <w:spacing w:val="-12"/>
        </w:rPr>
        <w:t xml:space="preserve"> </w:t>
      </w:r>
      <w:r>
        <w:t>for</w:t>
      </w:r>
      <w:r>
        <w:rPr>
          <w:spacing w:val="-12"/>
        </w:rPr>
        <w:t xml:space="preserve"> </w:t>
      </w:r>
      <w:r>
        <w:t>maternal</w:t>
      </w:r>
      <w:r>
        <w:rPr>
          <w:spacing w:val="-8"/>
        </w:rPr>
        <w:t xml:space="preserve"> </w:t>
      </w:r>
      <w:r>
        <w:t>obesity</w:t>
      </w:r>
      <w:r>
        <w:rPr>
          <w:spacing w:val="-7"/>
        </w:rPr>
        <w:t xml:space="preserve"> </w:t>
      </w:r>
      <w:r>
        <w:t>to</w:t>
      </w:r>
      <w:r>
        <w:rPr>
          <w:spacing w:val="-12"/>
        </w:rPr>
        <w:t xml:space="preserve"> </w:t>
      </w:r>
      <w:r>
        <w:t>improve</w:t>
      </w:r>
      <w:r>
        <w:rPr>
          <w:spacing w:val="-13"/>
        </w:rPr>
        <w:t xml:space="preserve"> </w:t>
      </w:r>
      <w:r>
        <w:t>outcomes</w:t>
      </w:r>
      <w:r>
        <w:rPr>
          <w:spacing w:val="-10"/>
        </w:rPr>
        <w:t xml:space="preserve"> </w:t>
      </w:r>
      <w:r>
        <w:t>is</w:t>
      </w:r>
      <w:r>
        <w:rPr>
          <w:spacing w:val="-10"/>
        </w:rPr>
        <w:t xml:space="preserve"> </w:t>
      </w:r>
      <w:r>
        <w:t>limited</w:t>
      </w:r>
      <w:r>
        <w:rPr>
          <w:spacing w:val="-12"/>
        </w:rPr>
        <w:t xml:space="preserve"> </w:t>
      </w:r>
      <w:r>
        <w:t>to</w:t>
      </w:r>
      <w:r>
        <w:rPr>
          <w:spacing w:val="-12"/>
        </w:rPr>
        <w:t xml:space="preserve"> </w:t>
      </w:r>
      <w:r>
        <w:t>observational</w:t>
      </w:r>
      <w:r>
        <w:rPr>
          <w:spacing w:val="-13"/>
        </w:rPr>
        <w:t xml:space="preserve"> </w:t>
      </w:r>
      <w:r>
        <w:t>data.</w:t>
      </w:r>
      <w:r>
        <w:rPr>
          <w:spacing w:val="-4"/>
        </w:rPr>
        <w:t xml:space="preserve"> </w:t>
      </w:r>
      <w:r>
        <w:t>The</w:t>
      </w:r>
      <w:r>
        <w:rPr>
          <w:spacing w:val="-13"/>
        </w:rPr>
        <w:t xml:space="preserve"> </w:t>
      </w:r>
      <w:r>
        <w:t>panel</w:t>
      </w:r>
      <w:r>
        <w:rPr>
          <w:spacing w:val="-4"/>
        </w:rPr>
        <w:t xml:space="preserve"> </w:t>
      </w:r>
      <w:r>
        <w:t>acknowledges</w:t>
      </w:r>
      <w:r>
        <w:rPr>
          <w:spacing w:val="-2"/>
        </w:rPr>
        <w:t xml:space="preserve"> </w:t>
      </w:r>
      <w:r>
        <w:t>there</w:t>
      </w:r>
      <w:r>
        <w:rPr>
          <w:spacing w:val="-4"/>
        </w:rPr>
        <w:t xml:space="preserve"> </w:t>
      </w:r>
      <w:r>
        <w:t>may</w:t>
      </w:r>
      <w:r>
        <w:rPr>
          <w:spacing w:val="-8"/>
        </w:rPr>
        <w:t xml:space="preserve"> </w:t>
      </w:r>
      <w:r>
        <w:t>be</w:t>
      </w:r>
      <w:r>
        <w:rPr>
          <w:spacing w:val="-9"/>
        </w:rPr>
        <w:t xml:space="preserve"> </w:t>
      </w:r>
      <w:r>
        <w:t>an</w:t>
      </w:r>
      <w:r>
        <w:rPr>
          <w:spacing w:val="-3"/>
        </w:rPr>
        <w:t xml:space="preserve"> </w:t>
      </w:r>
      <w:r>
        <w:t>increased</w:t>
      </w:r>
      <w:r>
        <w:rPr>
          <w:spacing w:val="-4"/>
        </w:rPr>
        <w:t xml:space="preserve"> </w:t>
      </w:r>
      <w:r>
        <w:t>risk</w:t>
      </w:r>
      <w:r>
        <w:rPr>
          <w:spacing w:val="-4"/>
        </w:rPr>
        <w:t xml:space="preserve"> </w:t>
      </w:r>
      <w:r>
        <w:t>of</w:t>
      </w:r>
      <w:r>
        <w:rPr>
          <w:spacing w:val="-7"/>
        </w:rPr>
        <w:t xml:space="preserve"> </w:t>
      </w:r>
      <w:r>
        <w:t>late</w:t>
      </w:r>
      <w:r>
        <w:rPr>
          <w:spacing w:val="-4"/>
        </w:rPr>
        <w:t xml:space="preserve"> </w:t>
      </w:r>
      <w:r>
        <w:t>stillbirth</w:t>
      </w:r>
      <w:r>
        <w:rPr>
          <w:spacing w:val="-3"/>
        </w:rPr>
        <w:t xml:space="preserve"> </w:t>
      </w:r>
      <w:r>
        <w:t>in</w:t>
      </w:r>
      <w:r>
        <w:rPr>
          <w:spacing w:val="-3"/>
        </w:rPr>
        <w:t xml:space="preserve"> </w:t>
      </w:r>
      <w:r>
        <w:t>women</w:t>
      </w:r>
      <w:r>
        <w:rPr>
          <w:spacing w:val="-8"/>
        </w:rPr>
        <w:t xml:space="preserve"> </w:t>
      </w:r>
      <w:r>
        <w:t xml:space="preserve">with obesity in pregnancy identified in observational data. There was no high-quality evidence to confirm the benefits or harms of IOL </w:t>
      </w:r>
      <w:r>
        <w:rPr>
          <w:spacing w:val="2"/>
        </w:rPr>
        <w:t xml:space="preserve">or </w:t>
      </w:r>
      <w:r>
        <w:t>expectant management in women with maternal obesity. Thus the panel considers there is insufficient evidence to recommend IOL when obesity is the only risk</w:t>
      </w:r>
      <w:r>
        <w:rPr>
          <w:spacing w:val="-2"/>
        </w:rPr>
        <w:t xml:space="preserve"> </w:t>
      </w:r>
      <w:r>
        <w:t>factor.</w:t>
      </w:r>
    </w:p>
    <w:p w14:paraId="0DD5BE6C" w14:textId="77777777" w:rsidR="00AC0F19" w:rsidRDefault="00AC0F19" w:rsidP="00763E83"/>
    <w:p w14:paraId="5BF6DD52" w14:textId="77777777" w:rsidR="00AC0F19" w:rsidRDefault="00AC0F19" w:rsidP="00763E83">
      <w:r>
        <w:t xml:space="preserve">There is </w:t>
      </w:r>
      <w:r w:rsidRPr="007555C7">
        <w:t>currently</w:t>
      </w:r>
      <w:r>
        <w:t xml:space="preserve"> insufficient high-quality evidence to make a clear recommendation about IOL for this condition.</w:t>
      </w:r>
    </w:p>
    <w:p w14:paraId="28957373" w14:textId="77777777" w:rsidR="00AC0F19" w:rsidRDefault="00AC0F19" w:rsidP="00763E83"/>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763E83" w14:paraId="68805855" w14:textId="77777777" w:rsidTr="00230FF7">
        <w:trPr>
          <w:cantSplit/>
        </w:trPr>
        <w:tc>
          <w:tcPr>
            <w:tcW w:w="8080" w:type="dxa"/>
            <w:tcBorders>
              <w:top w:val="nil"/>
              <w:left w:val="nil"/>
              <w:bottom w:val="nil"/>
              <w:right w:val="nil"/>
            </w:tcBorders>
            <w:shd w:val="clear" w:color="auto" w:fill="D9D9D9" w:themeFill="background1" w:themeFillShade="D9"/>
          </w:tcPr>
          <w:p w14:paraId="087AC265" w14:textId="77777777" w:rsidR="00763E83" w:rsidRPr="008D53E4" w:rsidRDefault="00763E83" w:rsidP="00230FF7">
            <w:pPr>
              <w:pStyle w:val="TableText"/>
            </w:pPr>
            <w:r w:rsidRPr="00806252">
              <w:rPr>
                <w:b/>
                <w:iCs/>
              </w:rPr>
              <w:t>Practice point</w:t>
            </w:r>
          </w:p>
        </w:tc>
      </w:tr>
      <w:tr w:rsidR="00763E83" w14:paraId="38D353B8" w14:textId="77777777" w:rsidTr="00230FF7">
        <w:trPr>
          <w:cantSplit/>
        </w:trPr>
        <w:tc>
          <w:tcPr>
            <w:tcW w:w="8080" w:type="dxa"/>
            <w:tcBorders>
              <w:top w:val="nil"/>
              <w:left w:val="nil"/>
              <w:bottom w:val="single" w:sz="4" w:space="0" w:color="A6A6A6" w:themeColor="background1" w:themeShade="A6"/>
              <w:right w:val="nil"/>
            </w:tcBorders>
          </w:tcPr>
          <w:p w14:paraId="1EC9A533" w14:textId="77777777" w:rsidR="00763E83" w:rsidRDefault="00B025A7" w:rsidP="00230FF7">
            <w:pPr>
              <w:pStyle w:val="TableBullet"/>
            </w:pPr>
            <w:r w:rsidRPr="007555C7">
              <w:t>For women with maternal obesity, in the absence of other risk factors or pregnancy complications,</w:t>
            </w:r>
            <w:r>
              <w:t xml:space="preserve"> </w:t>
            </w:r>
            <w:r w:rsidRPr="007555C7">
              <w:t xml:space="preserve">do not offer </w:t>
            </w:r>
            <w:r>
              <w:t>IOL</w:t>
            </w:r>
            <w:r w:rsidRPr="007555C7">
              <w:t>.</w:t>
            </w:r>
          </w:p>
        </w:tc>
      </w:tr>
    </w:tbl>
    <w:p w14:paraId="1E3F8A8B" w14:textId="77777777" w:rsidR="00763E83" w:rsidRDefault="00763E83" w:rsidP="00763E83"/>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763E83" w14:paraId="12CA3D9E" w14:textId="77777777" w:rsidTr="00230FF7">
        <w:trPr>
          <w:cantSplit/>
        </w:trPr>
        <w:tc>
          <w:tcPr>
            <w:tcW w:w="8080" w:type="dxa"/>
            <w:tcBorders>
              <w:top w:val="nil"/>
              <w:left w:val="nil"/>
              <w:bottom w:val="nil"/>
              <w:right w:val="nil"/>
            </w:tcBorders>
            <w:shd w:val="clear" w:color="auto" w:fill="D9D9D9" w:themeFill="background1" w:themeFillShade="D9"/>
          </w:tcPr>
          <w:p w14:paraId="06B2C207" w14:textId="77777777" w:rsidR="00763E83" w:rsidRPr="008D53E4" w:rsidRDefault="00763E83" w:rsidP="00230FF7">
            <w:pPr>
              <w:pStyle w:val="TableText"/>
              <w:rPr>
                <w:b/>
              </w:rPr>
            </w:pPr>
            <w:r w:rsidRPr="008D53E4">
              <w:rPr>
                <w:b/>
              </w:rPr>
              <w:t>Research gaps</w:t>
            </w:r>
          </w:p>
        </w:tc>
      </w:tr>
      <w:tr w:rsidR="00B025A7" w14:paraId="5DE24F81" w14:textId="77777777" w:rsidTr="00230FF7">
        <w:trPr>
          <w:cantSplit/>
        </w:trPr>
        <w:tc>
          <w:tcPr>
            <w:tcW w:w="8080" w:type="dxa"/>
            <w:tcBorders>
              <w:top w:val="nil"/>
              <w:left w:val="nil"/>
              <w:bottom w:val="single" w:sz="4" w:space="0" w:color="A6A6A6" w:themeColor="background1" w:themeShade="A6"/>
              <w:right w:val="nil"/>
            </w:tcBorders>
          </w:tcPr>
          <w:p w14:paraId="73AA9D47" w14:textId="77777777" w:rsidR="00B025A7" w:rsidRDefault="00B025A7" w:rsidP="00230FF7">
            <w:pPr>
              <w:pStyle w:val="TableBullet"/>
            </w:pPr>
            <w:r>
              <w:t>For women with maternal obesity, to evaluate the effect of IOL at 39 weeks or at 40 weeks versus expectant management on maternal, perinatal and neonatal outcomes stratified by category of obesity.</w:t>
            </w:r>
          </w:p>
          <w:p w14:paraId="7360A68C" w14:textId="77777777" w:rsidR="00B025A7" w:rsidRDefault="00B025A7" w:rsidP="00230FF7">
            <w:pPr>
              <w:pStyle w:val="TableBullet"/>
            </w:pPr>
            <w:r>
              <w:t>To explore views and preferences of women with maternal obesity regarding IOL as a potential intervention to reduce pregnancy-related complications.</w:t>
            </w:r>
          </w:p>
        </w:tc>
      </w:tr>
    </w:tbl>
    <w:p w14:paraId="4E10F170" w14:textId="77777777" w:rsidR="00763E83" w:rsidRDefault="00763E83" w:rsidP="00B025A7"/>
    <w:p w14:paraId="7B0B2CE7" w14:textId="77777777" w:rsidR="00AC0F19" w:rsidRDefault="00AC0F19" w:rsidP="00B025A7">
      <w:pPr>
        <w:pStyle w:val="Heading2"/>
      </w:pPr>
      <w:bookmarkStart w:id="132" w:name="4.6_Advanced_maternal_age"/>
      <w:bookmarkStart w:id="133" w:name="_bookmark58"/>
      <w:bookmarkStart w:id="134" w:name="_Toc75787985"/>
      <w:bookmarkEnd w:id="132"/>
      <w:bookmarkEnd w:id="133"/>
      <w:r>
        <w:lastRenderedPageBreak/>
        <w:t>Advanced maternal</w:t>
      </w:r>
      <w:r>
        <w:rPr>
          <w:spacing w:val="-2"/>
        </w:rPr>
        <w:t xml:space="preserve"> </w:t>
      </w:r>
      <w:r>
        <w:t>age</w:t>
      </w:r>
      <w:bookmarkEnd w:id="134"/>
    </w:p>
    <w:p w14:paraId="76C6843D" w14:textId="77777777" w:rsidR="00AC0F19" w:rsidRDefault="00AC0F19" w:rsidP="00B025A7">
      <w:r>
        <w:t>One</w:t>
      </w:r>
      <w:r>
        <w:rPr>
          <w:spacing w:val="-14"/>
        </w:rPr>
        <w:t xml:space="preserve"> </w:t>
      </w:r>
      <w:r>
        <w:t>in</w:t>
      </w:r>
      <w:r>
        <w:rPr>
          <w:spacing w:val="-12"/>
        </w:rPr>
        <w:t xml:space="preserve"> </w:t>
      </w:r>
      <w:r>
        <w:t>five</w:t>
      </w:r>
      <w:r>
        <w:rPr>
          <w:spacing w:val="-13"/>
        </w:rPr>
        <w:t xml:space="preserve"> </w:t>
      </w:r>
      <w:r>
        <w:t>women</w:t>
      </w:r>
      <w:r>
        <w:rPr>
          <w:spacing w:val="-7"/>
        </w:rPr>
        <w:t xml:space="preserve"> </w:t>
      </w:r>
      <w:r>
        <w:t>who</w:t>
      </w:r>
      <w:r>
        <w:rPr>
          <w:spacing w:val="-13"/>
        </w:rPr>
        <w:t xml:space="preserve"> </w:t>
      </w:r>
      <w:r>
        <w:t>gave</w:t>
      </w:r>
      <w:r>
        <w:rPr>
          <w:spacing w:val="-13"/>
        </w:rPr>
        <w:t xml:space="preserve"> </w:t>
      </w:r>
      <w:r>
        <w:t>birth</w:t>
      </w:r>
      <w:r>
        <w:rPr>
          <w:spacing w:val="-12"/>
        </w:rPr>
        <w:t xml:space="preserve"> </w:t>
      </w:r>
      <w:r>
        <w:t>in</w:t>
      </w:r>
      <w:r>
        <w:rPr>
          <w:spacing w:val="-12"/>
        </w:rPr>
        <w:t xml:space="preserve"> </w:t>
      </w:r>
      <w:r>
        <w:t>New Zealand</w:t>
      </w:r>
      <w:r>
        <w:rPr>
          <w:spacing w:val="-13"/>
        </w:rPr>
        <w:t xml:space="preserve"> </w:t>
      </w:r>
      <w:r>
        <w:t>in</w:t>
      </w:r>
      <w:r>
        <w:rPr>
          <w:spacing w:val="-12"/>
        </w:rPr>
        <w:t xml:space="preserve"> </w:t>
      </w:r>
      <w:r>
        <w:t>2015</w:t>
      </w:r>
      <w:r>
        <w:rPr>
          <w:spacing w:val="-8"/>
        </w:rPr>
        <w:t xml:space="preserve"> </w:t>
      </w:r>
      <w:r>
        <w:t>was</w:t>
      </w:r>
      <w:r>
        <w:rPr>
          <w:spacing w:val="-10"/>
        </w:rPr>
        <w:t xml:space="preserve"> </w:t>
      </w:r>
      <w:r w:rsidR="00AC29F4">
        <w:t>35 years</w:t>
      </w:r>
      <w:r>
        <w:rPr>
          <w:spacing w:val="-10"/>
        </w:rPr>
        <w:t xml:space="preserve"> </w:t>
      </w:r>
      <w:r>
        <w:t>of</w:t>
      </w:r>
      <w:r>
        <w:rPr>
          <w:spacing w:val="-12"/>
        </w:rPr>
        <w:t xml:space="preserve"> </w:t>
      </w:r>
      <w:r>
        <w:t>age or older</w:t>
      </w:r>
      <w:r>
        <w:rPr>
          <w:spacing w:val="-8"/>
        </w:rPr>
        <w:t xml:space="preserve"> </w:t>
      </w:r>
      <w:r>
        <w:t>(Ministry</w:t>
      </w:r>
      <w:r>
        <w:rPr>
          <w:spacing w:val="-11"/>
        </w:rPr>
        <w:t xml:space="preserve"> </w:t>
      </w:r>
      <w:r>
        <w:t>of</w:t>
      </w:r>
      <w:r>
        <w:rPr>
          <w:spacing w:val="-12"/>
        </w:rPr>
        <w:t xml:space="preserve"> </w:t>
      </w:r>
      <w:r>
        <w:t xml:space="preserve">Health 2019b). Women who are older in pregnancy are at higher risk of pregnancy-related complications, such as diabetes and hypertension. The risk of stillbirth increases slightly for women who are </w:t>
      </w:r>
      <w:r w:rsidR="00AC29F4">
        <w:t>35 years</w:t>
      </w:r>
      <w:r>
        <w:t xml:space="preserve"> of age or older. The PMMRC reported that, in New Zealand in 2016, there was an association between maternal age of </w:t>
      </w:r>
      <w:r w:rsidR="00AC29F4">
        <w:t>40 years</w:t>
      </w:r>
      <w:r>
        <w:t xml:space="preserve"> or older and perinatal death (PMMRC</w:t>
      </w:r>
      <w:r>
        <w:rPr>
          <w:spacing w:val="-4"/>
        </w:rPr>
        <w:t xml:space="preserve"> </w:t>
      </w:r>
      <w:r>
        <w:t>2018).</w:t>
      </w:r>
    </w:p>
    <w:p w14:paraId="38CC0EC6" w14:textId="77777777" w:rsidR="00AC0F19" w:rsidRDefault="00AC0F19" w:rsidP="00B025A7"/>
    <w:p w14:paraId="075F8A17" w14:textId="77777777" w:rsidR="00AC0F19" w:rsidRDefault="00AC0F19" w:rsidP="00B025A7">
      <w:pPr>
        <w:pStyle w:val="Heading3"/>
      </w:pPr>
      <w:bookmarkStart w:id="135" w:name="_bookmark59"/>
      <w:bookmarkEnd w:id="135"/>
      <w:r>
        <w:t>Summary of evidence</w:t>
      </w:r>
    </w:p>
    <w:p w14:paraId="774144C2" w14:textId="77777777" w:rsidR="00AC0F19" w:rsidRDefault="00AC0F19" w:rsidP="00B025A7">
      <w:r>
        <w:t>One RCT and an individual participant data (IPD) meta-analysis were identified.</w:t>
      </w:r>
    </w:p>
    <w:p w14:paraId="1DF7AD5B" w14:textId="77777777" w:rsidR="00AC0F19" w:rsidRDefault="00AC0F19" w:rsidP="00B025A7"/>
    <w:p w14:paraId="41C23EAC" w14:textId="77777777" w:rsidR="00AC0F19" w:rsidRDefault="00AC0F19" w:rsidP="00B025A7">
      <w:r>
        <w:t xml:space="preserve">An open-label RCT of 619 primigravida aged </w:t>
      </w:r>
      <w:r w:rsidR="00AC29F4">
        <w:t>35 years</w:t>
      </w:r>
      <w:r>
        <w:t xml:space="preserve"> or older compared IOL with</w:t>
      </w:r>
      <w:r>
        <w:rPr>
          <w:spacing w:val="22"/>
        </w:rPr>
        <w:t xml:space="preserve"> </w:t>
      </w:r>
      <w:r>
        <w:t>expectant management</w:t>
      </w:r>
      <w:r>
        <w:rPr>
          <w:spacing w:val="-8"/>
        </w:rPr>
        <w:t xml:space="preserve"> </w:t>
      </w:r>
      <w:r>
        <w:t>(Walker</w:t>
      </w:r>
      <w:r>
        <w:rPr>
          <w:spacing w:val="-11"/>
        </w:rPr>
        <w:t xml:space="preserve"> </w:t>
      </w:r>
      <w:r w:rsidR="000F3C98">
        <w:rPr>
          <w:spacing w:val="-11"/>
        </w:rPr>
        <w:t>et al</w:t>
      </w:r>
      <w:r>
        <w:rPr>
          <w:spacing w:val="-11"/>
        </w:rPr>
        <w:t xml:space="preserve"> </w:t>
      </w:r>
      <w:r>
        <w:t>2016a).</w:t>
      </w:r>
      <w:r>
        <w:rPr>
          <w:spacing w:val="-10"/>
        </w:rPr>
        <w:t xml:space="preserve"> </w:t>
      </w:r>
      <w:r>
        <w:t>The</w:t>
      </w:r>
      <w:r>
        <w:rPr>
          <w:spacing w:val="-13"/>
        </w:rPr>
        <w:t xml:space="preserve"> </w:t>
      </w:r>
      <w:r>
        <w:t>intervention</w:t>
      </w:r>
      <w:r>
        <w:rPr>
          <w:spacing w:val="-7"/>
        </w:rPr>
        <w:t xml:space="preserve"> </w:t>
      </w:r>
      <w:r>
        <w:t>was</w:t>
      </w:r>
      <w:r>
        <w:rPr>
          <w:spacing w:val="-5"/>
        </w:rPr>
        <w:t xml:space="preserve"> </w:t>
      </w:r>
      <w:r>
        <w:t>IOL</w:t>
      </w:r>
      <w:r>
        <w:rPr>
          <w:spacing w:val="-12"/>
        </w:rPr>
        <w:t xml:space="preserve"> </w:t>
      </w:r>
      <w:r>
        <w:t>at</w:t>
      </w:r>
      <w:r>
        <w:rPr>
          <w:spacing w:val="-13"/>
        </w:rPr>
        <w:t xml:space="preserve"> </w:t>
      </w:r>
      <w:r>
        <w:t>39</w:t>
      </w:r>
      <w:r>
        <w:rPr>
          <w:spacing w:val="-7"/>
        </w:rPr>
        <w:t>–</w:t>
      </w:r>
      <w:r>
        <w:t>39+6</w:t>
      </w:r>
      <w:r>
        <w:rPr>
          <w:spacing w:val="-12"/>
        </w:rPr>
        <w:t xml:space="preserve"> </w:t>
      </w:r>
      <w:r>
        <w:t>weeks</w:t>
      </w:r>
      <w:r w:rsidR="00B0606D">
        <w:t>’</w:t>
      </w:r>
      <w:r>
        <w:rPr>
          <w:spacing w:val="-10"/>
        </w:rPr>
        <w:t xml:space="preserve"> </w:t>
      </w:r>
      <w:r>
        <w:t>gestation,</w:t>
      </w:r>
      <w:r>
        <w:rPr>
          <w:spacing w:val="-7"/>
        </w:rPr>
        <w:t xml:space="preserve"> </w:t>
      </w:r>
      <w:r>
        <w:t xml:space="preserve">and the control was expectant management defined as waiting for spontaneous labour (unless a situation developed requiring IOL earlier) with IOL offered between </w:t>
      </w:r>
      <w:r w:rsidR="00EB43A9">
        <w:t>41 weeks</w:t>
      </w:r>
      <w:r>
        <w:t xml:space="preserve"> and </w:t>
      </w:r>
      <w:r w:rsidR="00EB43A9">
        <w:t>42 weeks</w:t>
      </w:r>
      <w:r w:rsidR="00B0606D">
        <w:t>’</w:t>
      </w:r>
      <w:r>
        <w:t xml:space="preserve"> gestation. There was no difference between groups for the primary outcome of caesarean section (32% IOL, 33% expectant management; </w:t>
      </w:r>
      <w:r w:rsidR="00230FF7">
        <w:t>RR </w:t>
      </w:r>
      <w:r>
        <w:t xml:space="preserve">1.30, 95%CI 0.96–1.77). There were no maternal or infant </w:t>
      </w:r>
      <w:r w:rsidRPr="007555C7">
        <w:t>deaths</w:t>
      </w:r>
      <w:r>
        <w:t>. There was no difference between groups for NICU admission (</w:t>
      </w:r>
      <w:r w:rsidR="00230FF7">
        <w:t>RR </w:t>
      </w:r>
      <w:r>
        <w:t>0.80, 95%CI</w:t>
      </w:r>
      <w:r w:rsidR="00B025A7">
        <w:br/>
      </w:r>
      <w:r>
        <w:t>0.26–3.06). The authors concluded that IOL at 39–39+6 weeks</w:t>
      </w:r>
      <w:r w:rsidR="00B0606D">
        <w:t>’</w:t>
      </w:r>
      <w:r>
        <w:t xml:space="preserve"> gestation had no effect on caesarean section. The trial was not powered to detect a difference in perinatal death. Eighty-three</w:t>
      </w:r>
      <w:r w:rsidR="006F7C71">
        <w:t>%</w:t>
      </w:r>
      <w:r>
        <w:t xml:space="preserve"> of participants returned the Childbirth Experience Questionnaire, which showed no difference in experience between IOL and expectant management.</w:t>
      </w:r>
    </w:p>
    <w:p w14:paraId="53EB1251" w14:textId="77777777" w:rsidR="00AC0F19" w:rsidRDefault="00AC0F19" w:rsidP="00B025A7"/>
    <w:p w14:paraId="7C2A925A" w14:textId="77777777" w:rsidR="00AC0F19" w:rsidRDefault="00AC0F19" w:rsidP="00B025A7">
      <w:r>
        <w:t xml:space="preserve">Walker </w:t>
      </w:r>
      <w:r w:rsidR="000F3C98">
        <w:t>et al</w:t>
      </w:r>
      <w:r>
        <w:t xml:space="preserve"> (2016b) reported on an IPD meta-analysis of RCTs that compared IOL at term with expectant management (singleton or multiple pregnancy) where caesarean section was the primary outcome. The authors reported data for women aged </w:t>
      </w:r>
      <w:r w:rsidR="00AC29F4">
        <w:t>35 years</w:t>
      </w:r>
      <w:r>
        <w:t xml:space="preserve"> or older. Only 5 of 31 identified trials agreed to participate in the IPD, and data from 2,526 women were included. There was no evidence of a difference between groups for the risk of caesarean section (odds ratio (OR) 1.2; 95%CI 0.74–2.0; 5 trials; 2,526 participants; high quality). There were no perinatal deaths. The authors concluded that IOL in women </w:t>
      </w:r>
      <w:r w:rsidR="00AC29F4">
        <w:t>35 years</w:t>
      </w:r>
      <w:r>
        <w:t xml:space="preserve"> or older had no effect on the risk of caesarean section. They did not report on maternal satisfaction.</w:t>
      </w:r>
    </w:p>
    <w:p w14:paraId="083D7A3D" w14:textId="77777777" w:rsidR="00AC0F19" w:rsidRDefault="00AC0F19" w:rsidP="00B025A7"/>
    <w:p w14:paraId="39872D3C" w14:textId="77777777" w:rsidR="00AC0F19" w:rsidRDefault="00AC0F19" w:rsidP="00AC29F4">
      <w:pPr>
        <w:pStyle w:val="Heading3"/>
      </w:pPr>
      <w:bookmarkStart w:id="136" w:name="_bookmark60"/>
      <w:bookmarkEnd w:id="136"/>
      <w:r>
        <w:lastRenderedPageBreak/>
        <w:t>Discussion</w:t>
      </w:r>
    </w:p>
    <w:p w14:paraId="11DF1DAF" w14:textId="77777777" w:rsidR="00AC0F19" w:rsidRDefault="00AC0F19" w:rsidP="00C90D40">
      <w:pPr>
        <w:keepNext/>
        <w:keepLines/>
      </w:pPr>
      <w:r>
        <w:t>There</w:t>
      </w:r>
      <w:r>
        <w:rPr>
          <w:spacing w:val="-9"/>
        </w:rPr>
        <w:t xml:space="preserve"> </w:t>
      </w:r>
      <w:r>
        <w:t>is</w:t>
      </w:r>
      <w:r>
        <w:rPr>
          <w:spacing w:val="-5"/>
        </w:rPr>
        <w:t xml:space="preserve"> </w:t>
      </w:r>
      <w:r>
        <w:t>limited</w:t>
      </w:r>
      <w:r>
        <w:rPr>
          <w:spacing w:val="-8"/>
        </w:rPr>
        <w:t xml:space="preserve"> </w:t>
      </w:r>
      <w:r>
        <w:t>evidence</w:t>
      </w:r>
      <w:r>
        <w:rPr>
          <w:spacing w:val="-8"/>
        </w:rPr>
        <w:t xml:space="preserve"> </w:t>
      </w:r>
      <w:r>
        <w:t>for</w:t>
      </w:r>
      <w:r>
        <w:rPr>
          <w:spacing w:val="-7"/>
        </w:rPr>
        <w:t xml:space="preserve"> </w:t>
      </w:r>
      <w:r>
        <w:t>IOL</w:t>
      </w:r>
      <w:r>
        <w:rPr>
          <w:spacing w:val="-8"/>
        </w:rPr>
        <w:t xml:space="preserve"> </w:t>
      </w:r>
      <w:r>
        <w:t>solely</w:t>
      </w:r>
      <w:r>
        <w:rPr>
          <w:spacing w:val="-8"/>
        </w:rPr>
        <w:t xml:space="preserve"> </w:t>
      </w:r>
      <w:r>
        <w:t>for</w:t>
      </w:r>
      <w:r>
        <w:rPr>
          <w:spacing w:val="-6"/>
        </w:rPr>
        <w:t xml:space="preserve"> </w:t>
      </w:r>
      <w:r>
        <w:t>advanced</w:t>
      </w:r>
      <w:r>
        <w:rPr>
          <w:spacing w:val="-8"/>
        </w:rPr>
        <w:t xml:space="preserve"> </w:t>
      </w:r>
      <w:r>
        <w:t>maternal</w:t>
      </w:r>
      <w:r>
        <w:rPr>
          <w:spacing w:val="-8"/>
        </w:rPr>
        <w:t xml:space="preserve"> </w:t>
      </w:r>
      <w:r>
        <w:t>age.</w:t>
      </w:r>
      <w:r>
        <w:rPr>
          <w:spacing w:val="-7"/>
        </w:rPr>
        <w:t xml:space="preserve"> </w:t>
      </w:r>
      <w:r>
        <w:t>There</w:t>
      </w:r>
      <w:r>
        <w:rPr>
          <w:spacing w:val="-9"/>
        </w:rPr>
        <w:t xml:space="preserve"> </w:t>
      </w:r>
      <w:r>
        <w:t>was</w:t>
      </w:r>
      <w:r>
        <w:rPr>
          <w:spacing w:val="-5"/>
        </w:rPr>
        <w:t xml:space="preserve"> </w:t>
      </w:r>
      <w:r>
        <w:t>no</w:t>
      </w:r>
      <w:r>
        <w:rPr>
          <w:spacing w:val="-8"/>
        </w:rPr>
        <w:t xml:space="preserve"> </w:t>
      </w:r>
      <w:r>
        <w:t xml:space="preserve">high-quality evidence from large RCTs to confirm the benefits or harms of IOL or expectant management in women of advanced maternal age. Women who are older may experience defensiveness or anxiety in their pregnancies. To support shared decision-making, inform women of the potential pregnancy complications in women aged </w:t>
      </w:r>
      <w:r w:rsidR="00AC29F4">
        <w:t>35 years</w:t>
      </w:r>
      <w:r>
        <w:t xml:space="preserve"> or older, the association found in the PMMRC data on perinatal mortality in women aged </w:t>
      </w:r>
      <w:r w:rsidR="00AC29F4">
        <w:t>40 years</w:t>
      </w:r>
      <w:r>
        <w:t xml:space="preserve"> or older and the lack of evidence to support IOL for age alone to improve adverse</w:t>
      </w:r>
      <w:r>
        <w:rPr>
          <w:spacing w:val="-5"/>
        </w:rPr>
        <w:t xml:space="preserve"> </w:t>
      </w:r>
      <w:r>
        <w:t>outcomes.</w:t>
      </w:r>
    </w:p>
    <w:p w14:paraId="37826F9B" w14:textId="77777777" w:rsidR="00AC0F19" w:rsidRDefault="00AC0F19" w:rsidP="00AC29F4"/>
    <w:p w14:paraId="22006D85" w14:textId="77777777" w:rsidR="00AC0F19" w:rsidRDefault="00AC0F19" w:rsidP="00AC29F4">
      <w:r>
        <w:t>There is currently insufficient high-quality evidence to make a clear recommendation about IOL for this condition.</w:t>
      </w:r>
    </w:p>
    <w:p w14:paraId="0576437D" w14:textId="77777777" w:rsidR="00AC0F19" w:rsidRDefault="00AC0F19" w:rsidP="00AC29F4"/>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356D9094" w14:textId="77777777" w:rsidTr="00230FF7">
        <w:trPr>
          <w:cantSplit/>
        </w:trPr>
        <w:tc>
          <w:tcPr>
            <w:tcW w:w="8080" w:type="dxa"/>
            <w:tcBorders>
              <w:top w:val="nil"/>
              <w:left w:val="nil"/>
              <w:bottom w:val="nil"/>
              <w:right w:val="nil"/>
            </w:tcBorders>
            <w:shd w:val="clear" w:color="auto" w:fill="D9D9D9" w:themeFill="background1" w:themeFillShade="D9"/>
          </w:tcPr>
          <w:p w14:paraId="2507C06B" w14:textId="77777777" w:rsidR="00D2284E" w:rsidRPr="008D53E4" w:rsidRDefault="00D2284E" w:rsidP="00230FF7">
            <w:pPr>
              <w:pStyle w:val="TableText"/>
            </w:pPr>
            <w:r w:rsidRPr="00806252">
              <w:rPr>
                <w:b/>
                <w:iCs/>
              </w:rPr>
              <w:t>Practice point</w:t>
            </w:r>
          </w:p>
        </w:tc>
      </w:tr>
      <w:tr w:rsidR="00D2284E" w14:paraId="6F43923B" w14:textId="77777777" w:rsidTr="00230FF7">
        <w:trPr>
          <w:cantSplit/>
        </w:trPr>
        <w:tc>
          <w:tcPr>
            <w:tcW w:w="8080" w:type="dxa"/>
            <w:tcBorders>
              <w:top w:val="nil"/>
              <w:left w:val="nil"/>
              <w:bottom w:val="single" w:sz="4" w:space="0" w:color="A6A6A6" w:themeColor="background1" w:themeShade="A6"/>
              <w:right w:val="nil"/>
            </w:tcBorders>
          </w:tcPr>
          <w:p w14:paraId="47505116" w14:textId="77777777" w:rsidR="00D2284E" w:rsidRDefault="00AC29F4" w:rsidP="00230FF7">
            <w:pPr>
              <w:pStyle w:val="TableBullet"/>
            </w:pPr>
            <w:r w:rsidRPr="007555C7">
              <w:t>For women age</w:t>
            </w:r>
            <w:r>
              <w:t>d</w:t>
            </w:r>
            <w:r w:rsidRPr="007555C7">
              <w:t xml:space="preserve"> </w:t>
            </w:r>
            <w:r>
              <w:t>40 years</w:t>
            </w:r>
            <w:r w:rsidRPr="007555C7">
              <w:t xml:space="preserve"> and over, consider offering IOL at around </w:t>
            </w:r>
            <w:r>
              <w:t>40 weeks’</w:t>
            </w:r>
            <w:r w:rsidRPr="007555C7">
              <w:t xml:space="preserve"> gestation.</w:t>
            </w:r>
          </w:p>
        </w:tc>
      </w:tr>
    </w:tbl>
    <w:p w14:paraId="0E4DC817"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3467BFE1" w14:textId="77777777" w:rsidTr="00230FF7">
        <w:trPr>
          <w:cantSplit/>
        </w:trPr>
        <w:tc>
          <w:tcPr>
            <w:tcW w:w="8080" w:type="dxa"/>
            <w:tcBorders>
              <w:top w:val="nil"/>
              <w:left w:val="nil"/>
              <w:bottom w:val="nil"/>
              <w:right w:val="nil"/>
            </w:tcBorders>
            <w:shd w:val="clear" w:color="auto" w:fill="D9D9D9" w:themeFill="background1" w:themeFillShade="D9"/>
          </w:tcPr>
          <w:p w14:paraId="5901C823" w14:textId="77777777" w:rsidR="00D2284E" w:rsidRPr="008D53E4" w:rsidRDefault="00D2284E" w:rsidP="00230FF7">
            <w:pPr>
              <w:pStyle w:val="TableText"/>
              <w:rPr>
                <w:b/>
              </w:rPr>
            </w:pPr>
            <w:r w:rsidRPr="008D53E4">
              <w:rPr>
                <w:b/>
              </w:rPr>
              <w:t>Research gaps</w:t>
            </w:r>
          </w:p>
        </w:tc>
      </w:tr>
      <w:tr w:rsidR="00D2284E" w14:paraId="29FE1C8D" w14:textId="77777777" w:rsidTr="00230FF7">
        <w:trPr>
          <w:cantSplit/>
        </w:trPr>
        <w:tc>
          <w:tcPr>
            <w:tcW w:w="8080" w:type="dxa"/>
            <w:tcBorders>
              <w:top w:val="nil"/>
              <w:left w:val="nil"/>
              <w:bottom w:val="single" w:sz="4" w:space="0" w:color="A6A6A6" w:themeColor="background1" w:themeShade="A6"/>
              <w:right w:val="nil"/>
            </w:tcBorders>
          </w:tcPr>
          <w:p w14:paraId="0B38FA6D" w14:textId="77777777" w:rsidR="00AC29F4" w:rsidRDefault="00AC29F4" w:rsidP="00AC29F4">
            <w:pPr>
              <w:pStyle w:val="TableBullet"/>
            </w:pPr>
            <w:r>
              <w:t>For women with advanced maternal age, to evaluate the effect of IOL at 39 weeks or at 40 weeks versus expectant management on maternal, perinatal and neonatal outcomes.</w:t>
            </w:r>
          </w:p>
          <w:p w14:paraId="23EBD95A" w14:textId="77777777" w:rsidR="00D2284E" w:rsidRDefault="00AC29F4" w:rsidP="00AC29F4">
            <w:pPr>
              <w:pStyle w:val="TableBullet"/>
            </w:pPr>
            <w:r>
              <w:t>To explore perspectives and experiences of women with advanced maternal age regarding IOL as a potential intervention to reduce pregnancy-related complications.</w:t>
            </w:r>
          </w:p>
        </w:tc>
      </w:tr>
    </w:tbl>
    <w:p w14:paraId="149A124F" w14:textId="77777777" w:rsidR="00D2284E" w:rsidRDefault="00D2284E" w:rsidP="00AC29F4"/>
    <w:p w14:paraId="75BD264E" w14:textId="77777777" w:rsidR="00AC0F19" w:rsidRDefault="00AC0F19" w:rsidP="003A4BD4">
      <w:pPr>
        <w:pStyle w:val="Heading2"/>
      </w:pPr>
      <w:bookmarkStart w:id="137" w:name="4.7_Reduced_fetal_movements"/>
      <w:bookmarkStart w:id="138" w:name="_bookmark61"/>
      <w:bookmarkStart w:id="139" w:name="_Toc75787986"/>
      <w:bookmarkEnd w:id="137"/>
      <w:bookmarkEnd w:id="138"/>
      <w:r w:rsidRPr="007555C7">
        <w:t>Reduced</w:t>
      </w:r>
      <w:r>
        <w:t xml:space="preserve"> fetal</w:t>
      </w:r>
      <w:r>
        <w:rPr>
          <w:spacing w:val="-6"/>
        </w:rPr>
        <w:t xml:space="preserve"> </w:t>
      </w:r>
      <w:r>
        <w:t>movements</w:t>
      </w:r>
      <w:bookmarkEnd w:id="139"/>
    </w:p>
    <w:p w14:paraId="747374B8" w14:textId="77777777" w:rsidR="00AC0F19" w:rsidRDefault="00AC0F19" w:rsidP="003A4BD4">
      <w:r>
        <w:t xml:space="preserve">Approximately 1 in 10 women contact their health care provider due to concern about reduced fetal movements (RFM) during the third trimester (Gardener </w:t>
      </w:r>
      <w:r w:rsidR="000F3C98">
        <w:t>et al</w:t>
      </w:r>
      <w:r>
        <w:t xml:space="preserve"> 2017). Maternal perception</w:t>
      </w:r>
      <w:r>
        <w:rPr>
          <w:spacing w:val="-15"/>
        </w:rPr>
        <w:t xml:space="preserve"> </w:t>
      </w:r>
      <w:r>
        <w:t>of</w:t>
      </w:r>
      <w:r>
        <w:rPr>
          <w:spacing w:val="-13"/>
        </w:rPr>
        <w:t xml:space="preserve"> </w:t>
      </w:r>
      <w:r w:rsidRPr="007555C7">
        <w:t>fetal</w:t>
      </w:r>
      <w:r>
        <w:rPr>
          <w:spacing w:val="-15"/>
        </w:rPr>
        <w:t xml:space="preserve"> </w:t>
      </w:r>
      <w:r>
        <w:t>movement</w:t>
      </w:r>
      <w:r>
        <w:rPr>
          <w:spacing w:val="-15"/>
        </w:rPr>
        <w:t xml:space="preserve"> </w:t>
      </w:r>
      <w:r>
        <w:t>has</w:t>
      </w:r>
      <w:r>
        <w:rPr>
          <w:spacing w:val="-13"/>
        </w:rPr>
        <w:t xml:space="preserve"> </w:t>
      </w:r>
      <w:r>
        <w:t>long</w:t>
      </w:r>
      <w:r>
        <w:rPr>
          <w:spacing w:val="-14"/>
        </w:rPr>
        <w:t xml:space="preserve"> </w:t>
      </w:r>
      <w:r>
        <w:t>been</w:t>
      </w:r>
      <w:r>
        <w:rPr>
          <w:spacing w:val="-14"/>
        </w:rPr>
        <w:t xml:space="preserve"> </w:t>
      </w:r>
      <w:r>
        <w:t>used</w:t>
      </w:r>
      <w:r>
        <w:rPr>
          <w:spacing w:val="-14"/>
        </w:rPr>
        <w:t xml:space="preserve"> </w:t>
      </w:r>
      <w:r>
        <w:t>as</w:t>
      </w:r>
      <w:r>
        <w:rPr>
          <w:spacing w:val="-12"/>
        </w:rPr>
        <w:t xml:space="preserve"> </w:t>
      </w:r>
      <w:r>
        <w:t>an</w:t>
      </w:r>
      <w:r>
        <w:rPr>
          <w:spacing w:val="-15"/>
        </w:rPr>
        <w:t xml:space="preserve"> </w:t>
      </w:r>
      <w:r>
        <w:t>indicator</w:t>
      </w:r>
      <w:r>
        <w:rPr>
          <w:spacing w:val="-13"/>
        </w:rPr>
        <w:t xml:space="preserve"> </w:t>
      </w:r>
      <w:r>
        <w:t>of</w:t>
      </w:r>
      <w:r>
        <w:rPr>
          <w:spacing w:val="-13"/>
        </w:rPr>
        <w:t xml:space="preserve"> </w:t>
      </w:r>
      <w:r>
        <w:t>fetal</w:t>
      </w:r>
      <w:r>
        <w:rPr>
          <w:spacing w:val="-15"/>
        </w:rPr>
        <w:t xml:space="preserve"> </w:t>
      </w:r>
      <w:r>
        <w:t>wellbeing and</w:t>
      </w:r>
      <w:r>
        <w:rPr>
          <w:spacing w:val="-14"/>
        </w:rPr>
        <w:t xml:space="preserve"> </w:t>
      </w:r>
      <w:r>
        <w:t xml:space="preserve">reduced or decreased fetal movement is associated with adverse perinatal outcomes (Gardener </w:t>
      </w:r>
      <w:r w:rsidR="000F3C98">
        <w:t>et al</w:t>
      </w:r>
      <w:r>
        <w:rPr>
          <w:spacing w:val="-27"/>
        </w:rPr>
        <w:t xml:space="preserve"> </w:t>
      </w:r>
      <w:r>
        <w:t>2017).</w:t>
      </w:r>
    </w:p>
    <w:p w14:paraId="0C51B6C0" w14:textId="77777777" w:rsidR="00AC0F19" w:rsidRDefault="00AC0F19" w:rsidP="003A4BD4"/>
    <w:p w14:paraId="35DC99A0" w14:textId="77777777" w:rsidR="00AC0F19" w:rsidRDefault="00AC0F19" w:rsidP="003A4BD4">
      <w:pPr>
        <w:pStyle w:val="Heading3"/>
      </w:pPr>
      <w:bookmarkStart w:id="140" w:name="_bookmark62"/>
      <w:bookmarkEnd w:id="140"/>
      <w:r>
        <w:t>Summary of evidence</w:t>
      </w:r>
    </w:p>
    <w:p w14:paraId="6AFE599A" w14:textId="77777777" w:rsidR="00AC0F19" w:rsidRDefault="00AC0F19" w:rsidP="003A4BD4">
      <w:r>
        <w:t>One RCT was identified evaluating IOL as part of a care package aimed at reducing stillbirth. A stepped-wedge cluster-randomised trial (AFFIRM) was undertaken in the United Kingdom and Ireland, evaluating</w:t>
      </w:r>
      <w:r>
        <w:rPr>
          <w:spacing w:val="-9"/>
        </w:rPr>
        <w:t xml:space="preserve"> </w:t>
      </w:r>
      <w:r>
        <w:t>a</w:t>
      </w:r>
      <w:r>
        <w:rPr>
          <w:spacing w:val="-9"/>
        </w:rPr>
        <w:t xml:space="preserve"> </w:t>
      </w:r>
      <w:r>
        <w:t>RFM</w:t>
      </w:r>
      <w:r>
        <w:rPr>
          <w:spacing w:val="-6"/>
        </w:rPr>
        <w:t xml:space="preserve"> </w:t>
      </w:r>
      <w:r>
        <w:t>care</w:t>
      </w:r>
      <w:r>
        <w:rPr>
          <w:spacing w:val="-9"/>
        </w:rPr>
        <w:t xml:space="preserve"> </w:t>
      </w:r>
      <w:r>
        <w:t>package</w:t>
      </w:r>
      <w:r>
        <w:rPr>
          <w:spacing w:val="-4"/>
        </w:rPr>
        <w:t xml:space="preserve"> </w:t>
      </w:r>
      <w:r>
        <w:t>compared</w:t>
      </w:r>
      <w:r>
        <w:rPr>
          <w:spacing w:val="-8"/>
        </w:rPr>
        <w:t xml:space="preserve"> </w:t>
      </w:r>
      <w:r>
        <w:t>with</w:t>
      </w:r>
      <w:r>
        <w:rPr>
          <w:spacing w:val="-9"/>
        </w:rPr>
        <w:t xml:space="preserve"> </w:t>
      </w:r>
      <w:r>
        <w:t>usual</w:t>
      </w:r>
      <w:r>
        <w:rPr>
          <w:spacing w:val="-9"/>
        </w:rPr>
        <w:t xml:space="preserve"> </w:t>
      </w:r>
      <w:r>
        <w:t>care</w:t>
      </w:r>
      <w:r>
        <w:rPr>
          <w:spacing w:val="-9"/>
        </w:rPr>
        <w:t xml:space="preserve"> </w:t>
      </w:r>
      <w:r>
        <w:t>across</w:t>
      </w:r>
      <w:r>
        <w:rPr>
          <w:spacing w:val="-6"/>
        </w:rPr>
        <w:t xml:space="preserve"> </w:t>
      </w:r>
      <w:r>
        <w:t>33</w:t>
      </w:r>
      <w:r>
        <w:rPr>
          <w:spacing w:val="-8"/>
        </w:rPr>
        <w:t xml:space="preserve"> </w:t>
      </w:r>
      <w:r>
        <w:t>maternity</w:t>
      </w:r>
      <w:r>
        <w:rPr>
          <w:spacing w:val="-8"/>
        </w:rPr>
        <w:t xml:space="preserve"> </w:t>
      </w:r>
      <w:r>
        <w:t>hospitals</w:t>
      </w:r>
      <w:r>
        <w:rPr>
          <w:spacing w:val="-6"/>
        </w:rPr>
        <w:t xml:space="preserve"> </w:t>
      </w:r>
      <w:r>
        <w:t xml:space="preserve">(Norman </w:t>
      </w:r>
      <w:r w:rsidR="000F3C98">
        <w:t>et al</w:t>
      </w:r>
      <w:r>
        <w:t xml:space="preserve"> 2018). The intervention included an e</w:t>
      </w:r>
      <w:r w:rsidR="003A4BD4">
        <w:noBreakHyphen/>
      </w:r>
      <w:r>
        <w:t xml:space="preserve">learning package for clinicians, a leaflet for pregnant women distributed around </w:t>
      </w:r>
      <w:r w:rsidR="003A4BD4">
        <w:t>20 weeks</w:t>
      </w:r>
      <w:r w:rsidR="00B0606D">
        <w:t>’</w:t>
      </w:r>
      <w:r>
        <w:t xml:space="preserve"> gestation and a standardised management protocol</w:t>
      </w:r>
      <w:r>
        <w:rPr>
          <w:spacing w:val="-14"/>
        </w:rPr>
        <w:t xml:space="preserve"> </w:t>
      </w:r>
      <w:r>
        <w:t>for</w:t>
      </w:r>
      <w:r>
        <w:rPr>
          <w:spacing w:val="-12"/>
        </w:rPr>
        <w:t xml:space="preserve"> </w:t>
      </w:r>
      <w:r>
        <w:t>women</w:t>
      </w:r>
      <w:r>
        <w:rPr>
          <w:spacing w:val="-13"/>
        </w:rPr>
        <w:t xml:space="preserve"> </w:t>
      </w:r>
      <w:r>
        <w:t>presenting</w:t>
      </w:r>
      <w:r>
        <w:rPr>
          <w:spacing w:val="-13"/>
        </w:rPr>
        <w:t xml:space="preserve"> </w:t>
      </w:r>
      <w:r>
        <w:t>with</w:t>
      </w:r>
      <w:r>
        <w:rPr>
          <w:spacing w:val="-13"/>
        </w:rPr>
        <w:t xml:space="preserve"> </w:t>
      </w:r>
      <w:r>
        <w:t>RFM</w:t>
      </w:r>
      <w:r>
        <w:rPr>
          <w:spacing w:val="-11"/>
        </w:rPr>
        <w:t xml:space="preserve"> </w:t>
      </w:r>
      <w:r>
        <w:t>from</w:t>
      </w:r>
      <w:r>
        <w:rPr>
          <w:spacing w:val="-14"/>
        </w:rPr>
        <w:t xml:space="preserve"> </w:t>
      </w:r>
      <w:r w:rsidR="003A4BD4">
        <w:t>24 weeks</w:t>
      </w:r>
      <w:r w:rsidR="00B0606D">
        <w:t>’</w:t>
      </w:r>
      <w:r>
        <w:rPr>
          <w:spacing w:val="-12"/>
        </w:rPr>
        <w:t xml:space="preserve"> </w:t>
      </w:r>
      <w:r>
        <w:t>gestation.</w:t>
      </w:r>
      <w:r>
        <w:rPr>
          <w:spacing w:val="-13"/>
        </w:rPr>
        <w:t xml:space="preserve"> </w:t>
      </w:r>
      <w:r>
        <w:t>The</w:t>
      </w:r>
      <w:r>
        <w:rPr>
          <w:spacing w:val="-14"/>
        </w:rPr>
        <w:t xml:space="preserve"> </w:t>
      </w:r>
      <w:r>
        <w:t>management</w:t>
      </w:r>
      <w:r>
        <w:rPr>
          <w:spacing w:val="-14"/>
        </w:rPr>
        <w:t xml:space="preserve"> </w:t>
      </w:r>
      <w:r>
        <w:t>protocol included assessment (CTG within 2</w:t>
      </w:r>
      <w:r w:rsidR="003A4BD4">
        <w:t> </w:t>
      </w:r>
      <w:r>
        <w:t xml:space="preserve">hours of presentation, measurement of liquor volume within </w:t>
      </w:r>
      <w:r w:rsidR="003A4BD4">
        <w:t>12 hours</w:t>
      </w:r>
      <w:r>
        <w:t xml:space="preserve"> and a growth scan the next working day) and planned birth at </w:t>
      </w:r>
      <w:r w:rsidR="00EB43A9">
        <w:t>37 weeks</w:t>
      </w:r>
      <w:r w:rsidR="00B0606D">
        <w:t>’</w:t>
      </w:r>
      <w:r>
        <w:t xml:space="preserve"> gestation or more if any of the above results were abnormal (EFW </w:t>
      </w:r>
      <w:r w:rsidR="00436939">
        <w:t>&lt;</w:t>
      </w:r>
      <w:r>
        <w:t xml:space="preserve">10th centile, AC </w:t>
      </w:r>
      <w:r w:rsidR="00436939">
        <w:t>&lt;</w:t>
      </w:r>
      <w:r>
        <w:t xml:space="preserve">10th centile, deepest liquor pool </w:t>
      </w:r>
      <w:r w:rsidR="00436939">
        <w:t>&lt;</w:t>
      </w:r>
      <w:r>
        <w:t>2</w:t>
      </w:r>
      <w:r w:rsidR="003A4BD4">
        <w:t> </w:t>
      </w:r>
      <w:r>
        <w:t>cm, abnormal CTG) or recurrent RFM. The intervention was compared</w:t>
      </w:r>
      <w:r>
        <w:rPr>
          <w:spacing w:val="-3"/>
        </w:rPr>
        <w:t xml:space="preserve"> </w:t>
      </w:r>
      <w:r>
        <w:t>with</w:t>
      </w:r>
      <w:r>
        <w:rPr>
          <w:spacing w:val="-8"/>
        </w:rPr>
        <w:t xml:space="preserve"> </w:t>
      </w:r>
      <w:r>
        <w:t>a</w:t>
      </w:r>
      <w:r>
        <w:rPr>
          <w:spacing w:val="-3"/>
        </w:rPr>
        <w:t xml:space="preserve"> </w:t>
      </w:r>
      <w:r>
        <w:t>period</w:t>
      </w:r>
      <w:r>
        <w:rPr>
          <w:spacing w:val="-3"/>
        </w:rPr>
        <w:t xml:space="preserve"> </w:t>
      </w:r>
      <w:r>
        <w:t>of</w:t>
      </w:r>
      <w:r>
        <w:rPr>
          <w:spacing w:val="-7"/>
        </w:rPr>
        <w:t xml:space="preserve"> </w:t>
      </w:r>
      <w:r>
        <w:t>usual</w:t>
      </w:r>
      <w:r>
        <w:rPr>
          <w:spacing w:val="-3"/>
        </w:rPr>
        <w:t xml:space="preserve"> </w:t>
      </w:r>
      <w:r w:rsidRPr="007555C7">
        <w:t>care</w:t>
      </w:r>
      <w:r>
        <w:rPr>
          <w:spacing w:val="-9"/>
        </w:rPr>
        <w:t xml:space="preserve"> </w:t>
      </w:r>
      <w:r>
        <w:t>provided</w:t>
      </w:r>
      <w:r>
        <w:rPr>
          <w:spacing w:val="-2"/>
        </w:rPr>
        <w:t xml:space="preserve"> </w:t>
      </w:r>
      <w:r>
        <w:t>by</w:t>
      </w:r>
      <w:r>
        <w:rPr>
          <w:spacing w:val="-8"/>
        </w:rPr>
        <w:t xml:space="preserve"> </w:t>
      </w:r>
      <w:r>
        <w:t>the</w:t>
      </w:r>
      <w:r>
        <w:rPr>
          <w:spacing w:val="-8"/>
        </w:rPr>
        <w:t xml:space="preserve"> </w:t>
      </w:r>
      <w:r>
        <w:t>hospitals</w:t>
      </w:r>
      <w:r>
        <w:rPr>
          <w:spacing w:val="-6"/>
        </w:rPr>
        <w:t xml:space="preserve"> </w:t>
      </w:r>
      <w:r>
        <w:t>to</w:t>
      </w:r>
      <w:r>
        <w:rPr>
          <w:spacing w:val="-3"/>
        </w:rPr>
        <w:t xml:space="preserve"> </w:t>
      </w:r>
      <w:r>
        <w:t>women</w:t>
      </w:r>
      <w:r>
        <w:rPr>
          <w:spacing w:val="-7"/>
        </w:rPr>
        <w:t xml:space="preserve"> </w:t>
      </w:r>
      <w:r>
        <w:t>with</w:t>
      </w:r>
      <w:r>
        <w:rPr>
          <w:spacing w:val="-8"/>
        </w:rPr>
        <w:t xml:space="preserve"> </w:t>
      </w:r>
      <w:r>
        <w:t>RFMs</w:t>
      </w:r>
      <w:r>
        <w:rPr>
          <w:spacing w:val="-5"/>
        </w:rPr>
        <w:t xml:space="preserve"> </w:t>
      </w:r>
      <w:r>
        <w:lastRenderedPageBreak/>
        <w:t>before</w:t>
      </w:r>
      <w:r>
        <w:rPr>
          <w:spacing w:val="-3"/>
        </w:rPr>
        <w:t xml:space="preserve"> </w:t>
      </w:r>
      <w:r>
        <w:t>the introduction</w:t>
      </w:r>
      <w:r>
        <w:rPr>
          <w:spacing w:val="-13"/>
        </w:rPr>
        <w:t xml:space="preserve"> </w:t>
      </w:r>
      <w:r>
        <w:t>of</w:t>
      </w:r>
      <w:r>
        <w:rPr>
          <w:spacing w:val="-11"/>
        </w:rPr>
        <w:t xml:space="preserve"> </w:t>
      </w:r>
      <w:r>
        <w:t>the</w:t>
      </w:r>
      <w:r>
        <w:rPr>
          <w:spacing w:val="-13"/>
        </w:rPr>
        <w:t xml:space="preserve"> </w:t>
      </w:r>
      <w:r>
        <w:t>intervention.</w:t>
      </w:r>
      <w:r>
        <w:rPr>
          <w:spacing w:val="-12"/>
        </w:rPr>
        <w:t xml:space="preserve"> </w:t>
      </w:r>
      <w:r>
        <w:t>The</w:t>
      </w:r>
      <w:r>
        <w:rPr>
          <w:spacing w:val="-9"/>
        </w:rPr>
        <w:t xml:space="preserve"> </w:t>
      </w:r>
      <w:r>
        <w:t>primary</w:t>
      </w:r>
      <w:r>
        <w:rPr>
          <w:spacing w:val="-11"/>
        </w:rPr>
        <w:t xml:space="preserve"> </w:t>
      </w:r>
      <w:r>
        <w:t>outcome</w:t>
      </w:r>
      <w:r>
        <w:rPr>
          <w:spacing w:val="-13"/>
        </w:rPr>
        <w:t xml:space="preserve"> </w:t>
      </w:r>
      <w:r>
        <w:t>was</w:t>
      </w:r>
      <w:r>
        <w:rPr>
          <w:spacing w:val="-10"/>
        </w:rPr>
        <w:t xml:space="preserve"> </w:t>
      </w:r>
      <w:r>
        <w:t>stillbirth.</w:t>
      </w:r>
      <w:r>
        <w:rPr>
          <w:spacing w:val="-13"/>
        </w:rPr>
        <w:t xml:space="preserve"> </w:t>
      </w:r>
      <w:r>
        <w:t>During</w:t>
      </w:r>
      <w:r>
        <w:rPr>
          <w:spacing w:val="-7"/>
        </w:rPr>
        <w:t xml:space="preserve"> </w:t>
      </w:r>
      <w:r>
        <w:t>the</w:t>
      </w:r>
      <w:r>
        <w:rPr>
          <w:spacing w:val="-13"/>
        </w:rPr>
        <w:t xml:space="preserve"> </w:t>
      </w:r>
      <w:r>
        <w:t>study,</w:t>
      </w:r>
      <w:r>
        <w:rPr>
          <w:spacing w:val="-12"/>
        </w:rPr>
        <w:t xml:space="preserve"> </w:t>
      </w:r>
      <w:r>
        <w:t>409</w:t>
      </w:r>
      <w:r>
        <w:rPr>
          <w:spacing w:val="-13"/>
        </w:rPr>
        <w:t>,</w:t>
      </w:r>
      <w:r>
        <w:t>175 women gave birth. There was no difference in stillbirth between the intervention and control periods (4.06 per 1</w:t>
      </w:r>
      <w:r w:rsidR="003A4BD4">
        <w:t>,</w:t>
      </w:r>
      <w:r>
        <w:t>000 vs 4.40 per 1</w:t>
      </w:r>
      <w:r w:rsidR="003A4BD4">
        <w:t>,</w:t>
      </w:r>
      <w:r>
        <w:t>000, adjusted odds ratio (</w:t>
      </w:r>
      <w:proofErr w:type="spellStart"/>
      <w:r>
        <w:t>aOR</w:t>
      </w:r>
      <w:proofErr w:type="spellEnd"/>
      <w:r>
        <w:t>) 0.90 95% CI 0.75–1.07, p=0.23). There was no difference in perinatal death or NICU admission. IOL and caesarean section were more common</w:t>
      </w:r>
      <w:r>
        <w:rPr>
          <w:spacing w:val="-14"/>
        </w:rPr>
        <w:t xml:space="preserve"> </w:t>
      </w:r>
      <w:r>
        <w:t>during</w:t>
      </w:r>
      <w:r>
        <w:rPr>
          <w:spacing w:val="-8"/>
        </w:rPr>
        <w:t xml:space="preserve"> </w:t>
      </w:r>
      <w:r>
        <w:t>the</w:t>
      </w:r>
      <w:r>
        <w:rPr>
          <w:spacing w:val="-9"/>
        </w:rPr>
        <w:t xml:space="preserve"> </w:t>
      </w:r>
      <w:r>
        <w:t>intervention</w:t>
      </w:r>
      <w:r>
        <w:rPr>
          <w:spacing w:val="-14"/>
        </w:rPr>
        <w:t xml:space="preserve"> </w:t>
      </w:r>
      <w:r>
        <w:t>period.</w:t>
      </w:r>
      <w:r>
        <w:rPr>
          <w:spacing w:val="-13"/>
        </w:rPr>
        <w:t xml:space="preserve"> </w:t>
      </w:r>
      <w:r>
        <w:t>They</w:t>
      </w:r>
      <w:r>
        <w:rPr>
          <w:spacing w:val="-13"/>
        </w:rPr>
        <w:t xml:space="preserve"> </w:t>
      </w:r>
      <w:r>
        <w:t>did</w:t>
      </w:r>
      <w:r>
        <w:rPr>
          <w:spacing w:val="-13"/>
        </w:rPr>
        <w:t xml:space="preserve"> </w:t>
      </w:r>
      <w:r>
        <w:t>not</w:t>
      </w:r>
      <w:r>
        <w:rPr>
          <w:spacing w:val="-10"/>
        </w:rPr>
        <w:t xml:space="preserve"> </w:t>
      </w:r>
      <w:r>
        <w:t>look</w:t>
      </w:r>
      <w:r>
        <w:rPr>
          <w:spacing w:val="-13"/>
        </w:rPr>
        <w:t xml:space="preserve"> </w:t>
      </w:r>
      <w:r>
        <w:t>at</w:t>
      </w:r>
      <w:r>
        <w:rPr>
          <w:spacing w:val="-14"/>
        </w:rPr>
        <w:t xml:space="preserve"> </w:t>
      </w:r>
      <w:r>
        <w:t>maternal</w:t>
      </w:r>
      <w:r>
        <w:rPr>
          <w:spacing w:val="-14"/>
        </w:rPr>
        <w:t xml:space="preserve"> </w:t>
      </w:r>
      <w:r>
        <w:t>satisfaction.</w:t>
      </w:r>
      <w:r>
        <w:rPr>
          <w:spacing w:val="-13"/>
        </w:rPr>
        <w:t xml:space="preserve"> </w:t>
      </w:r>
      <w:r>
        <w:t>The</w:t>
      </w:r>
      <w:r>
        <w:rPr>
          <w:spacing w:val="-10"/>
        </w:rPr>
        <w:t xml:space="preserve"> </w:t>
      </w:r>
      <w:r>
        <w:t>authors concluded that the intervention package was not effective in reducing stillbirth, led to a significant increase in interventions and could not be</w:t>
      </w:r>
      <w:r>
        <w:rPr>
          <w:spacing w:val="-8"/>
        </w:rPr>
        <w:t xml:space="preserve"> </w:t>
      </w:r>
      <w:r>
        <w:t>recommended.</w:t>
      </w:r>
    </w:p>
    <w:p w14:paraId="3AC057EA" w14:textId="77777777" w:rsidR="00AC0F19" w:rsidRDefault="00AC0F19" w:rsidP="003A4BD4"/>
    <w:p w14:paraId="7FF9864B" w14:textId="77777777" w:rsidR="00AC0F19" w:rsidRDefault="00AC0F19" w:rsidP="003A4BD4">
      <w:pPr>
        <w:pStyle w:val="Heading3"/>
      </w:pPr>
      <w:bookmarkStart w:id="141" w:name="_bookmark63"/>
      <w:bookmarkEnd w:id="141"/>
      <w:r>
        <w:t>Discussion</w:t>
      </w:r>
    </w:p>
    <w:p w14:paraId="22A1E6BB" w14:textId="77777777" w:rsidR="00AC0F19" w:rsidRPr="007555C7" w:rsidRDefault="00AC0F19" w:rsidP="003A4BD4">
      <w:r w:rsidRPr="007555C7">
        <w:t>The perception of RFM may be associated with stillbirth in that half of women whose pregnancies end in stillbirth recall RFM in the preceding week. Whether RFM is a symptom of inevitable stillbirth or whether it can be used as an alert to prompt action and improve outcome</w:t>
      </w:r>
      <w:r>
        <w:t>s</w:t>
      </w:r>
      <w:r w:rsidRPr="007555C7">
        <w:t xml:space="preserve"> is unclear (Norman </w:t>
      </w:r>
      <w:r w:rsidR="000F3C98">
        <w:t>et al</w:t>
      </w:r>
      <w:r w:rsidRPr="007555C7">
        <w:t xml:space="preserve"> 2018). Compared </w:t>
      </w:r>
      <w:r>
        <w:t>with</w:t>
      </w:r>
      <w:r w:rsidRPr="007555C7">
        <w:t xml:space="preserve"> the general population, RFM is also associated with other adverse perinatal outcomes, such as SGA. There have been no studies investigating timing of birth in women with RFM, therefore no recommendations can be made. Current evidence from the AFFIRM trial suggests that interventions increased with a program</w:t>
      </w:r>
      <w:r>
        <w:t>me</w:t>
      </w:r>
      <w:r w:rsidRPr="007555C7">
        <w:t xml:space="preserve"> of awareness of fetal movements and implementation of a care package to manage women with RFM but did not reduce the risk of stillbirth. There is currently no high-quality evidence to confirm the benefits or harms of IOL or expectant management for women with RFM.</w:t>
      </w:r>
    </w:p>
    <w:p w14:paraId="381D5499" w14:textId="77777777" w:rsidR="00AC0F19" w:rsidRPr="007555C7" w:rsidRDefault="00AC0F19" w:rsidP="003A4BD4"/>
    <w:p w14:paraId="5843420E" w14:textId="77777777" w:rsidR="00AC0F19" w:rsidRPr="007555C7" w:rsidRDefault="00AC0F19" w:rsidP="003A4BD4">
      <w:r w:rsidRPr="007555C7">
        <w:t xml:space="preserve">The Perinatal Society of Australia and </w:t>
      </w:r>
      <w:r>
        <w:t>New Zealand (PSANZ)</w:t>
      </w:r>
      <w:r w:rsidRPr="007555C7">
        <w:t xml:space="preserve"> guideline on RFM (Gardener </w:t>
      </w:r>
      <w:r w:rsidR="000F3C98">
        <w:t>et al</w:t>
      </w:r>
      <w:r>
        <w:t xml:space="preserve"> </w:t>
      </w:r>
      <w:r w:rsidRPr="007555C7">
        <w:t xml:space="preserve">2017) does not include any specific recommendations for IOL for women with RFMs from </w:t>
      </w:r>
      <w:r w:rsidR="003A4BD4">
        <w:t>28 weeks</w:t>
      </w:r>
      <w:r w:rsidR="00B0606D">
        <w:t>’</w:t>
      </w:r>
      <w:r w:rsidRPr="007555C7">
        <w:t xml:space="preserve"> gestation. The guideline provides a practice point that specialist medical opinion should be sought and further management be individualised where there is concern due to RFM.</w:t>
      </w:r>
    </w:p>
    <w:p w14:paraId="2749F013" w14:textId="77777777" w:rsidR="00AC0F19" w:rsidRPr="007555C7" w:rsidRDefault="00AC0F19" w:rsidP="003A4BD4"/>
    <w:p w14:paraId="5A8BCC56" w14:textId="77777777" w:rsidR="00AC0F19" w:rsidRPr="007555C7" w:rsidRDefault="00AC0F19" w:rsidP="003A4BD4">
      <w:r w:rsidRPr="007555C7">
        <w:t xml:space="preserve">The </w:t>
      </w:r>
      <w:r>
        <w:t>p</w:t>
      </w:r>
      <w:r w:rsidRPr="007555C7">
        <w:t xml:space="preserve">anel agreed that there is no evidence to support IOL for women who subjectively experience RFM when the objective assessment of the mother and baby are normal and there are no other clinical concerns. </w:t>
      </w:r>
      <w:r>
        <w:t>It identified</w:t>
      </w:r>
      <w:r w:rsidRPr="007555C7">
        <w:t xml:space="preserve"> a need to address the increasing practice of IOL for RFM alone. The </w:t>
      </w:r>
      <w:r>
        <w:t>p</w:t>
      </w:r>
      <w:r w:rsidRPr="007555C7">
        <w:t>anel emphasised that care should be individualised for women who have recurrent presentations of RFM or other antenatal risk factors.</w:t>
      </w:r>
    </w:p>
    <w:p w14:paraId="402AEB5D" w14:textId="77777777" w:rsidR="00AC0F19" w:rsidRPr="007555C7" w:rsidRDefault="00AC0F19" w:rsidP="003A4BD4"/>
    <w:p w14:paraId="49942CBF" w14:textId="77777777" w:rsidR="00AC0F19" w:rsidRPr="007555C7" w:rsidRDefault="00AC0F19" w:rsidP="003A4BD4">
      <w:r w:rsidRPr="007555C7">
        <w:t>My Baby</w:t>
      </w:r>
      <w:r w:rsidR="00B0606D">
        <w:t>’</w:t>
      </w:r>
      <w:r w:rsidRPr="007555C7">
        <w:t xml:space="preserve">s Movements (MBM) is a stepped wedged cluster RCT designed to test the impact of a package of interventions on the risk of stillbirth </w:t>
      </w:r>
      <w:r w:rsidR="00436939">
        <w:t>&gt;</w:t>
      </w:r>
      <w:r w:rsidR="003A4BD4">
        <w:t>28 weeks</w:t>
      </w:r>
      <w:r w:rsidR="00B0606D">
        <w:t>’</w:t>
      </w:r>
      <w:r w:rsidRPr="007555C7">
        <w:t xml:space="preserve"> gestation, at several centres across Australia and </w:t>
      </w:r>
      <w:r>
        <w:t>New Zealand</w:t>
      </w:r>
      <w:r w:rsidRPr="007555C7">
        <w:t xml:space="preserve">. The trial </w:t>
      </w:r>
      <w:r>
        <w:t>is complete,</w:t>
      </w:r>
      <w:r w:rsidRPr="007555C7">
        <w:t xml:space="preserve"> but results were not available </w:t>
      </w:r>
      <w:r>
        <w:t xml:space="preserve">when the panel was </w:t>
      </w:r>
      <w:r w:rsidRPr="007555C7">
        <w:t xml:space="preserve">completing </w:t>
      </w:r>
      <w:r>
        <w:t>its</w:t>
      </w:r>
      <w:r w:rsidRPr="007555C7">
        <w:t xml:space="preserve"> review of the evidence.</w:t>
      </w:r>
    </w:p>
    <w:p w14:paraId="54856CAF" w14:textId="77777777" w:rsidR="00AC0F19" w:rsidRPr="007555C7" w:rsidRDefault="00AC0F19" w:rsidP="003A4BD4"/>
    <w:p w14:paraId="1DA7527D" w14:textId="77777777" w:rsidR="00AC0F19" w:rsidRPr="007555C7" w:rsidRDefault="00AC0F19" w:rsidP="003A4BD4">
      <w:r w:rsidRPr="007555C7">
        <w:t>There is currently insufficient high-quality evidence to make a clear recommendation about IOL for this condition.</w:t>
      </w:r>
    </w:p>
    <w:p w14:paraId="371441E1" w14:textId="77777777" w:rsidR="00AC0F19" w:rsidRDefault="00AC0F19" w:rsidP="00AC0F1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141370FD" w14:textId="77777777" w:rsidTr="00230FF7">
        <w:trPr>
          <w:cantSplit/>
        </w:trPr>
        <w:tc>
          <w:tcPr>
            <w:tcW w:w="8080" w:type="dxa"/>
            <w:tcBorders>
              <w:top w:val="nil"/>
              <w:left w:val="nil"/>
              <w:bottom w:val="nil"/>
              <w:right w:val="nil"/>
            </w:tcBorders>
            <w:shd w:val="clear" w:color="auto" w:fill="D9D9D9" w:themeFill="background1" w:themeFillShade="D9"/>
          </w:tcPr>
          <w:p w14:paraId="1F301E9F" w14:textId="77777777" w:rsidR="00D2284E" w:rsidRPr="008D53E4" w:rsidRDefault="00D2284E" w:rsidP="00C90D40">
            <w:pPr>
              <w:pStyle w:val="TableText"/>
              <w:keepNext/>
            </w:pPr>
            <w:r w:rsidRPr="00806252">
              <w:rPr>
                <w:b/>
                <w:iCs/>
              </w:rPr>
              <w:lastRenderedPageBreak/>
              <w:t>Practice point</w:t>
            </w:r>
          </w:p>
        </w:tc>
      </w:tr>
      <w:tr w:rsidR="00D2284E" w14:paraId="2BFF094E" w14:textId="77777777" w:rsidTr="00230FF7">
        <w:trPr>
          <w:cantSplit/>
        </w:trPr>
        <w:tc>
          <w:tcPr>
            <w:tcW w:w="8080" w:type="dxa"/>
            <w:tcBorders>
              <w:top w:val="nil"/>
              <w:left w:val="nil"/>
              <w:bottom w:val="single" w:sz="4" w:space="0" w:color="A6A6A6" w:themeColor="background1" w:themeShade="A6"/>
              <w:right w:val="nil"/>
            </w:tcBorders>
          </w:tcPr>
          <w:p w14:paraId="48E2485E" w14:textId="77777777" w:rsidR="00D2284E" w:rsidRDefault="003A4BD4" w:rsidP="00C90D40">
            <w:pPr>
              <w:pStyle w:val="TableBullet"/>
              <w:keepNext/>
            </w:pPr>
            <w:r w:rsidRPr="007555C7">
              <w:t>For women with reduced fetal movements, in the presence of normal maternal and fetal</w:t>
            </w:r>
            <w:r>
              <w:t xml:space="preserve"> </w:t>
            </w:r>
            <w:r w:rsidRPr="007555C7">
              <w:t>assessment, continue expectant management.</w:t>
            </w:r>
          </w:p>
        </w:tc>
      </w:tr>
    </w:tbl>
    <w:p w14:paraId="7214AFED" w14:textId="77777777" w:rsidR="00D2284E" w:rsidRDefault="00D2284E" w:rsidP="00C90D40">
      <w:pPr>
        <w:keepNext/>
      </w:pPr>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17FFF3E1" w14:textId="77777777" w:rsidTr="00230FF7">
        <w:trPr>
          <w:cantSplit/>
        </w:trPr>
        <w:tc>
          <w:tcPr>
            <w:tcW w:w="8080" w:type="dxa"/>
            <w:tcBorders>
              <w:top w:val="nil"/>
              <w:left w:val="nil"/>
              <w:bottom w:val="nil"/>
              <w:right w:val="nil"/>
            </w:tcBorders>
            <w:shd w:val="clear" w:color="auto" w:fill="D9D9D9" w:themeFill="background1" w:themeFillShade="D9"/>
          </w:tcPr>
          <w:p w14:paraId="1EAE18F3" w14:textId="77777777" w:rsidR="00D2284E" w:rsidRPr="008D53E4" w:rsidRDefault="00D2284E" w:rsidP="003A4BD4">
            <w:pPr>
              <w:pStyle w:val="TableText"/>
              <w:keepNext/>
              <w:rPr>
                <w:b/>
              </w:rPr>
            </w:pPr>
            <w:r w:rsidRPr="008D53E4">
              <w:rPr>
                <w:b/>
              </w:rPr>
              <w:t>Research gaps</w:t>
            </w:r>
          </w:p>
        </w:tc>
      </w:tr>
      <w:tr w:rsidR="00D2284E" w14:paraId="151421E2" w14:textId="77777777" w:rsidTr="00230FF7">
        <w:trPr>
          <w:cantSplit/>
        </w:trPr>
        <w:tc>
          <w:tcPr>
            <w:tcW w:w="8080" w:type="dxa"/>
            <w:tcBorders>
              <w:top w:val="nil"/>
              <w:left w:val="nil"/>
              <w:bottom w:val="single" w:sz="4" w:space="0" w:color="A6A6A6" w:themeColor="background1" w:themeShade="A6"/>
              <w:right w:val="nil"/>
            </w:tcBorders>
          </w:tcPr>
          <w:p w14:paraId="513BAACC" w14:textId="77777777" w:rsidR="003A4BD4" w:rsidRDefault="003A4BD4" w:rsidP="003A4BD4">
            <w:pPr>
              <w:pStyle w:val="TableBullet"/>
            </w:pPr>
            <w:r>
              <w:t>For individual women experiencing RFM, to evaluate the effect of IOL vs expectant management, on perinatal mortality and morbidity, and including other outcomes such as maternal morbidity,</w:t>
            </w:r>
          </w:p>
          <w:p w14:paraId="79142674" w14:textId="77777777" w:rsidR="00D2284E" w:rsidRDefault="003A4BD4" w:rsidP="003A4BD4">
            <w:pPr>
              <w:pStyle w:val="TableBullet"/>
            </w:pPr>
            <w:r>
              <w:t>maternal anxiety, perspectives and experiences, and health care utilisation and costs.</w:t>
            </w:r>
          </w:p>
        </w:tc>
      </w:tr>
    </w:tbl>
    <w:p w14:paraId="4064AAC0" w14:textId="77777777" w:rsidR="00D2284E" w:rsidRDefault="00D2284E" w:rsidP="003A4BD4"/>
    <w:p w14:paraId="70F764CF" w14:textId="77777777" w:rsidR="00AC0F19" w:rsidRDefault="00AC0F19" w:rsidP="003A4BD4">
      <w:pPr>
        <w:pStyle w:val="Heading2"/>
      </w:pPr>
      <w:bookmarkStart w:id="142" w:name="4.8_Hypertension_in_pregnancy"/>
      <w:bookmarkStart w:id="143" w:name="_bookmark64"/>
      <w:bookmarkStart w:id="144" w:name="_Toc75787987"/>
      <w:bookmarkEnd w:id="142"/>
      <w:bookmarkEnd w:id="143"/>
      <w:r>
        <w:t>Hypertension in</w:t>
      </w:r>
      <w:r>
        <w:rPr>
          <w:spacing w:val="-7"/>
        </w:rPr>
        <w:t xml:space="preserve"> </w:t>
      </w:r>
      <w:r w:rsidRPr="00212DF5">
        <w:t>pregnancy</w:t>
      </w:r>
      <w:bookmarkEnd w:id="144"/>
    </w:p>
    <w:p w14:paraId="5DE349F7" w14:textId="77777777" w:rsidR="00AC0F19" w:rsidRDefault="00AC0F19" w:rsidP="003A4BD4">
      <w:r>
        <w:t>Approximately 1 in 12 women will have high blood pressure in pregnancy. Hypertension</w:t>
      </w:r>
      <w:r>
        <w:rPr>
          <w:spacing w:val="-33"/>
        </w:rPr>
        <w:t xml:space="preserve"> </w:t>
      </w:r>
      <w:r>
        <w:t>in pregnancy includes chronic hypertension, gestational hypertension and pre-eclampsia. There</w:t>
      </w:r>
      <w:r>
        <w:rPr>
          <w:spacing w:val="-32"/>
        </w:rPr>
        <w:t xml:space="preserve"> </w:t>
      </w:r>
      <w:r>
        <w:t>is an association between hypertension in pregnancy and increased maternal morbidity and mortality (Ministry of Health 2017).</w:t>
      </w:r>
    </w:p>
    <w:p w14:paraId="739970CE" w14:textId="77777777" w:rsidR="00AC0F19" w:rsidRDefault="00AC0F19" w:rsidP="003A4BD4"/>
    <w:p w14:paraId="60897423" w14:textId="77777777" w:rsidR="00AC0F19" w:rsidRDefault="00AC0F19" w:rsidP="003A4BD4">
      <w:pPr>
        <w:pStyle w:val="Heading3"/>
      </w:pPr>
      <w:bookmarkStart w:id="145" w:name="_bookmark65"/>
      <w:bookmarkEnd w:id="145"/>
      <w:r>
        <w:t>Summary of evidence</w:t>
      </w:r>
    </w:p>
    <w:p w14:paraId="143952BC" w14:textId="77777777" w:rsidR="00AC0F19" w:rsidRDefault="00AC0F19" w:rsidP="003A4BD4">
      <w:r>
        <w:t>One systematic review was identified.</w:t>
      </w:r>
    </w:p>
    <w:p w14:paraId="7627BEF9" w14:textId="77777777" w:rsidR="00AC0F19" w:rsidRPr="00212DF5" w:rsidRDefault="00AC0F19" w:rsidP="003A4BD4"/>
    <w:p w14:paraId="6DD65E00" w14:textId="77777777" w:rsidR="00AC0F19" w:rsidRDefault="00AC0F19" w:rsidP="003A4BD4">
      <w:r w:rsidRPr="00212DF5">
        <w:t>A 2017 Cochrane systematic review including five RCTs of 1</w:t>
      </w:r>
      <w:r>
        <w:t>,</w:t>
      </w:r>
      <w:r w:rsidRPr="00212DF5">
        <w:t>819 women with well</w:t>
      </w:r>
      <w:r w:rsidR="003A4BD4">
        <w:noBreakHyphen/>
      </w:r>
      <w:r w:rsidRPr="00212DF5">
        <w:t>controlled chronic hypertension, gestational hypertension or non-severe pre</w:t>
      </w:r>
      <w:r w:rsidR="003A4BD4">
        <w:noBreakHyphen/>
      </w:r>
      <w:r w:rsidRPr="00212DF5">
        <w:t>eclampsia &gt;</w:t>
      </w:r>
      <w:r w:rsidR="003A4BD4">
        <w:t>34 weeks</w:t>
      </w:r>
      <w:r w:rsidR="00B0606D">
        <w:t>’</w:t>
      </w:r>
      <w:r w:rsidRPr="00212DF5">
        <w:t xml:space="preserve"> gestation compared planned early birth </w:t>
      </w:r>
      <w:r>
        <w:t>with</w:t>
      </w:r>
      <w:r w:rsidRPr="00212DF5">
        <w:t xml:space="preserve"> expectant management (</w:t>
      </w:r>
      <w:proofErr w:type="spellStart"/>
      <w:r w:rsidRPr="00212DF5">
        <w:t>Cluver</w:t>
      </w:r>
      <w:proofErr w:type="spellEnd"/>
      <w:r w:rsidRPr="00212DF5">
        <w:t xml:space="preserve"> </w:t>
      </w:r>
      <w:r w:rsidR="000F3C98">
        <w:t>et al</w:t>
      </w:r>
      <w:r>
        <w:t xml:space="preserve"> </w:t>
      </w:r>
      <w:r w:rsidRPr="00212DF5">
        <w:t>2017). Two studies compared IOL before term</w:t>
      </w:r>
      <w:r>
        <w:t xml:space="preserve">, </w:t>
      </w:r>
      <w:r w:rsidRPr="00212DF5">
        <w:t>34</w:t>
      </w:r>
      <w:r>
        <w:t>–</w:t>
      </w:r>
      <w:r w:rsidR="00EB43A9">
        <w:t>36 weeks</w:t>
      </w:r>
      <w:r w:rsidR="00B0606D">
        <w:t>’</w:t>
      </w:r>
      <w:r w:rsidRPr="00212DF5">
        <w:t xml:space="preserve"> gestation </w:t>
      </w:r>
      <w:r>
        <w:t>(</w:t>
      </w:r>
      <w:proofErr w:type="spellStart"/>
      <w:r w:rsidRPr="00212DF5">
        <w:t>Broekhuijsen</w:t>
      </w:r>
      <w:proofErr w:type="spellEnd"/>
      <w:r w:rsidRPr="00212DF5">
        <w:t xml:space="preserve"> </w:t>
      </w:r>
      <w:r w:rsidR="000F3C98">
        <w:t>et al</w:t>
      </w:r>
      <w:r>
        <w:t xml:space="preserve"> </w:t>
      </w:r>
      <w:r w:rsidRPr="00212DF5">
        <w:t>2015)</w:t>
      </w:r>
      <w:r>
        <w:t xml:space="preserve"> and</w:t>
      </w:r>
      <w:r w:rsidRPr="00212DF5">
        <w:t xml:space="preserve"> 34</w:t>
      </w:r>
      <w:r>
        <w:t>–</w:t>
      </w:r>
      <w:r w:rsidR="00EB43A9">
        <w:t>37 weeks</w:t>
      </w:r>
      <w:r w:rsidR="00B0606D">
        <w:t>’</w:t>
      </w:r>
      <w:r w:rsidRPr="00212DF5">
        <w:t xml:space="preserve"> gestation (Owens </w:t>
      </w:r>
      <w:r w:rsidR="000F3C98">
        <w:t>et al</w:t>
      </w:r>
      <w:r>
        <w:t xml:space="preserve"> </w:t>
      </w:r>
      <w:r w:rsidRPr="00212DF5">
        <w:t xml:space="preserve">2014) with a comparison group who were monitored until </w:t>
      </w:r>
      <w:r w:rsidR="00EB43A9">
        <w:t>37 weeks</w:t>
      </w:r>
      <w:r w:rsidR="00B0606D">
        <w:t>’</w:t>
      </w:r>
      <w:r w:rsidRPr="00212DF5">
        <w:t xml:space="preserve"> gestation when induction began (if labour had not started spontaneously). Three studies</w:t>
      </w:r>
      <w:r>
        <w:t xml:space="preserve"> compared IOL at term or closer to term, 37 completed weeks (Hamed </w:t>
      </w:r>
      <w:r w:rsidR="000F3C98">
        <w:t>et al</w:t>
      </w:r>
      <w:r>
        <w:t xml:space="preserve"> 2014) and 36–</w:t>
      </w:r>
      <w:r w:rsidR="00EB43A9">
        <w:t>41 weeks</w:t>
      </w:r>
      <w:r w:rsidR="00B0606D">
        <w:t>’</w:t>
      </w:r>
      <w:r>
        <w:t xml:space="preserve"> gestation (Koopmans </w:t>
      </w:r>
      <w:r w:rsidR="000F3C98">
        <w:t>et al</w:t>
      </w:r>
      <w:r>
        <w:t xml:space="preserve"> 2009; Majeed </w:t>
      </w:r>
      <w:r w:rsidR="000F3C98">
        <w:t>et al</w:t>
      </w:r>
      <w:r>
        <w:t xml:space="preserve"> 2014) with a group monitored until </w:t>
      </w:r>
      <w:r w:rsidR="00EB43A9">
        <w:t>41 weeks</w:t>
      </w:r>
      <w:r>
        <w:t xml:space="preserve"> when induction began if labour had not started spontaneously. The primary outcomes of this review were composite maternal morbidity and mortality and composite perinatal morbidity and mortality. Three trials did not report on maternal mortality, and two did not report on perinatal mortality. Two of the trials were deemed to have a low risk of bias and the other three moderate risk of</w:t>
      </w:r>
      <w:r>
        <w:rPr>
          <w:spacing w:val="-3"/>
        </w:rPr>
        <w:t xml:space="preserve"> </w:t>
      </w:r>
      <w:r>
        <w:t>bias.</w:t>
      </w:r>
    </w:p>
    <w:p w14:paraId="53E11677" w14:textId="77777777" w:rsidR="00AC0F19" w:rsidRDefault="00AC0F19" w:rsidP="003A4BD4"/>
    <w:p w14:paraId="7D27C5CB" w14:textId="77777777" w:rsidR="00AC0F19" w:rsidRDefault="00AC0F19" w:rsidP="003A4BD4">
      <w:r>
        <w:t>For</w:t>
      </w:r>
      <w:r>
        <w:rPr>
          <w:spacing w:val="-17"/>
        </w:rPr>
        <w:t xml:space="preserve"> </w:t>
      </w:r>
      <w:r>
        <w:t>women</w:t>
      </w:r>
      <w:r>
        <w:rPr>
          <w:spacing w:val="-18"/>
        </w:rPr>
        <w:t xml:space="preserve"> </w:t>
      </w:r>
      <w:r>
        <w:t>randomised</w:t>
      </w:r>
      <w:r>
        <w:rPr>
          <w:spacing w:val="-13"/>
        </w:rPr>
        <w:t xml:space="preserve"> </w:t>
      </w:r>
      <w:r>
        <w:t>to</w:t>
      </w:r>
      <w:r>
        <w:rPr>
          <w:spacing w:val="-18"/>
        </w:rPr>
        <w:t xml:space="preserve"> </w:t>
      </w:r>
      <w:r>
        <w:t>planned</w:t>
      </w:r>
      <w:r>
        <w:rPr>
          <w:spacing w:val="-18"/>
        </w:rPr>
        <w:t xml:space="preserve"> </w:t>
      </w:r>
      <w:r>
        <w:t>early</w:t>
      </w:r>
      <w:r>
        <w:rPr>
          <w:spacing w:val="-18"/>
        </w:rPr>
        <w:t xml:space="preserve"> </w:t>
      </w:r>
      <w:r>
        <w:t>birth,</w:t>
      </w:r>
      <w:r>
        <w:rPr>
          <w:spacing w:val="-13"/>
        </w:rPr>
        <w:t xml:space="preserve"> </w:t>
      </w:r>
      <w:r>
        <w:t>there</w:t>
      </w:r>
      <w:r>
        <w:rPr>
          <w:spacing w:val="-14"/>
        </w:rPr>
        <w:t xml:space="preserve"> </w:t>
      </w:r>
      <w:r>
        <w:t>was</w:t>
      </w:r>
      <w:r>
        <w:rPr>
          <w:spacing w:val="-16"/>
        </w:rPr>
        <w:t xml:space="preserve"> </w:t>
      </w:r>
      <w:r>
        <w:t>a</w:t>
      </w:r>
      <w:r>
        <w:rPr>
          <w:spacing w:val="-19"/>
        </w:rPr>
        <w:t xml:space="preserve"> </w:t>
      </w:r>
      <w:r>
        <w:t>lower</w:t>
      </w:r>
      <w:r>
        <w:rPr>
          <w:spacing w:val="-17"/>
        </w:rPr>
        <w:t xml:space="preserve"> </w:t>
      </w:r>
      <w:r>
        <w:t>risk</w:t>
      </w:r>
      <w:r>
        <w:rPr>
          <w:spacing w:val="-17"/>
        </w:rPr>
        <w:t xml:space="preserve"> </w:t>
      </w:r>
      <w:r>
        <w:t>of</w:t>
      </w:r>
      <w:r>
        <w:rPr>
          <w:spacing w:val="-17"/>
        </w:rPr>
        <w:t xml:space="preserve"> </w:t>
      </w:r>
      <w:r>
        <w:t>a</w:t>
      </w:r>
      <w:r>
        <w:rPr>
          <w:spacing w:val="-14"/>
        </w:rPr>
        <w:t xml:space="preserve"> </w:t>
      </w:r>
      <w:r>
        <w:t>composite</w:t>
      </w:r>
      <w:r>
        <w:rPr>
          <w:spacing w:val="-19"/>
        </w:rPr>
        <w:t xml:space="preserve"> </w:t>
      </w:r>
      <w:r>
        <w:t>of</w:t>
      </w:r>
      <w:r>
        <w:rPr>
          <w:spacing w:val="-17"/>
        </w:rPr>
        <w:t xml:space="preserve"> </w:t>
      </w:r>
      <w:r>
        <w:t>maternal mortality</w:t>
      </w:r>
      <w:r>
        <w:rPr>
          <w:spacing w:val="16"/>
        </w:rPr>
        <w:t xml:space="preserve"> </w:t>
      </w:r>
      <w:r>
        <w:t>and</w:t>
      </w:r>
      <w:r>
        <w:rPr>
          <w:spacing w:val="17"/>
        </w:rPr>
        <w:t xml:space="preserve"> </w:t>
      </w:r>
      <w:r>
        <w:t>severe</w:t>
      </w:r>
      <w:r>
        <w:rPr>
          <w:spacing w:val="16"/>
        </w:rPr>
        <w:t xml:space="preserve"> </w:t>
      </w:r>
      <w:r>
        <w:t>morbidity</w:t>
      </w:r>
      <w:r>
        <w:rPr>
          <w:spacing w:val="17"/>
        </w:rPr>
        <w:t xml:space="preserve"> </w:t>
      </w:r>
      <w:r>
        <w:t>(</w:t>
      </w:r>
      <w:r w:rsidR="00230FF7">
        <w:t>RR </w:t>
      </w:r>
      <w:r>
        <w:t>0.69;</w:t>
      </w:r>
      <w:r>
        <w:rPr>
          <w:spacing w:val="16"/>
        </w:rPr>
        <w:t xml:space="preserve"> </w:t>
      </w:r>
      <w:r>
        <w:t>95%</w:t>
      </w:r>
      <w:r>
        <w:rPr>
          <w:spacing w:val="17"/>
        </w:rPr>
        <w:t xml:space="preserve"> </w:t>
      </w:r>
      <w:r>
        <w:t>CI</w:t>
      </w:r>
      <w:r>
        <w:rPr>
          <w:spacing w:val="16"/>
        </w:rPr>
        <w:t xml:space="preserve"> </w:t>
      </w:r>
      <w:r>
        <w:t>0.57</w:t>
      </w:r>
      <w:r>
        <w:rPr>
          <w:spacing w:val="17"/>
        </w:rPr>
        <w:t>–</w:t>
      </w:r>
      <w:r>
        <w:t>0.83;</w:t>
      </w:r>
      <w:r>
        <w:rPr>
          <w:spacing w:val="16"/>
        </w:rPr>
        <w:t xml:space="preserve"> </w:t>
      </w:r>
      <w:r>
        <w:t>2</w:t>
      </w:r>
      <w:r>
        <w:rPr>
          <w:spacing w:val="17"/>
        </w:rPr>
        <w:t xml:space="preserve"> </w:t>
      </w:r>
      <w:r>
        <w:t>trials;</w:t>
      </w:r>
      <w:r>
        <w:rPr>
          <w:spacing w:val="17"/>
        </w:rPr>
        <w:t xml:space="preserve"> </w:t>
      </w:r>
      <w:r>
        <w:t>1</w:t>
      </w:r>
      <w:r>
        <w:rPr>
          <w:spacing w:val="17"/>
        </w:rPr>
        <w:t>,</w:t>
      </w:r>
      <w:r>
        <w:t>459</w:t>
      </w:r>
      <w:r w:rsidR="00EB43A9">
        <w:t> </w:t>
      </w:r>
      <w:r>
        <w:t>women;</w:t>
      </w:r>
      <w:r>
        <w:rPr>
          <w:spacing w:val="15"/>
        </w:rPr>
        <w:t xml:space="preserve"> </w:t>
      </w:r>
      <w:r>
        <w:t>high-quality</w:t>
      </w:r>
      <w:r>
        <w:rPr>
          <w:spacing w:val="-8"/>
        </w:rPr>
        <w:t xml:space="preserve"> </w:t>
      </w:r>
      <w:r>
        <w:t>evidence),</w:t>
      </w:r>
      <w:r>
        <w:rPr>
          <w:spacing w:val="-7"/>
        </w:rPr>
        <w:t xml:space="preserve"> </w:t>
      </w:r>
      <w:r>
        <w:t>haemolysis, elevated liver enzymes, and low platelet count (HELLP)</w:t>
      </w:r>
      <w:r>
        <w:rPr>
          <w:spacing w:val="-6"/>
        </w:rPr>
        <w:t xml:space="preserve"> </w:t>
      </w:r>
      <w:r>
        <w:t>syndrome</w:t>
      </w:r>
      <w:r>
        <w:rPr>
          <w:spacing w:val="-9"/>
        </w:rPr>
        <w:t xml:space="preserve"> </w:t>
      </w:r>
      <w:r>
        <w:t>(</w:t>
      </w:r>
      <w:r w:rsidR="00230FF7">
        <w:t>RR </w:t>
      </w:r>
      <w:r>
        <w:t>0.4;</w:t>
      </w:r>
      <w:r>
        <w:rPr>
          <w:spacing w:val="-8"/>
        </w:rPr>
        <w:t xml:space="preserve"> </w:t>
      </w:r>
      <w:r>
        <w:t>95%</w:t>
      </w:r>
      <w:r>
        <w:rPr>
          <w:spacing w:val="-7"/>
        </w:rPr>
        <w:t xml:space="preserve"> </w:t>
      </w:r>
      <w:r>
        <w:t>CI</w:t>
      </w:r>
      <w:r>
        <w:rPr>
          <w:spacing w:val="-8"/>
        </w:rPr>
        <w:t xml:space="preserve"> </w:t>
      </w:r>
      <w:r>
        <w:t>0.17</w:t>
      </w:r>
      <w:r>
        <w:rPr>
          <w:spacing w:val="-8"/>
        </w:rPr>
        <w:t>–</w:t>
      </w:r>
      <w:r>
        <w:t>0.93;</w:t>
      </w:r>
      <w:r>
        <w:rPr>
          <w:spacing w:val="-9"/>
        </w:rPr>
        <w:t xml:space="preserve"> </w:t>
      </w:r>
      <w:r>
        <w:t>3</w:t>
      </w:r>
      <w:r>
        <w:rPr>
          <w:spacing w:val="-7"/>
        </w:rPr>
        <w:t xml:space="preserve"> </w:t>
      </w:r>
      <w:r>
        <w:t>trials;</w:t>
      </w:r>
      <w:r>
        <w:rPr>
          <w:spacing w:val="-8"/>
        </w:rPr>
        <w:t xml:space="preserve"> </w:t>
      </w:r>
      <w:r>
        <w:t>1</w:t>
      </w:r>
      <w:r>
        <w:rPr>
          <w:spacing w:val="-8"/>
        </w:rPr>
        <w:t>,</w:t>
      </w:r>
      <w:r>
        <w:t>628</w:t>
      </w:r>
      <w:r>
        <w:rPr>
          <w:spacing w:val="-8"/>
        </w:rPr>
        <w:t xml:space="preserve"> </w:t>
      </w:r>
      <w:r>
        <w:t>women)</w:t>
      </w:r>
      <w:r>
        <w:rPr>
          <w:spacing w:val="-7"/>
        </w:rPr>
        <w:t xml:space="preserve"> </w:t>
      </w:r>
      <w:r>
        <w:t>and severe renal impairment (</w:t>
      </w:r>
      <w:r w:rsidR="00230FF7">
        <w:t>RR </w:t>
      </w:r>
      <w:r>
        <w:t>0.36; 95% CI 0.14–0.92; 1 trial; 100 women). On subgroup analysis of hypertensive condition, there was no clear difference in maternal morbidity and mortality</w:t>
      </w:r>
      <w:r>
        <w:rPr>
          <w:spacing w:val="-18"/>
        </w:rPr>
        <w:t xml:space="preserve"> </w:t>
      </w:r>
      <w:r>
        <w:t>between</w:t>
      </w:r>
      <w:r>
        <w:rPr>
          <w:spacing w:val="-18"/>
        </w:rPr>
        <w:t xml:space="preserve"> </w:t>
      </w:r>
      <w:r>
        <w:t>groups.</w:t>
      </w:r>
      <w:r>
        <w:rPr>
          <w:spacing w:val="-18"/>
        </w:rPr>
        <w:t xml:space="preserve"> </w:t>
      </w:r>
      <w:r>
        <w:t>There</w:t>
      </w:r>
      <w:r>
        <w:rPr>
          <w:spacing w:val="-18"/>
        </w:rPr>
        <w:t xml:space="preserve"> </w:t>
      </w:r>
      <w:r>
        <w:t>were</w:t>
      </w:r>
      <w:r>
        <w:rPr>
          <w:spacing w:val="-19"/>
        </w:rPr>
        <w:t xml:space="preserve"> </w:t>
      </w:r>
      <w:r>
        <w:t>no</w:t>
      </w:r>
      <w:r>
        <w:rPr>
          <w:spacing w:val="-18"/>
        </w:rPr>
        <w:t xml:space="preserve"> </w:t>
      </w:r>
      <w:r>
        <w:t>differences</w:t>
      </w:r>
      <w:r>
        <w:rPr>
          <w:spacing w:val="-15"/>
        </w:rPr>
        <w:t xml:space="preserve"> </w:t>
      </w:r>
      <w:r>
        <w:t>between</w:t>
      </w:r>
      <w:r>
        <w:rPr>
          <w:spacing w:val="-18"/>
        </w:rPr>
        <w:t xml:space="preserve"> </w:t>
      </w:r>
      <w:r>
        <w:t>planned</w:t>
      </w:r>
      <w:r>
        <w:rPr>
          <w:spacing w:val="-18"/>
        </w:rPr>
        <w:t xml:space="preserve"> </w:t>
      </w:r>
      <w:r>
        <w:t>early</w:t>
      </w:r>
      <w:r>
        <w:rPr>
          <w:spacing w:val="-18"/>
        </w:rPr>
        <w:t xml:space="preserve"> </w:t>
      </w:r>
      <w:r>
        <w:t>birth</w:t>
      </w:r>
      <w:r>
        <w:rPr>
          <w:spacing w:val="-17"/>
        </w:rPr>
        <w:t xml:space="preserve"> </w:t>
      </w:r>
      <w:r>
        <w:t>and</w:t>
      </w:r>
      <w:r>
        <w:rPr>
          <w:spacing w:val="-18"/>
        </w:rPr>
        <w:t xml:space="preserve"> </w:t>
      </w:r>
      <w:r>
        <w:t>expectant management for caesarean section (</w:t>
      </w:r>
      <w:r w:rsidR="00230FF7">
        <w:t>RR </w:t>
      </w:r>
      <w:r>
        <w:t>0.91, 95%CI 0.78–1.07; 4 trials; 1,728 women; moderate-quality evidence). Planned early birth was associated with higher rates of NICU admission</w:t>
      </w:r>
      <w:r>
        <w:rPr>
          <w:spacing w:val="41"/>
        </w:rPr>
        <w:t xml:space="preserve"> </w:t>
      </w:r>
      <w:r>
        <w:t>(</w:t>
      </w:r>
      <w:r w:rsidR="00230FF7">
        <w:t>RR </w:t>
      </w:r>
      <w:r>
        <w:t>1.65;</w:t>
      </w:r>
      <w:r>
        <w:rPr>
          <w:spacing w:val="41"/>
        </w:rPr>
        <w:t xml:space="preserve"> </w:t>
      </w:r>
      <w:r>
        <w:t>95% CI</w:t>
      </w:r>
      <w:r>
        <w:rPr>
          <w:spacing w:val="42"/>
        </w:rPr>
        <w:t xml:space="preserve"> </w:t>
      </w:r>
      <w:r>
        <w:t>1.13–2.40;</w:t>
      </w:r>
      <w:r>
        <w:rPr>
          <w:spacing w:val="41"/>
        </w:rPr>
        <w:t xml:space="preserve"> </w:t>
      </w:r>
      <w:r>
        <w:t>4</w:t>
      </w:r>
      <w:r>
        <w:rPr>
          <w:spacing w:val="42"/>
        </w:rPr>
        <w:t xml:space="preserve"> </w:t>
      </w:r>
      <w:r>
        <w:t>trials;</w:t>
      </w:r>
      <w:r>
        <w:rPr>
          <w:spacing w:val="42"/>
        </w:rPr>
        <w:t xml:space="preserve"> </w:t>
      </w:r>
      <w:r>
        <w:t>1,585</w:t>
      </w:r>
      <w:r>
        <w:rPr>
          <w:spacing w:val="42"/>
        </w:rPr>
        <w:t xml:space="preserve"> </w:t>
      </w:r>
      <w:r>
        <w:t>babies)</w:t>
      </w:r>
      <w:r>
        <w:rPr>
          <w:spacing w:val="42"/>
        </w:rPr>
        <w:t xml:space="preserve"> </w:t>
      </w:r>
      <w:r>
        <w:lastRenderedPageBreak/>
        <w:t>and</w:t>
      </w:r>
      <w:r>
        <w:rPr>
          <w:spacing w:val="42"/>
        </w:rPr>
        <w:t xml:space="preserve"> </w:t>
      </w:r>
      <w:r>
        <w:t>respiratory</w:t>
      </w:r>
      <w:r>
        <w:rPr>
          <w:spacing w:val="42"/>
        </w:rPr>
        <w:t xml:space="preserve"> </w:t>
      </w:r>
      <w:r>
        <w:t>distress syndrome (</w:t>
      </w:r>
      <w:r w:rsidR="00230FF7">
        <w:t>RR </w:t>
      </w:r>
      <w:r>
        <w:t>2.24, 95% CI 1.20–4.18; 3 trials; 1</w:t>
      </w:r>
      <w:r w:rsidR="003A4BD4">
        <w:t>,</w:t>
      </w:r>
      <w:r>
        <w:t>511 infants). There was insufficient information to draw conclusions on neonatal mortality. No studies reported on maternal satisfaction.</w:t>
      </w:r>
    </w:p>
    <w:p w14:paraId="79DBF288" w14:textId="77777777" w:rsidR="003A4BD4" w:rsidRDefault="003A4BD4" w:rsidP="003A4BD4"/>
    <w:p w14:paraId="05F439EE" w14:textId="77777777" w:rsidR="00AC0F19" w:rsidRDefault="00AC0F19" w:rsidP="003A4BD4">
      <w:r>
        <w:t>For the purposes of this guideline, the HYPITAT trial is reviewed in more detail. This trial contributed most of the evidence to the Cochrane review, and included participants with hypertension &gt;</w:t>
      </w:r>
      <w:r w:rsidR="00EB43A9">
        <w:t>36 weeks</w:t>
      </w:r>
      <w:r w:rsidR="00B0606D">
        <w:t>’</w:t>
      </w:r>
      <w:r>
        <w:t xml:space="preserve"> gestation.</w:t>
      </w:r>
    </w:p>
    <w:p w14:paraId="055F0FF2" w14:textId="77777777" w:rsidR="00AC0F19" w:rsidRDefault="00AC0F19" w:rsidP="003A4BD4"/>
    <w:p w14:paraId="2AF35809" w14:textId="77777777" w:rsidR="00AC0F19" w:rsidRDefault="00AC0F19" w:rsidP="003A4BD4">
      <w:r>
        <w:t>The</w:t>
      </w:r>
      <w:r>
        <w:rPr>
          <w:spacing w:val="-6"/>
        </w:rPr>
        <w:t xml:space="preserve"> </w:t>
      </w:r>
      <w:r>
        <w:t>multicentre</w:t>
      </w:r>
      <w:r>
        <w:rPr>
          <w:spacing w:val="-5"/>
        </w:rPr>
        <w:t xml:space="preserve"> </w:t>
      </w:r>
      <w:r>
        <w:t>HYPITAT</w:t>
      </w:r>
      <w:r>
        <w:rPr>
          <w:spacing w:val="-5"/>
        </w:rPr>
        <w:t xml:space="preserve"> </w:t>
      </w:r>
      <w:r>
        <w:t>trial</w:t>
      </w:r>
      <w:r>
        <w:rPr>
          <w:spacing w:val="-5"/>
        </w:rPr>
        <w:t xml:space="preserve"> </w:t>
      </w:r>
      <w:r>
        <w:t>(Koopmans</w:t>
      </w:r>
      <w:r>
        <w:rPr>
          <w:spacing w:val="-2"/>
        </w:rPr>
        <w:t xml:space="preserve"> </w:t>
      </w:r>
      <w:r w:rsidR="000F3C98">
        <w:rPr>
          <w:spacing w:val="-2"/>
        </w:rPr>
        <w:t>et al</w:t>
      </w:r>
      <w:r>
        <w:rPr>
          <w:spacing w:val="-2"/>
        </w:rPr>
        <w:t xml:space="preserve"> </w:t>
      </w:r>
      <w:r>
        <w:t>2009)</w:t>
      </w:r>
      <w:r>
        <w:rPr>
          <w:spacing w:val="-4"/>
        </w:rPr>
        <w:t xml:space="preserve"> </w:t>
      </w:r>
      <w:r>
        <w:t>randomised</w:t>
      </w:r>
      <w:r>
        <w:rPr>
          <w:spacing w:val="-3"/>
        </w:rPr>
        <w:t xml:space="preserve"> </w:t>
      </w:r>
      <w:r>
        <w:t>756</w:t>
      </w:r>
      <w:r>
        <w:rPr>
          <w:spacing w:val="-3"/>
        </w:rPr>
        <w:t xml:space="preserve"> </w:t>
      </w:r>
      <w:r>
        <w:t>women</w:t>
      </w:r>
      <w:r>
        <w:rPr>
          <w:spacing w:val="-4"/>
        </w:rPr>
        <w:t xml:space="preserve"> </w:t>
      </w:r>
      <w:r>
        <w:t>in</w:t>
      </w:r>
      <w:r>
        <w:rPr>
          <w:spacing w:val="-3"/>
        </w:rPr>
        <w:t xml:space="preserve"> </w:t>
      </w:r>
      <w:r>
        <w:t>the</w:t>
      </w:r>
      <w:r>
        <w:rPr>
          <w:spacing w:val="-5"/>
        </w:rPr>
        <w:t xml:space="preserve"> </w:t>
      </w:r>
      <w:r>
        <w:t xml:space="preserve">Netherlands with gestational hypertension (diastolic blood pressure of 95 mmHg or higher) or mild pre-eclampsia </w:t>
      </w:r>
      <w:r w:rsidR="00436939">
        <w:t>&gt;</w:t>
      </w:r>
      <w:r>
        <w:t>36–</w:t>
      </w:r>
      <w:r w:rsidR="00EB43A9">
        <w:t>41 weeks</w:t>
      </w:r>
      <w:r w:rsidR="00B0606D">
        <w:t>’</w:t>
      </w:r>
      <w:r>
        <w:t xml:space="preserve"> gestation to IOL within </w:t>
      </w:r>
      <w:r w:rsidR="00EB43A9">
        <w:t>24 hours</w:t>
      </w:r>
      <w:r>
        <w:t xml:space="preserve"> or expectant monitoring.</w:t>
      </w:r>
      <w:r>
        <w:rPr>
          <w:spacing w:val="-29"/>
        </w:rPr>
        <w:t xml:space="preserve"> </w:t>
      </w:r>
      <w:r>
        <w:t>IOL was associated with a reduced risk of severe hypertension and a reduced risk for a composite outcome of maternal mortality and morbidity compared with expectant monitoring (</w:t>
      </w:r>
      <w:r w:rsidR="00230FF7">
        <w:t>RR </w:t>
      </w:r>
      <w:r>
        <w:t>0.71; 95%</w:t>
      </w:r>
      <w:r>
        <w:rPr>
          <w:spacing w:val="-17"/>
        </w:rPr>
        <w:t xml:space="preserve"> </w:t>
      </w:r>
      <w:r>
        <w:t>CI</w:t>
      </w:r>
      <w:r>
        <w:rPr>
          <w:spacing w:val="-17"/>
        </w:rPr>
        <w:t xml:space="preserve"> </w:t>
      </w:r>
      <w:r>
        <w:t>0.59</w:t>
      </w:r>
      <w:r>
        <w:rPr>
          <w:spacing w:val="-18"/>
        </w:rPr>
        <w:t>–</w:t>
      </w:r>
      <w:r>
        <w:t>0.86).</w:t>
      </w:r>
      <w:r>
        <w:rPr>
          <w:spacing w:val="-12"/>
        </w:rPr>
        <w:t xml:space="preserve"> </w:t>
      </w:r>
      <w:r>
        <w:t>Women</w:t>
      </w:r>
      <w:r>
        <w:rPr>
          <w:spacing w:val="-17"/>
        </w:rPr>
        <w:t xml:space="preserve"> </w:t>
      </w:r>
      <w:r>
        <w:t>randomised</w:t>
      </w:r>
      <w:r>
        <w:rPr>
          <w:spacing w:val="-13"/>
        </w:rPr>
        <w:t xml:space="preserve"> </w:t>
      </w:r>
      <w:r>
        <w:t>to</w:t>
      </w:r>
      <w:r>
        <w:rPr>
          <w:spacing w:val="-17"/>
        </w:rPr>
        <w:t xml:space="preserve"> </w:t>
      </w:r>
      <w:r>
        <w:t>IOL</w:t>
      </w:r>
      <w:r>
        <w:rPr>
          <w:spacing w:val="-13"/>
        </w:rPr>
        <w:t xml:space="preserve"> </w:t>
      </w:r>
      <w:r>
        <w:t>had</w:t>
      </w:r>
      <w:r>
        <w:rPr>
          <w:spacing w:val="-12"/>
        </w:rPr>
        <w:t xml:space="preserve"> </w:t>
      </w:r>
      <w:r>
        <w:t>shorter</w:t>
      </w:r>
      <w:r>
        <w:rPr>
          <w:spacing w:val="-17"/>
        </w:rPr>
        <w:t xml:space="preserve"> </w:t>
      </w:r>
      <w:r>
        <w:t>durations</w:t>
      </w:r>
      <w:r>
        <w:rPr>
          <w:spacing w:val="-8"/>
        </w:rPr>
        <w:t xml:space="preserve"> </w:t>
      </w:r>
      <w:r>
        <w:t>of</w:t>
      </w:r>
      <w:r>
        <w:rPr>
          <w:spacing w:val="-13"/>
        </w:rPr>
        <w:t xml:space="preserve"> </w:t>
      </w:r>
      <w:r>
        <w:t>pregnancy</w:t>
      </w:r>
      <w:r>
        <w:rPr>
          <w:spacing w:val="-17"/>
        </w:rPr>
        <w:t xml:space="preserve"> </w:t>
      </w:r>
      <w:r>
        <w:t>compared with those randomised to expectant management (38.7 weeks</w:t>
      </w:r>
      <w:r w:rsidR="00B0606D">
        <w:t>’</w:t>
      </w:r>
      <w:r>
        <w:t xml:space="preserve"> gestation compared with 39.9 weeks</w:t>
      </w:r>
      <w:r w:rsidR="00B0606D">
        <w:t>’</w:t>
      </w:r>
      <w:r>
        <w:t xml:space="preserve"> gestation respectively). There were no cases of eclampsia or maternal or neonatal death in either group. There</w:t>
      </w:r>
      <w:r>
        <w:rPr>
          <w:spacing w:val="-8"/>
        </w:rPr>
        <w:t xml:space="preserve"> </w:t>
      </w:r>
      <w:r>
        <w:t>was</w:t>
      </w:r>
      <w:r>
        <w:rPr>
          <w:spacing w:val="-5"/>
        </w:rPr>
        <w:t xml:space="preserve"> </w:t>
      </w:r>
      <w:r>
        <w:t>no</w:t>
      </w:r>
      <w:r>
        <w:rPr>
          <w:spacing w:val="-7"/>
        </w:rPr>
        <w:t xml:space="preserve"> </w:t>
      </w:r>
      <w:r>
        <w:t>difference</w:t>
      </w:r>
      <w:r>
        <w:rPr>
          <w:spacing w:val="-3"/>
        </w:rPr>
        <w:t xml:space="preserve"> </w:t>
      </w:r>
      <w:r>
        <w:t>in</w:t>
      </w:r>
      <w:r>
        <w:rPr>
          <w:spacing w:val="-7"/>
        </w:rPr>
        <w:t xml:space="preserve"> </w:t>
      </w:r>
      <w:r>
        <w:t>caesarean</w:t>
      </w:r>
      <w:r>
        <w:rPr>
          <w:spacing w:val="-2"/>
        </w:rPr>
        <w:t xml:space="preserve"> </w:t>
      </w:r>
      <w:r>
        <w:t>section,</w:t>
      </w:r>
      <w:r>
        <w:rPr>
          <w:spacing w:val="-6"/>
        </w:rPr>
        <w:t xml:space="preserve"> </w:t>
      </w:r>
      <w:r>
        <w:t>assisted</w:t>
      </w:r>
      <w:r>
        <w:rPr>
          <w:spacing w:val="-7"/>
        </w:rPr>
        <w:t xml:space="preserve"> </w:t>
      </w:r>
      <w:r>
        <w:t>vaginal</w:t>
      </w:r>
      <w:r>
        <w:rPr>
          <w:spacing w:val="-8"/>
        </w:rPr>
        <w:t xml:space="preserve"> </w:t>
      </w:r>
      <w:r>
        <w:t>birth,</w:t>
      </w:r>
      <w:r>
        <w:rPr>
          <w:spacing w:val="-7"/>
        </w:rPr>
        <w:t xml:space="preserve"> </w:t>
      </w:r>
      <w:r>
        <w:t>PPH,</w:t>
      </w:r>
      <w:r>
        <w:rPr>
          <w:spacing w:val="-7"/>
        </w:rPr>
        <w:t xml:space="preserve"> </w:t>
      </w:r>
      <w:r>
        <w:t>NICU</w:t>
      </w:r>
      <w:r>
        <w:rPr>
          <w:spacing w:val="-5"/>
        </w:rPr>
        <w:t xml:space="preserve"> </w:t>
      </w:r>
      <w:r>
        <w:t>admission,</w:t>
      </w:r>
      <w:r>
        <w:rPr>
          <w:spacing w:val="-6"/>
        </w:rPr>
        <w:t xml:space="preserve"> </w:t>
      </w:r>
      <w:r>
        <w:t>or low</w:t>
      </w:r>
      <w:r>
        <w:rPr>
          <w:spacing w:val="-5"/>
        </w:rPr>
        <w:t xml:space="preserve"> </w:t>
      </w:r>
      <w:r w:rsidR="00763E83">
        <w:t>5</w:t>
      </w:r>
      <w:r w:rsidR="00763E83">
        <w:noBreakHyphen/>
        <w:t>minute</w:t>
      </w:r>
      <w:r>
        <w:rPr>
          <w:spacing w:val="-8"/>
        </w:rPr>
        <w:t xml:space="preserve"> </w:t>
      </w:r>
      <w:r>
        <w:t>Apgar</w:t>
      </w:r>
      <w:r>
        <w:rPr>
          <w:spacing w:val="-7"/>
        </w:rPr>
        <w:t xml:space="preserve"> </w:t>
      </w:r>
      <w:r>
        <w:t>score.</w:t>
      </w:r>
      <w:r>
        <w:rPr>
          <w:spacing w:val="-6"/>
        </w:rPr>
        <w:t xml:space="preserve"> </w:t>
      </w:r>
      <w:r>
        <w:t>The</w:t>
      </w:r>
      <w:r>
        <w:rPr>
          <w:spacing w:val="-8"/>
        </w:rPr>
        <w:t xml:space="preserve"> </w:t>
      </w:r>
      <w:r>
        <w:t>authors</w:t>
      </w:r>
      <w:r>
        <w:rPr>
          <w:spacing w:val="-5"/>
        </w:rPr>
        <w:t xml:space="preserve"> </w:t>
      </w:r>
      <w:r>
        <w:t>concluded that</w:t>
      </w:r>
      <w:r>
        <w:rPr>
          <w:spacing w:val="-8"/>
        </w:rPr>
        <w:t xml:space="preserve"> </w:t>
      </w:r>
      <w:r>
        <w:t>IOL</w:t>
      </w:r>
      <w:r>
        <w:rPr>
          <w:spacing w:val="-8"/>
        </w:rPr>
        <w:t xml:space="preserve"> </w:t>
      </w:r>
      <w:r>
        <w:t>should</w:t>
      </w:r>
      <w:r>
        <w:rPr>
          <w:spacing w:val="-2"/>
        </w:rPr>
        <w:t xml:space="preserve"> </w:t>
      </w:r>
      <w:r>
        <w:t>be</w:t>
      </w:r>
      <w:r>
        <w:rPr>
          <w:spacing w:val="-2"/>
        </w:rPr>
        <w:t xml:space="preserve"> </w:t>
      </w:r>
      <w:r>
        <w:t>advised</w:t>
      </w:r>
      <w:r>
        <w:rPr>
          <w:spacing w:val="-7"/>
        </w:rPr>
        <w:t xml:space="preserve"> </w:t>
      </w:r>
      <w:r>
        <w:t>for</w:t>
      </w:r>
      <w:r>
        <w:rPr>
          <w:spacing w:val="-2"/>
        </w:rPr>
        <w:t xml:space="preserve"> </w:t>
      </w:r>
      <w:r>
        <w:t>women</w:t>
      </w:r>
      <w:r>
        <w:rPr>
          <w:spacing w:val="-6"/>
        </w:rPr>
        <w:t xml:space="preserve"> </w:t>
      </w:r>
      <w:r>
        <w:t>with gestational</w:t>
      </w:r>
      <w:r>
        <w:rPr>
          <w:spacing w:val="-11"/>
        </w:rPr>
        <w:t xml:space="preserve"> </w:t>
      </w:r>
      <w:r>
        <w:t>hypertension</w:t>
      </w:r>
      <w:r>
        <w:rPr>
          <w:spacing w:val="-9"/>
        </w:rPr>
        <w:t xml:space="preserve"> </w:t>
      </w:r>
      <w:r>
        <w:t>or</w:t>
      </w:r>
      <w:r>
        <w:rPr>
          <w:spacing w:val="-8"/>
        </w:rPr>
        <w:t xml:space="preserve"> </w:t>
      </w:r>
      <w:r>
        <w:t>mild</w:t>
      </w:r>
      <w:r>
        <w:rPr>
          <w:spacing w:val="-9"/>
        </w:rPr>
        <w:t xml:space="preserve"> </w:t>
      </w:r>
      <w:r>
        <w:t>pre-eclampsia</w:t>
      </w:r>
      <w:r>
        <w:rPr>
          <w:spacing w:val="-11"/>
        </w:rPr>
        <w:t xml:space="preserve"> </w:t>
      </w:r>
      <w:r>
        <w:t>at</w:t>
      </w:r>
      <w:r>
        <w:rPr>
          <w:spacing w:val="-10"/>
        </w:rPr>
        <w:t xml:space="preserve"> </w:t>
      </w:r>
      <w:r>
        <w:t>a</w:t>
      </w:r>
      <w:r>
        <w:rPr>
          <w:spacing w:val="-10"/>
        </w:rPr>
        <w:t xml:space="preserve"> </w:t>
      </w:r>
      <w:r>
        <w:t>gestational</w:t>
      </w:r>
      <w:r>
        <w:rPr>
          <w:spacing w:val="-10"/>
        </w:rPr>
        <w:t xml:space="preserve"> </w:t>
      </w:r>
      <w:r>
        <w:t>age</w:t>
      </w:r>
      <w:r>
        <w:rPr>
          <w:spacing w:val="-10"/>
        </w:rPr>
        <w:t xml:space="preserve"> </w:t>
      </w:r>
      <w:r>
        <w:t>beyond</w:t>
      </w:r>
      <w:r>
        <w:rPr>
          <w:spacing w:val="-10"/>
        </w:rPr>
        <w:t xml:space="preserve"> </w:t>
      </w:r>
      <w:r w:rsidR="00EB43A9">
        <w:t>37 weeks</w:t>
      </w:r>
      <w:r w:rsidR="00B0606D">
        <w:t>’</w:t>
      </w:r>
      <w:r>
        <w:rPr>
          <w:spacing w:val="-9"/>
        </w:rPr>
        <w:t xml:space="preserve"> </w:t>
      </w:r>
      <w:r>
        <w:t>gestation. The number of women needed to undergo IOL to prevent one woman from progressing to severe hypertension or severe pre-eclampsia was 8. This trial was well designed with low risk of</w:t>
      </w:r>
      <w:r>
        <w:rPr>
          <w:spacing w:val="-1"/>
        </w:rPr>
        <w:t xml:space="preserve"> </w:t>
      </w:r>
      <w:r>
        <w:t>bias.</w:t>
      </w:r>
    </w:p>
    <w:p w14:paraId="54850FAF" w14:textId="77777777" w:rsidR="00AC0F19" w:rsidRDefault="00AC0F19" w:rsidP="003A4BD4"/>
    <w:p w14:paraId="0FB7922E" w14:textId="77777777" w:rsidR="00AC0F19" w:rsidRDefault="00AC0F19" w:rsidP="003A4BD4">
      <w:pPr>
        <w:pStyle w:val="Heading3"/>
      </w:pPr>
      <w:bookmarkStart w:id="146" w:name="_bookmark66"/>
      <w:bookmarkEnd w:id="146"/>
      <w:r>
        <w:t>Discussion</w:t>
      </w:r>
    </w:p>
    <w:p w14:paraId="106FADE1" w14:textId="77777777" w:rsidR="00AC0F19" w:rsidRPr="00212DF5" w:rsidRDefault="00AC0F19" w:rsidP="003A4BD4">
      <w:r w:rsidRPr="00212DF5">
        <w:t xml:space="preserve">Hypertension in pregnancy is associated with adverse maternal and perinatal outcomes. The HYPITAT study found significant improvement in adverse maternal outcome when IOL </w:t>
      </w:r>
      <w:r>
        <w:t>was</w:t>
      </w:r>
      <w:r w:rsidRPr="00212DF5">
        <w:t xml:space="preserve"> offered to women with gestational hypertension or mild pre</w:t>
      </w:r>
      <w:r w:rsidR="003A4BD4">
        <w:noBreakHyphen/>
      </w:r>
      <w:r w:rsidRPr="00212DF5">
        <w:t>eclampsia, with no increase in the incidence of caesarean section. A limitation of the trial was not differentiating between gestational hypertension and pre</w:t>
      </w:r>
      <w:r>
        <w:t>-</w:t>
      </w:r>
      <w:r w:rsidRPr="00212DF5">
        <w:t>eclampsia. Factors to consider in individualising timing of birth include the type and degree of hypertension and its treatment, maternal and fetal wellbeing, additional antenatal risk factors and maternal preference. The woman, her LMC midwife and the obstetric team would need to discuss the optimal timing</w:t>
      </w:r>
      <w:r w:rsidRPr="00BC346D">
        <w:t xml:space="preserve"> </w:t>
      </w:r>
      <w:r w:rsidRPr="00212DF5">
        <w:t>together.</w:t>
      </w:r>
    </w:p>
    <w:p w14:paraId="276E48F0" w14:textId="77777777" w:rsidR="00AC0F19" w:rsidRPr="00212DF5" w:rsidRDefault="00AC0F19" w:rsidP="003A4BD4"/>
    <w:p w14:paraId="4CF0DB81" w14:textId="77777777" w:rsidR="00AC0F19" w:rsidRPr="00212DF5" w:rsidRDefault="00AC0F19" w:rsidP="003A4BD4">
      <w:r w:rsidRPr="00212DF5">
        <w:t xml:space="preserve">The 2017 </w:t>
      </w:r>
      <w:r>
        <w:t xml:space="preserve">clinical practice guideline </w:t>
      </w:r>
      <w:hyperlink r:id="rId26">
        <w:r w:rsidRPr="0071585E">
          <w:rPr>
            <w:i/>
            <w:iCs/>
          </w:rPr>
          <w:t>Diagnosis and Treatment of Hypertension and Preeclampsia in Pregnancy in New</w:t>
        </w:r>
      </w:hyperlink>
      <w:r w:rsidRPr="0071585E">
        <w:rPr>
          <w:i/>
          <w:iCs/>
        </w:rPr>
        <w:t xml:space="preserve"> </w:t>
      </w:r>
      <w:hyperlink r:id="rId27">
        <w:r w:rsidRPr="0071585E">
          <w:rPr>
            <w:i/>
            <w:iCs/>
          </w:rPr>
          <w:t>Zealand</w:t>
        </w:r>
      </w:hyperlink>
      <w:r w:rsidRPr="00212DF5">
        <w:t xml:space="preserve"> (Ministry of Health 2017) provide</w:t>
      </w:r>
      <w:r>
        <w:t>s</w:t>
      </w:r>
      <w:r w:rsidRPr="00212DF5">
        <w:t xml:space="preserve"> recommendations related to timing of birth. The guideline differentiates management strategies based on the type of hypertension in pregnancy. The </w:t>
      </w:r>
      <w:r>
        <w:t>p</w:t>
      </w:r>
      <w:r w:rsidRPr="00212DF5">
        <w:t>anel identified the need to ensure consistency with those guideline recommendations regarding timing of birth. No new high</w:t>
      </w:r>
      <w:r>
        <w:t>-</w:t>
      </w:r>
      <w:r w:rsidRPr="00212DF5">
        <w:t xml:space="preserve">quality evidence has been published since 2017. Thus the following recommendations are aligned with those of the </w:t>
      </w:r>
      <w:r>
        <w:t>2017</w:t>
      </w:r>
      <w:r w:rsidRPr="00212DF5">
        <w:t xml:space="preserve"> clinical practice guideline.</w:t>
      </w:r>
    </w:p>
    <w:p w14:paraId="4F21C62B" w14:textId="77777777" w:rsidR="00D2284E" w:rsidRDefault="00D2284E" w:rsidP="003A4BD4"/>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D2284E" w14:paraId="2BB2AB59" w14:textId="77777777" w:rsidTr="00230FF7">
        <w:trPr>
          <w:cantSplit/>
        </w:trPr>
        <w:tc>
          <w:tcPr>
            <w:tcW w:w="4678" w:type="dxa"/>
            <w:tcBorders>
              <w:top w:val="nil"/>
              <w:left w:val="nil"/>
              <w:bottom w:val="nil"/>
              <w:right w:val="nil"/>
            </w:tcBorders>
            <w:shd w:val="clear" w:color="auto" w:fill="D9D9D9" w:themeFill="background1" w:themeFillShade="D9"/>
          </w:tcPr>
          <w:p w14:paraId="5DBC4572" w14:textId="77777777" w:rsidR="00D2284E" w:rsidRPr="00806252" w:rsidRDefault="00D2284E" w:rsidP="008E1687">
            <w:pPr>
              <w:pStyle w:val="TableText"/>
              <w:keepNext/>
              <w:rPr>
                <w:b/>
              </w:rPr>
            </w:pPr>
            <w:r w:rsidRPr="00806252">
              <w:rPr>
                <w:b/>
              </w:rPr>
              <w:lastRenderedPageBreak/>
              <w:t>Recommendation</w:t>
            </w:r>
          </w:p>
        </w:tc>
        <w:tc>
          <w:tcPr>
            <w:tcW w:w="1701" w:type="dxa"/>
            <w:tcBorders>
              <w:top w:val="nil"/>
              <w:left w:val="nil"/>
              <w:bottom w:val="nil"/>
              <w:right w:val="nil"/>
            </w:tcBorders>
            <w:shd w:val="clear" w:color="auto" w:fill="D9D9D9" w:themeFill="background1" w:themeFillShade="D9"/>
          </w:tcPr>
          <w:p w14:paraId="1AC120D9" w14:textId="77777777" w:rsidR="00D2284E" w:rsidRPr="00806252" w:rsidRDefault="00D2284E" w:rsidP="00230FF7">
            <w:pPr>
              <w:pStyle w:val="TableText"/>
              <w:rPr>
                <w:b/>
              </w:rPr>
            </w:pPr>
            <w:r w:rsidRPr="00806252">
              <w:rPr>
                <w:b/>
              </w:rPr>
              <w:t>Level of</w:t>
            </w:r>
            <w:r>
              <w:rPr>
                <w:b/>
              </w:rPr>
              <w:br/>
            </w:r>
            <w:r w:rsidRPr="00806252">
              <w:rPr>
                <w:b/>
              </w:rPr>
              <w:t>evidence</w:t>
            </w:r>
          </w:p>
        </w:tc>
        <w:tc>
          <w:tcPr>
            <w:tcW w:w="1701" w:type="dxa"/>
            <w:tcBorders>
              <w:top w:val="nil"/>
              <w:left w:val="nil"/>
              <w:bottom w:val="nil"/>
              <w:right w:val="nil"/>
            </w:tcBorders>
            <w:shd w:val="clear" w:color="auto" w:fill="D9D9D9" w:themeFill="background1" w:themeFillShade="D9"/>
          </w:tcPr>
          <w:p w14:paraId="7E15F706" w14:textId="77777777" w:rsidR="00D2284E" w:rsidRPr="00806252" w:rsidRDefault="00D2284E" w:rsidP="00230FF7">
            <w:pPr>
              <w:pStyle w:val="TableText"/>
              <w:rPr>
                <w:b/>
              </w:rPr>
            </w:pPr>
            <w:r w:rsidRPr="00806252">
              <w:rPr>
                <w:b/>
              </w:rPr>
              <w:t>Strength of recommendation</w:t>
            </w:r>
          </w:p>
        </w:tc>
      </w:tr>
      <w:tr w:rsidR="008E1687" w14:paraId="2AE8702B" w14:textId="77777777" w:rsidTr="00230FF7">
        <w:trPr>
          <w:cantSplit/>
        </w:trPr>
        <w:tc>
          <w:tcPr>
            <w:tcW w:w="4678" w:type="dxa"/>
            <w:tcBorders>
              <w:top w:val="nil"/>
              <w:left w:val="nil"/>
              <w:bottom w:val="single" w:sz="4" w:space="0" w:color="A6A6A6" w:themeColor="background1" w:themeShade="A6"/>
              <w:right w:val="nil"/>
            </w:tcBorders>
          </w:tcPr>
          <w:p w14:paraId="00644D14" w14:textId="77777777" w:rsidR="008E1687" w:rsidRDefault="008E1687" w:rsidP="008E1687">
            <w:pPr>
              <w:pStyle w:val="TableText"/>
              <w:keepNext/>
              <w:ind w:right="113"/>
            </w:pPr>
            <w:r>
              <w:t>For women with chronic hypertension and low risk of adverse outcomes, consider expectant management beyond 37 weeks’ gestation with increased monitoring.</w:t>
            </w:r>
          </w:p>
        </w:tc>
        <w:tc>
          <w:tcPr>
            <w:tcW w:w="1701" w:type="dxa"/>
            <w:tcBorders>
              <w:top w:val="nil"/>
              <w:left w:val="nil"/>
              <w:bottom w:val="single" w:sz="4" w:space="0" w:color="A6A6A6" w:themeColor="background1" w:themeShade="A6"/>
              <w:right w:val="nil"/>
            </w:tcBorders>
          </w:tcPr>
          <w:p w14:paraId="22EDA048" w14:textId="77777777" w:rsidR="008E1687" w:rsidRDefault="008E1687" w:rsidP="008E1687">
            <w:pPr>
              <w:pStyle w:val="TableText"/>
            </w:pPr>
            <w:r>
              <w:t>Level 1; moderate quality</w:t>
            </w:r>
          </w:p>
        </w:tc>
        <w:tc>
          <w:tcPr>
            <w:tcW w:w="1701" w:type="dxa"/>
            <w:tcBorders>
              <w:top w:val="nil"/>
              <w:left w:val="nil"/>
              <w:bottom w:val="single" w:sz="4" w:space="0" w:color="A6A6A6" w:themeColor="background1" w:themeShade="A6"/>
              <w:right w:val="nil"/>
            </w:tcBorders>
          </w:tcPr>
          <w:p w14:paraId="112A9D7D" w14:textId="77777777" w:rsidR="008E1687" w:rsidRDefault="008E1687" w:rsidP="00230FF7">
            <w:pPr>
              <w:pStyle w:val="TableText"/>
            </w:pPr>
            <w:r>
              <w:t>Conditional</w:t>
            </w:r>
          </w:p>
        </w:tc>
      </w:tr>
      <w:tr w:rsidR="008E1687" w14:paraId="3B83DD04" w14:textId="77777777" w:rsidTr="00230FF7">
        <w:trPr>
          <w:cantSplit/>
        </w:trPr>
        <w:tc>
          <w:tcPr>
            <w:tcW w:w="4678" w:type="dxa"/>
            <w:tcBorders>
              <w:top w:val="nil"/>
              <w:left w:val="nil"/>
              <w:bottom w:val="single" w:sz="4" w:space="0" w:color="A6A6A6" w:themeColor="background1" w:themeShade="A6"/>
              <w:right w:val="nil"/>
            </w:tcBorders>
          </w:tcPr>
          <w:p w14:paraId="3223FE75" w14:textId="77777777" w:rsidR="008E1687" w:rsidRDefault="008E1687" w:rsidP="008E1687">
            <w:pPr>
              <w:pStyle w:val="TableText"/>
              <w:ind w:right="113"/>
            </w:pPr>
            <w:r>
              <w:t xml:space="preserve">For women with gestational hypertension diagnosed after 37 weeks’ gestation, consider IOL, to reduce the risks of severe hypertension, severe pre-eclampsia, HELLP syndrome, abruptio placenta, pulmonary </w:t>
            </w:r>
            <w:proofErr w:type="spellStart"/>
            <w:r>
              <w:t>edema</w:t>
            </w:r>
            <w:proofErr w:type="spellEnd"/>
            <w:r>
              <w:t>, severe renal impairment and fetal growth restriction.</w:t>
            </w:r>
          </w:p>
        </w:tc>
        <w:tc>
          <w:tcPr>
            <w:tcW w:w="1701" w:type="dxa"/>
            <w:tcBorders>
              <w:top w:val="nil"/>
              <w:left w:val="nil"/>
              <w:bottom w:val="single" w:sz="4" w:space="0" w:color="A6A6A6" w:themeColor="background1" w:themeShade="A6"/>
              <w:right w:val="nil"/>
            </w:tcBorders>
          </w:tcPr>
          <w:p w14:paraId="29E5AA5E" w14:textId="77777777" w:rsidR="008E1687" w:rsidRDefault="008E1687" w:rsidP="00230FF7">
            <w:pPr>
              <w:pStyle w:val="TableText"/>
            </w:pPr>
            <w:r>
              <w:t>Level 1; moderate quality</w:t>
            </w:r>
          </w:p>
        </w:tc>
        <w:tc>
          <w:tcPr>
            <w:tcW w:w="1701" w:type="dxa"/>
            <w:tcBorders>
              <w:top w:val="nil"/>
              <w:left w:val="nil"/>
              <w:bottom w:val="single" w:sz="4" w:space="0" w:color="A6A6A6" w:themeColor="background1" w:themeShade="A6"/>
              <w:right w:val="nil"/>
            </w:tcBorders>
          </w:tcPr>
          <w:p w14:paraId="6AC5A626" w14:textId="77777777" w:rsidR="008E1687" w:rsidRDefault="008E1687" w:rsidP="00230FF7">
            <w:pPr>
              <w:pStyle w:val="TableText"/>
            </w:pPr>
            <w:r>
              <w:t>Conditional</w:t>
            </w:r>
          </w:p>
        </w:tc>
      </w:tr>
      <w:tr w:rsidR="008E1687" w14:paraId="6CF03D02" w14:textId="77777777" w:rsidTr="00230FF7">
        <w:trPr>
          <w:cantSplit/>
        </w:trPr>
        <w:tc>
          <w:tcPr>
            <w:tcW w:w="4678" w:type="dxa"/>
            <w:tcBorders>
              <w:top w:val="nil"/>
              <w:left w:val="nil"/>
              <w:bottom w:val="single" w:sz="4" w:space="0" w:color="A6A6A6" w:themeColor="background1" w:themeShade="A6"/>
              <w:right w:val="nil"/>
            </w:tcBorders>
          </w:tcPr>
          <w:p w14:paraId="4CC2BACB" w14:textId="77777777" w:rsidR="008E1687" w:rsidRDefault="008E1687" w:rsidP="008E1687">
            <w:pPr>
              <w:pStyle w:val="TableText"/>
              <w:ind w:right="113"/>
            </w:pPr>
            <w:r>
              <w:t>For women with pre-eclampsia diagnosed after 37 weeks’ gestation, offer IOL.</w:t>
            </w:r>
          </w:p>
        </w:tc>
        <w:tc>
          <w:tcPr>
            <w:tcW w:w="1701" w:type="dxa"/>
            <w:tcBorders>
              <w:top w:val="nil"/>
              <w:left w:val="nil"/>
              <w:bottom w:val="single" w:sz="4" w:space="0" w:color="A6A6A6" w:themeColor="background1" w:themeShade="A6"/>
              <w:right w:val="nil"/>
            </w:tcBorders>
          </w:tcPr>
          <w:p w14:paraId="6584DD81" w14:textId="77777777" w:rsidR="008E1687" w:rsidRDefault="008E1687" w:rsidP="008E1687">
            <w:pPr>
              <w:pStyle w:val="TableText"/>
            </w:pPr>
            <w:r>
              <w:t>Level 1; moderate quality</w:t>
            </w:r>
          </w:p>
        </w:tc>
        <w:tc>
          <w:tcPr>
            <w:tcW w:w="1701" w:type="dxa"/>
            <w:tcBorders>
              <w:top w:val="nil"/>
              <w:left w:val="nil"/>
              <w:bottom w:val="single" w:sz="4" w:space="0" w:color="A6A6A6" w:themeColor="background1" w:themeShade="A6"/>
              <w:right w:val="nil"/>
            </w:tcBorders>
          </w:tcPr>
          <w:p w14:paraId="35327CF3" w14:textId="77777777" w:rsidR="008E1687" w:rsidRDefault="008E1687" w:rsidP="00230FF7">
            <w:pPr>
              <w:pStyle w:val="TableText"/>
            </w:pPr>
            <w:r>
              <w:t>Conditional</w:t>
            </w:r>
          </w:p>
        </w:tc>
      </w:tr>
    </w:tbl>
    <w:p w14:paraId="5761618C"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5D2F385A" w14:textId="77777777" w:rsidTr="00230FF7">
        <w:trPr>
          <w:cantSplit/>
        </w:trPr>
        <w:tc>
          <w:tcPr>
            <w:tcW w:w="8080" w:type="dxa"/>
            <w:tcBorders>
              <w:top w:val="nil"/>
              <w:left w:val="nil"/>
              <w:bottom w:val="nil"/>
              <w:right w:val="nil"/>
            </w:tcBorders>
            <w:shd w:val="clear" w:color="auto" w:fill="D9D9D9" w:themeFill="background1" w:themeFillShade="D9"/>
          </w:tcPr>
          <w:p w14:paraId="4DE82062" w14:textId="77777777" w:rsidR="00D2284E" w:rsidRPr="008D53E4" w:rsidRDefault="00D2284E" w:rsidP="00230FF7">
            <w:pPr>
              <w:pStyle w:val="TableText"/>
              <w:rPr>
                <w:b/>
              </w:rPr>
            </w:pPr>
            <w:r w:rsidRPr="008D53E4">
              <w:rPr>
                <w:b/>
              </w:rPr>
              <w:t>Research gaps</w:t>
            </w:r>
          </w:p>
        </w:tc>
      </w:tr>
      <w:tr w:rsidR="008E1687" w14:paraId="04EEAB29" w14:textId="77777777" w:rsidTr="00230FF7">
        <w:trPr>
          <w:cantSplit/>
        </w:trPr>
        <w:tc>
          <w:tcPr>
            <w:tcW w:w="8080" w:type="dxa"/>
            <w:tcBorders>
              <w:top w:val="nil"/>
              <w:left w:val="nil"/>
              <w:bottom w:val="single" w:sz="4" w:space="0" w:color="A6A6A6" w:themeColor="background1" w:themeShade="A6"/>
              <w:right w:val="nil"/>
            </w:tcBorders>
          </w:tcPr>
          <w:p w14:paraId="7791ABFC" w14:textId="77777777" w:rsidR="008E1687" w:rsidRDefault="008E1687" w:rsidP="00230FF7">
            <w:pPr>
              <w:pStyle w:val="TableBullet"/>
            </w:pPr>
            <w:r>
              <w:t>For women with hypertension in pregnancy, to further evaluate the effect of IOL versus expectant management on maternal, perinatal and neonatal outcomes, stratified by type of hypertension.</w:t>
            </w:r>
          </w:p>
          <w:p w14:paraId="2A7FD3D7" w14:textId="77777777" w:rsidR="008E1687" w:rsidRDefault="008E1687" w:rsidP="00230FF7">
            <w:pPr>
              <w:pStyle w:val="TableBullet"/>
            </w:pPr>
            <w:r>
              <w:t>To perform an individual patient meta-analysis on current data of women with different types of hypertension to provide more information on outcomes.</w:t>
            </w:r>
          </w:p>
        </w:tc>
      </w:tr>
    </w:tbl>
    <w:p w14:paraId="53290562" w14:textId="77777777" w:rsidR="00D2284E" w:rsidRDefault="00D2284E" w:rsidP="008E1687"/>
    <w:p w14:paraId="67C050FF" w14:textId="77777777" w:rsidR="00AC0F19" w:rsidRDefault="00AC0F19" w:rsidP="00AE4015">
      <w:pPr>
        <w:pStyle w:val="Heading2"/>
      </w:pPr>
      <w:bookmarkStart w:id="147" w:name="4.9_Antepartum_haemorrhage_of_unknown_or"/>
      <w:bookmarkStart w:id="148" w:name="_bookmark67"/>
      <w:bookmarkStart w:id="149" w:name="_Toc75787988"/>
      <w:bookmarkEnd w:id="147"/>
      <w:bookmarkEnd w:id="148"/>
      <w:r w:rsidRPr="00D046A3">
        <w:t>Antepartum</w:t>
      </w:r>
      <w:r>
        <w:t xml:space="preserve"> haemorrhage of unknown</w:t>
      </w:r>
      <w:r>
        <w:rPr>
          <w:spacing w:val="-14"/>
        </w:rPr>
        <w:t xml:space="preserve"> </w:t>
      </w:r>
      <w:r>
        <w:t>origin</w:t>
      </w:r>
      <w:bookmarkEnd w:id="149"/>
    </w:p>
    <w:p w14:paraId="57F04304" w14:textId="77777777" w:rsidR="00AC0F19" w:rsidRDefault="00AC0F19" w:rsidP="00AE4015">
      <w:r>
        <w:t xml:space="preserve">Approximately 1 in 20 women will experience an antepartum haemorrhage (APH), defined as bleeding from the genital tract from </w:t>
      </w:r>
      <w:r w:rsidR="003A4BD4">
        <w:t>24 weeks</w:t>
      </w:r>
      <w:r w:rsidR="00B0606D">
        <w:t>’</w:t>
      </w:r>
      <w:r>
        <w:t xml:space="preserve"> gestation and before the birth of the baby (Bhandari 2014). Causes of APH are placenta praevia, placental abruption and local causes (for example, from the cervix). When a cause is not found, it is described as unexplained APH, or</w:t>
      </w:r>
      <w:r>
        <w:rPr>
          <w:spacing w:val="-42"/>
        </w:rPr>
        <w:t xml:space="preserve"> </w:t>
      </w:r>
      <w:r>
        <w:t>APH of unknown</w:t>
      </w:r>
      <w:r>
        <w:rPr>
          <w:spacing w:val="-1"/>
        </w:rPr>
        <w:t xml:space="preserve"> </w:t>
      </w:r>
      <w:r>
        <w:t>origin.</w:t>
      </w:r>
    </w:p>
    <w:p w14:paraId="3747DE60" w14:textId="77777777" w:rsidR="00AC0F19" w:rsidRDefault="00AC0F19" w:rsidP="00AE4015"/>
    <w:p w14:paraId="5B2ACE42" w14:textId="77777777" w:rsidR="00AC0F19" w:rsidRDefault="00AC0F19" w:rsidP="00AE4015">
      <w:pPr>
        <w:pStyle w:val="Heading3"/>
      </w:pPr>
      <w:bookmarkStart w:id="150" w:name="_bookmark68"/>
      <w:bookmarkEnd w:id="150"/>
      <w:r>
        <w:t>Summary of evidence</w:t>
      </w:r>
    </w:p>
    <w:p w14:paraId="14379B76" w14:textId="77777777" w:rsidR="00AC0F19" w:rsidRDefault="00AC0F19" w:rsidP="00AE4015">
      <w:r>
        <w:t xml:space="preserve">No studies were identified on </w:t>
      </w:r>
      <w:r w:rsidRPr="00D046A3">
        <w:t>IOL</w:t>
      </w:r>
      <w:r>
        <w:t xml:space="preserve"> in the setting of APH of unknown origin.</w:t>
      </w:r>
    </w:p>
    <w:p w14:paraId="3453BD68" w14:textId="77777777" w:rsidR="00AC0F19" w:rsidRDefault="00AC0F19" w:rsidP="00AE4015"/>
    <w:p w14:paraId="0B9619D3" w14:textId="77777777" w:rsidR="00AC0F19" w:rsidRDefault="00AC0F19" w:rsidP="00AE4015">
      <w:pPr>
        <w:pStyle w:val="Heading3"/>
      </w:pPr>
      <w:bookmarkStart w:id="151" w:name="_bookmark69"/>
      <w:bookmarkEnd w:id="151"/>
      <w:r>
        <w:t>Discussion</w:t>
      </w:r>
    </w:p>
    <w:p w14:paraId="18695B5E" w14:textId="77777777" w:rsidR="00AC0F19" w:rsidRPr="00D046A3" w:rsidRDefault="00AC0F19" w:rsidP="00AE4015">
      <w:r>
        <w:t xml:space="preserve">APH of unknown origin is associated with adverse outcomes, such as preterm birth, stillbirth, </w:t>
      </w:r>
      <w:r w:rsidRPr="00D046A3">
        <w:t xml:space="preserve">fetal anomalies and SGA (Bhandari </w:t>
      </w:r>
      <w:r w:rsidR="000F3C98">
        <w:t>et al</w:t>
      </w:r>
      <w:r>
        <w:t xml:space="preserve"> </w:t>
      </w:r>
      <w:r w:rsidRPr="00D046A3">
        <w:t xml:space="preserve">2014). The </w:t>
      </w:r>
      <w:r>
        <w:t>p</w:t>
      </w:r>
      <w:r w:rsidRPr="00D046A3">
        <w:t xml:space="preserve">anel identified that APH is an indication for assessment by an obstetric specialist and may require increased monitoring of the pregnancy (for example, SGA, routine enquiry for intimate partner violence). If placental abruption </w:t>
      </w:r>
      <w:r>
        <w:t>were</w:t>
      </w:r>
      <w:r w:rsidRPr="00D046A3">
        <w:t xml:space="preserve"> clinically diagnosed, most clinicians would recommend birth. However, there is no high-quality evidence to confirm the benefits or harms of IOL or expectant management for APH of unknown origin.</w:t>
      </w:r>
    </w:p>
    <w:p w14:paraId="1CE2E2F7" w14:textId="77777777" w:rsidR="00AC0F19" w:rsidRDefault="00AC0F19" w:rsidP="00AE4015">
      <w:pPr>
        <w:spacing w:before="240"/>
      </w:pPr>
      <w:r w:rsidRPr="00D046A3">
        <w:lastRenderedPageBreak/>
        <w:t>There is currently insufficient high</w:t>
      </w:r>
      <w:r>
        <w:t>-</w:t>
      </w:r>
      <w:r w:rsidRPr="00D046A3">
        <w:t>quality evidence to make a clear recommendation about</w:t>
      </w:r>
      <w:r>
        <w:t xml:space="preserve"> IOL for this condition.</w:t>
      </w:r>
    </w:p>
    <w:p w14:paraId="4729F1F3" w14:textId="77777777" w:rsidR="00D2284E" w:rsidRDefault="00D2284E" w:rsidP="00AE4015"/>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72DBB2B4" w14:textId="77777777" w:rsidTr="00230FF7">
        <w:trPr>
          <w:cantSplit/>
        </w:trPr>
        <w:tc>
          <w:tcPr>
            <w:tcW w:w="8080" w:type="dxa"/>
            <w:tcBorders>
              <w:top w:val="nil"/>
              <w:left w:val="nil"/>
              <w:bottom w:val="nil"/>
              <w:right w:val="nil"/>
            </w:tcBorders>
            <w:shd w:val="clear" w:color="auto" w:fill="D9D9D9" w:themeFill="background1" w:themeFillShade="D9"/>
          </w:tcPr>
          <w:p w14:paraId="2F33D769" w14:textId="77777777" w:rsidR="00D2284E" w:rsidRPr="008D53E4" w:rsidRDefault="00D2284E" w:rsidP="00230FF7">
            <w:pPr>
              <w:pStyle w:val="TableText"/>
            </w:pPr>
            <w:r w:rsidRPr="00806252">
              <w:rPr>
                <w:b/>
                <w:iCs/>
              </w:rPr>
              <w:t>Practice point</w:t>
            </w:r>
          </w:p>
        </w:tc>
      </w:tr>
      <w:tr w:rsidR="00D2284E" w14:paraId="1654124C" w14:textId="77777777" w:rsidTr="00230FF7">
        <w:trPr>
          <w:cantSplit/>
        </w:trPr>
        <w:tc>
          <w:tcPr>
            <w:tcW w:w="8080" w:type="dxa"/>
            <w:tcBorders>
              <w:top w:val="nil"/>
              <w:left w:val="nil"/>
              <w:bottom w:val="single" w:sz="4" w:space="0" w:color="A6A6A6" w:themeColor="background1" w:themeShade="A6"/>
              <w:right w:val="nil"/>
            </w:tcBorders>
          </w:tcPr>
          <w:p w14:paraId="7163A23E" w14:textId="77777777" w:rsidR="00D2284E" w:rsidRDefault="000F3C98" w:rsidP="00230FF7">
            <w:pPr>
              <w:pStyle w:val="TableBullet"/>
            </w:pPr>
            <w:r w:rsidRPr="00D046A3">
              <w:t xml:space="preserve">In women with </w:t>
            </w:r>
            <w:r>
              <w:t>APH</w:t>
            </w:r>
            <w:r w:rsidRPr="00D046A3">
              <w:t xml:space="preserve"> of unknown origin, in the presence of normal maternal</w:t>
            </w:r>
            <w:r>
              <w:t xml:space="preserve"> </w:t>
            </w:r>
            <w:r w:rsidRPr="00D046A3">
              <w:t>and fetal assessment, consider expectant management.</w:t>
            </w:r>
          </w:p>
        </w:tc>
      </w:tr>
    </w:tbl>
    <w:p w14:paraId="324EA522"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2C29B3E" w14:textId="77777777" w:rsidTr="00230FF7">
        <w:trPr>
          <w:cantSplit/>
        </w:trPr>
        <w:tc>
          <w:tcPr>
            <w:tcW w:w="8080" w:type="dxa"/>
            <w:tcBorders>
              <w:top w:val="nil"/>
              <w:left w:val="nil"/>
              <w:bottom w:val="nil"/>
              <w:right w:val="nil"/>
            </w:tcBorders>
            <w:shd w:val="clear" w:color="auto" w:fill="D9D9D9" w:themeFill="background1" w:themeFillShade="D9"/>
          </w:tcPr>
          <w:p w14:paraId="0E21D3AF" w14:textId="77777777" w:rsidR="00D2284E" w:rsidRPr="008D53E4" w:rsidRDefault="000F3C98" w:rsidP="00230FF7">
            <w:pPr>
              <w:pStyle w:val="TableText"/>
              <w:rPr>
                <w:b/>
              </w:rPr>
            </w:pPr>
            <w:r>
              <w:rPr>
                <w:b/>
              </w:rPr>
              <w:t>Research gap</w:t>
            </w:r>
          </w:p>
        </w:tc>
      </w:tr>
      <w:tr w:rsidR="00D2284E" w14:paraId="79031995" w14:textId="77777777" w:rsidTr="00230FF7">
        <w:trPr>
          <w:cantSplit/>
        </w:trPr>
        <w:tc>
          <w:tcPr>
            <w:tcW w:w="8080" w:type="dxa"/>
            <w:tcBorders>
              <w:top w:val="nil"/>
              <w:left w:val="nil"/>
              <w:bottom w:val="single" w:sz="4" w:space="0" w:color="A6A6A6" w:themeColor="background1" w:themeShade="A6"/>
              <w:right w:val="nil"/>
            </w:tcBorders>
          </w:tcPr>
          <w:p w14:paraId="3ECA7BFB" w14:textId="77777777" w:rsidR="00D2284E" w:rsidRDefault="000F3C98" w:rsidP="00230FF7">
            <w:pPr>
              <w:pStyle w:val="TableBullet"/>
            </w:pPr>
            <w:r>
              <w:t>In women with APH of unknown origin, to evaluate the effect of IOL vs expectant management on maternal, perinatal and neonatal outcomes.</w:t>
            </w:r>
          </w:p>
        </w:tc>
      </w:tr>
    </w:tbl>
    <w:p w14:paraId="06F95B53" w14:textId="77777777" w:rsidR="00D2284E" w:rsidRDefault="00D2284E" w:rsidP="00D2284E"/>
    <w:p w14:paraId="27312BBD" w14:textId="77777777" w:rsidR="00AC0F19" w:rsidRDefault="00AC0F19" w:rsidP="000F3C98">
      <w:pPr>
        <w:pStyle w:val="Heading2"/>
      </w:pPr>
      <w:bookmarkStart w:id="152" w:name="4.10_Assisted_Reproductive_Technology_(A"/>
      <w:bookmarkStart w:id="153" w:name="_bookmark70"/>
      <w:bookmarkStart w:id="154" w:name="_Toc75787989"/>
      <w:bookmarkEnd w:id="152"/>
      <w:bookmarkEnd w:id="153"/>
      <w:r>
        <w:t>Assisted r</w:t>
      </w:r>
      <w:r w:rsidRPr="004B65F3">
        <w:t>eproductive</w:t>
      </w:r>
      <w:r>
        <w:t xml:space="preserve"> technology</w:t>
      </w:r>
      <w:bookmarkEnd w:id="154"/>
    </w:p>
    <w:p w14:paraId="2467A80F" w14:textId="77777777" w:rsidR="00AC0F19" w:rsidRDefault="00AC0F19" w:rsidP="000F3C98">
      <w:r>
        <w:t xml:space="preserve">Approximately 1 in 37 women conceive using assisted reproductive technology (ART) (Fitzgerald </w:t>
      </w:r>
      <w:r w:rsidR="000F3C98">
        <w:t>et al</w:t>
      </w:r>
      <w:r>
        <w:t xml:space="preserve"> 2018). ART refers to procedures</w:t>
      </w:r>
      <w:r>
        <w:rPr>
          <w:spacing w:val="-6"/>
        </w:rPr>
        <w:t xml:space="preserve"> </w:t>
      </w:r>
      <w:r>
        <w:t>that</w:t>
      </w:r>
      <w:r>
        <w:rPr>
          <w:spacing w:val="-8"/>
        </w:rPr>
        <w:t xml:space="preserve"> </w:t>
      </w:r>
      <w:r>
        <w:t>involve</w:t>
      </w:r>
      <w:r>
        <w:rPr>
          <w:spacing w:val="-8"/>
        </w:rPr>
        <w:t xml:space="preserve"> </w:t>
      </w:r>
      <w:r>
        <w:t>the</w:t>
      </w:r>
      <w:r>
        <w:rPr>
          <w:spacing w:val="-4"/>
        </w:rPr>
        <w:t xml:space="preserve"> </w:t>
      </w:r>
      <w:r>
        <w:t>in</w:t>
      </w:r>
      <w:r>
        <w:rPr>
          <w:spacing w:val="-7"/>
        </w:rPr>
        <w:t>-</w:t>
      </w:r>
      <w:r>
        <w:t>vitro</w:t>
      </w:r>
      <w:r>
        <w:rPr>
          <w:spacing w:val="-7"/>
        </w:rPr>
        <w:t xml:space="preserve"> </w:t>
      </w:r>
      <w:r>
        <w:t>handling</w:t>
      </w:r>
      <w:r>
        <w:rPr>
          <w:spacing w:val="-7"/>
        </w:rPr>
        <w:t xml:space="preserve"> </w:t>
      </w:r>
      <w:r>
        <w:t>of</w:t>
      </w:r>
      <w:r>
        <w:rPr>
          <w:spacing w:val="-6"/>
        </w:rPr>
        <w:t xml:space="preserve"> </w:t>
      </w:r>
      <w:r>
        <w:t>both</w:t>
      </w:r>
      <w:r>
        <w:rPr>
          <w:spacing w:val="-2"/>
        </w:rPr>
        <w:t xml:space="preserve"> </w:t>
      </w:r>
      <w:r>
        <w:t>human</w:t>
      </w:r>
      <w:r>
        <w:rPr>
          <w:spacing w:val="-7"/>
        </w:rPr>
        <w:t xml:space="preserve"> </w:t>
      </w:r>
      <w:r>
        <w:t>oocytes</w:t>
      </w:r>
      <w:r>
        <w:rPr>
          <w:spacing w:val="-6"/>
        </w:rPr>
        <w:t xml:space="preserve"> </w:t>
      </w:r>
      <w:r>
        <w:t>and</w:t>
      </w:r>
      <w:r>
        <w:rPr>
          <w:spacing w:val="-7"/>
        </w:rPr>
        <w:t xml:space="preserve"> </w:t>
      </w:r>
      <w:r>
        <w:t>sperm,</w:t>
      </w:r>
      <w:r>
        <w:rPr>
          <w:spacing w:val="-7"/>
        </w:rPr>
        <w:t xml:space="preserve"> </w:t>
      </w:r>
      <w:r>
        <w:t>or</w:t>
      </w:r>
      <w:r>
        <w:rPr>
          <w:spacing w:val="-7"/>
        </w:rPr>
        <w:t xml:space="preserve"> </w:t>
      </w:r>
      <w:r>
        <w:t>embryos, with the objective of establishing a pregnancy. Observational data suggest an increased risk</w:t>
      </w:r>
      <w:r>
        <w:rPr>
          <w:spacing w:val="-43"/>
        </w:rPr>
        <w:t xml:space="preserve"> </w:t>
      </w:r>
      <w:r>
        <w:t>of obstetric and perinatal complications in singleton pregnancies conceived through in-vitro fertilisation or intracytoplasmic sperm injection when compared with spontaneous conception</w:t>
      </w:r>
      <w:bookmarkStart w:id="155" w:name="_bookmark71"/>
      <w:bookmarkEnd w:id="155"/>
      <w:r>
        <w:t xml:space="preserve"> (Pandey</w:t>
      </w:r>
      <w:r>
        <w:rPr>
          <w:spacing w:val="-1"/>
        </w:rPr>
        <w:t xml:space="preserve"> </w:t>
      </w:r>
      <w:r w:rsidR="000F3C98">
        <w:rPr>
          <w:spacing w:val="-1"/>
        </w:rPr>
        <w:t>et al</w:t>
      </w:r>
      <w:r>
        <w:rPr>
          <w:spacing w:val="-1"/>
        </w:rPr>
        <w:t xml:space="preserve"> </w:t>
      </w:r>
      <w:r>
        <w:t>2012).</w:t>
      </w:r>
    </w:p>
    <w:p w14:paraId="37A71C58" w14:textId="77777777" w:rsidR="00AC0F19" w:rsidRDefault="00AC0F19" w:rsidP="000F3C98"/>
    <w:p w14:paraId="20F72E18" w14:textId="77777777" w:rsidR="00AC0F19" w:rsidRDefault="00AC0F19" w:rsidP="000F3C98">
      <w:pPr>
        <w:pStyle w:val="Heading3"/>
      </w:pPr>
      <w:r>
        <w:t>Summary of evidence</w:t>
      </w:r>
    </w:p>
    <w:p w14:paraId="45B00531" w14:textId="77777777" w:rsidR="00AC0F19" w:rsidRDefault="00AC0F19" w:rsidP="000F3C98">
      <w:r>
        <w:t xml:space="preserve">No studies were identified on IOL in the </w:t>
      </w:r>
      <w:r w:rsidRPr="00EA0E0C">
        <w:t>setting</w:t>
      </w:r>
      <w:r>
        <w:t xml:space="preserve"> of pregnancy using ART.</w:t>
      </w:r>
    </w:p>
    <w:p w14:paraId="0CC404AB" w14:textId="77777777" w:rsidR="00AC0F19" w:rsidRDefault="00AC0F19" w:rsidP="000F3C98"/>
    <w:p w14:paraId="56F3BBC2" w14:textId="77777777" w:rsidR="00AC0F19" w:rsidRDefault="00AC0F19" w:rsidP="000F3C98">
      <w:pPr>
        <w:pStyle w:val="Heading3"/>
      </w:pPr>
      <w:bookmarkStart w:id="156" w:name="_bookmark72"/>
      <w:bookmarkEnd w:id="156"/>
      <w:r>
        <w:t>Discussion</w:t>
      </w:r>
    </w:p>
    <w:p w14:paraId="5F76DEB0" w14:textId="77777777" w:rsidR="00B0606D" w:rsidRDefault="00AC0F19" w:rsidP="000F3C98">
      <w:r>
        <w:t xml:space="preserve">There is no high-quality evidence to confirm the benefits or harms of IOL or expectant management in pregnancies conceived through ART. Women who conceive via ART may experience increased </w:t>
      </w:r>
      <w:r w:rsidRPr="00EA0E0C">
        <w:t>rates</w:t>
      </w:r>
      <w:r>
        <w:t xml:space="preserve"> of antenatal and postnatal anxiety and depression. It is important that pregnant women and their whānau are well supported to understand their individual pregnancy risk factors rather than relying on commonly held perceptions of risks associated with ART. Women may feel that ART is not sufficient reason in an uncomplicated pregnancy to warrant having an IOL. To support shared decision-making, inform women of the lack of evidence to support IOL to improve adverse outcomes associated with ART.</w:t>
      </w:r>
    </w:p>
    <w:p w14:paraId="6E49DE47" w14:textId="77777777" w:rsidR="00AC0F19" w:rsidRDefault="00AC0F19" w:rsidP="000F3C98"/>
    <w:p w14:paraId="22E1298E" w14:textId="77777777" w:rsidR="00AC0F19" w:rsidRDefault="00AC0F19" w:rsidP="000F3C98">
      <w:r>
        <w:t xml:space="preserve">There is </w:t>
      </w:r>
      <w:r w:rsidRPr="00EA0E0C">
        <w:t>currently</w:t>
      </w:r>
      <w:r>
        <w:t xml:space="preserve"> insufficient high-quality evidence to make a clear recommendation about IOL for this condition.</w:t>
      </w:r>
    </w:p>
    <w:p w14:paraId="3303E575" w14:textId="77777777" w:rsidR="00AC0F19" w:rsidRDefault="00AC0F19" w:rsidP="000F3C98"/>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0091190" w14:textId="77777777" w:rsidTr="00230FF7">
        <w:trPr>
          <w:cantSplit/>
        </w:trPr>
        <w:tc>
          <w:tcPr>
            <w:tcW w:w="8080" w:type="dxa"/>
            <w:tcBorders>
              <w:top w:val="nil"/>
              <w:left w:val="nil"/>
              <w:bottom w:val="nil"/>
              <w:right w:val="nil"/>
            </w:tcBorders>
            <w:shd w:val="clear" w:color="auto" w:fill="D9D9D9" w:themeFill="background1" w:themeFillShade="D9"/>
          </w:tcPr>
          <w:p w14:paraId="37868E2C" w14:textId="77777777" w:rsidR="00D2284E" w:rsidRPr="008D53E4" w:rsidRDefault="00D2284E" w:rsidP="000F3C98">
            <w:pPr>
              <w:pStyle w:val="TableText"/>
              <w:keepNext/>
            </w:pPr>
            <w:r w:rsidRPr="00806252">
              <w:rPr>
                <w:b/>
                <w:iCs/>
              </w:rPr>
              <w:lastRenderedPageBreak/>
              <w:t>Practice point</w:t>
            </w:r>
          </w:p>
        </w:tc>
      </w:tr>
      <w:tr w:rsidR="00D2284E" w14:paraId="3CE13E54" w14:textId="77777777" w:rsidTr="00230FF7">
        <w:trPr>
          <w:cantSplit/>
        </w:trPr>
        <w:tc>
          <w:tcPr>
            <w:tcW w:w="8080" w:type="dxa"/>
            <w:tcBorders>
              <w:top w:val="nil"/>
              <w:left w:val="nil"/>
              <w:bottom w:val="single" w:sz="4" w:space="0" w:color="A6A6A6" w:themeColor="background1" w:themeShade="A6"/>
              <w:right w:val="nil"/>
            </w:tcBorders>
          </w:tcPr>
          <w:p w14:paraId="36F3AA83" w14:textId="77777777" w:rsidR="00D2284E" w:rsidRDefault="000F3C98" w:rsidP="000F3C98">
            <w:pPr>
              <w:pStyle w:val="TableBullet"/>
              <w:keepNext/>
            </w:pPr>
            <w:r w:rsidRPr="00567860">
              <w:t xml:space="preserve">In women who conceive using </w:t>
            </w:r>
            <w:r>
              <w:t>ART</w:t>
            </w:r>
            <w:r w:rsidRPr="00567860">
              <w:t>, in the absence of other risk</w:t>
            </w:r>
            <w:r>
              <w:t xml:space="preserve"> </w:t>
            </w:r>
            <w:r w:rsidRPr="00567860">
              <w:t xml:space="preserve">factors or pregnancy complications, do not offer </w:t>
            </w:r>
            <w:r>
              <w:t>IOL</w:t>
            </w:r>
            <w:r w:rsidRPr="00567860">
              <w:t>.</w:t>
            </w:r>
          </w:p>
        </w:tc>
      </w:tr>
    </w:tbl>
    <w:p w14:paraId="2820F515"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6FCF212E" w14:textId="77777777" w:rsidTr="00230FF7">
        <w:trPr>
          <w:cantSplit/>
        </w:trPr>
        <w:tc>
          <w:tcPr>
            <w:tcW w:w="8080" w:type="dxa"/>
            <w:tcBorders>
              <w:top w:val="nil"/>
              <w:left w:val="nil"/>
              <w:bottom w:val="nil"/>
              <w:right w:val="nil"/>
            </w:tcBorders>
            <w:shd w:val="clear" w:color="auto" w:fill="D9D9D9" w:themeFill="background1" w:themeFillShade="D9"/>
          </w:tcPr>
          <w:p w14:paraId="1366F4EF" w14:textId="77777777" w:rsidR="00D2284E" w:rsidRPr="008D53E4" w:rsidRDefault="00D2284E" w:rsidP="00230FF7">
            <w:pPr>
              <w:pStyle w:val="TableText"/>
              <w:rPr>
                <w:b/>
              </w:rPr>
            </w:pPr>
            <w:r w:rsidRPr="008D53E4">
              <w:rPr>
                <w:b/>
              </w:rPr>
              <w:t>Research gaps</w:t>
            </w:r>
          </w:p>
        </w:tc>
      </w:tr>
      <w:tr w:rsidR="000F3C98" w14:paraId="76DD49C9" w14:textId="77777777" w:rsidTr="00230FF7">
        <w:trPr>
          <w:cantSplit/>
        </w:trPr>
        <w:tc>
          <w:tcPr>
            <w:tcW w:w="8080" w:type="dxa"/>
            <w:tcBorders>
              <w:top w:val="nil"/>
              <w:left w:val="nil"/>
              <w:bottom w:val="single" w:sz="4" w:space="0" w:color="A6A6A6" w:themeColor="background1" w:themeShade="A6"/>
              <w:right w:val="nil"/>
            </w:tcBorders>
          </w:tcPr>
          <w:p w14:paraId="7838CFED" w14:textId="77777777" w:rsidR="000F3C98" w:rsidRDefault="000F3C98" w:rsidP="00230FF7">
            <w:pPr>
              <w:pStyle w:val="TableBullet"/>
            </w:pPr>
            <w:r>
              <w:t>In women who conceive using ART, to evaluate the effect of IOL compared with expectant management on maternal, perinatal and neonatal outcomes.</w:t>
            </w:r>
          </w:p>
          <w:p w14:paraId="368DBECB" w14:textId="77777777" w:rsidR="000F3C98" w:rsidRDefault="000F3C98" w:rsidP="00230FF7">
            <w:pPr>
              <w:pStyle w:val="TableBullet"/>
            </w:pPr>
            <w:r>
              <w:rPr>
                <w:color w:val="221F1F"/>
              </w:rPr>
              <w:t>To explore perspectives and experiences of women who conceive using ART regarding IOL as a potential intervention to reduce pregnancy-related complications.</w:t>
            </w:r>
          </w:p>
        </w:tc>
      </w:tr>
    </w:tbl>
    <w:p w14:paraId="22648E45" w14:textId="77777777" w:rsidR="00D2284E" w:rsidRDefault="00D2284E" w:rsidP="00D2284E"/>
    <w:p w14:paraId="06B2B66D" w14:textId="77777777" w:rsidR="00AC0F19" w:rsidRDefault="00AC0F19" w:rsidP="000F3C98">
      <w:pPr>
        <w:pStyle w:val="Heading2"/>
      </w:pPr>
      <w:bookmarkStart w:id="157" w:name="4.11_Suspected_fetal_macrosomia"/>
      <w:bookmarkStart w:id="158" w:name="_bookmark73"/>
      <w:bookmarkStart w:id="159" w:name="_Toc75787990"/>
      <w:bookmarkEnd w:id="157"/>
      <w:bookmarkEnd w:id="158"/>
      <w:r>
        <w:t xml:space="preserve">Suspected </w:t>
      </w:r>
      <w:r w:rsidRPr="00BA13E9">
        <w:t>fetal</w:t>
      </w:r>
      <w:r>
        <w:rPr>
          <w:spacing w:val="-6"/>
        </w:rPr>
        <w:t xml:space="preserve"> </w:t>
      </w:r>
      <w:r>
        <w:t>macrosomia</w:t>
      </w:r>
      <w:bookmarkEnd w:id="159"/>
    </w:p>
    <w:p w14:paraId="110D2068" w14:textId="77777777" w:rsidR="00AC0F19" w:rsidRDefault="00AC0F19" w:rsidP="00681D8C">
      <w:r>
        <w:t>In 2017, approximately 1 in 42 women gave birth to a high birthweight baby (</w:t>
      </w:r>
      <w:r w:rsidR="002E5969">
        <w:t>≥</w:t>
      </w:r>
      <w:r>
        <w:t>4,500 g) (Ministry</w:t>
      </w:r>
      <w:r>
        <w:rPr>
          <w:spacing w:val="-11"/>
        </w:rPr>
        <w:t xml:space="preserve"> </w:t>
      </w:r>
      <w:r>
        <w:t>of</w:t>
      </w:r>
      <w:r>
        <w:rPr>
          <w:spacing w:val="-10"/>
        </w:rPr>
        <w:t xml:space="preserve"> </w:t>
      </w:r>
      <w:r>
        <w:t>Health</w:t>
      </w:r>
      <w:r>
        <w:rPr>
          <w:spacing w:val="-11"/>
        </w:rPr>
        <w:t xml:space="preserve"> </w:t>
      </w:r>
      <w:r>
        <w:t>2019b).</w:t>
      </w:r>
      <w:r>
        <w:rPr>
          <w:spacing w:val="-7"/>
        </w:rPr>
        <w:t xml:space="preserve"> </w:t>
      </w:r>
      <w:r>
        <w:t>Macrosomia</w:t>
      </w:r>
      <w:r>
        <w:rPr>
          <w:spacing w:val="-12"/>
        </w:rPr>
        <w:t xml:space="preserve"> </w:t>
      </w:r>
      <w:r>
        <w:t>implies</w:t>
      </w:r>
      <w:r>
        <w:rPr>
          <w:spacing w:val="-9"/>
        </w:rPr>
        <w:t xml:space="preserve"> </w:t>
      </w:r>
      <w:r>
        <w:t>fetal</w:t>
      </w:r>
      <w:r>
        <w:rPr>
          <w:spacing w:val="-13"/>
        </w:rPr>
        <w:t xml:space="preserve"> </w:t>
      </w:r>
      <w:r>
        <w:t>growth</w:t>
      </w:r>
      <w:r>
        <w:rPr>
          <w:spacing w:val="-11"/>
        </w:rPr>
        <w:t xml:space="preserve"> </w:t>
      </w:r>
      <w:r>
        <w:t>beyond</w:t>
      </w:r>
      <w:r>
        <w:rPr>
          <w:spacing w:val="-11"/>
        </w:rPr>
        <w:t xml:space="preserve"> </w:t>
      </w:r>
      <w:r>
        <w:t>a</w:t>
      </w:r>
      <w:r>
        <w:rPr>
          <w:spacing w:val="-8"/>
        </w:rPr>
        <w:t xml:space="preserve"> </w:t>
      </w:r>
      <w:r>
        <w:t>specific</w:t>
      </w:r>
      <w:r>
        <w:rPr>
          <w:spacing w:val="-12"/>
        </w:rPr>
        <w:t xml:space="preserve"> </w:t>
      </w:r>
      <w:r>
        <w:t>weight</w:t>
      </w:r>
      <w:r>
        <w:rPr>
          <w:spacing w:val="-12"/>
        </w:rPr>
        <w:t xml:space="preserve"> </w:t>
      </w:r>
      <w:r>
        <w:t>(often</w:t>
      </w:r>
      <w:r>
        <w:rPr>
          <w:spacing w:val="-12"/>
        </w:rPr>
        <w:t xml:space="preserve"> </w:t>
      </w:r>
      <w:r>
        <w:t>set at 4,000 g or 4,500 g) regardless of gestational age, however, the antenatal diagnosis is often imprecise (Chatfield 2001). Large for gestational age (LGA) is defined as birthweight above the 90th centile for population, and the rate of LGA babies is increasing. Retrospective cohort studies</w:t>
      </w:r>
      <w:r>
        <w:rPr>
          <w:spacing w:val="-7"/>
        </w:rPr>
        <w:t xml:space="preserve"> </w:t>
      </w:r>
      <w:r>
        <w:t>show</w:t>
      </w:r>
      <w:r>
        <w:rPr>
          <w:spacing w:val="-7"/>
        </w:rPr>
        <w:t xml:space="preserve"> </w:t>
      </w:r>
      <w:r>
        <w:t>an</w:t>
      </w:r>
      <w:r>
        <w:rPr>
          <w:spacing w:val="-8"/>
        </w:rPr>
        <w:t xml:space="preserve"> </w:t>
      </w:r>
      <w:r>
        <w:t>association</w:t>
      </w:r>
      <w:r>
        <w:rPr>
          <w:spacing w:val="-8"/>
        </w:rPr>
        <w:t xml:space="preserve"> </w:t>
      </w:r>
      <w:r>
        <w:t>between</w:t>
      </w:r>
      <w:r>
        <w:rPr>
          <w:spacing w:val="-9"/>
        </w:rPr>
        <w:t xml:space="preserve"> </w:t>
      </w:r>
      <w:r>
        <w:t>high</w:t>
      </w:r>
      <w:r>
        <w:rPr>
          <w:spacing w:val="-8"/>
        </w:rPr>
        <w:t xml:space="preserve"> </w:t>
      </w:r>
      <w:r>
        <w:t>birthweight</w:t>
      </w:r>
      <w:r>
        <w:rPr>
          <w:spacing w:val="-4"/>
        </w:rPr>
        <w:t xml:space="preserve"> </w:t>
      </w:r>
      <w:r>
        <w:t>and</w:t>
      </w:r>
      <w:r>
        <w:rPr>
          <w:spacing w:val="-8"/>
        </w:rPr>
        <w:t xml:space="preserve"> </w:t>
      </w:r>
      <w:r>
        <w:t>risks</w:t>
      </w:r>
      <w:r>
        <w:rPr>
          <w:spacing w:val="-7"/>
        </w:rPr>
        <w:t xml:space="preserve"> </w:t>
      </w:r>
      <w:r>
        <w:t>to</w:t>
      </w:r>
      <w:r>
        <w:rPr>
          <w:spacing w:val="-8"/>
        </w:rPr>
        <w:t xml:space="preserve"> </w:t>
      </w:r>
      <w:r>
        <w:t>baby. However,</w:t>
      </w:r>
      <w:r>
        <w:rPr>
          <w:spacing w:val="-7"/>
        </w:rPr>
        <w:t xml:space="preserve"> </w:t>
      </w:r>
      <w:r>
        <w:t>it</w:t>
      </w:r>
      <w:r>
        <w:rPr>
          <w:spacing w:val="-10"/>
        </w:rPr>
        <w:t xml:space="preserve"> </w:t>
      </w:r>
      <w:r>
        <w:t>is</w:t>
      </w:r>
      <w:r>
        <w:rPr>
          <w:spacing w:val="-6"/>
        </w:rPr>
        <w:t xml:space="preserve"> </w:t>
      </w:r>
      <w:r>
        <w:t>difficult to estimate birthweight before the birth (clinical palpation and ultrasound biometry provide an EFW) (Chatfield</w:t>
      </w:r>
      <w:r>
        <w:rPr>
          <w:spacing w:val="-3"/>
        </w:rPr>
        <w:t xml:space="preserve"> </w:t>
      </w:r>
      <w:r>
        <w:t>2001).</w:t>
      </w:r>
    </w:p>
    <w:p w14:paraId="3FA10116" w14:textId="77777777" w:rsidR="00AC0F19" w:rsidRDefault="00AC0F19" w:rsidP="00681D8C"/>
    <w:p w14:paraId="1EB37186" w14:textId="77777777" w:rsidR="00AC0F19" w:rsidRDefault="00AC0F19" w:rsidP="00681D8C">
      <w:pPr>
        <w:pStyle w:val="Heading3"/>
      </w:pPr>
      <w:bookmarkStart w:id="160" w:name="_bookmark74"/>
      <w:bookmarkEnd w:id="160"/>
      <w:r>
        <w:t>Summary of evidence</w:t>
      </w:r>
    </w:p>
    <w:p w14:paraId="6516F4EC" w14:textId="77777777" w:rsidR="00AC0F19" w:rsidRPr="00BA13E9" w:rsidRDefault="00AC0F19" w:rsidP="00681D8C">
      <w:r w:rsidRPr="00BA13E9">
        <w:t>One systematic review was identified.</w:t>
      </w:r>
    </w:p>
    <w:p w14:paraId="3CBEFA5F" w14:textId="77777777" w:rsidR="00AC0F19" w:rsidRPr="00BA13E9" w:rsidRDefault="00AC0F19" w:rsidP="00681D8C"/>
    <w:p w14:paraId="0597D2ED" w14:textId="77777777" w:rsidR="00AC0F19" w:rsidRDefault="00AC0F19" w:rsidP="00681D8C">
      <w:r w:rsidRPr="00BA13E9">
        <w:t>A 2016 Cochrane review</w:t>
      </w:r>
      <w:r>
        <w:t>,</w:t>
      </w:r>
      <w:r w:rsidRPr="00BA13E9">
        <w:t xml:space="preserve"> including four trials of 1</w:t>
      </w:r>
      <w:r>
        <w:t>,</w:t>
      </w:r>
      <w:r w:rsidRPr="00BA13E9">
        <w:t>190 women</w:t>
      </w:r>
      <w:r>
        <w:t>,</w:t>
      </w:r>
      <w:r w:rsidRPr="00BA13E9">
        <w:t xml:space="preserve"> compared IOL to expectant management for suspected fetal macrosomia (</w:t>
      </w:r>
      <w:proofErr w:type="spellStart"/>
      <w:r w:rsidRPr="00BA13E9">
        <w:t>Boulvain</w:t>
      </w:r>
      <w:proofErr w:type="spellEnd"/>
      <w:r w:rsidRPr="00BA13E9">
        <w:t xml:space="preserve"> </w:t>
      </w:r>
      <w:r w:rsidR="000F3C98">
        <w:t>et al</w:t>
      </w:r>
      <w:r>
        <w:t xml:space="preserve"> </w:t>
      </w:r>
      <w:r w:rsidRPr="00BA13E9">
        <w:t xml:space="preserve">2016). Macrosomia was defined as birth weight </w:t>
      </w:r>
      <w:r w:rsidR="00436939">
        <w:t>&gt;</w:t>
      </w:r>
      <w:r w:rsidRPr="00BA13E9">
        <w:t>4</w:t>
      </w:r>
      <w:r>
        <w:t>,</w:t>
      </w:r>
      <w:r w:rsidRPr="00BA13E9">
        <w:t>000 g. The intervention was IOL at or near term (37</w:t>
      </w:r>
      <w:r>
        <w:t>–</w:t>
      </w:r>
      <w:r w:rsidR="00763E83">
        <w:t>40 weeks</w:t>
      </w:r>
      <w:r w:rsidR="00B0606D">
        <w:t>’</w:t>
      </w:r>
      <w:r w:rsidRPr="00BA13E9">
        <w:t xml:space="preserve"> gestation)</w:t>
      </w:r>
      <w:r>
        <w:t>,</w:t>
      </w:r>
      <w:r w:rsidRPr="00BA13E9">
        <w:t xml:space="preserve"> and expectant management was awaiting spontaneous labour until </w:t>
      </w:r>
      <w:r w:rsidR="00EB43A9">
        <w:t>42 weeks</w:t>
      </w:r>
      <w:r w:rsidR="00B0606D">
        <w:t>’</w:t>
      </w:r>
      <w:r w:rsidRPr="00BA13E9">
        <w:t xml:space="preserve"> gestation then offering IOL. Primary maternity outcomes were caesarean section or instrumental birth, and primary perinatal outcomes were shoulder dystocia, brachial plexus injury, any fracture and neonatal asphyxia. There was no clear effect of IOL on the risk of caesarean section (</w:t>
      </w:r>
      <w:r w:rsidR="00230FF7">
        <w:t>RR </w:t>
      </w:r>
      <w:r w:rsidRPr="00BA13E9">
        <w:t>0.91, 95% CI 0.76</w:t>
      </w:r>
      <w:r>
        <w:t>–</w:t>
      </w:r>
      <w:r w:rsidRPr="00BA13E9">
        <w:t xml:space="preserve">1.09; moderate quality) compared </w:t>
      </w:r>
      <w:r>
        <w:t>with</w:t>
      </w:r>
      <w:r w:rsidRPr="00BA13E9">
        <w:t xml:space="preserve"> expectant management. IOL reduced</w:t>
      </w:r>
      <w:r>
        <w:t xml:space="preserve"> shoulder dystocia (</w:t>
      </w:r>
      <w:r w:rsidR="00230FF7">
        <w:t>RR </w:t>
      </w:r>
      <w:r>
        <w:t>0.6, 95% CI 0.37–0.98; moderate quality), and any fracture (</w:t>
      </w:r>
      <w:r w:rsidR="00230FF7">
        <w:t>RR </w:t>
      </w:r>
      <w:r>
        <w:t>0.2, 95%</w:t>
      </w:r>
      <w:r>
        <w:rPr>
          <w:spacing w:val="-17"/>
        </w:rPr>
        <w:t xml:space="preserve"> </w:t>
      </w:r>
      <w:r>
        <w:t>CI</w:t>
      </w:r>
      <w:r>
        <w:rPr>
          <w:spacing w:val="-17"/>
        </w:rPr>
        <w:t xml:space="preserve"> </w:t>
      </w:r>
      <w:r>
        <w:t>0.05–0.79;</w:t>
      </w:r>
      <w:r>
        <w:rPr>
          <w:spacing w:val="-13"/>
        </w:rPr>
        <w:t xml:space="preserve"> </w:t>
      </w:r>
      <w:r>
        <w:t>high</w:t>
      </w:r>
      <w:r>
        <w:rPr>
          <w:spacing w:val="-17"/>
        </w:rPr>
        <w:t xml:space="preserve"> </w:t>
      </w:r>
      <w:r>
        <w:t>quality).</w:t>
      </w:r>
      <w:r>
        <w:rPr>
          <w:spacing w:val="-12"/>
        </w:rPr>
        <w:t xml:space="preserve"> </w:t>
      </w:r>
      <w:r>
        <w:t>There</w:t>
      </w:r>
      <w:r>
        <w:rPr>
          <w:spacing w:val="-18"/>
        </w:rPr>
        <w:t xml:space="preserve"> </w:t>
      </w:r>
      <w:r>
        <w:t>was</w:t>
      </w:r>
      <w:r>
        <w:rPr>
          <w:spacing w:val="-15"/>
        </w:rPr>
        <w:t xml:space="preserve"> </w:t>
      </w:r>
      <w:r>
        <w:t>no</w:t>
      </w:r>
      <w:r>
        <w:rPr>
          <w:spacing w:val="-17"/>
        </w:rPr>
        <w:t xml:space="preserve"> </w:t>
      </w:r>
      <w:r>
        <w:t>effect</w:t>
      </w:r>
      <w:r>
        <w:rPr>
          <w:spacing w:val="-18"/>
        </w:rPr>
        <w:t xml:space="preserve"> </w:t>
      </w:r>
      <w:r>
        <w:t>on</w:t>
      </w:r>
      <w:r>
        <w:rPr>
          <w:spacing w:val="-17"/>
        </w:rPr>
        <w:t xml:space="preserve"> </w:t>
      </w:r>
      <w:r>
        <w:t>mode</w:t>
      </w:r>
      <w:r>
        <w:rPr>
          <w:spacing w:val="-18"/>
        </w:rPr>
        <w:t xml:space="preserve"> </w:t>
      </w:r>
      <w:r>
        <w:t>of</w:t>
      </w:r>
      <w:r>
        <w:rPr>
          <w:spacing w:val="-16"/>
        </w:rPr>
        <w:t xml:space="preserve"> </w:t>
      </w:r>
      <w:r>
        <w:t>birth,</w:t>
      </w:r>
      <w:r>
        <w:rPr>
          <w:spacing w:val="-17"/>
        </w:rPr>
        <w:t xml:space="preserve"> </w:t>
      </w:r>
      <w:r>
        <w:t>brachial</w:t>
      </w:r>
      <w:r>
        <w:rPr>
          <w:spacing w:val="-13"/>
        </w:rPr>
        <w:t xml:space="preserve"> </w:t>
      </w:r>
      <w:r>
        <w:t>plexus</w:t>
      </w:r>
      <w:r>
        <w:rPr>
          <w:spacing w:val="-11"/>
        </w:rPr>
        <w:t xml:space="preserve"> </w:t>
      </w:r>
      <w:r>
        <w:t xml:space="preserve">injury, or low </w:t>
      </w:r>
      <w:r w:rsidR="00763E83">
        <w:t>5</w:t>
      </w:r>
      <w:r w:rsidR="00763E83">
        <w:noBreakHyphen/>
        <w:t>minute</w:t>
      </w:r>
      <w:r>
        <w:t xml:space="preserve"> Apgar score. There were no long-term outcomes nor maternal satisfaction reported</w:t>
      </w:r>
      <w:r>
        <w:rPr>
          <w:spacing w:val="-9"/>
        </w:rPr>
        <w:t xml:space="preserve"> </w:t>
      </w:r>
      <w:r>
        <w:t>in</w:t>
      </w:r>
      <w:r>
        <w:rPr>
          <w:spacing w:val="-2"/>
        </w:rPr>
        <w:t xml:space="preserve"> </w:t>
      </w:r>
      <w:r>
        <w:t>any</w:t>
      </w:r>
      <w:r>
        <w:rPr>
          <w:spacing w:val="-8"/>
        </w:rPr>
        <w:t xml:space="preserve"> </w:t>
      </w:r>
      <w:r>
        <w:t>trial.</w:t>
      </w:r>
      <w:r>
        <w:rPr>
          <w:spacing w:val="-2"/>
        </w:rPr>
        <w:t xml:space="preserve"> </w:t>
      </w:r>
      <w:r>
        <w:t>The</w:t>
      </w:r>
      <w:r>
        <w:rPr>
          <w:spacing w:val="-9"/>
        </w:rPr>
        <w:t xml:space="preserve"> </w:t>
      </w:r>
      <w:r>
        <w:t>authors</w:t>
      </w:r>
      <w:r>
        <w:rPr>
          <w:spacing w:val="-7"/>
        </w:rPr>
        <w:t xml:space="preserve"> </w:t>
      </w:r>
      <w:r>
        <w:t>noted</w:t>
      </w:r>
      <w:r>
        <w:rPr>
          <w:spacing w:val="-2"/>
        </w:rPr>
        <w:t xml:space="preserve"> </w:t>
      </w:r>
      <w:r>
        <w:t>that</w:t>
      </w:r>
      <w:r>
        <w:rPr>
          <w:spacing w:val="-4"/>
        </w:rPr>
        <w:t xml:space="preserve"> </w:t>
      </w:r>
      <w:r>
        <w:t>the</w:t>
      </w:r>
      <w:r>
        <w:rPr>
          <w:spacing w:val="-9"/>
        </w:rPr>
        <w:t xml:space="preserve"> </w:t>
      </w:r>
      <w:r>
        <w:t>ideal</w:t>
      </w:r>
      <w:r>
        <w:rPr>
          <w:spacing w:val="-4"/>
        </w:rPr>
        <w:t xml:space="preserve"> </w:t>
      </w:r>
      <w:r>
        <w:t>timing</w:t>
      </w:r>
      <w:r>
        <w:rPr>
          <w:spacing w:val="-8"/>
        </w:rPr>
        <w:t xml:space="preserve"> </w:t>
      </w:r>
      <w:r>
        <w:t>for</w:t>
      </w:r>
      <w:r>
        <w:rPr>
          <w:spacing w:val="-4"/>
        </w:rPr>
        <w:t xml:space="preserve"> </w:t>
      </w:r>
      <w:r>
        <w:t>IOL</w:t>
      </w:r>
      <w:r>
        <w:rPr>
          <w:spacing w:val="-9"/>
        </w:rPr>
        <w:t xml:space="preserve"> </w:t>
      </w:r>
      <w:r>
        <w:t>for</w:t>
      </w:r>
      <w:r>
        <w:rPr>
          <w:spacing w:val="-7"/>
        </w:rPr>
        <w:t xml:space="preserve"> </w:t>
      </w:r>
      <w:r>
        <w:t>macrosomia</w:t>
      </w:r>
      <w:r>
        <w:rPr>
          <w:spacing w:val="-4"/>
        </w:rPr>
        <w:t xml:space="preserve"> </w:t>
      </w:r>
      <w:r>
        <w:t>cannot</w:t>
      </w:r>
      <w:r>
        <w:rPr>
          <w:spacing w:val="-9"/>
        </w:rPr>
        <w:t xml:space="preserve"> </w:t>
      </w:r>
      <w:r>
        <w:t>be specified from these data and that further trials of induction shortly before term for suspected macrosomia are justified.</w:t>
      </w:r>
    </w:p>
    <w:p w14:paraId="2C837B5B" w14:textId="77777777" w:rsidR="00AC0F19" w:rsidRPr="00BA13E9" w:rsidRDefault="00AC0F19" w:rsidP="00681D8C"/>
    <w:p w14:paraId="4B2020CF" w14:textId="77777777" w:rsidR="00B0606D" w:rsidRDefault="00AC0F19" w:rsidP="00681D8C">
      <w:pPr>
        <w:keepLines/>
      </w:pPr>
      <w:r w:rsidRPr="00BA13E9">
        <w:lastRenderedPageBreak/>
        <w:t>For the purposes of this guideline, the trial that contributed most of the evidence to the Cochrane review will be reviewed in more detail. For the multicentre RCT of 818</w:t>
      </w:r>
      <w:r w:rsidR="00681D8C">
        <w:t> </w:t>
      </w:r>
      <w:r w:rsidRPr="00BA13E9">
        <w:t>women in France (</w:t>
      </w:r>
      <w:proofErr w:type="spellStart"/>
      <w:r w:rsidRPr="00BA13E9">
        <w:t>Boulvain</w:t>
      </w:r>
      <w:proofErr w:type="spellEnd"/>
      <w:r w:rsidRPr="00BA13E9">
        <w:t xml:space="preserve"> </w:t>
      </w:r>
      <w:r w:rsidR="000F3C98">
        <w:t>et al</w:t>
      </w:r>
      <w:r>
        <w:t xml:space="preserve"> </w:t>
      </w:r>
      <w:r w:rsidRPr="00BA13E9">
        <w:t>2015), women were screened at 36</w:t>
      </w:r>
      <w:r>
        <w:t>–</w:t>
      </w:r>
      <w:r w:rsidR="00EB43A9">
        <w:t>38 weeks</w:t>
      </w:r>
      <w:r w:rsidR="00B0606D">
        <w:t>’</w:t>
      </w:r>
      <w:r w:rsidRPr="00BA13E9">
        <w:t xml:space="preserve"> gestation and identified as potentially eligible if they had a singleton cephalic pregnancy with an estimated LGA fetus. Women then had an ultrasound and were included if ultrasound EFW was </w:t>
      </w:r>
      <w:r w:rsidR="00436939">
        <w:t>&gt;</w:t>
      </w:r>
      <w:r w:rsidRPr="00BA13E9">
        <w:t xml:space="preserve">95th centile, defined as 3,500 g at </w:t>
      </w:r>
      <w:r w:rsidR="00EB43A9">
        <w:t>36 weeks</w:t>
      </w:r>
      <w:r w:rsidR="00B0606D">
        <w:t>’</w:t>
      </w:r>
      <w:r>
        <w:t xml:space="preserve"> gestation</w:t>
      </w:r>
      <w:r w:rsidRPr="00BA13E9">
        <w:t xml:space="preserve">; 3,700 g at </w:t>
      </w:r>
      <w:r w:rsidR="00EB43A9">
        <w:t>37 weeks</w:t>
      </w:r>
      <w:r w:rsidR="00B0606D">
        <w:t>’</w:t>
      </w:r>
      <w:r w:rsidRPr="00BA13E9">
        <w:t xml:space="preserve"> </w:t>
      </w:r>
      <w:r>
        <w:t xml:space="preserve">gestation </w:t>
      </w:r>
      <w:r w:rsidRPr="00BA13E9">
        <w:t xml:space="preserve">and 3,900 g at </w:t>
      </w:r>
      <w:r w:rsidR="00EB43A9">
        <w:t>38 weeks</w:t>
      </w:r>
      <w:r w:rsidR="00B0606D">
        <w:t>’</w:t>
      </w:r>
      <w:r w:rsidRPr="00BA13E9">
        <w:t xml:space="preserve"> gestation. Participants were randomised to IOL between 37 and 38+6 weeks</w:t>
      </w:r>
      <w:r w:rsidR="00B0606D">
        <w:t>’</w:t>
      </w:r>
      <w:r w:rsidRPr="00BA13E9">
        <w:t xml:space="preserve"> gestation or expectant management (defined as the continuation of pregnancy until either spontaneous labour or the development of a condition that warranting delivery according to the hospital</w:t>
      </w:r>
      <w:r w:rsidR="00B0606D">
        <w:t>’</w:t>
      </w:r>
      <w:r w:rsidRPr="00BA13E9">
        <w:t>s policy).</w:t>
      </w:r>
    </w:p>
    <w:p w14:paraId="2A977B5E" w14:textId="77777777" w:rsidR="00AC0F19" w:rsidRDefault="00AC0F19" w:rsidP="00681D8C"/>
    <w:p w14:paraId="10649AA5" w14:textId="77777777" w:rsidR="00AC0F19" w:rsidRDefault="00AC0F19" w:rsidP="00681D8C">
      <w:r w:rsidRPr="00BA13E9">
        <w:t>The study population included 10</w:t>
      </w:r>
      <w:r w:rsidR="006F7C71">
        <w:t>%</w:t>
      </w:r>
      <w:r>
        <w:t xml:space="preserve"> of women with GDM not on insulin, and 30</w:t>
      </w:r>
      <w:r w:rsidR="006F7C71">
        <w:t>%</w:t>
      </w:r>
      <w:r>
        <w:t xml:space="preserve"> of women with previous history of macrosomia. IOL reduced the rate of the composite primary outcome (shoulder dystocia, a range of birth injuries and death) when compared with expectant management (2% vs 6%, </w:t>
      </w:r>
      <w:r w:rsidR="00230FF7">
        <w:t>RR </w:t>
      </w:r>
      <w:r>
        <w:t xml:space="preserve">0.32, 95% CI 0.15–0.71). There was no brachial plexus injury, intracranial haemorrhage or death in either group. The likelihood of spontaneous vaginal birth was higher in the IOL group (59% vs 52%, </w:t>
      </w:r>
      <w:r w:rsidR="00230FF7">
        <w:t>RR </w:t>
      </w:r>
      <w:r>
        <w:t xml:space="preserve">1.14, 95% CI 1.01–1.29). The risk of anal sphincter tear was infrequent and not different between groups (2% vs 1%, </w:t>
      </w:r>
      <w:r w:rsidR="00230FF7">
        <w:t>RR </w:t>
      </w:r>
      <w:r>
        <w:t>3·03, 95% CI 0·62–14·92). The authors concluded that the exact gestation at which doctors and parents will decide on induction cannot be specified from these data. Induction between 38 and 38+6 weeks</w:t>
      </w:r>
      <w:r w:rsidR="00B0606D">
        <w:t>’</w:t>
      </w:r>
      <w:r>
        <w:t xml:space="preserve"> gestation, that is, at the later gestation considered, is likely to minimise the risks of iatrogenic prematurity but may not achieve much benefit in terms of birthweight and birth injury</w:t>
      </w:r>
      <w:r>
        <w:rPr>
          <w:spacing w:val="-6"/>
        </w:rPr>
        <w:t xml:space="preserve"> </w:t>
      </w:r>
      <w:r>
        <w:t>reduction.</w:t>
      </w:r>
      <w:r>
        <w:rPr>
          <w:spacing w:val="-2"/>
        </w:rPr>
        <w:t xml:space="preserve"> </w:t>
      </w:r>
      <w:r>
        <w:t>Induction</w:t>
      </w:r>
      <w:r>
        <w:rPr>
          <w:spacing w:val="-7"/>
        </w:rPr>
        <w:t xml:space="preserve"> </w:t>
      </w:r>
      <w:r>
        <w:t>at</w:t>
      </w:r>
      <w:r>
        <w:rPr>
          <w:spacing w:val="-7"/>
        </w:rPr>
        <w:t xml:space="preserve"> </w:t>
      </w:r>
      <w:r w:rsidR="00EB43A9">
        <w:t>37 weeks</w:t>
      </w:r>
      <w:r w:rsidR="00B0606D">
        <w:t>’</w:t>
      </w:r>
      <w:r>
        <w:rPr>
          <w:spacing w:val="-7"/>
        </w:rPr>
        <w:t xml:space="preserve"> </w:t>
      </w:r>
      <w:r>
        <w:t>gestation may</w:t>
      </w:r>
      <w:r>
        <w:rPr>
          <w:spacing w:val="-7"/>
        </w:rPr>
        <w:t xml:space="preserve"> </w:t>
      </w:r>
      <w:r>
        <w:t>have</w:t>
      </w:r>
      <w:r>
        <w:rPr>
          <w:spacing w:val="-3"/>
        </w:rPr>
        <w:t xml:space="preserve"> </w:t>
      </w:r>
      <w:r>
        <w:t>the</w:t>
      </w:r>
      <w:r>
        <w:rPr>
          <w:spacing w:val="-7"/>
        </w:rPr>
        <w:t xml:space="preserve"> </w:t>
      </w:r>
      <w:r>
        <w:t>opposite</w:t>
      </w:r>
      <w:r>
        <w:rPr>
          <w:spacing w:val="-3"/>
        </w:rPr>
        <w:t xml:space="preserve"> </w:t>
      </w:r>
      <w:r>
        <w:t>trade</w:t>
      </w:r>
      <w:r>
        <w:rPr>
          <w:rFonts w:ascii="Cambria Math" w:hAnsi="Cambria Math"/>
        </w:rPr>
        <w:t>‐</w:t>
      </w:r>
      <w:r>
        <w:t>off</w:t>
      </w:r>
      <w:r>
        <w:rPr>
          <w:spacing w:val="-2"/>
        </w:rPr>
        <w:t xml:space="preserve"> </w:t>
      </w:r>
      <w:r>
        <w:t>of</w:t>
      </w:r>
      <w:r>
        <w:rPr>
          <w:spacing w:val="-5"/>
        </w:rPr>
        <w:t xml:space="preserve"> </w:t>
      </w:r>
      <w:r>
        <w:t>risks</w:t>
      </w:r>
      <w:r>
        <w:rPr>
          <w:spacing w:val="-5"/>
        </w:rPr>
        <w:t xml:space="preserve"> </w:t>
      </w:r>
      <w:r>
        <w:t>and benefits.</w:t>
      </w:r>
    </w:p>
    <w:p w14:paraId="7E8D6914" w14:textId="77777777" w:rsidR="00AC0F19" w:rsidRDefault="00AC0F19" w:rsidP="00AC0F19"/>
    <w:p w14:paraId="12052CDD" w14:textId="77777777" w:rsidR="00AC0F19" w:rsidRDefault="00AC0F19" w:rsidP="00230FF7">
      <w:pPr>
        <w:pStyle w:val="Heading3"/>
      </w:pPr>
      <w:bookmarkStart w:id="161" w:name="_bookmark75"/>
      <w:bookmarkEnd w:id="161"/>
      <w:r>
        <w:t>Discussion</w:t>
      </w:r>
    </w:p>
    <w:p w14:paraId="6B96D2DB" w14:textId="77777777" w:rsidR="00AC0F19" w:rsidRPr="00BA13E9" w:rsidRDefault="00AC0F19" w:rsidP="00230FF7">
      <w:r w:rsidRPr="00BA13E9">
        <w:t xml:space="preserve">The </w:t>
      </w:r>
      <w:r>
        <w:t>p</w:t>
      </w:r>
      <w:r w:rsidRPr="00BA13E9">
        <w:t xml:space="preserve">anel discussed the differences between the </w:t>
      </w:r>
      <w:proofErr w:type="spellStart"/>
      <w:r w:rsidRPr="00BA13E9">
        <w:t>Boulvain</w:t>
      </w:r>
      <w:proofErr w:type="spellEnd"/>
      <w:r w:rsidRPr="00BA13E9">
        <w:t xml:space="preserve"> </w:t>
      </w:r>
      <w:r w:rsidR="000F3C98">
        <w:t>et al</w:t>
      </w:r>
      <w:r>
        <w:t xml:space="preserve"> </w:t>
      </w:r>
      <w:r w:rsidRPr="00BA13E9">
        <w:t xml:space="preserve">trial and the Cochrane review. The </w:t>
      </w:r>
      <w:proofErr w:type="spellStart"/>
      <w:r w:rsidRPr="00BA13E9">
        <w:t>Boulvain</w:t>
      </w:r>
      <w:proofErr w:type="spellEnd"/>
      <w:r w:rsidRPr="00BA13E9">
        <w:t xml:space="preserve"> </w:t>
      </w:r>
      <w:r w:rsidR="000F3C98">
        <w:t>et al</w:t>
      </w:r>
      <w:r>
        <w:t xml:space="preserve"> </w:t>
      </w:r>
      <w:r w:rsidRPr="00BA13E9">
        <w:t xml:space="preserve">trial does not reflect current </w:t>
      </w:r>
      <w:r>
        <w:t>New Zealand</w:t>
      </w:r>
      <w:r w:rsidRPr="00BA13E9">
        <w:t xml:space="preserve"> maternity practice</w:t>
      </w:r>
      <w:r>
        <w:t>:</w:t>
      </w:r>
      <w:r w:rsidRPr="00BA13E9">
        <w:t xml:space="preserve"> because of the absolute weights at each gestational age used to estimate LGA; women were routinely screened for LGA with ultrasound at 36</w:t>
      </w:r>
      <w:r>
        <w:t>–</w:t>
      </w:r>
      <w:r w:rsidR="00EB43A9">
        <w:t>38 weeks</w:t>
      </w:r>
      <w:r w:rsidR="00B0606D">
        <w:t>’</w:t>
      </w:r>
      <w:r w:rsidRPr="00BA13E9">
        <w:t xml:space="preserve"> gestation; and the mean BMI of participants was 26kg/m</w:t>
      </w:r>
      <w:r w:rsidRPr="0071585E">
        <w:rPr>
          <w:vertAlign w:val="superscript"/>
        </w:rPr>
        <w:t>2</w:t>
      </w:r>
      <w:r w:rsidRPr="00BA13E9">
        <w:t xml:space="preserve">. Moreover, the study was underpowered to detect significant differences in uncommon outcomes. The </w:t>
      </w:r>
      <w:r>
        <w:t>p</w:t>
      </w:r>
      <w:r w:rsidRPr="00BA13E9">
        <w:t xml:space="preserve">anel considered that IOL is not justified, due to the limitations of current RCT evidence in relation to the </w:t>
      </w:r>
      <w:r>
        <w:t>New Zealand</w:t>
      </w:r>
      <w:r w:rsidRPr="00BA13E9">
        <w:t xml:space="preserve"> context and in the absence of diabetes.</w:t>
      </w:r>
    </w:p>
    <w:p w14:paraId="1423FAB8" w14:textId="77777777" w:rsidR="00AC0F19" w:rsidRPr="00BA13E9" w:rsidRDefault="00AC0F19" w:rsidP="00230FF7"/>
    <w:p w14:paraId="435632B2" w14:textId="77777777" w:rsidR="00AC0F19" w:rsidRPr="00BA13E9" w:rsidRDefault="00AC0F19" w:rsidP="00230FF7">
      <w:r w:rsidRPr="00BA13E9">
        <w:t xml:space="preserve">Big Baby is a multicentre RCT in the United Kingdom </w:t>
      </w:r>
      <w:r>
        <w:t xml:space="preserve">used </w:t>
      </w:r>
      <w:r w:rsidRPr="00BA13E9">
        <w:t>to determine if a policy of IOL at 38+ weeks gestation in women with babies considered LGA (</w:t>
      </w:r>
      <w:r w:rsidR="00436939">
        <w:t>&gt;</w:t>
      </w:r>
      <w:r w:rsidRPr="00BA13E9">
        <w:t xml:space="preserve">90th customised centile of EFW) will reduce the incidence of shoulder dystocia compared </w:t>
      </w:r>
      <w:r>
        <w:t>with</w:t>
      </w:r>
      <w:r w:rsidRPr="00BA13E9">
        <w:t xml:space="preserve"> expectant management. The trial is now recruiting, and </w:t>
      </w:r>
      <w:r>
        <w:t>the panel</w:t>
      </w:r>
      <w:r w:rsidRPr="00BA13E9">
        <w:t xml:space="preserve"> await</w:t>
      </w:r>
      <w:r>
        <w:t>s</w:t>
      </w:r>
      <w:r w:rsidRPr="00BA13E9">
        <w:t xml:space="preserve"> their results to help guide future practice.</w:t>
      </w:r>
    </w:p>
    <w:p w14:paraId="5CE3A5F0" w14:textId="77777777" w:rsidR="00AC0F19" w:rsidRPr="00BA13E9" w:rsidRDefault="00AC0F19" w:rsidP="00230FF7"/>
    <w:p w14:paraId="2461C8C6" w14:textId="77777777" w:rsidR="00AC0F19" w:rsidRPr="00BA13E9" w:rsidRDefault="00AC0F19" w:rsidP="00230FF7">
      <w:pPr>
        <w:keepLines/>
      </w:pPr>
      <w:r w:rsidRPr="00BA13E9">
        <w:lastRenderedPageBreak/>
        <w:t>Antenatal estimates of fetal weight are often inaccurate</w:t>
      </w:r>
      <w:r>
        <w:t>,</w:t>
      </w:r>
      <w:r w:rsidRPr="00BA13E9">
        <w:t xml:space="preserve"> and identification of macrosomia can increase anxiety for the </w:t>
      </w:r>
      <w:r>
        <w:t xml:space="preserve">pregnant </w:t>
      </w:r>
      <w:r w:rsidRPr="00BA13E9">
        <w:t>woman and for clinicians. There is emerging research on the use of customised growth charts for EFW to predict adverse neonatal outcomes. It is important to provide information to women about the difficulty of assess</w:t>
      </w:r>
      <w:r>
        <w:t>ing</w:t>
      </w:r>
      <w:r w:rsidRPr="00BA13E9">
        <w:t xml:space="preserve"> fetal size and diagnosi</w:t>
      </w:r>
      <w:r>
        <w:t>ng</w:t>
      </w:r>
      <w:r w:rsidRPr="00BA13E9">
        <w:t xml:space="preserve"> fetal macrosomia and the benefits and harms of IOL and expectant management.</w:t>
      </w:r>
    </w:p>
    <w:p w14:paraId="56600C93" w14:textId="77777777" w:rsidR="00AC0F19" w:rsidRPr="00BA13E9" w:rsidRDefault="00AC0F19" w:rsidP="00230FF7"/>
    <w:p w14:paraId="3DCF4988" w14:textId="77777777" w:rsidR="00AC0F19" w:rsidRPr="00BA13E9" w:rsidRDefault="00AC0F19" w:rsidP="00230FF7">
      <w:r w:rsidRPr="00BA13E9">
        <w:t>There is currently insufficient evidence to make a clear recommendation about IOL for this condition.</w:t>
      </w:r>
    </w:p>
    <w:p w14:paraId="5444AFFC" w14:textId="77777777" w:rsidR="00AC0F19" w:rsidRDefault="00AC0F19" w:rsidP="00230FF7"/>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720F3F10" w14:textId="77777777" w:rsidTr="00230FF7">
        <w:trPr>
          <w:cantSplit/>
        </w:trPr>
        <w:tc>
          <w:tcPr>
            <w:tcW w:w="8080" w:type="dxa"/>
            <w:tcBorders>
              <w:top w:val="nil"/>
              <w:left w:val="nil"/>
              <w:bottom w:val="nil"/>
              <w:right w:val="nil"/>
            </w:tcBorders>
            <w:shd w:val="clear" w:color="auto" w:fill="D9D9D9" w:themeFill="background1" w:themeFillShade="D9"/>
          </w:tcPr>
          <w:p w14:paraId="6A203E9F" w14:textId="77777777" w:rsidR="00D2284E" w:rsidRPr="008D53E4" w:rsidRDefault="00D2284E" w:rsidP="00230FF7">
            <w:pPr>
              <w:pStyle w:val="TableText"/>
            </w:pPr>
            <w:r w:rsidRPr="00806252">
              <w:rPr>
                <w:b/>
                <w:iCs/>
              </w:rPr>
              <w:t>Practice point</w:t>
            </w:r>
          </w:p>
        </w:tc>
      </w:tr>
      <w:tr w:rsidR="00D2284E" w14:paraId="06D80C23" w14:textId="77777777" w:rsidTr="00230FF7">
        <w:trPr>
          <w:cantSplit/>
        </w:trPr>
        <w:tc>
          <w:tcPr>
            <w:tcW w:w="8080" w:type="dxa"/>
            <w:tcBorders>
              <w:top w:val="nil"/>
              <w:left w:val="nil"/>
              <w:bottom w:val="single" w:sz="4" w:space="0" w:color="A6A6A6" w:themeColor="background1" w:themeShade="A6"/>
              <w:right w:val="nil"/>
            </w:tcBorders>
          </w:tcPr>
          <w:p w14:paraId="4DF338D4" w14:textId="77777777" w:rsidR="00D2284E" w:rsidRDefault="00230FF7" w:rsidP="00230FF7">
            <w:pPr>
              <w:pStyle w:val="TableBullet"/>
            </w:pPr>
            <w:r w:rsidRPr="005603F6">
              <w:t>In women with suspected macrosomia, in the absence of pregnancy complications, consider</w:t>
            </w:r>
            <w:r>
              <w:t xml:space="preserve"> </w:t>
            </w:r>
            <w:r w:rsidRPr="005603F6">
              <w:t>expectant management.</w:t>
            </w:r>
          </w:p>
        </w:tc>
      </w:tr>
    </w:tbl>
    <w:p w14:paraId="29565C81" w14:textId="77777777" w:rsidR="00D2284E" w:rsidRDefault="00D2284E" w:rsidP="00230FF7"/>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146A1F77" w14:textId="77777777" w:rsidTr="00230FF7">
        <w:trPr>
          <w:cantSplit/>
        </w:trPr>
        <w:tc>
          <w:tcPr>
            <w:tcW w:w="8080" w:type="dxa"/>
            <w:tcBorders>
              <w:top w:val="nil"/>
              <w:left w:val="nil"/>
              <w:bottom w:val="nil"/>
              <w:right w:val="nil"/>
            </w:tcBorders>
            <w:shd w:val="clear" w:color="auto" w:fill="D9D9D9" w:themeFill="background1" w:themeFillShade="D9"/>
          </w:tcPr>
          <w:p w14:paraId="712786C5" w14:textId="77777777" w:rsidR="00D2284E" w:rsidRPr="008D53E4" w:rsidRDefault="00D2284E" w:rsidP="00230FF7">
            <w:pPr>
              <w:pStyle w:val="TableText"/>
              <w:rPr>
                <w:b/>
              </w:rPr>
            </w:pPr>
            <w:r w:rsidRPr="008D53E4">
              <w:rPr>
                <w:b/>
              </w:rPr>
              <w:t>Research gaps</w:t>
            </w:r>
          </w:p>
        </w:tc>
      </w:tr>
      <w:tr w:rsidR="00D2284E" w14:paraId="01E08B2F" w14:textId="77777777" w:rsidTr="00230FF7">
        <w:trPr>
          <w:cantSplit/>
        </w:trPr>
        <w:tc>
          <w:tcPr>
            <w:tcW w:w="8080" w:type="dxa"/>
            <w:tcBorders>
              <w:top w:val="nil"/>
              <w:left w:val="nil"/>
              <w:bottom w:val="single" w:sz="4" w:space="0" w:color="A6A6A6" w:themeColor="background1" w:themeShade="A6"/>
              <w:right w:val="nil"/>
            </w:tcBorders>
          </w:tcPr>
          <w:p w14:paraId="4645E149" w14:textId="77777777" w:rsidR="00D2284E" w:rsidRDefault="00230FF7" w:rsidP="00230FF7">
            <w:pPr>
              <w:pStyle w:val="TableBullet"/>
            </w:pPr>
            <w:r>
              <w:t>In women with suspected macrosomia, to further evaluate the effect of IOL compared with expectant management on maternal, perinatal and neonatal outcomes, in the New Zealand context.</w:t>
            </w:r>
          </w:p>
        </w:tc>
      </w:tr>
    </w:tbl>
    <w:p w14:paraId="1E483F80" w14:textId="77777777" w:rsidR="00D2284E" w:rsidRDefault="00D2284E" w:rsidP="00230FF7"/>
    <w:p w14:paraId="54B8D889" w14:textId="77777777" w:rsidR="00AC0F19" w:rsidRDefault="00AC0F19" w:rsidP="00230FF7">
      <w:pPr>
        <w:pStyle w:val="Heading2"/>
      </w:pPr>
      <w:bookmarkStart w:id="162" w:name="4.12_Multiple_pregnancy"/>
      <w:bookmarkStart w:id="163" w:name="_bookmark76"/>
      <w:bookmarkStart w:id="164" w:name="_Toc75787991"/>
      <w:bookmarkEnd w:id="162"/>
      <w:bookmarkEnd w:id="163"/>
      <w:r w:rsidRPr="00BA13E9">
        <w:t>Multiple</w:t>
      </w:r>
      <w:r>
        <w:t xml:space="preserve"> pregnancy</w:t>
      </w:r>
      <w:bookmarkEnd w:id="164"/>
    </w:p>
    <w:p w14:paraId="5257D1BE" w14:textId="77777777" w:rsidR="00AC0F19" w:rsidRDefault="00AC0F19" w:rsidP="00230FF7">
      <w:r>
        <w:t>In</w:t>
      </w:r>
      <w:r>
        <w:rPr>
          <w:spacing w:val="-8"/>
        </w:rPr>
        <w:t xml:space="preserve"> </w:t>
      </w:r>
      <w:r>
        <w:t>New</w:t>
      </w:r>
      <w:r>
        <w:rPr>
          <w:spacing w:val="-7"/>
        </w:rPr>
        <w:t xml:space="preserve"> </w:t>
      </w:r>
      <w:r>
        <w:t>Zealand,</w:t>
      </w:r>
      <w:r>
        <w:rPr>
          <w:spacing w:val="-9"/>
        </w:rPr>
        <w:t xml:space="preserve"> </w:t>
      </w:r>
      <w:r>
        <w:t>approximately</w:t>
      </w:r>
      <w:r>
        <w:rPr>
          <w:spacing w:val="-8"/>
        </w:rPr>
        <w:t xml:space="preserve"> </w:t>
      </w:r>
      <w:r>
        <w:t>1</w:t>
      </w:r>
      <w:r>
        <w:rPr>
          <w:spacing w:val="-10"/>
        </w:rPr>
        <w:t xml:space="preserve"> </w:t>
      </w:r>
      <w:r>
        <w:t>woman</w:t>
      </w:r>
      <w:r>
        <w:rPr>
          <w:spacing w:val="-9"/>
        </w:rPr>
        <w:t xml:space="preserve"> </w:t>
      </w:r>
      <w:r>
        <w:t>in</w:t>
      </w:r>
      <w:r>
        <w:rPr>
          <w:spacing w:val="-8"/>
        </w:rPr>
        <w:t xml:space="preserve"> </w:t>
      </w:r>
      <w:r>
        <w:t>50</w:t>
      </w:r>
      <w:r>
        <w:rPr>
          <w:spacing w:val="-9"/>
        </w:rPr>
        <w:t xml:space="preserve"> </w:t>
      </w:r>
      <w:r>
        <w:t>will</w:t>
      </w:r>
      <w:r>
        <w:rPr>
          <w:spacing w:val="-9"/>
        </w:rPr>
        <w:t xml:space="preserve"> </w:t>
      </w:r>
      <w:r>
        <w:t>have</w:t>
      </w:r>
      <w:r>
        <w:rPr>
          <w:spacing w:val="-10"/>
        </w:rPr>
        <w:t xml:space="preserve"> </w:t>
      </w:r>
      <w:r>
        <w:t>a</w:t>
      </w:r>
      <w:r>
        <w:rPr>
          <w:spacing w:val="-10"/>
        </w:rPr>
        <w:t xml:space="preserve"> </w:t>
      </w:r>
      <w:r>
        <w:t>twin</w:t>
      </w:r>
      <w:r>
        <w:rPr>
          <w:spacing w:val="-8"/>
        </w:rPr>
        <w:t xml:space="preserve"> </w:t>
      </w:r>
      <w:r>
        <w:t>pregnancy.</w:t>
      </w:r>
      <w:r>
        <w:rPr>
          <w:spacing w:val="-9"/>
        </w:rPr>
        <w:t xml:space="preserve"> </w:t>
      </w:r>
      <w:r>
        <w:t>Twin</w:t>
      </w:r>
      <w:r>
        <w:rPr>
          <w:spacing w:val="-9"/>
        </w:rPr>
        <w:t xml:space="preserve"> </w:t>
      </w:r>
      <w:r>
        <w:t>pregnancy is associated with higher rates of anomaly, preterm birth, pre-eclampsia, FGR, GDM and complicated</w:t>
      </w:r>
      <w:r>
        <w:rPr>
          <w:spacing w:val="-12"/>
        </w:rPr>
        <w:t xml:space="preserve"> </w:t>
      </w:r>
      <w:r>
        <w:t>birth.</w:t>
      </w:r>
      <w:r>
        <w:rPr>
          <w:spacing w:val="-12"/>
        </w:rPr>
        <w:t xml:space="preserve"> </w:t>
      </w:r>
      <w:r>
        <w:t>At</w:t>
      </w:r>
      <w:r>
        <w:rPr>
          <w:spacing w:val="-8"/>
        </w:rPr>
        <w:t xml:space="preserve"> </w:t>
      </w:r>
      <w:r>
        <w:t>term,</w:t>
      </w:r>
      <w:r>
        <w:rPr>
          <w:spacing w:val="-12"/>
        </w:rPr>
        <w:t xml:space="preserve"> </w:t>
      </w:r>
      <w:r>
        <w:t>the</w:t>
      </w:r>
      <w:r>
        <w:rPr>
          <w:spacing w:val="-8"/>
        </w:rPr>
        <w:t xml:space="preserve"> </w:t>
      </w:r>
      <w:r>
        <w:t>cumulative</w:t>
      </w:r>
      <w:r>
        <w:rPr>
          <w:spacing w:val="-13"/>
        </w:rPr>
        <w:t xml:space="preserve"> </w:t>
      </w:r>
      <w:r>
        <w:t>loss</w:t>
      </w:r>
      <w:r>
        <w:rPr>
          <w:spacing w:val="-10"/>
        </w:rPr>
        <w:t xml:space="preserve"> </w:t>
      </w:r>
      <w:r>
        <w:t>rate</w:t>
      </w:r>
      <w:r>
        <w:rPr>
          <w:spacing w:val="-8"/>
        </w:rPr>
        <w:t xml:space="preserve"> </w:t>
      </w:r>
      <w:r>
        <w:t>for</w:t>
      </w:r>
      <w:r>
        <w:rPr>
          <w:spacing w:val="-11"/>
        </w:rPr>
        <w:t xml:space="preserve"> </w:t>
      </w:r>
      <w:r>
        <w:t>dichorionic</w:t>
      </w:r>
      <w:r>
        <w:rPr>
          <w:spacing w:val="-8"/>
        </w:rPr>
        <w:t xml:space="preserve"> </w:t>
      </w:r>
      <w:r>
        <w:t>twins</w:t>
      </w:r>
      <w:r>
        <w:rPr>
          <w:spacing w:val="-10"/>
        </w:rPr>
        <w:t xml:space="preserve"> </w:t>
      </w:r>
      <w:r>
        <w:t>is</w:t>
      </w:r>
      <w:r>
        <w:rPr>
          <w:spacing w:val="-5"/>
        </w:rPr>
        <w:t xml:space="preserve"> </w:t>
      </w:r>
      <w:r>
        <w:t>approximately</w:t>
      </w:r>
      <w:r>
        <w:rPr>
          <w:spacing w:val="-12"/>
        </w:rPr>
        <w:t xml:space="preserve"> </w:t>
      </w:r>
      <w:r>
        <w:t>2</w:t>
      </w:r>
      <w:r w:rsidR="006F7C71">
        <w:t>%</w:t>
      </w:r>
      <w:r>
        <w:t>; and approximately 8</w:t>
      </w:r>
      <w:r w:rsidR="006F7C71">
        <w:t>%</w:t>
      </w:r>
      <w:r>
        <w:t xml:space="preserve"> for monochorionic twins, secondary to the unique placental configuration and excess anomalies (NZMFM</w:t>
      </w:r>
      <w:r>
        <w:rPr>
          <w:spacing w:val="1"/>
        </w:rPr>
        <w:t xml:space="preserve"> </w:t>
      </w:r>
      <w:r>
        <w:t>2015).</w:t>
      </w:r>
    </w:p>
    <w:p w14:paraId="0E1634ED" w14:textId="77777777" w:rsidR="00AC0F19" w:rsidRDefault="00AC0F19" w:rsidP="00230FF7">
      <w:bookmarkStart w:id="165" w:name="_bookmark77"/>
      <w:bookmarkEnd w:id="165"/>
    </w:p>
    <w:p w14:paraId="04F925D8" w14:textId="77777777" w:rsidR="00AC0F19" w:rsidRDefault="00AC0F19" w:rsidP="00230FF7">
      <w:pPr>
        <w:pStyle w:val="Heading3"/>
      </w:pPr>
      <w:r>
        <w:t>Summary of evidence</w:t>
      </w:r>
    </w:p>
    <w:p w14:paraId="652D765B" w14:textId="77777777" w:rsidR="00AC0F19" w:rsidRPr="00BA13E9" w:rsidRDefault="00AC0F19" w:rsidP="00230FF7">
      <w:r w:rsidRPr="00BA13E9">
        <w:t>One systematic review was identified.</w:t>
      </w:r>
    </w:p>
    <w:p w14:paraId="1C226551" w14:textId="77777777" w:rsidR="00AC0F19" w:rsidRPr="00BA13E9" w:rsidRDefault="00AC0F19" w:rsidP="00230FF7"/>
    <w:p w14:paraId="6E95893F" w14:textId="77777777" w:rsidR="00B0606D" w:rsidRDefault="00AC0F19" w:rsidP="00230FF7">
      <w:r w:rsidRPr="00BA13E9">
        <w:t xml:space="preserve">A Cochrane review included two RCTs comparing elective birth at </w:t>
      </w:r>
      <w:r w:rsidR="00EB43A9">
        <w:t>37 weeks</w:t>
      </w:r>
      <w:r w:rsidR="00B0606D">
        <w:t>’</w:t>
      </w:r>
      <w:r w:rsidRPr="00BA13E9">
        <w:t xml:space="preserve"> gestation with expectant management for women with an uncomplicated twin pregnancy, including both dichorionic and monochorionic twins (271 women and 542 infants) (Dodd </w:t>
      </w:r>
      <w:r w:rsidR="000F3C98">
        <w:t>et al</w:t>
      </w:r>
      <w:r>
        <w:t xml:space="preserve"> </w:t>
      </w:r>
      <w:r w:rsidRPr="00BA13E9">
        <w:t xml:space="preserve">2014). Both trials showed the average gestational age at delivery was earlier in IOL compared </w:t>
      </w:r>
      <w:r>
        <w:t>with</w:t>
      </w:r>
      <w:r w:rsidRPr="00BA13E9">
        <w:t xml:space="preserve"> expectant management (Suzuki </w:t>
      </w:r>
      <w:r w:rsidR="000F3C98">
        <w:t>et al</w:t>
      </w:r>
      <w:r w:rsidRPr="00BA13E9">
        <w:t xml:space="preserve"> 2000: 37.5 </w:t>
      </w:r>
      <w:r w:rsidR="00230FF7">
        <w:rPr>
          <w:rFonts w:cs="Segoe UI"/>
        </w:rPr>
        <w:t>±</w:t>
      </w:r>
      <w:r w:rsidRPr="00BA13E9">
        <w:t xml:space="preserve"> 0.4</w:t>
      </w:r>
      <w:r w:rsidR="00230FF7">
        <w:t> </w:t>
      </w:r>
      <w:r w:rsidRPr="00BA13E9">
        <w:t xml:space="preserve">weeks vs 39.0 </w:t>
      </w:r>
      <w:r w:rsidR="00230FF7">
        <w:rPr>
          <w:rFonts w:cs="Segoe UI"/>
        </w:rPr>
        <w:t xml:space="preserve">± </w:t>
      </w:r>
      <w:r w:rsidRPr="00BA13E9">
        <w:t xml:space="preserve">1.1 weeks; Dodd </w:t>
      </w:r>
      <w:r w:rsidR="000F3C98">
        <w:t>et al</w:t>
      </w:r>
      <w:r w:rsidRPr="00BA13E9">
        <w:t xml:space="preserve"> 2012:</w:t>
      </w:r>
      <w:r>
        <w:t xml:space="preserve"> </w:t>
      </w:r>
      <w:r w:rsidRPr="00BA13E9">
        <w:t xml:space="preserve">37.3 +/-0.4 weeks vs 37.9 </w:t>
      </w:r>
      <w:r w:rsidR="00230FF7">
        <w:rPr>
          <w:rFonts w:cs="Segoe UI"/>
        </w:rPr>
        <w:t xml:space="preserve">± </w:t>
      </w:r>
      <w:r w:rsidRPr="00BA13E9">
        <w:t>0.5 weeks).</w:t>
      </w:r>
    </w:p>
    <w:p w14:paraId="79BF3842" w14:textId="77777777" w:rsidR="00AC0F19" w:rsidRDefault="00AC0F19" w:rsidP="00230FF7"/>
    <w:p w14:paraId="37DE3E47" w14:textId="77777777" w:rsidR="00AC0F19" w:rsidRDefault="00AC0F19" w:rsidP="00230FF7">
      <w:pPr>
        <w:keepLines/>
      </w:pPr>
      <w:r w:rsidRPr="00BA13E9">
        <w:lastRenderedPageBreak/>
        <w:t>There was no difference between women having IOL versus expectant management for the three primary outcomes outlined by the review: perinatal death or serious perinatal morbidity (</w:t>
      </w:r>
      <w:r w:rsidR="00230FF7">
        <w:t>RR </w:t>
      </w:r>
      <w:r w:rsidRPr="00BA13E9">
        <w:t>0.34; 95% CI 0.01</w:t>
      </w:r>
      <w:r>
        <w:t>–</w:t>
      </w:r>
      <w:r w:rsidRPr="00BA13E9">
        <w:t>8.35; two studies, 542 infants; low quality); maternal death or serious maternal morbidity (</w:t>
      </w:r>
      <w:r w:rsidR="00230FF7">
        <w:t>RR </w:t>
      </w:r>
      <w:r w:rsidRPr="00BA13E9">
        <w:t>0.29; 95% CI 0.06</w:t>
      </w:r>
      <w:r>
        <w:t>–</w:t>
      </w:r>
      <w:r w:rsidRPr="00BA13E9">
        <w:t>1.38; one study, 235 women; low quality); or caesarean section (</w:t>
      </w:r>
      <w:r w:rsidR="00230FF7">
        <w:t>RR </w:t>
      </w:r>
      <w:r w:rsidRPr="00BA13E9">
        <w:t>1.05; 95% CI 0.83</w:t>
      </w:r>
      <w:r>
        <w:t>–</w:t>
      </w:r>
      <w:r w:rsidRPr="00BA13E9">
        <w:t xml:space="preserve">1.32; two studies, 271 women; moderate quality). There was no difference between groups for instrumental vaginal birth; </w:t>
      </w:r>
      <w:r w:rsidR="00763E83">
        <w:t>5</w:t>
      </w:r>
      <w:r w:rsidR="00763E83">
        <w:noBreakHyphen/>
        <w:t>minute</w:t>
      </w:r>
      <w:r w:rsidRPr="00BA13E9">
        <w:t xml:space="preserve"> Apgar </w:t>
      </w:r>
      <w:r w:rsidR="00436939">
        <w:t>&lt;</w:t>
      </w:r>
      <w:r w:rsidRPr="00BA13E9">
        <w:t>7 or NICU admission (low to unclear risk of bias; moderate</w:t>
      </w:r>
      <w:r>
        <w:t>-</w:t>
      </w:r>
      <w:r w:rsidRPr="00BA13E9">
        <w:t xml:space="preserve">quality evidence). They did not report on maternal satisfaction. The authors concluded that IOL at </w:t>
      </w:r>
      <w:r w:rsidR="00EB43A9">
        <w:t>37 weeks</w:t>
      </w:r>
      <w:r w:rsidR="00B0606D">
        <w:t>’</w:t>
      </w:r>
      <w:r w:rsidRPr="00BA13E9">
        <w:t xml:space="preserve"> gestation did not appear to be associated with increased maternal or neonatal harms for uncomplicated twin pregnancies, but there were no data available on long-term outcomes.</w:t>
      </w:r>
    </w:p>
    <w:p w14:paraId="6407FED6" w14:textId="77777777" w:rsidR="00AC0F19" w:rsidRPr="00BA13E9" w:rsidRDefault="00AC0F19" w:rsidP="00230FF7"/>
    <w:p w14:paraId="21C837CD" w14:textId="77777777" w:rsidR="00AC0F19" w:rsidRDefault="00AC0F19" w:rsidP="00230FF7">
      <w:pPr>
        <w:pStyle w:val="Heading3"/>
      </w:pPr>
      <w:bookmarkStart w:id="166" w:name="_bookmark78"/>
      <w:bookmarkEnd w:id="166"/>
      <w:r>
        <w:t>Discussion</w:t>
      </w:r>
    </w:p>
    <w:p w14:paraId="19118812" w14:textId="77777777" w:rsidR="00AC0F19" w:rsidRDefault="00AC0F19" w:rsidP="00230FF7">
      <w:r>
        <w:t>Although the systematic review evidence found no differences in short-term outcomes, the analysis</w:t>
      </w:r>
      <w:r>
        <w:rPr>
          <w:spacing w:val="-12"/>
        </w:rPr>
        <w:t xml:space="preserve"> </w:t>
      </w:r>
      <w:r>
        <w:t>was</w:t>
      </w:r>
      <w:r>
        <w:rPr>
          <w:spacing w:val="-12"/>
        </w:rPr>
        <w:t xml:space="preserve"> </w:t>
      </w:r>
      <w:r>
        <w:t>underpowered</w:t>
      </w:r>
      <w:r>
        <w:rPr>
          <w:spacing w:val="-14"/>
        </w:rPr>
        <w:t xml:space="preserve"> </w:t>
      </w:r>
      <w:r>
        <w:t>for</w:t>
      </w:r>
      <w:r>
        <w:rPr>
          <w:spacing w:val="-13"/>
        </w:rPr>
        <w:t xml:space="preserve"> </w:t>
      </w:r>
      <w:r>
        <w:t>uncommon</w:t>
      </w:r>
      <w:r>
        <w:rPr>
          <w:spacing w:val="-14"/>
        </w:rPr>
        <w:t xml:space="preserve"> </w:t>
      </w:r>
      <w:r>
        <w:t>outcomes,</w:t>
      </w:r>
      <w:r>
        <w:rPr>
          <w:spacing w:val="-12"/>
        </w:rPr>
        <w:t xml:space="preserve"> </w:t>
      </w:r>
      <w:r>
        <w:t>such</w:t>
      </w:r>
      <w:r>
        <w:rPr>
          <w:spacing w:val="-14"/>
        </w:rPr>
        <w:t xml:space="preserve"> </w:t>
      </w:r>
      <w:r>
        <w:t>as</w:t>
      </w:r>
      <w:r>
        <w:rPr>
          <w:spacing w:val="-12"/>
        </w:rPr>
        <w:t xml:space="preserve"> </w:t>
      </w:r>
      <w:r>
        <w:t>perinatal</w:t>
      </w:r>
      <w:r>
        <w:rPr>
          <w:spacing w:val="-8"/>
        </w:rPr>
        <w:t xml:space="preserve"> </w:t>
      </w:r>
      <w:r>
        <w:t>death,</w:t>
      </w:r>
      <w:r>
        <w:rPr>
          <w:spacing w:val="-14"/>
        </w:rPr>
        <w:t xml:space="preserve"> </w:t>
      </w:r>
      <w:r>
        <w:t>and</w:t>
      </w:r>
      <w:r>
        <w:rPr>
          <w:spacing w:val="-13"/>
        </w:rPr>
        <w:t xml:space="preserve"> </w:t>
      </w:r>
      <w:r>
        <w:t>did</w:t>
      </w:r>
      <w:r>
        <w:rPr>
          <w:spacing w:val="-14"/>
        </w:rPr>
        <w:t xml:space="preserve"> </w:t>
      </w:r>
      <w:r>
        <w:t>not</w:t>
      </w:r>
      <w:r>
        <w:rPr>
          <w:spacing w:val="-15"/>
        </w:rPr>
        <w:t xml:space="preserve"> </w:t>
      </w:r>
      <w:r>
        <w:t xml:space="preserve">report any long-term </w:t>
      </w:r>
      <w:r w:rsidRPr="00BA13E9">
        <w:t>outcomes</w:t>
      </w:r>
      <w:r>
        <w:t>. Due to the current lack of high-quality evidence to confirm the benefits</w:t>
      </w:r>
      <w:r>
        <w:rPr>
          <w:spacing w:val="-7"/>
        </w:rPr>
        <w:t xml:space="preserve"> </w:t>
      </w:r>
      <w:r>
        <w:t>and</w:t>
      </w:r>
      <w:r>
        <w:rPr>
          <w:spacing w:val="-9"/>
        </w:rPr>
        <w:t xml:space="preserve"> </w:t>
      </w:r>
      <w:r>
        <w:t>harms</w:t>
      </w:r>
      <w:r>
        <w:rPr>
          <w:spacing w:val="-7"/>
        </w:rPr>
        <w:t xml:space="preserve"> </w:t>
      </w:r>
      <w:r>
        <w:t>of</w:t>
      </w:r>
      <w:r>
        <w:rPr>
          <w:spacing w:val="-7"/>
        </w:rPr>
        <w:t xml:space="preserve"> </w:t>
      </w:r>
      <w:r>
        <w:t>IOL</w:t>
      </w:r>
      <w:r>
        <w:rPr>
          <w:spacing w:val="-10"/>
        </w:rPr>
        <w:t xml:space="preserve"> </w:t>
      </w:r>
      <w:r>
        <w:t>or</w:t>
      </w:r>
      <w:r>
        <w:rPr>
          <w:spacing w:val="-8"/>
        </w:rPr>
        <w:t xml:space="preserve"> </w:t>
      </w:r>
      <w:r>
        <w:t>expectant</w:t>
      </w:r>
      <w:r>
        <w:rPr>
          <w:spacing w:val="-9"/>
        </w:rPr>
        <w:t xml:space="preserve"> </w:t>
      </w:r>
      <w:r>
        <w:t>management</w:t>
      </w:r>
      <w:r>
        <w:rPr>
          <w:spacing w:val="-5"/>
        </w:rPr>
        <w:t xml:space="preserve"> </w:t>
      </w:r>
      <w:r>
        <w:t>in</w:t>
      </w:r>
      <w:r>
        <w:rPr>
          <w:spacing w:val="-9"/>
        </w:rPr>
        <w:t xml:space="preserve"> </w:t>
      </w:r>
      <w:r>
        <w:t>women</w:t>
      </w:r>
      <w:r>
        <w:rPr>
          <w:spacing w:val="-8"/>
        </w:rPr>
        <w:t xml:space="preserve"> </w:t>
      </w:r>
      <w:r>
        <w:t>with</w:t>
      </w:r>
      <w:r>
        <w:rPr>
          <w:spacing w:val="-9"/>
        </w:rPr>
        <w:t xml:space="preserve"> </w:t>
      </w:r>
      <w:r>
        <w:t>multiple</w:t>
      </w:r>
      <w:r>
        <w:rPr>
          <w:spacing w:val="-9"/>
        </w:rPr>
        <w:t xml:space="preserve"> </w:t>
      </w:r>
      <w:r>
        <w:t>pregnancy,</w:t>
      </w:r>
      <w:r>
        <w:rPr>
          <w:spacing w:val="-9"/>
        </w:rPr>
        <w:t xml:space="preserve"> </w:t>
      </w:r>
      <w:r>
        <w:t>some international guidelines were</w:t>
      </w:r>
      <w:r>
        <w:rPr>
          <w:spacing w:val="-4"/>
        </w:rPr>
        <w:t xml:space="preserve"> </w:t>
      </w:r>
      <w:r>
        <w:t>reviewed.</w:t>
      </w:r>
    </w:p>
    <w:p w14:paraId="509DD0C9" w14:textId="77777777" w:rsidR="00AC0F19" w:rsidRDefault="00AC0F19" w:rsidP="00230FF7">
      <w:pPr>
        <w:pStyle w:val="Bullet"/>
      </w:pPr>
      <w:r>
        <w:t xml:space="preserve">In </w:t>
      </w:r>
      <w:r>
        <w:rPr>
          <w:i/>
          <w:iCs/>
        </w:rPr>
        <w:t xml:space="preserve">Multiple Pregnancy </w:t>
      </w:r>
      <w:r>
        <w:t>(2015), the NZMFM advises that women with monochorionic twin pregnancies should have birth considered at 36–</w:t>
      </w:r>
      <w:r w:rsidR="00EB43A9">
        <w:t>37 weeks</w:t>
      </w:r>
      <w:r w:rsidR="00B0606D">
        <w:t>’</w:t>
      </w:r>
      <w:r>
        <w:t xml:space="preserve"> gestation due to concerns of increased risk. However, it states that this is a pragmatic approach, given there is no high-quality evidence to guide care in this</w:t>
      </w:r>
      <w:r>
        <w:rPr>
          <w:spacing w:val="-9"/>
        </w:rPr>
        <w:t xml:space="preserve"> </w:t>
      </w:r>
      <w:r>
        <w:t>setting.</w:t>
      </w:r>
    </w:p>
    <w:p w14:paraId="515F9C57" w14:textId="77777777" w:rsidR="00AC0F19" w:rsidRDefault="00AC0F19" w:rsidP="00230FF7">
      <w:pPr>
        <w:pStyle w:val="Bullet"/>
      </w:pPr>
      <w:r>
        <w:t xml:space="preserve">The </w:t>
      </w:r>
      <w:r>
        <w:rPr>
          <w:i/>
          <w:iCs/>
        </w:rPr>
        <w:t xml:space="preserve">Maternal Group B Streptococcus in Pregnancy: Screening and management </w:t>
      </w:r>
      <w:r>
        <w:t xml:space="preserve">guidelines of RCOG (2016) has a consensus-based recommendation that women with monochorionic twin pregnancies give birth by </w:t>
      </w:r>
      <w:r w:rsidR="00EB43A9">
        <w:t>37 weeks</w:t>
      </w:r>
      <w:r w:rsidR="00B0606D">
        <w:t>’</w:t>
      </w:r>
      <w:r>
        <w:rPr>
          <w:spacing w:val="-8"/>
        </w:rPr>
        <w:t xml:space="preserve"> </w:t>
      </w:r>
      <w:r>
        <w:t>gestation.</w:t>
      </w:r>
    </w:p>
    <w:p w14:paraId="5BFD8FF8" w14:textId="77777777" w:rsidR="00AC0F19" w:rsidRDefault="00AC0F19" w:rsidP="00230FF7">
      <w:pPr>
        <w:pStyle w:val="Bullet"/>
      </w:pPr>
      <w:r>
        <w:t xml:space="preserve">The NICE </w:t>
      </w:r>
      <w:r>
        <w:rPr>
          <w:i/>
          <w:iCs/>
        </w:rPr>
        <w:t xml:space="preserve">Twin and Triplet Pregnancy </w:t>
      </w:r>
      <w:r>
        <w:t xml:space="preserve">guidelines (2019) recommend offering women with uncomplicated monochorionic diamniotic twin pregnancies planned birth at </w:t>
      </w:r>
      <w:r w:rsidR="00EB43A9">
        <w:t>36 weeks</w:t>
      </w:r>
      <w:r w:rsidR="00B0606D">
        <w:t>’</w:t>
      </w:r>
      <w:r>
        <w:t xml:space="preserve"> gestation and uncomplicated dichorionic twin pregnancies at </w:t>
      </w:r>
      <w:r w:rsidR="00EB43A9">
        <w:t>37 weeks</w:t>
      </w:r>
      <w:r w:rsidR="00B0606D">
        <w:t>’</w:t>
      </w:r>
      <w:r>
        <w:t xml:space="preserve"> gestation. Individualised assessment is recommended for complicated twins or for triplets.</w:t>
      </w:r>
    </w:p>
    <w:p w14:paraId="2988F92F" w14:textId="77777777" w:rsidR="00AC0F19" w:rsidRDefault="00AC0F19" w:rsidP="00230FF7"/>
    <w:p w14:paraId="06CC3C9F" w14:textId="77777777" w:rsidR="00AC0F19" w:rsidRDefault="00AC0F19" w:rsidP="00230FF7">
      <w:r>
        <w:t xml:space="preserve">There is currently insufficient high-quality evidence to make a clear recommendation about IOL for </w:t>
      </w:r>
      <w:r w:rsidRPr="00BA13E9">
        <w:t>this</w:t>
      </w:r>
      <w:r>
        <w:t xml:space="preserve"> condition.</w:t>
      </w:r>
    </w:p>
    <w:p w14:paraId="643E4A3F" w14:textId="77777777" w:rsidR="00AC0F19" w:rsidRDefault="00AC0F19" w:rsidP="00230FF7"/>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8B94DE4" w14:textId="77777777" w:rsidTr="00230FF7">
        <w:trPr>
          <w:cantSplit/>
        </w:trPr>
        <w:tc>
          <w:tcPr>
            <w:tcW w:w="8080" w:type="dxa"/>
            <w:tcBorders>
              <w:top w:val="nil"/>
              <w:left w:val="nil"/>
              <w:bottom w:val="nil"/>
              <w:right w:val="nil"/>
            </w:tcBorders>
            <w:shd w:val="clear" w:color="auto" w:fill="D9D9D9" w:themeFill="background1" w:themeFillShade="D9"/>
          </w:tcPr>
          <w:p w14:paraId="44B32C5A" w14:textId="77777777" w:rsidR="00D2284E" w:rsidRPr="008D53E4" w:rsidRDefault="00D2284E" w:rsidP="00230FF7">
            <w:pPr>
              <w:pStyle w:val="TableText"/>
            </w:pPr>
            <w:r w:rsidRPr="00806252">
              <w:rPr>
                <w:b/>
                <w:iCs/>
              </w:rPr>
              <w:t>Practice point</w:t>
            </w:r>
            <w:r w:rsidR="00230FF7">
              <w:rPr>
                <w:b/>
                <w:iCs/>
              </w:rPr>
              <w:t>s</w:t>
            </w:r>
          </w:p>
        </w:tc>
      </w:tr>
      <w:tr w:rsidR="00230FF7" w14:paraId="10B673B5" w14:textId="77777777" w:rsidTr="00230FF7">
        <w:trPr>
          <w:cantSplit/>
        </w:trPr>
        <w:tc>
          <w:tcPr>
            <w:tcW w:w="8080" w:type="dxa"/>
            <w:tcBorders>
              <w:top w:val="nil"/>
              <w:left w:val="nil"/>
              <w:bottom w:val="single" w:sz="4" w:space="0" w:color="A6A6A6" w:themeColor="background1" w:themeShade="A6"/>
              <w:right w:val="nil"/>
            </w:tcBorders>
          </w:tcPr>
          <w:p w14:paraId="67EDEB75" w14:textId="77777777" w:rsidR="00230FF7" w:rsidRPr="00BA13E9" w:rsidRDefault="00230FF7" w:rsidP="00230FF7">
            <w:pPr>
              <w:pStyle w:val="TableBullet"/>
            </w:pPr>
            <w:r w:rsidRPr="00BA13E9">
              <w:t>For women with an uncomplicated monochorionic diamniotic twin pregnancy, consider offering</w:t>
            </w:r>
            <w:r>
              <w:t xml:space="preserve"> IOL</w:t>
            </w:r>
            <w:r w:rsidRPr="00BA13E9">
              <w:t xml:space="preserve"> between 36 and </w:t>
            </w:r>
            <w:r>
              <w:t>37 weeks’</w:t>
            </w:r>
            <w:r w:rsidRPr="00BA13E9">
              <w:t xml:space="preserve"> gestation.</w:t>
            </w:r>
          </w:p>
          <w:p w14:paraId="2D6EDA38" w14:textId="77777777" w:rsidR="00230FF7" w:rsidRPr="00BA13E9" w:rsidRDefault="00230FF7" w:rsidP="00230FF7">
            <w:pPr>
              <w:pStyle w:val="TableBullet"/>
            </w:pPr>
            <w:r w:rsidRPr="00BA13E9">
              <w:t xml:space="preserve">For women with an uncomplicated dichorionic twin pregnancy, consider offering </w:t>
            </w:r>
            <w:r>
              <w:t>IOL</w:t>
            </w:r>
            <w:r w:rsidRPr="00BA13E9">
              <w:t xml:space="preserve"> between 37</w:t>
            </w:r>
            <w:r>
              <w:t> </w:t>
            </w:r>
            <w:r w:rsidRPr="00BA13E9">
              <w:t xml:space="preserve">and </w:t>
            </w:r>
            <w:r>
              <w:t>38 weeks’</w:t>
            </w:r>
            <w:r w:rsidRPr="00BA13E9">
              <w:t xml:space="preserve"> gestation.</w:t>
            </w:r>
          </w:p>
        </w:tc>
      </w:tr>
    </w:tbl>
    <w:p w14:paraId="4281A6AB"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7721DE0C" w14:textId="77777777" w:rsidTr="00230FF7">
        <w:trPr>
          <w:cantSplit/>
        </w:trPr>
        <w:tc>
          <w:tcPr>
            <w:tcW w:w="8080" w:type="dxa"/>
            <w:tcBorders>
              <w:top w:val="nil"/>
              <w:left w:val="nil"/>
              <w:bottom w:val="nil"/>
              <w:right w:val="nil"/>
            </w:tcBorders>
            <w:shd w:val="clear" w:color="auto" w:fill="D9D9D9" w:themeFill="background1" w:themeFillShade="D9"/>
          </w:tcPr>
          <w:p w14:paraId="02E3C5A4" w14:textId="77777777" w:rsidR="00D2284E" w:rsidRPr="008D53E4" w:rsidRDefault="00230FF7" w:rsidP="00230FF7">
            <w:pPr>
              <w:pStyle w:val="TableText"/>
              <w:rPr>
                <w:b/>
              </w:rPr>
            </w:pPr>
            <w:r>
              <w:rPr>
                <w:b/>
              </w:rPr>
              <w:t>Research gap</w:t>
            </w:r>
          </w:p>
        </w:tc>
      </w:tr>
      <w:tr w:rsidR="00D2284E" w14:paraId="4A5CB432" w14:textId="77777777" w:rsidTr="00230FF7">
        <w:trPr>
          <w:cantSplit/>
        </w:trPr>
        <w:tc>
          <w:tcPr>
            <w:tcW w:w="8080" w:type="dxa"/>
            <w:tcBorders>
              <w:top w:val="nil"/>
              <w:left w:val="nil"/>
              <w:bottom w:val="single" w:sz="4" w:space="0" w:color="A6A6A6" w:themeColor="background1" w:themeShade="A6"/>
              <w:right w:val="nil"/>
            </w:tcBorders>
          </w:tcPr>
          <w:p w14:paraId="69505869" w14:textId="77777777" w:rsidR="00D2284E" w:rsidRDefault="00230FF7" w:rsidP="00230FF7">
            <w:pPr>
              <w:pStyle w:val="TableBullet"/>
            </w:pPr>
            <w:r>
              <w:t>In women with twin pregnancy, to further evaluate the effect of IOL vs expectant management on maternal, perinatal and neonatal outcomes, stratified by type of twins.</w:t>
            </w:r>
          </w:p>
        </w:tc>
      </w:tr>
    </w:tbl>
    <w:p w14:paraId="6179CC43" w14:textId="77777777" w:rsidR="00D2284E" w:rsidRDefault="00D2284E" w:rsidP="00230FF7"/>
    <w:p w14:paraId="189E07F9" w14:textId="77777777" w:rsidR="00AC0F19" w:rsidRDefault="00AC0F19" w:rsidP="00230FF7">
      <w:pPr>
        <w:pStyle w:val="Heading2"/>
      </w:pPr>
      <w:bookmarkStart w:id="167" w:name="4.13_Reduced_liquor_&lt;_41_weeks’_gestatio"/>
      <w:bookmarkStart w:id="168" w:name="_bookmark79"/>
      <w:bookmarkStart w:id="169" w:name="_Toc75787992"/>
      <w:bookmarkEnd w:id="167"/>
      <w:bookmarkEnd w:id="168"/>
      <w:r>
        <w:lastRenderedPageBreak/>
        <w:t xml:space="preserve">Reduced liquor under </w:t>
      </w:r>
      <w:r w:rsidR="00EB43A9">
        <w:t>41 weeks</w:t>
      </w:r>
      <w:r w:rsidR="00B0606D">
        <w:t>’</w:t>
      </w:r>
      <w:r>
        <w:rPr>
          <w:spacing w:val="-7"/>
        </w:rPr>
        <w:t xml:space="preserve"> </w:t>
      </w:r>
      <w:r>
        <w:t>gestation</w:t>
      </w:r>
      <w:bookmarkEnd w:id="169"/>
    </w:p>
    <w:p w14:paraId="01A4A8F0" w14:textId="77777777" w:rsidR="00AC0F19" w:rsidRDefault="00AC0F19" w:rsidP="00230FF7">
      <w:r>
        <w:t>The finding of reduced liquor or decreased amniotic fluid volume (oligohydramnios) is associated</w:t>
      </w:r>
      <w:r>
        <w:rPr>
          <w:spacing w:val="-8"/>
        </w:rPr>
        <w:t xml:space="preserve"> </w:t>
      </w:r>
      <w:r>
        <w:t>with</w:t>
      </w:r>
      <w:r>
        <w:rPr>
          <w:spacing w:val="-8"/>
        </w:rPr>
        <w:t xml:space="preserve"> </w:t>
      </w:r>
      <w:r>
        <w:t>adverse</w:t>
      </w:r>
      <w:r>
        <w:rPr>
          <w:spacing w:val="-9"/>
        </w:rPr>
        <w:t xml:space="preserve"> </w:t>
      </w:r>
      <w:r>
        <w:t>perinatal</w:t>
      </w:r>
      <w:r>
        <w:rPr>
          <w:spacing w:val="-8"/>
        </w:rPr>
        <w:t xml:space="preserve"> </w:t>
      </w:r>
      <w:r>
        <w:t>outcomes,</w:t>
      </w:r>
      <w:r>
        <w:rPr>
          <w:spacing w:val="-8"/>
        </w:rPr>
        <w:t xml:space="preserve"> </w:t>
      </w:r>
      <w:r>
        <w:t>such</w:t>
      </w:r>
      <w:r>
        <w:rPr>
          <w:spacing w:val="-2"/>
        </w:rPr>
        <w:t xml:space="preserve"> </w:t>
      </w:r>
      <w:r>
        <w:t>as</w:t>
      </w:r>
      <w:r>
        <w:rPr>
          <w:spacing w:val="-1"/>
        </w:rPr>
        <w:t xml:space="preserve"> </w:t>
      </w:r>
      <w:r>
        <w:t>SGA,</w:t>
      </w:r>
      <w:r>
        <w:rPr>
          <w:spacing w:val="-8"/>
        </w:rPr>
        <w:t xml:space="preserve"> </w:t>
      </w:r>
      <w:r>
        <w:t>but</w:t>
      </w:r>
      <w:r>
        <w:rPr>
          <w:spacing w:val="-9"/>
        </w:rPr>
        <w:t xml:space="preserve"> </w:t>
      </w:r>
      <w:r>
        <w:t>is</w:t>
      </w:r>
      <w:r>
        <w:rPr>
          <w:spacing w:val="-6"/>
        </w:rPr>
        <w:t xml:space="preserve"> </w:t>
      </w:r>
      <w:r>
        <w:t>usually</w:t>
      </w:r>
      <w:r>
        <w:rPr>
          <w:spacing w:val="-7"/>
        </w:rPr>
        <w:t xml:space="preserve"> </w:t>
      </w:r>
      <w:r>
        <w:t>found</w:t>
      </w:r>
      <w:r>
        <w:rPr>
          <w:spacing w:val="-7"/>
        </w:rPr>
        <w:t xml:space="preserve"> </w:t>
      </w:r>
      <w:r>
        <w:t>in</w:t>
      </w:r>
      <w:r>
        <w:rPr>
          <w:spacing w:val="-3"/>
        </w:rPr>
        <w:t xml:space="preserve"> </w:t>
      </w:r>
      <w:r>
        <w:t>the</w:t>
      </w:r>
      <w:r>
        <w:rPr>
          <w:spacing w:val="-4"/>
        </w:rPr>
        <w:t xml:space="preserve"> </w:t>
      </w:r>
      <w:r>
        <w:t>setting</w:t>
      </w:r>
      <w:r>
        <w:rPr>
          <w:spacing w:val="-3"/>
        </w:rPr>
        <w:t xml:space="preserve"> </w:t>
      </w:r>
      <w:r>
        <w:t xml:space="preserve">of a complicated pregnancy and less commonly in isolation (Rabie </w:t>
      </w:r>
      <w:r w:rsidR="000F3C98">
        <w:t>et al</w:t>
      </w:r>
      <w:r>
        <w:t xml:space="preserve"> 2017). A</w:t>
      </w:r>
      <w:r w:rsidR="00230FF7">
        <w:t> </w:t>
      </w:r>
      <w:r>
        <w:t>review of RCTs concluded that single deepest vertical pocket measurement is the method of choice for the assessing liquor volume (</w:t>
      </w:r>
      <w:proofErr w:type="spellStart"/>
      <w:r>
        <w:t>Nabhan</w:t>
      </w:r>
      <w:proofErr w:type="spellEnd"/>
      <w:r>
        <w:t xml:space="preserve"> 2008). Reduced liquor is thus defined in this guideline as deepest vertical pocket</w:t>
      </w:r>
      <w:r>
        <w:rPr>
          <w:spacing w:val="-6"/>
        </w:rPr>
        <w:t xml:space="preserve"> </w:t>
      </w:r>
      <w:r w:rsidR="00436939">
        <w:t>&lt;</w:t>
      </w:r>
      <w:r>
        <w:t>2 cm.</w:t>
      </w:r>
    </w:p>
    <w:p w14:paraId="24F1AB9F" w14:textId="77777777" w:rsidR="00AC0F19" w:rsidRDefault="00AC0F19" w:rsidP="00230FF7"/>
    <w:p w14:paraId="6651C196" w14:textId="77777777" w:rsidR="00AC0F19" w:rsidRDefault="00AC0F19" w:rsidP="00230FF7">
      <w:pPr>
        <w:pStyle w:val="Heading3"/>
      </w:pPr>
      <w:bookmarkStart w:id="170" w:name="_bookmark80"/>
      <w:bookmarkEnd w:id="170"/>
      <w:r>
        <w:t>Summary of evidence</w:t>
      </w:r>
    </w:p>
    <w:p w14:paraId="697C8021" w14:textId="77777777" w:rsidR="00AC0F19" w:rsidRDefault="00AC0F19" w:rsidP="00230FF7">
      <w:r>
        <w:t>No studies were identified on IOL in the setting of reduced liquor.</w:t>
      </w:r>
    </w:p>
    <w:p w14:paraId="684C520B" w14:textId="77777777" w:rsidR="00AC0F19" w:rsidRDefault="00AC0F19" w:rsidP="00230FF7"/>
    <w:p w14:paraId="52F46AF4" w14:textId="77777777" w:rsidR="00AC0F19" w:rsidRDefault="00AC0F19" w:rsidP="00230FF7">
      <w:pPr>
        <w:pStyle w:val="Heading3"/>
      </w:pPr>
      <w:bookmarkStart w:id="171" w:name="_bookmark81"/>
      <w:bookmarkEnd w:id="171"/>
      <w:r>
        <w:t>Discussion</w:t>
      </w:r>
    </w:p>
    <w:p w14:paraId="05B7EF42" w14:textId="77777777" w:rsidR="00AC0F19" w:rsidRPr="00827058" w:rsidRDefault="00AC0F19" w:rsidP="00230FF7">
      <w:r w:rsidRPr="00827058">
        <w:t>Observational studies (Rabie</w:t>
      </w:r>
      <w:r>
        <w:t xml:space="preserve"> </w:t>
      </w:r>
      <w:r w:rsidR="000F3C98">
        <w:t>et al</w:t>
      </w:r>
      <w:r w:rsidRPr="00827058">
        <w:t xml:space="preserve"> 2017; Morris </w:t>
      </w:r>
      <w:r w:rsidR="000F3C98">
        <w:t>et al</w:t>
      </w:r>
      <w:r>
        <w:t xml:space="preserve"> </w:t>
      </w:r>
      <w:r w:rsidRPr="00827058">
        <w:t xml:space="preserve">2014) identify an association between reduced liquor and adverse outcome, however, this evidence is considered to be of low quality. In addition, there are limitations to the diagnosis of reduced liquor; </w:t>
      </w:r>
      <w:r>
        <w:t xml:space="preserve">there are </w:t>
      </w:r>
      <w:r w:rsidRPr="00827058">
        <w:t>different measures of liquor volume (amniotic fluid index, single deepest pocket, subjective assessment), the measures are not reproducible and reduced liquor is not specifically predictive of adverse outcome. There is no high-quality evidence to confirm the benefits or harms of IOL or expectant management in the setting of isolated reduced liquor.</w:t>
      </w:r>
    </w:p>
    <w:p w14:paraId="7C625791" w14:textId="77777777" w:rsidR="00AC0F19" w:rsidRPr="00827058" w:rsidRDefault="00AC0F19" w:rsidP="00230FF7"/>
    <w:p w14:paraId="63C65667" w14:textId="77777777" w:rsidR="00AC0F19" w:rsidRPr="00827058" w:rsidRDefault="00AC0F19" w:rsidP="00230FF7">
      <w:r w:rsidRPr="00827058">
        <w:t xml:space="preserve">The finding of reduced liquor warrants a full clinical assessment, including history and examination of the woman to exclude spontaneous </w:t>
      </w:r>
      <w:r>
        <w:t>rupture of membranes (S</w:t>
      </w:r>
      <w:r w:rsidRPr="00827058">
        <w:t>ROM</w:t>
      </w:r>
      <w:r>
        <w:t>)</w:t>
      </w:r>
      <w:r w:rsidRPr="00827058">
        <w:t xml:space="preserve"> and identification of other antenatal risk factors. Clinicians could consider confirming the diagnosis with a repeat ultrasound scan. Single deepest pocket appears to be the most reliable measure to predict adverse outcomes. If reduced liquor</w:t>
      </w:r>
      <w:r>
        <w:t xml:space="preserve"> is persistent</w:t>
      </w:r>
      <w:r w:rsidRPr="00827058">
        <w:t>, then consider regular follow</w:t>
      </w:r>
      <w:r>
        <w:t>-</w:t>
      </w:r>
      <w:r w:rsidRPr="00827058">
        <w:t>up clinical assessment.</w:t>
      </w:r>
    </w:p>
    <w:p w14:paraId="4AED89A8" w14:textId="77777777" w:rsidR="00AC0F19" w:rsidRPr="00827058" w:rsidRDefault="00AC0F19" w:rsidP="00230FF7"/>
    <w:p w14:paraId="15C6BC83" w14:textId="77777777" w:rsidR="00AC0F19" w:rsidRPr="00827058" w:rsidRDefault="00AC0F19" w:rsidP="00230FF7">
      <w:r w:rsidRPr="00827058">
        <w:t>There is currently insufficient high-quality evidence to make a clear recommendation about IOL for this condition.</w:t>
      </w:r>
    </w:p>
    <w:p w14:paraId="043AB633" w14:textId="77777777" w:rsidR="00AC0F19" w:rsidRDefault="00AC0F19" w:rsidP="00230FF7"/>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6B063563" w14:textId="77777777" w:rsidTr="00230FF7">
        <w:trPr>
          <w:cantSplit/>
        </w:trPr>
        <w:tc>
          <w:tcPr>
            <w:tcW w:w="8080" w:type="dxa"/>
            <w:tcBorders>
              <w:top w:val="nil"/>
              <w:left w:val="nil"/>
              <w:bottom w:val="nil"/>
              <w:right w:val="nil"/>
            </w:tcBorders>
            <w:shd w:val="clear" w:color="auto" w:fill="D9D9D9" w:themeFill="background1" w:themeFillShade="D9"/>
          </w:tcPr>
          <w:p w14:paraId="5B6C7660" w14:textId="77777777" w:rsidR="00D2284E" w:rsidRPr="008D53E4" w:rsidRDefault="00D2284E" w:rsidP="00230FF7">
            <w:pPr>
              <w:pStyle w:val="TableText"/>
            </w:pPr>
            <w:r w:rsidRPr="00806252">
              <w:rPr>
                <w:b/>
                <w:iCs/>
              </w:rPr>
              <w:t>Practice point</w:t>
            </w:r>
          </w:p>
        </w:tc>
      </w:tr>
      <w:tr w:rsidR="00D2284E" w14:paraId="3ACCE2C9" w14:textId="77777777" w:rsidTr="00230FF7">
        <w:trPr>
          <w:cantSplit/>
        </w:trPr>
        <w:tc>
          <w:tcPr>
            <w:tcW w:w="8080" w:type="dxa"/>
            <w:tcBorders>
              <w:top w:val="nil"/>
              <w:left w:val="nil"/>
              <w:bottom w:val="single" w:sz="4" w:space="0" w:color="A6A6A6" w:themeColor="background1" w:themeShade="A6"/>
              <w:right w:val="nil"/>
            </w:tcBorders>
          </w:tcPr>
          <w:p w14:paraId="683B021C" w14:textId="77777777" w:rsidR="00D2284E" w:rsidRDefault="00230FF7" w:rsidP="00230FF7">
            <w:pPr>
              <w:pStyle w:val="TableBullet"/>
            </w:pPr>
            <w:r w:rsidRPr="002172CD">
              <w:t xml:space="preserve">In women with reduced liquor as an isolated finding at </w:t>
            </w:r>
            <w:r>
              <w:rPr>
                <w:i/>
              </w:rPr>
              <w:t>&lt;</w:t>
            </w:r>
            <w:r>
              <w:t>41 weeks’</w:t>
            </w:r>
            <w:r w:rsidRPr="002172CD">
              <w:t xml:space="preserve"> gestation, in the presence of</w:t>
            </w:r>
            <w:r>
              <w:t xml:space="preserve"> </w:t>
            </w:r>
            <w:r w:rsidRPr="002172CD">
              <w:t>normal maternal and fetal assessment, consider expectant management.</w:t>
            </w:r>
          </w:p>
        </w:tc>
      </w:tr>
    </w:tbl>
    <w:p w14:paraId="61250119"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1D0BF85" w14:textId="77777777" w:rsidTr="00230FF7">
        <w:trPr>
          <w:cantSplit/>
        </w:trPr>
        <w:tc>
          <w:tcPr>
            <w:tcW w:w="8080" w:type="dxa"/>
            <w:tcBorders>
              <w:top w:val="nil"/>
              <w:left w:val="nil"/>
              <w:bottom w:val="nil"/>
              <w:right w:val="nil"/>
            </w:tcBorders>
            <w:shd w:val="clear" w:color="auto" w:fill="D9D9D9" w:themeFill="background1" w:themeFillShade="D9"/>
          </w:tcPr>
          <w:p w14:paraId="63A8123E" w14:textId="77777777" w:rsidR="00D2284E" w:rsidRPr="008D53E4" w:rsidRDefault="00230FF7" w:rsidP="00230FF7">
            <w:pPr>
              <w:pStyle w:val="TableText"/>
              <w:rPr>
                <w:b/>
              </w:rPr>
            </w:pPr>
            <w:r>
              <w:rPr>
                <w:b/>
              </w:rPr>
              <w:t>Research gap</w:t>
            </w:r>
          </w:p>
        </w:tc>
      </w:tr>
      <w:tr w:rsidR="00D2284E" w14:paraId="20C7D5DC" w14:textId="77777777" w:rsidTr="00230FF7">
        <w:trPr>
          <w:cantSplit/>
        </w:trPr>
        <w:tc>
          <w:tcPr>
            <w:tcW w:w="8080" w:type="dxa"/>
            <w:tcBorders>
              <w:top w:val="nil"/>
              <w:left w:val="nil"/>
              <w:bottom w:val="single" w:sz="4" w:space="0" w:color="A6A6A6" w:themeColor="background1" w:themeShade="A6"/>
              <w:right w:val="nil"/>
            </w:tcBorders>
          </w:tcPr>
          <w:p w14:paraId="005039D8" w14:textId="77777777" w:rsidR="00D2284E" w:rsidRDefault="00230FF7" w:rsidP="00230FF7">
            <w:pPr>
              <w:pStyle w:val="TableBullet"/>
            </w:pPr>
            <w:r>
              <w:t>In women with reduced liquor at &lt;41 weeks’ gestation, to evaluate the effect of IOL compared with expectant management on maternal, perinatal and neonatal outcomes.</w:t>
            </w:r>
          </w:p>
        </w:tc>
      </w:tr>
    </w:tbl>
    <w:p w14:paraId="2D6409DA" w14:textId="77777777" w:rsidR="00D2284E" w:rsidRDefault="00D2284E" w:rsidP="00230FF7"/>
    <w:p w14:paraId="71DAC982" w14:textId="77777777" w:rsidR="00AC0F19" w:rsidRDefault="00AC0F19" w:rsidP="00230FF7">
      <w:pPr>
        <w:pStyle w:val="Heading2"/>
      </w:pPr>
      <w:bookmarkStart w:id="172" w:name="4.14_Obstetric_cholestasis"/>
      <w:bookmarkStart w:id="173" w:name="_bookmark82"/>
      <w:bookmarkStart w:id="174" w:name="_Toc75787993"/>
      <w:bookmarkEnd w:id="172"/>
      <w:bookmarkEnd w:id="173"/>
      <w:r>
        <w:lastRenderedPageBreak/>
        <w:t>Obstetric</w:t>
      </w:r>
      <w:r>
        <w:rPr>
          <w:spacing w:val="-3"/>
        </w:rPr>
        <w:t xml:space="preserve"> </w:t>
      </w:r>
      <w:r w:rsidRPr="00F2436F">
        <w:t>cholestasis</w:t>
      </w:r>
      <w:bookmarkEnd w:id="174"/>
    </w:p>
    <w:p w14:paraId="71716DD8" w14:textId="77777777" w:rsidR="00B0606D" w:rsidRDefault="00AC0F19" w:rsidP="00230FF7">
      <w:r>
        <w:t xml:space="preserve">Approximately 1 in 100 pregnant women will have obstetric cholestasis (also called </w:t>
      </w:r>
      <w:r w:rsidRPr="00F2436F">
        <w:t>intrahepatic</w:t>
      </w:r>
      <w:r>
        <w:rPr>
          <w:spacing w:val="-6"/>
        </w:rPr>
        <w:t xml:space="preserve"> </w:t>
      </w:r>
      <w:r>
        <w:t>cholestasis</w:t>
      </w:r>
      <w:r>
        <w:rPr>
          <w:spacing w:val="-3"/>
        </w:rPr>
        <w:t xml:space="preserve"> </w:t>
      </w:r>
      <w:r>
        <w:t>of</w:t>
      </w:r>
      <w:r>
        <w:rPr>
          <w:spacing w:val="-4"/>
        </w:rPr>
        <w:t xml:space="preserve"> </w:t>
      </w:r>
      <w:r>
        <w:t>pregnancy).</w:t>
      </w:r>
      <w:r>
        <w:rPr>
          <w:spacing w:val="-4"/>
        </w:rPr>
        <w:t xml:space="preserve"> </w:t>
      </w:r>
      <w:r>
        <w:t>This</w:t>
      </w:r>
      <w:r>
        <w:rPr>
          <w:spacing w:val="-6"/>
        </w:rPr>
        <w:t xml:space="preserve"> </w:t>
      </w:r>
      <w:r>
        <w:t>is</w:t>
      </w:r>
      <w:r>
        <w:rPr>
          <w:spacing w:val="-3"/>
        </w:rPr>
        <w:t xml:space="preserve"> </w:t>
      </w:r>
      <w:r>
        <w:t>a</w:t>
      </w:r>
      <w:r>
        <w:rPr>
          <w:spacing w:val="-6"/>
        </w:rPr>
        <w:t xml:space="preserve"> </w:t>
      </w:r>
      <w:r>
        <w:t>multifactorial</w:t>
      </w:r>
      <w:r>
        <w:rPr>
          <w:spacing w:val="-6"/>
        </w:rPr>
        <w:t xml:space="preserve"> </w:t>
      </w:r>
      <w:r>
        <w:t>condition</w:t>
      </w:r>
      <w:r>
        <w:rPr>
          <w:spacing w:val="-4"/>
        </w:rPr>
        <w:t xml:space="preserve"> </w:t>
      </w:r>
      <w:r>
        <w:t>characterised</w:t>
      </w:r>
      <w:r>
        <w:rPr>
          <w:spacing w:val="-4"/>
        </w:rPr>
        <w:t xml:space="preserve"> </w:t>
      </w:r>
      <w:r>
        <w:t>by</w:t>
      </w:r>
      <w:r>
        <w:rPr>
          <w:spacing w:val="-4"/>
        </w:rPr>
        <w:t xml:space="preserve"> </w:t>
      </w:r>
      <w:r>
        <w:t>pruritus in the absence of a skin rash with abnormal liver function tests, neither of which has an alternative cause and both of which resolve after birth.</w:t>
      </w:r>
    </w:p>
    <w:p w14:paraId="278FEDC8" w14:textId="77777777" w:rsidR="00AC0F19" w:rsidRDefault="00AC0F19" w:rsidP="00230FF7"/>
    <w:p w14:paraId="57A1E44D" w14:textId="77777777" w:rsidR="00AC0F19" w:rsidRDefault="00AC0F19" w:rsidP="00230FF7">
      <w:r>
        <w:t xml:space="preserve">There are associated pregnancy risks, which include spontaneous preterm birth and meconium-stained liquor (Ovadia </w:t>
      </w:r>
      <w:r w:rsidR="000F3C98">
        <w:t>et al</w:t>
      </w:r>
      <w:r>
        <w:t xml:space="preserve"> 2019) and maternal morbidity, such as intense itching and difficulty sleeping (RANZCOG</w:t>
      </w:r>
      <w:r>
        <w:rPr>
          <w:spacing w:val="-4"/>
        </w:rPr>
        <w:t xml:space="preserve"> </w:t>
      </w:r>
      <w:r>
        <w:t>2011).</w:t>
      </w:r>
    </w:p>
    <w:p w14:paraId="78C04538" w14:textId="77777777" w:rsidR="00AC0F19" w:rsidRDefault="00AC0F19" w:rsidP="00230FF7"/>
    <w:p w14:paraId="032C8117" w14:textId="77777777" w:rsidR="00AC0F19" w:rsidRDefault="00AC0F19" w:rsidP="00230FF7">
      <w:pPr>
        <w:pStyle w:val="Heading3"/>
      </w:pPr>
      <w:bookmarkStart w:id="175" w:name="_bookmark83"/>
      <w:bookmarkEnd w:id="175"/>
      <w:r>
        <w:t>Summary of evidence</w:t>
      </w:r>
    </w:p>
    <w:p w14:paraId="5D60F9B0" w14:textId="77777777" w:rsidR="00AC0F19" w:rsidRDefault="00AC0F19" w:rsidP="00230FF7">
      <w:r>
        <w:t xml:space="preserve">One RCT was </w:t>
      </w:r>
      <w:r w:rsidRPr="00F2436F">
        <w:t>identified</w:t>
      </w:r>
      <w:r>
        <w:t>.</w:t>
      </w:r>
    </w:p>
    <w:p w14:paraId="6C57C6D4" w14:textId="77777777" w:rsidR="00AC0F19" w:rsidRDefault="00AC0F19" w:rsidP="00230FF7"/>
    <w:p w14:paraId="7E73A773" w14:textId="77777777" w:rsidR="00AC0F19" w:rsidRDefault="00AC0F19" w:rsidP="00230FF7">
      <w:r>
        <w:t xml:space="preserve">One RCT of 62 women examined the timing of birth intervention and was judged to be at low risk of bias (Chappell </w:t>
      </w:r>
      <w:r w:rsidR="000F3C98">
        <w:t>et al</w:t>
      </w:r>
      <w:r>
        <w:t xml:space="preserve"> 2012). There were no stillbirths or neonatal deaths in the </w:t>
      </w:r>
      <w:r w:rsidR="00B0606D">
        <w:t>‘</w:t>
      </w:r>
      <w:r>
        <w:t>early delivery</w:t>
      </w:r>
      <w:r w:rsidR="00B0606D">
        <w:t>’</w:t>
      </w:r>
      <w:r>
        <w:t xml:space="preserve"> or the </w:t>
      </w:r>
      <w:r w:rsidR="00B0606D">
        <w:t>‘</w:t>
      </w:r>
      <w:r>
        <w:t>await spontaneous labour</w:t>
      </w:r>
      <w:r w:rsidR="00B0606D">
        <w:t>’</w:t>
      </w:r>
      <w:r>
        <w:t xml:space="preserve"> groups. There were no significant differences between the two groups in the rates of caesarean section (</w:t>
      </w:r>
      <w:r w:rsidR="00230FF7">
        <w:t>RR </w:t>
      </w:r>
      <w:r>
        <w:t>0.68; 95% CI 0.30–1.52; low quality) or NICU admission (</w:t>
      </w:r>
      <w:r w:rsidR="00230FF7">
        <w:t>RR </w:t>
      </w:r>
      <w:r>
        <w:t>0.55; 95% CI 0.05–5.76; low quality). There was no report on maternal satisfaction. Caution is advised in interpreting these data due to the small sample size.</w:t>
      </w:r>
    </w:p>
    <w:p w14:paraId="35EBF178" w14:textId="77777777" w:rsidR="00AC0F19" w:rsidRDefault="00AC0F19" w:rsidP="00230FF7"/>
    <w:p w14:paraId="379B6AD3" w14:textId="77777777" w:rsidR="00AC0F19" w:rsidRDefault="00AC0F19" w:rsidP="00230FF7">
      <w:pPr>
        <w:pStyle w:val="Heading3"/>
      </w:pPr>
      <w:bookmarkStart w:id="176" w:name="_bookmark84"/>
      <w:bookmarkEnd w:id="176"/>
      <w:r>
        <w:t>Discussion</w:t>
      </w:r>
    </w:p>
    <w:p w14:paraId="605DFF83" w14:textId="77777777" w:rsidR="00AC0F19" w:rsidRPr="00F2436F" w:rsidRDefault="00AC0F19" w:rsidP="00230FF7">
      <w:r w:rsidRPr="00F2436F">
        <w:t xml:space="preserve">Based on the evidence from a Cochrane review on interventions for treating obstetric cholestasis (Gurung </w:t>
      </w:r>
      <w:r w:rsidR="000F3C98">
        <w:t>et al</w:t>
      </w:r>
      <w:r>
        <w:t xml:space="preserve"> </w:t>
      </w:r>
      <w:r w:rsidRPr="00F2436F">
        <w:t>2013), it was noted that sometimes women are induced for symptom control and that this is reasonable if other treatments are ineffective. There is no high-quality evidence to confirm the benefits or harms of IOL or expectant management for women with obstetric cholestasis.</w:t>
      </w:r>
    </w:p>
    <w:p w14:paraId="11201CC9" w14:textId="77777777" w:rsidR="00AC0F19" w:rsidRPr="00F2436F" w:rsidRDefault="00AC0F19" w:rsidP="00230FF7"/>
    <w:p w14:paraId="17FCF67B" w14:textId="77777777" w:rsidR="00AC0F19" w:rsidRPr="00F2436F" w:rsidRDefault="00AC0F19" w:rsidP="00230FF7">
      <w:r w:rsidRPr="00F2436F">
        <w:t xml:space="preserve">Current practice in some places is to offer IOL for stillbirth prevention, sometimes as early as </w:t>
      </w:r>
      <w:r w:rsidR="00EB43A9">
        <w:t>37 weeks</w:t>
      </w:r>
      <w:r w:rsidR="00B0606D">
        <w:t>’</w:t>
      </w:r>
      <w:r w:rsidRPr="00F2436F">
        <w:t xml:space="preserve"> gestation, but the evidence to support this approach is scarce. In the last several decades, perinatal death rate from obstetric cholestasis is comparable </w:t>
      </w:r>
      <w:r>
        <w:t>with</w:t>
      </w:r>
      <w:r w:rsidRPr="00F2436F">
        <w:t xml:space="preserve"> whole population figures (Kenyon </w:t>
      </w:r>
      <w:r>
        <w:t xml:space="preserve">and Girling </w:t>
      </w:r>
      <w:r w:rsidRPr="00F2436F">
        <w:t xml:space="preserve">2011). Two systematic reviews have found no increased risk of stillbirth in women with obstetric cholestasis (Henderson </w:t>
      </w:r>
      <w:r w:rsidR="000F3C98">
        <w:t>et al</w:t>
      </w:r>
      <w:r>
        <w:t xml:space="preserve"> </w:t>
      </w:r>
      <w:r w:rsidRPr="00F2436F">
        <w:t xml:space="preserve">2014; Ovadia </w:t>
      </w:r>
      <w:r w:rsidR="000F3C98">
        <w:t>et al</w:t>
      </w:r>
      <w:r>
        <w:t xml:space="preserve"> </w:t>
      </w:r>
      <w:r w:rsidRPr="00F2436F">
        <w:t xml:space="preserve">2019). Stratified by bile acid level, the association with stillbirth was found only in women whose bile acids were </w:t>
      </w:r>
      <w:r w:rsidR="002E5969">
        <w:t>≥</w:t>
      </w:r>
      <w:r w:rsidRPr="00F2436F">
        <w:t xml:space="preserve">100 (Ovadia </w:t>
      </w:r>
      <w:r w:rsidR="000F3C98">
        <w:t>et al</w:t>
      </w:r>
      <w:r>
        <w:t xml:space="preserve"> </w:t>
      </w:r>
      <w:r w:rsidRPr="00F2436F">
        <w:t>2019).</w:t>
      </w:r>
    </w:p>
    <w:p w14:paraId="5E888DA5" w14:textId="77777777" w:rsidR="00AC0F19" w:rsidRPr="00F2436F" w:rsidRDefault="00AC0F19" w:rsidP="00230FF7"/>
    <w:p w14:paraId="37AEDF4A" w14:textId="77777777" w:rsidR="00AC0F19" w:rsidRDefault="00AC0F19" w:rsidP="00230FF7">
      <w:r w:rsidRPr="00F2436F">
        <w:t>The R</w:t>
      </w:r>
      <w:r>
        <w:t>ANZ</w:t>
      </w:r>
      <w:r w:rsidRPr="00F2436F">
        <w:t xml:space="preserve">COG guideline on obstetric cholestasis (Kenyon </w:t>
      </w:r>
      <w:r>
        <w:t xml:space="preserve">and Girling </w:t>
      </w:r>
      <w:r w:rsidRPr="00F2436F">
        <w:t xml:space="preserve">2011) recommends a discussion with women regarding IOL after </w:t>
      </w:r>
      <w:r w:rsidR="00EB43A9">
        <w:t>37 weeks</w:t>
      </w:r>
      <w:r w:rsidR="00B0606D">
        <w:t>’</w:t>
      </w:r>
      <w:r w:rsidRPr="00F2436F">
        <w:t xml:space="preserve"> gestation, to include: the increased risk of perinatal</w:t>
      </w:r>
      <w:r>
        <w:t xml:space="preserve"> morbidity</w:t>
      </w:r>
      <w:r>
        <w:rPr>
          <w:spacing w:val="-9"/>
        </w:rPr>
        <w:t xml:space="preserve"> </w:t>
      </w:r>
      <w:r>
        <w:t>from</w:t>
      </w:r>
      <w:r>
        <w:rPr>
          <w:spacing w:val="-9"/>
        </w:rPr>
        <w:t xml:space="preserve"> </w:t>
      </w:r>
      <w:r>
        <w:t>early</w:t>
      </w:r>
      <w:r>
        <w:rPr>
          <w:spacing w:val="-9"/>
        </w:rPr>
        <w:t xml:space="preserve"> </w:t>
      </w:r>
      <w:r>
        <w:t>intervention;</w:t>
      </w:r>
      <w:r>
        <w:rPr>
          <w:spacing w:val="-14"/>
        </w:rPr>
        <w:t xml:space="preserve"> </w:t>
      </w:r>
      <w:r>
        <w:t>the</w:t>
      </w:r>
      <w:r>
        <w:rPr>
          <w:spacing w:val="-14"/>
        </w:rPr>
        <w:t xml:space="preserve"> </w:t>
      </w:r>
      <w:r>
        <w:t>case</w:t>
      </w:r>
      <w:r>
        <w:rPr>
          <w:spacing w:val="-14"/>
        </w:rPr>
        <w:t xml:space="preserve"> </w:t>
      </w:r>
      <w:r>
        <w:t>for</w:t>
      </w:r>
      <w:r>
        <w:rPr>
          <w:spacing w:val="-7"/>
        </w:rPr>
        <w:t xml:space="preserve"> </w:t>
      </w:r>
      <w:r>
        <w:t>intervention</w:t>
      </w:r>
      <w:r>
        <w:rPr>
          <w:spacing w:val="-9"/>
        </w:rPr>
        <w:t xml:space="preserve"> </w:t>
      </w:r>
      <w:r>
        <w:t>being possibly</w:t>
      </w:r>
      <w:r>
        <w:rPr>
          <w:spacing w:val="-14"/>
        </w:rPr>
        <w:t xml:space="preserve"> </w:t>
      </w:r>
      <w:r>
        <w:t>stronger</w:t>
      </w:r>
      <w:r>
        <w:rPr>
          <w:spacing w:val="-8"/>
        </w:rPr>
        <w:t xml:space="preserve"> </w:t>
      </w:r>
      <w:r>
        <w:t>in</w:t>
      </w:r>
      <w:r>
        <w:rPr>
          <w:spacing w:val="-13"/>
        </w:rPr>
        <w:t xml:space="preserve"> </w:t>
      </w:r>
      <w:r>
        <w:t>those</w:t>
      </w:r>
      <w:r>
        <w:rPr>
          <w:spacing w:val="-10"/>
        </w:rPr>
        <w:t xml:space="preserve"> </w:t>
      </w:r>
      <w:r>
        <w:t>with</w:t>
      </w:r>
      <w:r>
        <w:rPr>
          <w:spacing w:val="-8"/>
        </w:rPr>
        <w:t xml:space="preserve"> </w:t>
      </w:r>
      <w:r>
        <w:t>more severe biochemical abnormality; the increased risk of maternal morbidity from intervention and the inability to predict stillbirth if the pregnancy</w:t>
      </w:r>
      <w:r>
        <w:rPr>
          <w:spacing w:val="-2"/>
        </w:rPr>
        <w:t xml:space="preserve"> </w:t>
      </w:r>
      <w:r>
        <w:t>continues.</w:t>
      </w:r>
    </w:p>
    <w:p w14:paraId="4AB8E662" w14:textId="77777777" w:rsidR="00AC0F19" w:rsidRPr="00F2436F" w:rsidRDefault="00AC0F19" w:rsidP="00230FF7">
      <w:pPr>
        <w:spacing w:before="240"/>
      </w:pPr>
      <w:r w:rsidRPr="00F2436F">
        <w:lastRenderedPageBreak/>
        <w:t xml:space="preserve">The </w:t>
      </w:r>
      <w:r>
        <w:t>p</w:t>
      </w:r>
      <w:r w:rsidRPr="00F2436F">
        <w:t xml:space="preserve">anel suggests that the possibility of IOL be discussed with </w:t>
      </w:r>
      <w:r>
        <w:t>specific</w:t>
      </w:r>
      <w:r w:rsidRPr="00F2436F">
        <w:t xml:space="preserve"> wom</w:t>
      </w:r>
      <w:r>
        <w:t>e</w:t>
      </w:r>
      <w:r w:rsidRPr="00F2436F">
        <w:t>n and care be individualised based on clinical considerations (such as symptoms, gestational age at diagnosis and serum bile acid concentration) in consultation with an obstetrician.</w:t>
      </w:r>
    </w:p>
    <w:p w14:paraId="326B28E6" w14:textId="77777777" w:rsidR="00AC0F19" w:rsidRPr="00F2436F" w:rsidRDefault="00AC0F19" w:rsidP="00230FF7"/>
    <w:p w14:paraId="540CDD97" w14:textId="77777777" w:rsidR="00AC0F19" w:rsidRPr="00F2436F" w:rsidRDefault="00AC0F19" w:rsidP="00230FF7">
      <w:r w:rsidRPr="00F2436F">
        <w:t>There is currently insufficient high-quality evidence to make a clear recommendation about IOL for this condition.</w:t>
      </w:r>
    </w:p>
    <w:p w14:paraId="0C9DC220" w14:textId="77777777" w:rsidR="00AC0F19" w:rsidRDefault="00AC0F19" w:rsidP="00230FF7"/>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734EDEE" w14:textId="77777777" w:rsidTr="00230FF7">
        <w:trPr>
          <w:cantSplit/>
        </w:trPr>
        <w:tc>
          <w:tcPr>
            <w:tcW w:w="8080" w:type="dxa"/>
            <w:tcBorders>
              <w:top w:val="nil"/>
              <w:left w:val="nil"/>
              <w:bottom w:val="nil"/>
              <w:right w:val="nil"/>
            </w:tcBorders>
            <w:shd w:val="clear" w:color="auto" w:fill="D9D9D9" w:themeFill="background1" w:themeFillShade="D9"/>
          </w:tcPr>
          <w:p w14:paraId="1B2CF80E" w14:textId="77777777" w:rsidR="00D2284E" w:rsidRPr="008D53E4" w:rsidRDefault="00D2284E" w:rsidP="00230FF7">
            <w:pPr>
              <w:pStyle w:val="TableText"/>
            </w:pPr>
            <w:r w:rsidRPr="00806252">
              <w:rPr>
                <w:b/>
                <w:iCs/>
              </w:rPr>
              <w:t>Practice point</w:t>
            </w:r>
          </w:p>
        </w:tc>
      </w:tr>
      <w:tr w:rsidR="00D2284E" w14:paraId="5AEC0645" w14:textId="77777777" w:rsidTr="00230FF7">
        <w:trPr>
          <w:cantSplit/>
        </w:trPr>
        <w:tc>
          <w:tcPr>
            <w:tcW w:w="8080" w:type="dxa"/>
            <w:tcBorders>
              <w:top w:val="nil"/>
              <w:left w:val="nil"/>
              <w:bottom w:val="single" w:sz="4" w:space="0" w:color="A6A6A6" w:themeColor="background1" w:themeShade="A6"/>
              <w:right w:val="nil"/>
            </w:tcBorders>
          </w:tcPr>
          <w:p w14:paraId="349889D2" w14:textId="77777777" w:rsidR="00D2284E" w:rsidRDefault="00230FF7" w:rsidP="00230FF7">
            <w:pPr>
              <w:pStyle w:val="TableBullet"/>
            </w:pPr>
            <w:r w:rsidRPr="00F2436F">
              <w:t xml:space="preserve">For women with obstetric cholestasis, if symptomatic or if serum bile acid concentration </w:t>
            </w:r>
            <w:r>
              <w:t>≥</w:t>
            </w:r>
            <w:r w:rsidRPr="00F2436F">
              <w:t>100,</w:t>
            </w:r>
            <w:r>
              <w:t xml:space="preserve"> </w:t>
            </w:r>
            <w:r w:rsidRPr="00F2436F">
              <w:t xml:space="preserve">consider </w:t>
            </w:r>
            <w:r>
              <w:t>IOL</w:t>
            </w:r>
            <w:r w:rsidRPr="00F2436F">
              <w:t>; otherwise consider expectant management.</w:t>
            </w:r>
          </w:p>
        </w:tc>
      </w:tr>
    </w:tbl>
    <w:p w14:paraId="2BB95BC3"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4FBF99F" w14:textId="77777777" w:rsidTr="00230FF7">
        <w:trPr>
          <w:cantSplit/>
        </w:trPr>
        <w:tc>
          <w:tcPr>
            <w:tcW w:w="8080" w:type="dxa"/>
            <w:tcBorders>
              <w:top w:val="nil"/>
              <w:left w:val="nil"/>
              <w:bottom w:val="nil"/>
              <w:right w:val="nil"/>
            </w:tcBorders>
            <w:shd w:val="clear" w:color="auto" w:fill="D9D9D9" w:themeFill="background1" w:themeFillShade="D9"/>
          </w:tcPr>
          <w:p w14:paraId="01020164" w14:textId="77777777" w:rsidR="00D2284E" w:rsidRPr="008D53E4" w:rsidRDefault="00230FF7" w:rsidP="00230FF7">
            <w:pPr>
              <w:pStyle w:val="TableText"/>
              <w:rPr>
                <w:b/>
              </w:rPr>
            </w:pPr>
            <w:r>
              <w:rPr>
                <w:b/>
              </w:rPr>
              <w:t>Research gap</w:t>
            </w:r>
          </w:p>
        </w:tc>
      </w:tr>
      <w:tr w:rsidR="00D2284E" w14:paraId="6276D812" w14:textId="77777777" w:rsidTr="00230FF7">
        <w:trPr>
          <w:cantSplit/>
        </w:trPr>
        <w:tc>
          <w:tcPr>
            <w:tcW w:w="8080" w:type="dxa"/>
            <w:tcBorders>
              <w:top w:val="nil"/>
              <w:left w:val="nil"/>
              <w:bottom w:val="single" w:sz="4" w:space="0" w:color="A6A6A6" w:themeColor="background1" w:themeShade="A6"/>
              <w:right w:val="nil"/>
            </w:tcBorders>
          </w:tcPr>
          <w:p w14:paraId="11A42D9F" w14:textId="77777777" w:rsidR="00D2284E" w:rsidRDefault="00230FF7" w:rsidP="00230FF7">
            <w:pPr>
              <w:pStyle w:val="TableBullet"/>
            </w:pPr>
            <w:r>
              <w:t>In women with obstetric cholestasis, to further evaluate the effect of IOL compared with expectant management on maternal, perinatal and neonatal outcomes.</w:t>
            </w:r>
          </w:p>
        </w:tc>
      </w:tr>
    </w:tbl>
    <w:p w14:paraId="044C03EF" w14:textId="77777777" w:rsidR="00D2284E" w:rsidRDefault="00D2284E" w:rsidP="00230FF7"/>
    <w:p w14:paraId="733F8FAF" w14:textId="77777777" w:rsidR="00AC0F19" w:rsidRDefault="00AC0F19" w:rsidP="00230FF7">
      <w:pPr>
        <w:pStyle w:val="Heading2"/>
      </w:pPr>
      <w:bookmarkStart w:id="177" w:name="4.15_Previous_stillbirth"/>
      <w:bookmarkStart w:id="178" w:name="_bookmark85"/>
      <w:bookmarkStart w:id="179" w:name="_Toc75787994"/>
      <w:bookmarkEnd w:id="177"/>
      <w:bookmarkEnd w:id="178"/>
      <w:r w:rsidRPr="00F2436F">
        <w:t>Previous</w:t>
      </w:r>
      <w:r>
        <w:t xml:space="preserve"> stillbirth</w:t>
      </w:r>
      <w:bookmarkEnd w:id="179"/>
    </w:p>
    <w:p w14:paraId="68781EB0" w14:textId="77777777" w:rsidR="00AC0F19" w:rsidRDefault="00AC0F19" w:rsidP="00230FF7">
      <w:r>
        <w:t>In</w:t>
      </w:r>
      <w:r>
        <w:rPr>
          <w:spacing w:val="-12"/>
        </w:rPr>
        <w:t xml:space="preserve"> </w:t>
      </w:r>
      <w:r>
        <w:t>New Zealand,</w:t>
      </w:r>
      <w:r>
        <w:rPr>
          <w:spacing w:val="-13"/>
        </w:rPr>
        <w:t xml:space="preserve"> </w:t>
      </w:r>
      <w:r>
        <w:t>approximately</w:t>
      </w:r>
      <w:r>
        <w:rPr>
          <w:spacing w:val="-12"/>
        </w:rPr>
        <w:t xml:space="preserve"> </w:t>
      </w:r>
      <w:r>
        <w:t>1</w:t>
      </w:r>
      <w:r>
        <w:rPr>
          <w:spacing w:val="-14"/>
        </w:rPr>
        <w:t xml:space="preserve"> </w:t>
      </w:r>
      <w:r>
        <w:t>in</w:t>
      </w:r>
      <w:r>
        <w:rPr>
          <w:spacing w:val="-12"/>
        </w:rPr>
        <w:t xml:space="preserve"> </w:t>
      </w:r>
      <w:r>
        <w:t>500</w:t>
      </w:r>
      <w:r>
        <w:rPr>
          <w:spacing w:val="-13"/>
        </w:rPr>
        <w:t xml:space="preserve"> </w:t>
      </w:r>
      <w:r>
        <w:t>women</w:t>
      </w:r>
      <w:r>
        <w:rPr>
          <w:spacing w:val="-13"/>
        </w:rPr>
        <w:t xml:space="preserve"> </w:t>
      </w:r>
      <w:r>
        <w:t>will</w:t>
      </w:r>
      <w:r>
        <w:rPr>
          <w:spacing w:val="-13"/>
        </w:rPr>
        <w:t xml:space="preserve"> </w:t>
      </w:r>
      <w:r>
        <w:t>experience</w:t>
      </w:r>
      <w:r>
        <w:rPr>
          <w:spacing w:val="-14"/>
        </w:rPr>
        <w:t xml:space="preserve"> </w:t>
      </w:r>
      <w:r>
        <w:t>a</w:t>
      </w:r>
      <w:r>
        <w:rPr>
          <w:spacing w:val="-13"/>
        </w:rPr>
        <w:t xml:space="preserve"> </w:t>
      </w:r>
      <w:r>
        <w:t>late</w:t>
      </w:r>
      <w:r>
        <w:rPr>
          <w:spacing w:val="-14"/>
        </w:rPr>
        <w:t xml:space="preserve"> </w:t>
      </w:r>
      <w:r>
        <w:t>stillbirth</w:t>
      </w:r>
      <w:r>
        <w:rPr>
          <w:spacing w:val="-12"/>
        </w:rPr>
        <w:t xml:space="preserve"> </w:t>
      </w:r>
      <w:r>
        <w:t>(at</w:t>
      </w:r>
      <w:r>
        <w:rPr>
          <w:spacing w:val="-14"/>
        </w:rPr>
        <w:t xml:space="preserve"> </w:t>
      </w:r>
      <w:r w:rsidR="003A4BD4">
        <w:t>28 weeks</w:t>
      </w:r>
      <w:r w:rsidR="00B0606D">
        <w:t>’</w:t>
      </w:r>
      <w:r>
        <w:rPr>
          <w:spacing w:val="-12"/>
        </w:rPr>
        <w:t xml:space="preserve"> </w:t>
      </w:r>
      <w:r>
        <w:t xml:space="preserve">gestation or more), and about one-third of these are unexplained (McCowan </w:t>
      </w:r>
      <w:r w:rsidR="000F3C98">
        <w:t>et al</w:t>
      </w:r>
      <w:r>
        <w:t xml:space="preserve"> 2017; PMMRC 2018). The effect of a stillbirth on families can be devastating and long-term and can create anxiety in any future pregnancy. Preconceptual counselling and individualised antenatal care can assist in identifying and potentially modifying risk factors and may improve future pregnancy outcomes. The stillbirth rate in New Zealand in 2016 was 5.1/1,000 births (PMMRC</w:t>
      </w:r>
      <w:r>
        <w:rPr>
          <w:spacing w:val="-3"/>
        </w:rPr>
        <w:t xml:space="preserve"> </w:t>
      </w:r>
      <w:r>
        <w:t>2018).</w:t>
      </w:r>
    </w:p>
    <w:p w14:paraId="633E385A" w14:textId="77777777" w:rsidR="00AC0F19" w:rsidRDefault="00AC0F19" w:rsidP="00AC0F19"/>
    <w:p w14:paraId="6504BC8B" w14:textId="77777777" w:rsidR="00AC0F19" w:rsidRDefault="00AC0F19" w:rsidP="00F17C62">
      <w:pPr>
        <w:pStyle w:val="Heading3"/>
      </w:pPr>
      <w:bookmarkStart w:id="180" w:name="_bookmark86"/>
      <w:bookmarkEnd w:id="180"/>
      <w:r>
        <w:t>Summary of evidence</w:t>
      </w:r>
    </w:p>
    <w:p w14:paraId="01C21743" w14:textId="77777777" w:rsidR="00AC0F19" w:rsidRDefault="00AC0F19" w:rsidP="00F17C62">
      <w:r>
        <w:t xml:space="preserve">No </w:t>
      </w:r>
      <w:r w:rsidRPr="00F2436F">
        <w:t>studies</w:t>
      </w:r>
      <w:r>
        <w:t xml:space="preserve"> were identified on IOL in the setting of previous stillbirth.</w:t>
      </w:r>
    </w:p>
    <w:p w14:paraId="0E0314FF" w14:textId="77777777" w:rsidR="00AC0F19" w:rsidRDefault="00AC0F19" w:rsidP="00F17C62"/>
    <w:p w14:paraId="27494233" w14:textId="77777777" w:rsidR="00AC0F19" w:rsidRDefault="00AC0F19" w:rsidP="00F17C62">
      <w:pPr>
        <w:pStyle w:val="Heading3"/>
      </w:pPr>
      <w:bookmarkStart w:id="181" w:name="_bookmark87"/>
      <w:bookmarkEnd w:id="181"/>
      <w:r>
        <w:t>Discussion</w:t>
      </w:r>
    </w:p>
    <w:p w14:paraId="407D548D" w14:textId="77777777" w:rsidR="00AC0F19" w:rsidRPr="00F2436F" w:rsidRDefault="00AC0F19" w:rsidP="00F17C62">
      <w:r w:rsidRPr="00F2436F">
        <w:t xml:space="preserve">Large population-based studies have shown an increased risk of recurrent stillbirth in a subsequent pregnancy (Lamont </w:t>
      </w:r>
      <w:r w:rsidR="000F3C98">
        <w:t>et al</w:t>
      </w:r>
      <w:r>
        <w:t xml:space="preserve"> </w:t>
      </w:r>
      <w:r w:rsidRPr="00F2436F">
        <w:t xml:space="preserve">2015; </w:t>
      </w:r>
      <w:proofErr w:type="spellStart"/>
      <w:r w:rsidRPr="00F2436F">
        <w:t>Malacova</w:t>
      </w:r>
      <w:proofErr w:type="spellEnd"/>
      <w:r w:rsidRPr="00F2436F">
        <w:t xml:space="preserve"> </w:t>
      </w:r>
      <w:r w:rsidR="000F3C98">
        <w:t>et al</w:t>
      </w:r>
      <w:r>
        <w:t xml:space="preserve"> </w:t>
      </w:r>
      <w:r w:rsidRPr="00F2436F">
        <w:t xml:space="preserve">2018). These studies do not identify gestation at </w:t>
      </w:r>
      <w:r>
        <w:t xml:space="preserve">the </w:t>
      </w:r>
      <w:r w:rsidRPr="00F2436F">
        <w:t xml:space="preserve">first or </w:t>
      </w:r>
      <w:r>
        <w:t xml:space="preserve">any </w:t>
      </w:r>
      <w:r w:rsidRPr="00F2436F">
        <w:t>subsequent stillbirth</w:t>
      </w:r>
      <w:r>
        <w:t>s</w:t>
      </w:r>
      <w:r w:rsidRPr="00F2436F">
        <w:t xml:space="preserve"> and therefore cannot help with decision-making around timing of induction for a stillbirth. These studies are also limited by the lack of adjustment for other known risk factors for stillbirth. There is no high-quality evidence to confirm the benefits or risks of IOL or expectant management for women with previous stillbirth.</w:t>
      </w:r>
    </w:p>
    <w:p w14:paraId="23217DA4" w14:textId="77777777" w:rsidR="00AC0F19" w:rsidRPr="00F2436F" w:rsidRDefault="00AC0F19" w:rsidP="00F17C62"/>
    <w:p w14:paraId="56DDBCF1" w14:textId="77777777" w:rsidR="00AC0F19" w:rsidRPr="00F2436F" w:rsidRDefault="00AC0F19" w:rsidP="00F17C62">
      <w:pPr>
        <w:keepLines/>
      </w:pPr>
      <w:r w:rsidRPr="00F2436F">
        <w:lastRenderedPageBreak/>
        <w:t xml:space="preserve">The </w:t>
      </w:r>
      <w:r>
        <w:t>p</w:t>
      </w:r>
      <w:r w:rsidRPr="00F2436F">
        <w:t xml:space="preserve">anel acknowledges that many of the causes of stillbirth remain unknown and stillbirth is difficult to predict or prevent. The anxiety of women </w:t>
      </w:r>
      <w:r>
        <w:t>who have experienced</w:t>
      </w:r>
      <w:r w:rsidRPr="00F2436F">
        <w:t xml:space="preserve"> a previous stillbirth and the impact of th</w:t>
      </w:r>
      <w:r>
        <w:t>at</w:t>
      </w:r>
      <w:r w:rsidRPr="00F2436F">
        <w:t xml:space="preserve"> experience may affect decision-making in their current pregnancy. Women who have had a previous stillbirth may request IOL </w:t>
      </w:r>
      <w:r>
        <w:t>before</w:t>
      </w:r>
      <w:r w:rsidRPr="00F2436F">
        <w:t xml:space="preserve"> the gestational age of their previous stillborn baby. Clinicians are similarly aware of increased risk, especially if maternal risk factors are still present. Therefore, the </w:t>
      </w:r>
      <w:r>
        <w:t>p</w:t>
      </w:r>
      <w:r w:rsidRPr="00F2436F">
        <w:t xml:space="preserve">anel concluded there was a need to individualise the decision for IOL. The </w:t>
      </w:r>
      <w:r>
        <w:t>p</w:t>
      </w:r>
      <w:r w:rsidRPr="00F2436F">
        <w:t xml:space="preserve">anel noted a preference for waiting until </w:t>
      </w:r>
      <w:r w:rsidR="002E5969">
        <w:t>≥</w:t>
      </w:r>
      <w:r w:rsidR="00EB43A9">
        <w:t>39 weeks</w:t>
      </w:r>
      <w:r w:rsidR="00B0606D">
        <w:t>’</w:t>
      </w:r>
      <w:r w:rsidRPr="00F2436F">
        <w:t xml:space="preserve"> gestation if offering IOL because it is important not to trade off the potential uncommon risk of recurrent stillbirth with the potential common risks to the neonate of an early planned birth.</w:t>
      </w:r>
    </w:p>
    <w:p w14:paraId="13A64484" w14:textId="77777777" w:rsidR="00AC0F19" w:rsidRPr="00F2436F" w:rsidRDefault="00AC0F19" w:rsidP="00F17C62"/>
    <w:p w14:paraId="6C9F430F" w14:textId="77777777" w:rsidR="00AC0F19" w:rsidRPr="00F2436F" w:rsidRDefault="00AC0F19" w:rsidP="00F17C62">
      <w:r w:rsidRPr="00F2436F">
        <w:t>There is currently insufficient high-quality evidence to make a clear recommendation about IOL for this condition.</w:t>
      </w:r>
    </w:p>
    <w:p w14:paraId="34DC7EC0" w14:textId="77777777" w:rsidR="00AC0F19" w:rsidRDefault="00AC0F19" w:rsidP="00F17C62"/>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721B2DDF" w14:textId="77777777" w:rsidTr="00230FF7">
        <w:trPr>
          <w:cantSplit/>
        </w:trPr>
        <w:tc>
          <w:tcPr>
            <w:tcW w:w="8080" w:type="dxa"/>
            <w:tcBorders>
              <w:top w:val="nil"/>
              <w:left w:val="nil"/>
              <w:bottom w:val="nil"/>
              <w:right w:val="nil"/>
            </w:tcBorders>
            <w:shd w:val="clear" w:color="auto" w:fill="D9D9D9" w:themeFill="background1" w:themeFillShade="D9"/>
          </w:tcPr>
          <w:p w14:paraId="09F75F99" w14:textId="77777777" w:rsidR="00D2284E" w:rsidRPr="008D53E4" w:rsidRDefault="00D2284E" w:rsidP="00230FF7">
            <w:pPr>
              <w:pStyle w:val="TableText"/>
            </w:pPr>
            <w:r w:rsidRPr="00806252">
              <w:rPr>
                <w:b/>
                <w:iCs/>
              </w:rPr>
              <w:t>Practice point</w:t>
            </w:r>
          </w:p>
        </w:tc>
      </w:tr>
      <w:tr w:rsidR="00D2284E" w14:paraId="16FC1F68" w14:textId="77777777" w:rsidTr="00230FF7">
        <w:trPr>
          <w:cantSplit/>
        </w:trPr>
        <w:tc>
          <w:tcPr>
            <w:tcW w:w="8080" w:type="dxa"/>
            <w:tcBorders>
              <w:top w:val="nil"/>
              <w:left w:val="nil"/>
              <w:bottom w:val="single" w:sz="4" w:space="0" w:color="A6A6A6" w:themeColor="background1" w:themeShade="A6"/>
              <w:right w:val="nil"/>
            </w:tcBorders>
          </w:tcPr>
          <w:p w14:paraId="17BBB42F" w14:textId="77777777" w:rsidR="00D2284E" w:rsidRDefault="00F17C62" w:rsidP="00230FF7">
            <w:pPr>
              <w:pStyle w:val="TableBullet"/>
            </w:pPr>
            <w:r w:rsidRPr="00F2436F">
              <w:t>For women with previous stillbirth</w:t>
            </w:r>
            <w:r>
              <w:t>s</w:t>
            </w:r>
            <w:r w:rsidRPr="00F2436F">
              <w:t xml:space="preserve">, consider expectant management or </w:t>
            </w:r>
            <w:r>
              <w:t>IOL</w:t>
            </w:r>
            <w:r w:rsidRPr="00F2436F">
              <w:t>, based on a review of risk factors for recurrence and any other antenatal risk factors, and guided by</w:t>
            </w:r>
            <w:r>
              <w:t xml:space="preserve"> </w:t>
            </w:r>
            <w:r w:rsidRPr="00F2436F">
              <w:t>maternal choice.</w:t>
            </w:r>
          </w:p>
        </w:tc>
      </w:tr>
    </w:tbl>
    <w:p w14:paraId="614D9253"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FC9E7D6" w14:textId="77777777" w:rsidTr="00230FF7">
        <w:trPr>
          <w:cantSplit/>
        </w:trPr>
        <w:tc>
          <w:tcPr>
            <w:tcW w:w="8080" w:type="dxa"/>
            <w:tcBorders>
              <w:top w:val="nil"/>
              <w:left w:val="nil"/>
              <w:bottom w:val="nil"/>
              <w:right w:val="nil"/>
            </w:tcBorders>
            <w:shd w:val="clear" w:color="auto" w:fill="D9D9D9" w:themeFill="background1" w:themeFillShade="D9"/>
          </w:tcPr>
          <w:p w14:paraId="77F3672B" w14:textId="77777777" w:rsidR="00D2284E" w:rsidRPr="008D53E4" w:rsidRDefault="00F17C62" w:rsidP="00230FF7">
            <w:pPr>
              <w:pStyle w:val="TableText"/>
              <w:rPr>
                <w:b/>
              </w:rPr>
            </w:pPr>
            <w:r>
              <w:rPr>
                <w:b/>
              </w:rPr>
              <w:t>Research gap</w:t>
            </w:r>
          </w:p>
        </w:tc>
      </w:tr>
      <w:tr w:rsidR="00D2284E" w14:paraId="363C4336" w14:textId="77777777" w:rsidTr="00230FF7">
        <w:trPr>
          <w:cantSplit/>
        </w:trPr>
        <w:tc>
          <w:tcPr>
            <w:tcW w:w="8080" w:type="dxa"/>
            <w:tcBorders>
              <w:top w:val="nil"/>
              <w:left w:val="nil"/>
              <w:bottom w:val="single" w:sz="4" w:space="0" w:color="A6A6A6" w:themeColor="background1" w:themeShade="A6"/>
              <w:right w:val="nil"/>
            </w:tcBorders>
          </w:tcPr>
          <w:p w14:paraId="0FCFE977" w14:textId="77777777" w:rsidR="00D2284E" w:rsidRDefault="00F17C62" w:rsidP="00230FF7">
            <w:pPr>
              <w:pStyle w:val="TableBullet"/>
            </w:pPr>
            <w:r>
              <w:t>In women with previous stillbirth, to further evaluate the effect of IOL compared with expectant</w:t>
            </w:r>
            <w:r>
              <w:rPr>
                <w:spacing w:val="-25"/>
              </w:rPr>
              <w:t xml:space="preserve"> </w:t>
            </w:r>
            <w:r>
              <w:t>management on maternal, perinatal and neonatal outcomes, including women’s perspectives and</w:t>
            </w:r>
            <w:r>
              <w:rPr>
                <w:spacing w:val="-33"/>
              </w:rPr>
              <w:t xml:space="preserve"> </w:t>
            </w:r>
            <w:r>
              <w:t>experiences.</w:t>
            </w:r>
          </w:p>
        </w:tc>
      </w:tr>
    </w:tbl>
    <w:p w14:paraId="40EB454F" w14:textId="77777777" w:rsidR="00D2284E" w:rsidRDefault="00D2284E" w:rsidP="00F17C62"/>
    <w:p w14:paraId="1CCEC79C" w14:textId="77777777" w:rsidR="00AC0F19" w:rsidRDefault="00AC0F19" w:rsidP="00F17C62">
      <w:pPr>
        <w:pStyle w:val="Heading2"/>
      </w:pPr>
      <w:bookmarkStart w:id="182" w:name="4.16_No_medical_indication"/>
      <w:bookmarkStart w:id="183" w:name="_bookmark88"/>
      <w:bookmarkStart w:id="184" w:name="_Toc75787995"/>
      <w:bookmarkEnd w:id="182"/>
      <w:bookmarkEnd w:id="183"/>
      <w:r>
        <w:t>No medical</w:t>
      </w:r>
      <w:r>
        <w:rPr>
          <w:spacing w:val="-1"/>
        </w:rPr>
        <w:t xml:space="preserve"> </w:t>
      </w:r>
      <w:r w:rsidRPr="00F2436F">
        <w:t>indication</w:t>
      </w:r>
      <w:bookmarkEnd w:id="184"/>
    </w:p>
    <w:p w14:paraId="43CC7254" w14:textId="77777777" w:rsidR="00AC0F19" w:rsidRDefault="00AC0F19" w:rsidP="00F17C62">
      <w:r>
        <w:t>IOL</w:t>
      </w:r>
      <w:r>
        <w:rPr>
          <w:spacing w:val="-8"/>
        </w:rPr>
        <w:t xml:space="preserve"> </w:t>
      </w:r>
      <w:r>
        <w:t>is</w:t>
      </w:r>
      <w:r>
        <w:rPr>
          <w:spacing w:val="-12"/>
        </w:rPr>
        <w:t xml:space="preserve"> </w:t>
      </w:r>
      <w:r w:rsidRPr="00F2436F">
        <w:t>usually</w:t>
      </w:r>
      <w:r>
        <w:rPr>
          <w:spacing w:val="-9"/>
        </w:rPr>
        <w:t xml:space="preserve"> </w:t>
      </w:r>
      <w:r>
        <w:t>offered</w:t>
      </w:r>
      <w:r>
        <w:rPr>
          <w:spacing w:val="-14"/>
        </w:rPr>
        <w:t xml:space="preserve"> </w:t>
      </w:r>
      <w:r>
        <w:t>for</w:t>
      </w:r>
      <w:r>
        <w:rPr>
          <w:spacing w:val="-10"/>
        </w:rPr>
        <w:t xml:space="preserve"> </w:t>
      </w:r>
      <w:r>
        <w:t>medical</w:t>
      </w:r>
      <w:r>
        <w:rPr>
          <w:spacing w:val="-10"/>
        </w:rPr>
        <w:t xml:space="preserve"> </w:t>
      </w:r>
      <w:r>
        <w:t>reasons,</w:t>
      </w:r>
      <w:r>
        <w:rPr>
          <w:spacing w:val="-14"/>
        </w:rPr>
        <w:t xml:space="preserve"> </w:t>
      </w:r>
      <w:r>
        <w:t>however,</w:t>
      </w:r>
      <w:r>
        <w:rPr>
          <w:spacing w:val="-13"/>
        </w:rPr>
        <w:t xml:space="preserve"> </w:t>
      </w:r>
      <w:r>
        <w:t>sometimes</w:t>
      </w:r>
      <w:r>
        <w:rPr>
          <w:spacing w:val="-12"/>
        </w:rPr>
        <w:t xml:space="preserve"> </w:t>
      </w:r>
      <w:r>
        <w:t>women</w:t>
      </w:r>
      <w:r>
        <w:rPr>
          <w:spacing w:val="-9"/>
        </w:rPr>
        <w:t xml:space="preserve"> </w:t>
      </w:r>
      <w:r>
        <w:t>request (or are offered) induction without a medical indication.</w:t>
      </w:r>
    </w:p>
    <w:p w14:paraId="154AE55F" w14:textId="77777777" w:rsidR="00AC0F19" w:rsidRDefault="00AC0F19" w:rsidP="00F17C62"/>
    <w:p w14:paraId="754E33B7" w14:textId="77777777" w:rsidR="00AC0F19" w:rsidRDefault="00AC0F19" w:rsidP="00F17C62">
      <w:pPr>
        <w:pStyle w:val="Heading3"/>
      </w:pPr>
      <w:bookmarkStart w:id="185" w:name="_bookmark89"/>
      <w:bookmarkEnd w:id="185"/>
      <w:r>
        <w:t>Summary of evidence</w:t>
      </w:r>
    </w:p>
    <w:p w14:paraId="5422FB40" w14:textId="77777777" w:rsidR="00AC0F19" w:rsidRDefault="00AC0F19" w:rsidP="00F17C62">
      <w:r>
        <w:t>One RCT was identified.</w:t>
      </w:r>
    </w:p>
    <w:p w14:paraId="5D0DA52F" w14:textId="77777777" w:rsidR="00AC0F19" w:rsidRDefault="00AC0F19" w:rsidP="00F17C62"/>
    <w:p w14:paraId="6F86DB3B" w14:textId="77777777" w:rsidR="00AC0F19" w:rsidRDefault="00AC0F19" w:rsidP="00F17C62">
      <w:r>
        <w:t>The ARRIVE trial was an RCT that took place at 41 hospitals in the United States (</w:t>
      </w:r>
      <w:proofErr w:type="spellStart"/>
      <w:r>
        <w:t>Grobman</w:t>
      </w:r>
      <w:proofErr w:type="spellEnd"/>
      <w:r>
        <w:t xml:space="preserve"> </w:t>
      </w:r>
      <w:r w:rsidR="000F3C98">
        <w:t>et al</w:t>
      </w:r>
      <w:r>
        <w:t xml:space="preserve"> 2018). Women considered low risk in their first pregnancy (live singleton cephalic baby with no contraindication to vaginal birth and absence of any maternal or fetal condition that would warrant induction before 40+5 weeks</w:t>
      </w:r>
      <w:r w:rsidR="00B0606D">
        <w:t>’</w:t>
      </w:r>
      <w:r>
        <w:t xml:space="preserve"> gestation) were invited to participate after </w:t>
      </w:r>
      <w:r w:rsidR="003A4BD4">
        <w:t>34 weeks</w:t>
      </w:r>
      <w:r w:rsidR="00B0606D">
        <w:t>’</w:t>
      </w:r>
      <w:r>
        <w:t xml:space="preserve"> gestation. Participants were randomised to IOL at 39–39+4 weeks</w:t>
      </w:r>
      <w:r w:rsidR="00B0606D">
        <w:t>’</w:t>
      </w:r>
      <w:r>
        <w:t xml:space="preserve"> gestation or to expectant management (elective delivery after 40+5 weeks</w:t>
      </w:r>
      <w:r w:rsidR="00B0606D">
        <w:t>’</w:t>
      </w:r>
      <w:r>
        <w:t xml:space="preserve"> gestation but no later than 42+2). The primary outcome was a composite of perinatal death or severe neonatal complications (including need for respiratory support after birth, </w:t>
      </w:r>
      <w:r w:rsidR="00763E83">
        <w:t>5</w:t>
      </w:r>
      <w:r w:rsidR="00763E83">
        <w:noBreakHyphen/>
        <w:t>minute</w:t>
      </w:r>
      <w:r>
        <w:t xml:space="preserve"> Apgar ≤3, hypoxic-ischaemic encephalopathy, seizure, infection, meconium aspiration and birth trauma). The main secondary</w:t>
      </w:r>
      <w:r>
        <w:rPr>
          <w:spacing w:val="-8"/>
        </w:rPr>
        <w:t xml:space="preserve"> </w:t>
      </w:r>
      <w:r>
        <w:t>outcome</w:t>
      </w:r>
      <w:r>
        <w:rPr>
          <w:spacing w:val="-9"/>
        </w:rPr>
        <w:t xml:space="preserve"> </w:t>
      </w:r>
      <w:r>
        <w:t>was</w:t>
      </w:r>
      <w:r>
        <w:rPr>
          <w:spacing w:val="-6"/>
        </w:rPr>
        <w:t xml:space="preserve"> </w:t>
      </w:r>
      <w:r>
        <w:t>caesarean</w:t>
      </w:r>
      <w:r>
        <w:rPr>
          <w:spacing w:val="-8"/>
        </w:rPr>
        <w:t xml:space="preserve"> </w:t>
      </w:r>
      <w:r>
        <w:t>section.</w:t>
      </w:r>
      <w:r>
        <w:rPr>
          <w:spacing w:val="-8"/>
        </w:rPr>
        <w:t xml:space="preserve"> </w:t>
      </w:r>
      <w:r>
        <w:t>A</w:t>
      </w:r>
      <w:r>
        <w:rPr>
          <w:spacing w:val="-6"/>
        </w:rPr>
        <w:t xml:space="preserve"> </w:t>
      </w:r>
      <w:r>
        <w:t>two-tailed</w:t>
      </w:r>
      <w:r>
        <w:rPr>
          <w:spacing w:val="-8"/>
        </w:rPr>
        <w:t xml:space="preserve"> </w:t>
      </w:r>
      <w:r>
        <w:t>p</w:t>
      </w:r>
      <w:r>
        <w:rPr>
          <w:spacing w:val="-8"/>
        </w:rPr>
        <w:t xml:space="preserve"> </w:t>
      </w:r>
      <w:r>
        <w:t>value</w:t>
      </w:r>
      <w:r>
        <w:rPr>
          <w:spacing w:val="-9"/>
        </w:rPr>
        <w:t xml:space="preserve"> </w:t>
      </w:r>
      <w:r>
        <w:t>of</w:t>
      </w:r>
      <w:r>
        <w:rPr>
          <w:spacing w:val="-7"/>
        </w:rPr>
        <w:t xml:space="preserve"> </w:t>
      </w:r>
      <w:r>
        <w:t>less</w:t>
      </w:r>
      <w:r>
        <w:rPr>
          <w:spacing w:val="-6"/>
        </w:rPr>
        <w:t xml:space="preserve"> </w:t>
      </w:r>
      <w:r>
        <w:t>than</w:t>
      </w:r>
      <w:r>
        <w:rPr>
          <w:spacing w:val="-8"/>
        </w:rPr>
        <w:t xml:space="preserve"> </w:t>
      </w:r>
      <w:r>
        <w:t>0.046</w:t>
      </w:r>
      <w:r>
        <w:rPr>
          <w:spacing w:val="-8"/>
        </w:rPr>
        <w:t xml:space="preserve"> </w:t>
      </w:r>
      <w:r>
        <w:t>was</w:t>
      </w:r>
      <w:r>
        <w:rPr>
          <w:spacing w:val="-7"/>
        </w:rPr>
        <w:t xml:space="preserve"> </w:t>
      </w:r>
      <w:r>
        <w:t>deemed to be statistically significant for the primary</w:t>
      </w:r>
      <w:r>
        <w:rPr>
          <w:spacing w:val="-7"/>
        </w:rPr>
        <w:t xml:space="preserve"> </w:t>
      </w:r>
      <w:r>
        <w:t>outcome.</w:t>
      </w:r>
    </w:p>
    <w:p w14:paraId="23955A80" w14:textId="77777777" w:rsidR="00F17C62" w:rsidRDefault="00F17C62" w:rsidP="00F17C62"/>
    <w:p w14:paraId="33BDA1EA" w14:textId="77777777" w:rsidR="00B0606D" w:rsidRDefault="00AC0F19" w:rsidP="00F17C62">
      <w:r>
        <w:lastRenderedPageBreak/>
        <w:t>Of</w:t>
      </w:r>
      <w:r>
        <w:rPr>
          <w:spacing w:val="-8"/>
        </w:rPr>
        <w:t xml:space="preserve"> </w:t>
      </w:r>
      <w:r>
        <w:t>50</w:t>
      </w:r>
      <w:r>
        <w:rPr>
          <w:spacing w:val="-8"/>
        </w:rPr>
        <w:t>,</w:t>
      </w:r>
      <w:r>
        <w:t>581</w:t>
      </w:r>
      <w:r>
        <w:rPr>
          <w:spacing w:val="-12"/>
        </w:rPr>
        <w:t xml:space="preserve"> </w:t>
      </w:r>
      <w:r>
        <w:t>women</w:t>
      </w:r>
      <w:r>
        <w:rPr>
          <w:spacing w:val="-8"/>
        </w:rPr>
        <w:t xml:space="preserve"> </w:t>
      </w:r>
      <w:r>
        <w:t>screened for the trial,</w:t>
      </w:r>
      <w:r>
        <w:rPr>
          <w:spacing w:val="-7"/>
        </w:rPr>
        <w:t xml:space="preserve"> </w:t>
      </w:r>
      <w:r>
        <w:t>22</w:t>
      </w:r>
      <w:r>
        <w:rPr>
          <w:spacing w:val="-8"/>
        </w:rPr>
        <w:t>,</w:t>
      </w:r>
      <w:r>
        <w:t>533</w:t>
      </w:r>
      <w:r>
        <w:rPr>
          <w:spacing w:val="-7"/>
        </w:rPr>
        <w:t xml:space="preserve"> </w:t>
      </w:r>
      <w:r>
        <w:t>(44%)</w:t>
      </w:r>
      <w:r>
        <w:rPr>
          <w:spacing w:val="-7"/>
        </w:rPr>
        <w:t xml:space="preserve"> </w:t>
      </w:r>
      <w:r>
        <w:t>were</w:t>
      </w:r>
      <w:r>
        <w:rPr>
          <w:spacing w:val="-9"/>
        </w:rPr>
        <w:t xml:space="preserve"> </w:t>
      </w:r>
      <w:r>
        <w:t>eligible to take part in it,</w:t>
      </w:r>
      <w:r>
        <w:rPr>
          <w:spacing w:val="-8"/>
        </w:rPr>
        <w:t xml:space="preserve"> </w:t>
      </w:r>
      <w:r>
        <w:t>and</w:t>
      </w:r>
      <w:r>
        <w:rPr>
          <w:spacing w:val="-8"/>
        </w:rPr>
        <w:t xml:space="preserve"> </w:t>
      </w:r>
      <w:r>
        <w:t>6</w:t>
      </w:r>
      <w:r>
        <w:rPr>
          <w:spacing w:val="-7"/>
        </w:rPr>
        <w:t>,</w:t>
      </w:r>
      <w:r>
        <w:t>106</w:t>
      </w:r>
      <w:r>
        <w:rPr>
          <w:spacing w:val="-8"/>
        </w:rPr>
        <w:t xml:space="preserve"> </w:t>
      </w:r>
      <w:r>
        <w:t>(27%)</w:t>
      </w:r>
      <w:r>
        <w:rPr>
          <w:spacing w:val="-6"/>
        </w:rPr>
        <w:t xml:space="preserve"> </w:t>
      </w:r>
      <w:r>
        <w:t>agreed</w:t>
      </w:r>
      <w:r>
        <w:rPr>
          <w:spacing w:val="-8"/>
        </w:rPr>
        <w:t xml:space="preserve"> </w:t>
      </w:r>
      <w:r>
        <w:t>to</w:t>
      </w:r>
      <w:r>
        <w:rPr>
          <w:spacing w:val="-8"/>
        </w:rPr>
        <w:t xml:space="preserve"> </w:t>
      </w:r>
      <w:r>
        <w:t>participate. The trial required 6,000 women to have sufficient power to demonstrate that IOL was associated with a 40</w:t>
      </w:r>
      <w:r w:rsidR="006F7C71">
        <w:t>%</w:t>
      </w:r>
      <w:r>
        <w:t xml:space="preserve"> reduction in the primary adverse perinatal outcome, estimated to be 3.5</w:t>
      </w:r>
      <w:r w:rsidR="006F7C71">
        <w:t>%</w:t>
      </w:r>
      <w:r>
        <w:t xml:space="preserve"> for those managed expectantly (allowing for 7.5% cross-over, that is, not all women were expected to receive the plan allocated to them).</w:t>
      </w:r>
    </w:p>
    <w:p w14:paraId="0CF95771" w14:textId="77777777" w:rsidR="00AC0F19" w:rsidRDefault="00AC0F19" w:rsidP="00F17C62"/>
    <w:p w14:paraId="549C3DD3" w14:textId="77777777" w:rsidR="00AC0F19" w:rsidRDefault="00AC0F19" w:rsidP="00AC0F19">
      <w:r>
        <w:t>The primary perinatal outcome was lower in the IOL group (4.3%) compared with 5.4</w:t>
      </w:r>
      <w:r w:rsidR="006F7C71">
        <w:t>%</w:t>
      </w:r>
      <w:r>
        <w:t xml:space="preserve"> in the expectant management group, but this difference was not statistically significant (</w:t>
      </w:r>
      <w:r w:rsidR="00230FF7">
        <w:t>RR </w:t>
      </w:r>
      <w:r>
        <w:t>0.80, 95%CI 0.64–1.00; p = 0.049). Women undergoing</w:t>
      </w:r>
      <w:r>
        <w:rPr>
          <w:spacing w:val="-8"/>
        </w:rPr>
        <w:t xml:space="preserve"> </w:t>
      </w:r>
      <w:r>
        <w:t>IOL</w:t>
      </w:r>
      <w:r>
        <w:rPr>
          <w:spacing w:val="-8"/>
        </w:rPr>
        <w:t xml:space="preserve"> </w:t>
      </w:r>
      <w:r>
        <w:t>gave</w:t>
      </w:r>
      <w:r>
        <w:rPr>
          <w:spacing w:val="-8"/>
        </w:rPr>
        <w:t xml:space="preserve"> </w:t>
      </w:r>
      <w:r>
        <w:t>birth</w:t>
      </w:r>
      <w:r>
        <w:rPr>
          <w:spacing w:val="-7"/>
        </w:rPr>
        <w:t xml:space="preserve"> </w:t>
      </w:r>
      <w:r>
        <w:t>at</w:t>
      </w:r>
      <w:r>
        <w:rPr>
          <w:spacing w:val="-8"/>
        </w:rPr>
        <w:t xml:space="preserve"> </w:t>
      </w:r>
      <w:r>
        <w:t>an</w:t>
      </w:r>
      <w:r>
        <w:rPr>
          <w:spacing w:val="-2"/>
        </w:rPr>
        <w:t xml:space="preserve"> </w:t>
      </w:r>
      <w:r>
        <w:t>earlier</w:t>
      </w:r>
      <w:r>
        <w:rPr>
          <w:spacing w:val="-1"/>
        </w:rPr>
        <w:t xml:space="preserve"> </w:t>
      </w:r>
      <w:r>
        <w:t>median</w:t>
      </w:r>
      <w:r>
        <w:rPr>
          <w:spacing w:val="-7"/>
        </w:rPr>
        <w:t xml:space="preserve"> </w:t>
      </w:r>
      <w:r>
        <w:t>gestational</w:t>
      </w:r>
      <w:r>
        <w:rPr>
          <w:spacing w:val="-3"/>
        </w:rPr>
        <w:t xml:space="preserve"> </w:t>
      </w:r>
      <w:r>
        <w:t>age</w:t>
      </w:r>
      <w:r>
        <w:rPr>
          <w:spacing w:val="-9"/>
        </w:rPr>
        <w:t xml:space="preserve"> </w:t>
      </w:r>
      <w:r>
        <w:t>(39.3</w:t>
      </w:r>
      <w:r>
        <w:rPr>
          <w:spacing w:val="-2"/>
        </w:rPr>
        <w:t xml:space="preserve"> </w:t>
      </w:r>
      <w:r>
        <w:t>compared with</w:t>
      </w:r>
      <w:r>
        <w:rPr>
          <w:spacing w:val="-5"/>
        </w:rPr>
        <w:t xml:space="preserve"> </w:t>
      </w:r>
      <w:r>
        <w:t>40.0</w:t>
      </w:r>
      <w:r>
        <w:rPr>
          <w:spacing w:val="-7"/>
        </w:rPr>
        <w:t xml:space="preserve"> </w:t>
      </w:r>
      <w:r>
        <w:t>weeks</w:t>
      </w:r>
      <w:r w:rsidR="00B0606D">
        <w:t>’</w:t>
      </w:r>
      <w:r>
        <w:rPr>
          <w:spacing w:val="-7"/>
        </w:rPr>
        <w:t xml:space="preserve"> </w:t>
      </w:r>
      <w:r>
        <w:t xml:space="preserve">gestation; p </w:t>
      </w:r>
      <w:r w:rsidR="00436939">
        <w:t>&lt;</w:t>
      </w:r>
      <w:r>
        <w:t>0.001) with a lower median birthweight (3,300 g [interquartile range, 3,040–3,565] compared with</w:t>
      </w:r>
      <w:r>
        <w:rPr>
          <w:spacing w:val="-36"/>
        </w:rPr>
        <w:t xml:space="preserve"> </w:t>
      </w:r>
      <w:r>
        <w:t xml:space="preserve">3,380 g [interquartile range, 3,110–3,650]; p </w:t>
      </w:r>
      <w:r w:rsidR="00436939">
        <w:t>&lt;</w:t>
      </w:r>
      <w:r>
        <w:t>0.001). Women in the IOL groups were less likely to experience hypertensive disease, complications at caesarean section and pain. The rate of caesarean section was significantly lower in the IOL group (18.6%), compared with 22.2% in the expectant</w:t>
      </w:r>
      <w:r>
        <w:rPr>
          <w:spacing w:val="-13"/>
        </w:rPr>
        <w:t xml:space="preserve"> </w:t>
      </w:r>
      <w:r>
        <w:t>group</w:t>
      </w:r>
      <w:r>
        <w:rPr>
          <w:spacing w:val="-10"/>
        </w:rPr>
        <w:t xml:space="preserve"> </w:t>
      </w:r>
      <w:r>
        <w:t>(</w:t>
      </w:r>
      <w:r w:rsidR="00230FF7">
        <w:t>RR </w:t>
      </w:r>
      <w:r>
        <w:t>0.84;</w:t>
      </w:r>
      <w:r>
        <w:rPr>
          <w:spacing w:val="-12"/>
        </w:rPr>
        <w:t xml:space="preserve"> </w:t>
      </w:r>
      <w:r>
        <w:t>95%</w:t>
      </w:r>
      <w:r>
        <w:rPr>
          <w:spacing w:val="-11"/>
        </w:rPr>
        <w:t xml:space="preserve"> </w:t>
      </w:r>
      <w:r>
        <w:t>CI</w:t>
      </w:r>
      <w:r>
        <w:rPr>
          <w:spacing w:val="-6"/>
        </w:rPr>
        <w:t xml:space="preserve"> </w:t>
      </w:r>
      <w:r>
        <w:t>0.76</w:t>
      </w:r>
      <w:r>
        <w:rPr>
          <w:spacing w:val="-11"/>
        </w:rPr>
        <w:t>–</w:t>
      </w:r>
      <w:r>
        <w:t>0.93;</w:t>
      </w:r>
      <w:r>
        <w:rPr>
          <w:spacing w:val="-7"/>
        </w:rPr>
        <w:t xml:space="preserve"> </w:t>
      </w:r>
      <w:r>
        <w:t xml:space="preserve">p </w:t>
      </w:r>
      <w:r w:rsidR="00436939">
        <w:t>&lt;</w:t>
      </w:r>
      <w:r>
        <w:t>0.001).</w:t>
      </w:r>
      <w:r>
        <w:rPr>
          <w:spacing w:val="-11"/>
        </w:rPr>
        <w:t xml:space="preserve"> </w:t>
      </w:r>
      <w:r>
        <w:t>About</w:t>
      </w:r>
      <w:r>
        <w:rPr>
          <w:spacing w:val="-12"/>
        </w:rPr>
        <w:t xml:space="preserve"> </w:t>
      </w:r>
      <w:r>
        <w:t>28</w:t>
      </w:r>
      <w:r>
        <w:rPr>
          <w:spacing w:val="-12"/>
        </w:rPr>
        <w:t xml:space="preserve"> </w:t>
      </w:r>
      <w:r>
        <w:t>women</w:t>
      </w:r>
      <w:r>
        <w:rPr>
          <w:spacing w:val="-11"/>
        </w:rPr>
        <w:t xml:space="preserve"> </w:t>
      </w:r>
      <w:r>
        <w:t>would</w:t>
      </w:r>
      <w:r>
        <w:rPr>
          <w:spacing w:val="-11"/>
        </w:rPr>
        <w:t xml:space="preserve"> </w:t>
      </w:r>
      <w:r>
        <w:t>need</w:t>
      </w:r>
      <w:r>
        <w:rPr>
          <w:spacing w:val="-7"/>
        </w:rPr>
        <w:t xml:space="preserve"> </w:t>
      </w:r>
      <w:r>
        <w:t>to</w:t>
      </w:r>
      <w:r>
        <w:rPr>
          <w:spacing w:val="-11"/>
        </w:rPr>
        <w:t xml:space="preserve"> </w:t>
      </w:r>
      <w:r>
        <w:t xml:space="preserve">have an IOL to prevent one caesarean section. The trial did not report </w:t>
      </w:r>
      <w:r>
        <w:rPr>
          <w:spacing w:val="2"/>
        </w:rPr>
        <w:t xml:space="preserve">on </w:t>
      </w:r>
      <w:r>
        <w:t>maternal</w:t>
      </w:r>
      <w:r>
        <w:rPr>
          <w:spacing w:val="-21"/>
        </w:rPr>
        <w:t xml:space="preserve"> </w:t>
      </w:r>
      <w:r>
        <w:t>satisfaction.</w:t>
      </w:r>
    </w:p>
    <w:p w14:paraId="08FCB534" w14:textId="77777777" w:rsidR="00AC0F19" w:rsidRDefault="00AC0F19" w:rsidP="00F17C62"/>
    <w:p w14:paraId="61C02E6E" w14:textId="77777777" w:rsidR="00AC0F19" w:rsidRDefault="00AC0F19" w:rsidP="00F17C62">
      <w:pPr>
        <w:pStyle w:val="Heading3"/>
      </w:pPr>
      <w:bookmarkStart w:id="186" w:name="_bookmark90"/>
      <w:bookmarkEnd w:id="186"/>
      <w:r>
        <w:t>Discussion</w:t>
      </w:r>
    </w:p>
    <w:p w14:paraId="24C2280D" w14:textId="77777777" w:rsidR="00AC0F19" w:rsidRDefault="00AC0F19" w:rsidP="00F17C62">
      <w:r>
        <w:t xml:space="preserve">Limitations of the </w:t>
      </w:r>
      <w:proofErr w:type="spellStart"/>
      <w:r>
        <w:t>Grobman</w:t>
      </w:r>
      <w:proofErr w:type="spellEnd"/>
      <w:r>
        <w:t xml:space="preserve"> </w:t>
      </w:r>
      <w:r w:rsidR="000F3C98">
        <w:t>et al</w:t>
      </w:r>
      <w:r>
        <w:t xml:space="preserve"> trial were identified as:</w:t>
      </w:r>
    </w:p>
    <w:p w14:paraId="47873863" w14:textId="77777777" w:rsidR="00AC0F19" w:rsidRDefault="00AC0F19" w:rsidP="00F17C62">
      <w:pPr>
        <w:pStyle w:val="Bullet"/>
      </w:pPr>
      <w:r>
        <w:t>It does not reflect current New Zealand maternity practices because of the mostly obstetrician-led care (with only 6% midwifery led); there was a different ethnic mix in the trial population; different IOL methods were</w:t>
      </w:r>
      <w:r>
        <w:rPr>
          <w:spacing w:val="-5"/>
        </w:rPr>
        <w:t xml:space="preserve"> </w:t>
      </w:r>
      <w:r>
        <w:t>used.</w:t>
      </w:r>
    </w:p>
    <w:p w14:paraId="298B1A9D" w14:textId="77777777" w:rsidR="00AC0F19" w:rsidRDefault="00AC0F19" w:rsidP="00F17C62">
      <w:pPr>
        <w:pStyle w:val="Bullet"/>
      </w:pPr>
      <w:r>
        <w:t>There were no long-term data on the neurodevelopmental or metabolic outcomes for the</w:t>
      </w:r>
      <w:r>
        <w:rPr>
          <w:spacing w:val="-12"/>
        </w:rPr>
        <w:t xml:space="preserve"> </w:t>
      </w:r>
      <w:r>
        <w:t>babies.</w:t>
      </w:r>
    </w:p>
    <w:p w14:paraId="5888BB0C" w14:textId="77777777" w:rsidR="00AC0F19" w:rsidRDefault="00AC0F19" w:rsidP="00F17C62"/>
    <w:p w14:paraId="107C962D" w14:textId="77777777" w:rsidR="00AC0F19" w:rsidRPr="00F2436F" w:rsidRDefault="00AC0F19" w:rsidP="00CE4BBB">
      <w:r w:rsidRPr="00F2436F">
        <w:t xml:space="preserve">The </w:t>
      </w:r>
      <w:r>
        <w:t>p</w:t>
      </w:r>
      <w:r w:rsidRPr="00F2436F">
        <w:t xml:space="preserve">anel considered that IOL is not justified, due to limitations of current RCT evidence in relation to the </w:t>
      </w:r>
      <w:r>
        <w:t>New Zealand</w:t>
      </w:r>
      <w:r w:rsidRPr="00F2436F">
        <w:t xml:space="preserve"> context. Consider women</w:t>
      </w:r>
      <w:r w:rsidR="00B0606D">
        <w:t>’</w:t>
      </w:r>
      <w:r w:rsidRPr="00F2436F">
        <w:t xml:space="preserve">s preferences, available resources and setting for IOL. </w:t>
      </w:r>
      <w:r>
        <w:t xml:space="preserve">However, the </w:t>
      </w:r>
      <w:r w:rsidRPr="00F2436F">
        <w:t xml:space="preserve">trial does suggest that a policy of avoiding IOL at </w:t>
      </w:r>
      <w:r w:rsidR="00EB43A9">
        <w:t>39 weeks</w:t>
      </w:r>
      <w:r w:rsidR="00B0606D">
        <w:t>’</w:t>
      </w:r>
      <w:r w:rsidRPr="00F2436F">
        <w:t xml:space="preserve"> gestation to reduce caesarean section rates is not valid.</w:t>
      </w:r>
    </w:p>
    <w:p w14:paraId="1699F585" w14:textId="77777777" w:rsidR="00AC0F19" w:rsidRPr="00F2436F" w:rsidRDefault="00AC0F19" w:rsidP="00CE4BBB"/>
    <w:p w14:paraId="2B6CB97F" w14:textId="77777777" w:rsidR="00B0606D" w:rsidRDefault="00AC0F19" w:rsidP="00CE4BBB">
      <w:r w:rsidRPr="00F2436F">
        <w:t xml:space="preserve">There is a difference between caesarean rates seen in RCTs and those within the </w:t>
      </w:r>
      <w:r>
        <w:t>New Zealand</w:t>
      </w:r>
      <w:r w:rsidRPr="00F2436F">
        <w:t xml:space="preserve"> context</w:t>
      </w:r>
      <w:r>
        <w:t>,</w:t>
      </w:r>
      <w:r w:rsidRPr="00F2436F">
        <w:t xml:space="preserve"> but the data are not comparable due to confounders. If possible, local data could be provided to women on local rate</w:t>
      </w:r>
      <w:r>
        <w:t>s</w:t>
      </w:r>
      <w:r w:rsidRPr="00F2436F">
        <w:t xml:space="preserve"> of caesarean following IOL.</w:t>
      </w:r>
    </w:p>
    <w:p w14:paraId="0515103C" w14:textId="77777777" w:rsidR="00AC0F19" w:rsidRDefault="00AC0F19" w:rsidP="00CE4BBB"/>
    <w:p w14:paraId="141C9222" w14:textId="77777777" w:rsidR="00AC0F19" w:rsidRPr="00F2436F" w:rsidRDefault="00AC0F19" w:rsidP="00CE4BBB">
      <w:r w:rsidRPr="00F2436F">
        <w:t xml:space="preserve">The </w:t>
      </w:r>
      <w:r>
        <w:t>p</w:t>
      </w:r>
      <w:r w:rsidRPr="00F2436F">
        <w:t xml:space="preserve">anel identified the need to ensure that information is shared with women, midwives and obstetricians, while acknowledging other factors (for example, social) that may contribute to some women requesting elective IOL at </w:t>
      </w:r>
      <w:r w:rsidR="00EB43A9">
        <w:t>39 weeks</w:t>
      </w:r>
      <w:r w:rsidRPr="00F2436F">
        <w:t>.</w:t>
      </w:r>
    </w:p>
    <w:p w14:paraId="271EEF01" w14:textId="77777777" w:rsidR="00AC0F19" w:rsidRPr="00F2436F" w:rsidRDefault="00AC0F19" w:rsidP="00CE4BBB"/>
    <w:p w14:paraId="68C3CC3B" w14:textId="77777777" w:rsidR="00AC0F19" w:rsidRPr="00F2436F" w:rsidRDefault="00AC0F19" w:rsidP="00C90D40">
      <w:pPr>
        <w:keepNext/>
      </w:pPr>
      <w:r w:rsidRPr="00F2436F">
        <w:t xml:space="preserve">The </w:t>
      </w:r>
      <w:r>
        <w:t>p</w:t>
      </w:r>
      <w:r w:rsidRPr="00F2436F">
        <w:t xml:space="preserve">anel discussed whether to add a further comment around what to do if a woman requested IOL at </w:t>
      </w:r>
      <w:r w:rsidR="00EB43A9">
        <w:t>39 weeks</w:t>
      </w:r>
      <w:r w:rsidR="00B0606D">
        <w:t>’</w:t>
      </w:r>
      <w:r w:rsidRPr="00F2436F">
        <w:t xml:space="preserve"> gestation for no medical indication. It was considered this could lead to potential equity and access issues. Labour and birth </w:t>
      </w:r>
      <w:r>
        <w:t>are</w:t>
      </w:r>
      <w:r w:rsidRPr="00F2436F">
        <w:t xml:space="preserve"> not only about the potential adverse outcomes but also about an important physiologic experience; where pregnancy is normal and the woman and baby are well, there needs to be a very </w:t>
      </w:r>
      <w:r w:rsidRPr="00F2436F">
        <w:lastRenderedPageBreak/>
        <w:t>good reason to intervene. However, it was agreed that this should be managed on a case-by-case basis.</w:t>
      </w:r>
    </w:p>
    <w:p w14:paraId="3A7EEF97" w14:textId="77777777" w:rsidR="00AC0F19" w:rsidRDefault="00AC0F19" w:rsidP="00CE4BBB"/>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3023D8C3" w14:textId="77777777" w:rsidTr="00230FF7">
        <w:trPr>
          <w:cantSplit/>
        </w:trPr>
        <w:tc>
          <w:tcPr>
            <w:tcW w:w="8080" w:type="dxa"/>
            <w:tcBorders>
              <w:top w:val="nil"/>
              <w:left w:val="nil"/>
              <w:bottom w:val="nil"/>
              <w:right w:val="nil"/>
            </w:tcBorders>
            <w:shd w:val="clear" w:color="auto" w:fill="D9D9D9" w:themeFill="background1" w:themeFillShade="D9"/>
          </w:tcPr>
          <w:p w14:paraId="32BA4CDF" w14:textId="77777777" w:rsidR="00D2284E" w:rsidRPr="008D53E4" w:rsidRDefault="00D2284E" w:rsidP="00230FF7">
            <w:pPr>
              <w:pStyle w:val="TableText"/>
            </w:pPr>
            <w:r w:rsidRPr="00806252">
              <w:rPr>
                <w:b/>
                <w:iCs/>
              </w:rPr>
              <w:t>Practice point</w:t>
            </w:r>
            <w:r w:rsidR="00CE4BBB">
              <w:rPr>
                <w:b/>
                <w:iCs/>
              </w:rPr>
              <w:t>s</w:t>
            </w:r>
          </w:p>
        </w:tc>
      </w:tr>
      <w:tr w:rsidR="00CE4BBB" w14:paraId="760719F5" w14:textId="77777777" w:rsidTr="00230FF7">
        <w:trPr>
          <w:cantSplit/>
        </w:trPr>
        <w:tc>
          <w:tcPr>
            <w:tcW w:w="8080" w:type="dxa"/>
            <w:tcBorders>
              <w:top w:val="nil"/>
              <w:left w:val="nil"/>
              <w:bottom w:val="single" w:sz="4" w:space="0" w:color="A6A6A6" w:themeColor="background1" w:themeShade="A6"/>
              <w:right w:val="nil"/>
            </w:tcBorders>
          </w:tcPr>
          <w:p w14:paraId="6A3F6AD5" w14:textId="77777777" w:rsidR="00CE4BBB" w:rsidRPr="00F2436F" w:rsidRDefault="00CE4BBB" w:rsidP="00723A20">
            <w:pPr>
              <w:pStyle w:val="TableBullet"/>
            </w:pPr>
            <w:r w:rsidRPr="00F2436F">
              <w:t xml:space="preserve">Do not offer </w:t>
            </w:r>
            <w:r>
              <w:t>IOL</w:t>
            </w:r>
            <w:r w:rsidRPr="00F2436F">
              <w:t xml:space="preserve"> in the absence of a medical indication.</w:t>
            </w:r>
          </w:p>
          <w:p w14:paraId="1DF25DD9" w14:textId="77777777" w:rsidR="00CE4BBB" w:rsidRPr="00F2436F" w:rsidRDefault="00CE4BBB" w:rsidP="00723A20">
            <w:pPr>
              <w:pStyle w:val="TableBullet"/>
            </w:pPr>
            <w:r>
              <w:t>Manage</w:t>
            </w:r>
            <w:r w:rsidRPr="00F2436F">
              <w:t xml:space="preserve"> maternal request</w:t>
            </w:r>
            <w:r>
              <w:t>s for IOL on a case-by-case basis</w:t>
            </w:r>
            <w:r w:rsidRPr="00F2436F">
              <w:t>.</w:t>
            </w:r>
          </w:p>
        </w:tc>
      </w:tr>
    </w:tbl>
    <w:p w14:paraId="097BBAD4"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288ECBA" w14:textId="77777777" w:rsidTr="00230FF7">
        <w:trPr>
          <w:cantSplit/>
        </w:trPr>
        <w:tc>
          <w:tcPr>
            <w:tcW w:w="8080" w:type="dxa"/>
            <w:tcBorders>
              <w:top w:val="nil"/>
              <w:left w:val="nil"/>
              <w:bottom w:val="nil"/>
              <w:right w:val="nil"/>
            </w:tcBorders>
            <w:shd w:val="clear" w:color="auto" w:fill="D9D9D9" w:themeFill="background1" w:themeFillShade="D9"/>
          </w:tcPr>
          <w:p w14:paraId="6ABAFD01" w14:textId="77777777" w:rsidR="00D2284E" w:rsidRPr="008D53E4" w:rsidRDefault="00D2284E" w:rsidP="00230FF7">
            <w:pPr>
              <w:pStyle w:val="TableText"/>
              <w:rPr>
                <w:b/>
              </w:rPr>
            </w:pPr>
            <w:r w:rsidRPr="008D53E4">
              <w:rPr>
                <w:b/>
              </w:rPr>
              <w:t>Research gaps</w:t>
            </w:r>
          </w:p>
        </w:tc>
      </w:tr>
      <w:tr w:rsidR="00CE4BBB" w14:paraId="3FF6287E" w14:textId="77777777" w:rsidTr="00230FF7">
        <w:trPr>
          <w:cantSplit/>
        </w:trPr>
        <w:tc>
          <w:tcPr>
            <w:tcW w:w="8080" w:type="dxa"/>
            <w:tcBorders>
              <w:top w:val="nil"/>
              <w:left w:val="nil"/>
              <w:bottom w:val="single" w:sz="4" w:space="0" w:color="A6A6A6" w:themeColor="background1" w:themeShade="A6"/>
              <w:right w:val="nil"/>
            </w:tcBorders>
          </w:tcPr>
          <w:p w14:paraId="79EE5B7B" w14:textId="77777777" w:rsidR="00CE4BBB" w:rsidRDefault="00CE4BBB" w:rsidP="00723A20">
            <w:pPr>
              <w:pStyle w:val="TableBullet"/>
            </w:pPr>
            <w:r>
              <w:t>For women who have IOL at 39 weeks’ gestation for no medical indication, to evaluate long-term outcomes for babies and maternal anxiety in next pregnancy and birth and likelihood of subsequent IOL.</w:t>
            </w:r>
          </w:p>
          <w:p w14:paraId="48387B90" w14:textId="77777777" w:rsidR="00CE4BBB" w:rsidRDefault="00CE4BBB" w:rsidP="00723A20">
            <w:pPr>
              <w:pStyle w:val="TableBullet"/>
            </w:pPr>
            <w:r>
              <w:t>For women with uncomplicated pregnancies, to further evaluate IOL at 39 weeks compared with expectant management on maternal, perinatal and neonatal outcomes, in the New Zealand context.</w:t>
            </w:r>
          </w:p>
          <w:p w14:paraId="39E92325" w14:textId="77777777" w:rsidR="00CE4BBB" w:rsidRDefault="00CE4BBB" w:rsidP="00723A20">
            <w:pPr>
              <w:pStyle w:val="TableBullet"/>
            </w:pPr>
            <w:r>
              <w:t>To explore the ethics of offering IOL for non-medical indication or for maternal request.</w:t>
            </w:r>
          </w:p>
        </w:tc>
      </w:tr>
    </w:tbl>
    <w:p w14:paraId="617C52BF" w14:textId="77777777" w:rsidR="00AC0F19" w:rsidRDefault="00AC0F19" w:rsidP="00CE4BBB"/>
    <w:p w14:paraId="797F5594" w14:textId="77777777" w:rsidR="00AC0F19" w:rsidRDefault="00AC0F19" w:rsidP="00AC6551">
      <w:pPr>
        <w:pStyle w:val="Heading1"/>
      </w:pPr>
      <w:bookmarkStart w:id="187" w:name="Chapter_5_-_Methods_of_cervical_ripening"/>
      <w:bookmarkStart w:id="188" w:name="_bookmark91"/>
      <w:bookmarkStart w:id="189" w:name="_Toc75787996"/>
      <w:bookmarkEnd w:id="187"/>
      <w:bookmarkEnd w:id="188"/>
      <w:r>
        <w:lastRenderedPageBreak/>
        <w:t>:</w:t>
      </w:r>
      <w:r w:rsidR="00AC6551">
        <w:t xml:space="preserve"> </w:t>
      </w:r>
      <w:r>
        <w:t>Methods of cervical ripening</w:t>
      </w:r>
      <w:bookmarkEnd w:id="189"/>
    </w:p>
    <w:p w14:paraId="25031A0F" w14:textId="77777777" w:rsidR="00AC0F19" w:rsidRDefault="00AC0F19" w:rsidP="00CE4BBB">
      <w:pPr>
        <w:pStyle w:val="Heading2"/>
      </w:pPr>
      <w:bookmarkStart w:id="190" w:name="_bookmark92"/>
      <w:bookmarkStart w:id="191" w:name="_Toc75787997"/>
      <w:bookmarkEnd w:id="190"/>
      <w:r w:rsidRPr="007D649C">
        <w:t>Introduction</w:t>
      </w:r>
      <w:bookmarkEnd w:id="191"/>
    </w:p>
    <w:p w14:paraId="030B7EB4" w14:textId="77777777" w:rsidR="00AC0F19" w:rsidRPr="00CE0499" w:rsidRDefault="00AC0F19" w:rsidP="00CE4BBB">
      <w:r w:rsidRPr="00CE0499">
        <w:t xml:space="preserve">When a woman has an IOL, the status, or favourability, of her cervix affects both the likely duration of the induction and the chances of achieving a vaginal birth. Unfortunately, there is no absolute consensus on how to define cervical favourability. Many clinicians use a Bishop score to assess cervical favourability, calculated on a cervical examination completed at the time of induction initiation. </w:t>
      </w:r>
      <w:r>
        <w:t>Regrettably</w:t>
      </w:r>
      <w:r w:rsidRPr="00CE0499">
        <w:t xml:space="preserve">, the Bishop score </w:t>
      </w:r>
      <w:r>
        <w:t>has</w:t>
      </w:r>
      <w:r w:rsidRPr="00CE0499">
        <w:t xml:space="preserve"> limited</w:t>
      </w:r>
      <w:r w:rsidRPr="00196DA1">
        <w:t xml:space="preserve"> </w:t>
      </w:r>
      <w:r w:rsidRPr="00CE0499">
        <w:t>predictability. However, no other method of cervical assessment has proven to be more useful. It is clear that higher Bishop scores are positively associated with achieving vaginal birth. A woman who has an induction with a Bishop score of nine or higher has a similar chance of achieving vaginal birth as a woman who has spontaneous labour.</w:t>
      </w:r>
    </w:p>
    <w:p w14:paraId="6B087D47" w14:textId="77777777" w:rsidR="00AC0F19" w:rsidRPr="00CE0499" w:rsidRDefault="00AC0F19" w:rsidP="00CE4BBB"/>
    <w:p w14:paraId="3FBB0E59" w14:textId="77777777" w:rsidR="00AC0F19" w:rsidRDefault="00AC0F19" w:rsidP="00CE4BBB">
      <w:r w:rsidRPr="00CE0499">
        <w:t>Many clinicians define a favourable cervix as one with a Bishop score of six or greater. If a cervix is judged to be favourable</w:t>
      </w:r>
      <w:r>
        <w:t>,</w:t>
      </w:r>
      <w:r w:rsidRPr="00CE0499">
        <w:t xml:space="preserve"> then ARM and/or oxytocin can be initiated without cervical ripening. However, cervical ripening with PGs probably improves the chance of vaginal birth within </w:t>
      </w:r>
      <w:r w:rsidR="00EB43A9">
        <w:t>24 hours</w:t>
      </w:r>
      <w:r w:rsidRPr="00CE0499">
        <w:t xml:space="preserve"> for women with unfavourable cervix over oxytocin alone (</w:t>
      </w:r>
      <w:proofErr w:type="spellStart"/>
      <w:r w:rsidRPr="00CE0499">
        <w:t>Alfirevic</w:t>
      </w:r>
      <w:proofErr w:type="spellEnd"/>
      <w:r w:rsidRPr="00CE0499">
        <w:t xml:space="preserve"> </w:t>
      </w:r>
      <w:r w:rsidR="000F3C98">
        <w:t>et al</w:t>
      </w:r>
      <w:r>
        <w:t xml:space="preserve"> </w:t>
      </w:r>
      <w:r w:rsidRPr="00CE0499">
        <w:t>2009).</w:t>
      </w:r>
    </w:p>
    <w:p w14:paraId="062238FD" w14:textId="77777777" w:rsidR="00AC0F19" w:rsidRPr="00CE0499" w:rsidRDefault="00AC0F19" w:rsidP="00CE4BBB"/>
    <w:p w14:paraId="69F0EE6A" w14:textId="77777777" w:rsidR="00AC0F19" w:rsidRDefault="00AC0F19" w:rsidP="00CE4BBB">
      <w:r w:rsidRPr="00CE0499">
        <w:t xml:space="preserve">Consequently, women with an unfavourable cervix should be offered cervical ripening to increase their Bishop score and hopefully improve their chances of a successful induction. This is current practice in </w:t>
      </w:r>
      <w:r>
        <w:t>New Zealand</w:t>
      </w:r>
      <w:r w:rsidRPr="00CE0499">
        <w:t xml:space="preserve">, hence trials comparing cervical ripening to placebo are not reviewed in this </w:t>
      </w:r>
      <w:r>
        <w:t>guideline</w:t>
      </w:r>
      <w:r w:rsidRPr="00CE0499">
        <w:t>. IOL in the setting of previous caesarean section is reviewed.</w:t>
      </w:r>
    </w:p>
    <w:p w14:paraId="5AF754AA" w14:textId="77777777" w:rsidR="00AC0F19" w:rsidRPr="00CE0499" w:rsidRDefault="00AC0F19" w:rsidP="00CE4BBB"/>
    <w:p w14:paraId="5D77D6C5" w14:textId="77777777" w:rsidR="00AC0F19" w:rsidRPr="00CE0499" w:rsidRDefault="00AC0F19" w:rsidP="00CE4BBB">
      <w:r w:rsidRPr="00CE0499">
        <w:t xml:space="preserve">Systematic reviews comparing all methods </w:t>
      </w:r>
      <w:r>
        <w:t xml:space="preserve">of cervical ripening and IOL </w:t>
      </w:r>
      <w:r w:rsidRPr="00CE0499">
        <w:t>are summari</w:t>
      </w:r>
      <w:r>
        <w:t>s</w:t>
      </w:r>
      <w:r w:rsidRPr="00CE0499">
        <w:t xml:space="preserve">ed in </w:t>
      </w:r>
      <w:r w:rsidRPr="00C90D40">
        <w:t>Appendix D.</w:t>
      </w:r>
    </w:p>
    <w:p w14:paraId="59773BAD" w14:textId="77777777" w:rsidR="00AC0F19" w:rsidRPr="00CE0499" w:rsidRDefault="00AC0F19" w:rsidP="00CE4BBB"/>
    <w:p w14:paraId="4E393C34" w14:textId="77777777" w:rsidR="00AC0F19" w:rsidRPr="00CE0499" w:rsidRDefault="00AC0F19" w:rsidP="00CE4BBB">
      <w:r w:rsidRPr="00CE0499">
        <w:t xml:space="preserve">In addition, some clinicians perform membrane sweeping at the same time as performing a formal </w:t>
      </w:r>
      <w:r>
        <w:t>IOL</w:t>
      </w:r>
      <w:r w:rsidRPr="00CE0499">
        <w:t xml:space="preserve">. This is supported by several RCTs showing that concurrent membrane sweeping increases the rate of vaginal birth, shortens the induction to birth interval and reduces the exposure of mothers and babies to oxytocin (Liu </w:t>
      </w:r>
      <w:r w:rsidR="000F3C98">
        <w:t>et al</w:t>
      </w:r>
      <w:r>
        <w:t xml:space="preserve"> </w:t>
      </w:r>
      <w:r w:rsidRPr="00CE0499">
        <w:t>201</w:t>
      </w:r>
      <w:r>
        <w:t>8</w:t>
      </w:r>
      <w:r w:rsidRPr="00CE0499">
        <w:t>).</w:t>
      </w:r>
    </w:p>
    <w:p w14:paraId="04C7875D" w14:textId="77777777" w:rsidR="00AC0F19" w:rsidRPr="00CE0499" w:rsidRDefault="00AC0F19" w:rsidP="00CE4BBB"/>
    <w:p w14:paraId="75A0A08C" w14:textId="77777777" w:rsidR="00AC0F19" w:rsidRPr="00CE0499" w:rsidRDefault="00AC0F19" w:rsidP="00CE4BBB">
      <w:r w:rsidRPr="00CE0499">
        <w:t>The following methods of cervical ripening have been considered in this guideline:</w:t>
      </w:r>
    </w:p>
    <w:p w14:paraId="2E3C09AE" w14:textId="77777777" w:rsidR="00AC0F19" w:rsidRDefault="00AC0F19" w:rsidP="00CE4BBB">
      <w:pPr>
        <w:pStyle w:val="Number"/>
      </w:pPr>
      <w:r>
        <w:t>PGE2 hormone</w:t>
      </w:r>
      <w:r>
        <w:rPr>
          <w:spacing w:val="-3"/>
        </w:rPr>
        <w:t xml:space="preserve"> </w:t>
      </w:r>
      <w:r>
        <w:t>(</w:t>
      </w:r>
      <w:proofErr w:type="spellStart"/>
      <w:r>
        <w:t>dinoprostone</w:t>
      </w:r>
      <w:proofErr w:type="spellEnd"/>
      <w:r>
        <w:t>, PGE2)</w:t>
      </w:r>
    </w:p>
    <w:p w14:paraId="504C2490" w14:textId="77777777" w:rsidR="00AC0F19" w:rsidRDefault="00AC0F19" w:rsidP="00CE4BBB">
      <w:pPr>
        <w:pStyle w:val="Number"/>
      </w:pPr>
      <w:r>
        <w:t>PGE1 analogue</w:t>
      </w:r>
      <w:r>
        <w:rPr>
          <w:spacing w:val="4"/>
        </w:rPr>
        <w:t xml:space="preserve"> </w:t>
      </w:r>
      <w:r>
        <w:t>(misoprostol, PGE1)</w:t>
      </w:r>
    </w:p>
    <w:p w14:paraId="142385AD" w14:textId="77777777" w:rsidR="00AC0F19" w:rsidRDefault="00AC0F19" w:rsidP="00CE4BBB">
      <w:pPr>
        <w:pStyle w:val="Number"/>
      </w:pPr>
      <w:r>
        <w:t>Mechanical methods, such as balloon</w:t>
      </w:r>
      <w:r>
        <w:rPr>
          <w:spacing w:val="1"/>
        </w:rPr>
        <w:t xml:space="preserve"> </w:t>
      </w:r>
      <w:r>
        <w:t>catheter.</w:t>
      </w:r>
    </w:p>
    <w:p w14:paraId="31CBFDC3" w14:textId="77777777" w:rsidR="00AC0F19" w:rsidRDefault="00AC0F19" w:rsidP="00CE4BBB"/>
    <w:p w14:paraId="79D2F95A" w14:textId="77777777" w:rsidR="00AC0F19" w:rsidRDefault="00AC0F19" w:rsidP="00CD0099">
      <w:pPr>
        <w:pStyle w:val="Heading2"/>
      </w:pPr>
      <w:bookmarkStart w:id="192" w:name="5.1_PGE2_(dinoprostone)_methods_of_admin"/>
      <w:bookmarkStart w:id="193" w:name="_bookmark93"/>
      <w:bookmarkStart w:id="194" w:name="_Toc75787998"/>
      <w:bookmarkEnd w:id="192"/>
      <w:bookmarkEnd w:id="193"/>
      <w:r>
        <w:lastRenderedPageBreak/>
        <w:t>PGE2 (</w:t>
      </w:r>
      <w:proofErr w:type="spellStart"/>
      <w:r w:rsidRPr="00CE0499">
        <w:t>dinoprostone</w:t>
      </w:r>
      <w:proofErr w:type="spellEnd"/>
      <w:r>
        <w:t>) methods of administration</w:t>
      </w:r>
      <w:bookmarkEnd w:id="194"/>
    </w:p>
    <w:p w14:paraId="2DB4F7E5" w14:textId="77777777" w:rsidR="00AC0F19" w:rsidRDefault="00AC0F19" w:rsidP="00CD0099">
      <w:pPr>
        <w:pStyle w:val="Heading3"/>
      </w:pPr>
      <w:bookmarkStart w:id="195" w:name="_bookmark94"/>
      <w:bookmarkEnd w:id="195"/>
      <w:r>
        <w:t>Summary of evidence</w:t>
      </w:r>
    </w:p>
    <w:p w14:paraId="1296CBF5" w14:textId="77777777" w:rsidR="00AC0F19" w:rsidRDefault="00AC0F19" w:rsidP="00CD0099">
      <w:r>
        <w:t>One systematic review was identified that included a comparison of vaginal gel (</w:t>
      </w:r>
      <w:proofErr w:type="spellStart"/>
      <w:r>
        <w:t>Prostin</w:t>
      </w:r>
      <w:proofErr w:type="spellEnd"/>
      <w:r>
        <w:t xml:space="preserve">® E2) to controlled-release pessary (CERVIDIL®). In the Cochrane review on PGs for cervix ripening (Thomas </w:t>
      </w:r>
      <w:r w:rsidR="000F3C98">
        <w:t>et al</w:t>
      </w:r>
      <w:r>
        <w:t xml:space="preserve"> 2014), there were 13 trials of 1,436 women that compared PGE2 controlled-release with</w:t>
      </w:r>
      <w:r>
        <w:rPr>
          <w:spacing w:val="-9"/>
        </w:rPr>
        <w:t xml:space="preserve"> </w:t>
      </w:r>
      <w:r>
        <w:t>PGE2</w:t>
      </w:r>
      <w:r>
        <w:rPr>
          <w:spacing w:val="-8"/>
        </w:rPr>
        <w:t xml:space="preserve"> </w:t>
      </w:r>
      <w:r>
        <w:t>any</w:t>
      </w:r>
      <w:r>
        <w:rPr>
          <w:spacing w:val="-8"/>
        </w:rPr>
        <w:t xml:space="preserve"> </w:t>
      </w:r>
      <w:r>
        <w:t>vehicle.</w:t>
      </w:r>
      <w:r>
        <w:rPr>
          <w:spacing w:val="-7"/>
        </w:rPr>
        <w:t xml:space="preserve"> </w:t>
      </w:r>
      <w:r>
        <w:t>For</w:t>
      </w:r>
      <w:r>
        <w:rPr>
          <w:spacing w:val="-8"/>
        </w:rPr>
        <w:t xml:space="preserve"> </w:t>
      </w:r>
      <w:r>
        <w:t>the</w:t>
      </w:r>
      <w:r>
        <w:rPr>
          <w:spacing w:val="-9"/>
        </w:rPr>
        <w:t xml:space="preserve"> </w:t>
      </w:r>
      <w:r>
        <w:t>primary</w:t>
      </w:r>
      <w:r>
        <w:rPr>
          <w:spacing w:val="-7"/>
        </w:rPr>
        <w:t xml:space="preserve"> </w:t>
      </w:r>
      <w:r>
        <w:t>outcomes,</w:t>
      </w:r>
      <w:r>
        <w:rPr>
          <w:spacing w:val="-8"/>
        </w:rPr>
        <w:t xml:space="preserve"> </w:t>
      </w:r>
      <w:r>
        <w:t>there</w:t>
      </w:r>
      <w:r>
        <w:rPr>
          <w:spacing w:val="-9"/>
        </w:rPr>
        <w:t xml:space="preserve"> </w:t>
      </w:r>
      <w:r>
        <w:t>was</w:t>
      </w:r>
      <w:r>
        <w:rPr>
          <w:spacing w:val="-6"/>
        </w:rPr>
        <w:t xml:space="preserve"> </w:t>
      </w:r>
      <w:r>
        <w:t>no</w:t>
      </w:r>
      <w:r>
        <w:rPr>
          <w:spacing w:val="-8"/>
        </w:rPr>
        <w:t xml:space="preserve"> </w:t>
      </w:r>
      <w:r>
        <w:t>difference</w:t>
      </w:r>
      <w:r>
        <w:rPr>
          <w:spacing w:val="-9"/>
        </w:rPr>
        <w:t xml:space="preserve"> </w:t>
      </w:r>
      <w:r>
        <w:t>between</w:t>
      </w:r>
      <w:r>
        <w:rPr>
          <w:spacing w:val="-8"/>
        </w:rPr>
        <w:t xml:space="preserve"> </w:t>
      </w:r>
      <w:r>
        <w:t>groups</w:t>
      </w:r>
      <w:r>
        <w:rPr>
          <w:spacing w:val="-6"/>
        </w:rPr>
        <w:t xml:space="preserve"> </w:t>
      </w:r>
      <w:r>
        <w:t>for vaginal</w:t>
      </w:r>
      <w:r>
        <w:rPr>
          <w:spacing w:val="11"/>
        </w:rPr>
        <w:t xml:space="preserve"> </w:t>
      </w:r>
      <w:r>
        <w:t>birth</w:t>
      </w:r>
      <w:r>
        <w:rPr>
          <w:spacing w:val="13"/>
        </w:rPr>
        <w:t xml:space="preserve"> </w:t>
      </w:r>
      <w:r>
        <w:t>achieved</w:t>
      </w:r>
      <w:r>
        <w:rPr>
          <w:spacing w:val="13"/>
        </w:rPr>
        <w:t xml:space="preserve"> </w:t>
      </w:r>
      <w:r>
        <w:t>within</w:t>
      </w:r>
      <w:r>
        <w:rPr>
          <w:spacing w:val="13"/>
        </w:rPr>
        <w:t xml:space="preserve"> </w:t>
      </w:r>
      <w:r w:rsidR="00EB43A9">
        <w:t>24 hours</w:t>
      </w:r>
      <w:r>
        <w:rPr>
          <w:spacing w:val="15"/>
        </w:rPr>
        <w:t xml:space="preserve"> </w:t>
      </w:r>
      <w:r>
        <w:t>(43.1%</w:t>
      </w:r>
      <w:r>
        <w:rPr>
          <w:spacing w:val="13"/>
        </w:rPr>
        <w:t xml:space="preserve"> </w:t>
      </w:r>
      <w:r>
        <w:t>vs</w:t>
      </w:r>
      <w:r>
        <w:rPr>
          <w:spacing w:val="14"/>
        </w:rPr>
        <w:t xml:space="preserve"> </w:t>
      </w:r>
      <w:r>
        <w:t>37.3%</w:t>
      </w:r>
      <w:r>
        <w:rPr>
          <w:spacing w:val="13"/>
        </w:rPr>
        <w:t xml:space="preserve"> </w:t>
      </w:r>
      <w:r w:rsidR="00230FF7">
        <w:t>RR </w:t>
      </w:r>
      <w:r>
        <w:t>1.15</w:t>
      </w:r>
      <w:r>
        <w:rPr>
          <w:spacing w:val="13"/>
        </w:rPr>
        <w:t xml:space="preserve"> </w:t>
      </w:r>
      <w:r>
        <w:t>CI</w:t>
      </w:r>
      <w:r>
        <w:rPr>
          <w:spacing w:val="13"/>
        </w:rPr>
        <w:t xml:space="preserve"> </w:t>
      </w:r>
      <w:r>
        <w:t>0.92–1.45;</w:t>
      </w:r>
      <w:r>
        <w:rPr>
          <w:spacing w:val="13"/>
        </w:rPr>
        <w:t xml:space="preserve"> </w:t>
      </w:r>
      <w:r>
        <w:t>3</w:t>
      </w:r>
      <w:r>
        <w:rPr>
          <w:spacing w:val="13"/>
        </w:rPr>
        <w:t xml:space="preserve"> </w:t>
      </w:r>
      <w:r>
        <w:t>trials;</w:t>
      </w:r>
      <w:r>
        <w:rPr>
          <w:spacing w:val="11"/>
        </w:rPr>
        <w:t xml:space="preserve"> </w:t>
      </w:r>
      <w:r>
        <w:t>450 women;</w:t>
      </w:r>
      <w:r>
        <w:rPr>
          <w:spacing w:val="-8"/>
        </w:rPr>
        <w:t xml:space="preserve"> </w:t>
      </w:r>
      <w:r>
        <w:t>moderate</w:t>
      </w:r>
      <w:r>
        <w:rPr>
          <w:spacing w:val="-4"/>
        </w:rPr>
        <w:t xml:space="preserve"> </w:t>
      </w:r>
      <w:r>
        <w:t>quality)</w:t>
      </w:r>
      <w:r>
        <w:rPr>
          <w:spacing w:val="-4"/>
        </w:rPr>
        <w:t xml:space="preserve"> </w:t>
      </w:r>
      <w:r>
        <w:t>or</w:t>
      </w:r>
      <w:r>
        <w:rPr>
          <w:spacing w:val="-2"/>
        </w:rPr>
        <w:t xml:space="preserve"> </w:t>
      </w:r>
      <w:r>
        <w:t>for</w:t>
      </w:r>
      <w:r>
        <w:rPr>
          <w:spacing w:val="-6"/>
        </w:rPr>
        <w:t xml:space="preserve"> </w:t>
      </w:r>
      <w:r>
        <w:t>caesarean</w:t>
      </w:r>
      <w:r>
        <w:rPr>
          <w:spacing w:val="-2"/>
        </w:rPr>
        <w:t xml:space="preserve"> </w:t>
      </w:r>
      <w:r>
        <w:t>section</w:t>
      </w:r>
      <w:r>
        <w:rPr>
          <w:spacing w:val="-2"/>
        </w:rPr>
        <w:t xml:space="preserve"> </w:t>
      </w:r>
      <w:r>
        <w:t>(20.4%</w:t>
      </w:r>
      <w:r>
        <w:rPr>
          <w:spacing w:val="-6"/>
        </w:rPr>
        <w:t xml:space="preserve"> </w:t>
      </w:r>
      <w:r>
        <w:t>vs</w:t>
      </w:r>
      <w:r>
        <w:rPr>
          <w:spacing w:val="-5"/>
        </w:rPr>
        <w:t xml:space="preserve"> </w:t>
      </w:r>
      <w:r>
        <w:t>20.1%</w:t>
      </w:r>
      <w:r>
        <w:rPr>
          <w:spacing w:val="-6"/>
        </w:rPr>
        <w:t xml:space="preserve"> </w:t>
      </w:r>
      <w:r w:rsidR="00230FF7">
        <w:t>RR </w:t>
      </w:r>
      <w:r>
        <w:t>1.02</w:t>
      </w:r>
      <w:r>
        <w:rPr>
          <w:spacing w:val="-7"/>
        </w:rPr>
        <w:t xml:space="preserve"> </w:t>
      </w:r>
      <w:r>
        <w:t>CI</w:t>
      </w:r>
      <w:r>
        <w:rPr>
          <w:spacing w:val="-7"/>
        </w:rPr>
        <w:t xml:space="preserve"> </w:t>
      </w:r>
      <w:r>
        <w:t>0.82–1.26;</w:t>
      </w:r>
      <w:r>
        <w:rPr>
          <w:spacing w:val="-7"/>
        </w:rPr>
        <w:t xml:space="preserve"> </w:t>
      </w:r>
      <w:r>
        <w:t xml:space="preserve">11 trials; 1262 women; high quality). There was no difference in uterine hyperstimulation with FHR changes (4.9% vs 2.2% </w:t>
      </w:r>
      <w:r w:rsidR="00230FF7">
        <w:t>RR </w:t>
      </w:r>
      <w:r>
        <w:t>2.15 CI 0.89–5.21; 5 trials; 643 women; moderate quality); in two trials, there were no events in either arm, and in three trials, the rate of this adverse outcome</w:t>
      </w:r>
      <w:r>
        <w:rPr>
          <w:spacing w:val="-9"/>
        </w:rPr>
        <w:t xml:space="preserve"> </w:t>
      </w:r>
      <w:r>
        <w:t>was</w:t>
      </w:r>
      <w:r>
        <w:rPr>
          <w:spacing w:val="-6"/>
        </w:rPr>
        <w:t xml:space="preserve"> </w:t>
      </w:r>
      <w:r>
        <w:t>higher</w:t>
      </w:r>
      <w:r>
        <w:rPr>
          <w:spacing w:val="-2"/>
        </w:rPr>
        <w:t xml:space="preserve"> </w:t>
      </w:r>
      <w:r>
        <w:t>in</w:t>
      </w:r>
      <w:r>
        <w:rPr>
          <w:spacing w:val="-5"/>
        </w:rPr>
        <w:t xml:space="preserve"> </w:t>
      </w:r>
      <w:r>
        <w:t>the</w:t>
      </w:r>
      <w:r>
        <w:rPr>
          <w:spacing w:val="-9"/>
        </w:rPr>
        <w:t xml:space="preserve"> </w:t>
      </w:r>
      <w:r>
        <w:t>controlled-release</w:t>
      </w:r>
      <w:r>
        <w:rPr>
          <w:spacing w:val="-9"/>
        </w:rPr>
        <w:t xml:space="preserve"> </w:t>
      </w:r>
      <w:r>
        <w:t>arm.</w:t>
      </w:r>
      <w:r>
        <w:rPr>
          <w:spacing w:val="-6"/>
        </w:rPr>
        <w:t xml:space="preserve"> </w:t>
      </w:r>
      <w:r>
        <w:t>For</w:t>
      </w:r>
      <w:r>
        <w:rPr>
          <w:spacing w:val="-8"/>
        </w:rPr>
        <w:t xml:space="preserve"> </w:t>
      </w:r>
      <w:r>
        <w:t>the</w:t>
      </w:r>
      <w:r>
        <w:rPr>
          <w:spacing w:val="-9"/>
        </w:rPr>
        <w:t xml:space="preserve"> </w:t>
      </w:r>
      <w:r>
        <w:t>secondary</w:t>
      </w:r>
      <w:r>
        <w:rPr>
          <w:spacing w:val="-7"/>
        </w:rPr>
        <w:t xml:space="preserve"> </w:t>
      </w:r>
      <w:r>
        <w:t>outcomes,</w:t>
      </w:r>
      <w:r>
        <w:rPr>
          <w:spacing w:val="-8"/>
        </w:rPr>
        <w:t xml:space="preserve"> </w:t>
      </w:r>
      <w:r>
        <w:t>the</w:t>
      </w:r>
      <w:r>
        <w:rPr>
          <w:spacing w:val="-9"/>
        </w:rPr>
        <w:t xml:space="preserve"> </w:t>
      </w:r>
      <w:r>
        <w:t>controlled-release was associated with a lower rate of instrumental vaginal birth and a lower chance that the cervix</w:t>
      </w:r>
      <w:r>
        <w:rPr>
          <w:spacing w:val="-9"/>
        </w:rPr>
        <w:t xml:space="preserve"> </w:t>
      </w:r>
      <w:r>
        <w:t>would</w:t>
      </w:r>
      <w:r>
        <w:rPr>
          <w:spacing w:val="-9"/>
        </w:rPr>
        <w:t xml:space="preserve"> </w:t>
      </w:r>
      <w:r>
        <w:t>remain</w:t>
      </w:r>
      <w:r>
        <w:rPr>
          <w:spacing w:val="-9"/>
        </w:rPr>
        <w:t xml:space="preserve"> </w:t>
      </w:r>
      <w:r>
        <w:t>unfavourable</w:t>
      </w:r>
      <w:r>
        <w:rPr>
          <w:spacing w:val="-6"/>
        </w:rPr>
        <w:t xml:space="preserve"> </w:t>
      </w:r>
      <w:r>
        <w:t>compared</w:t>
      </w:r>
      <w:r>
        <w:rPr>
          <w:spacing w:val="-9"/>
        </w:rPr>
        <w:t xml:space="preserve"> </w:t>
      </w:r>
      <w:r>
        <w:t>with</w:t>
      </w:r>
      <w:r>
        <w:rPr>
          <w:spacing w:val="-9"/>
        </w:rPr>
        <w:t xml:space="preserve"> </w:t>
      </w:r>
      <w:r>
        <w:t>PGE2</w:t>
      </w:r>
      <w:r>
        <w:rPr>
          <w:spacing w:val="-9"/>
        </w:rPr>
        <w:t xml:space="preserve"> any </w:t>
      </w:r>
      <w:r>
        <w:t>vehicles.</w:t>
      </w:r>
      <w:r>
        <w:rPr>
          <w:spacing w:val="-9"/>
        </w:rPr>
        <w:t xml:space="preserve"> </w:t>
      </w:r>
      <w:r>
        <w:t>There</w:t>
      </w:r>
      <w:r>
        <w:rPr>
          <w:spacing w:val="-10"/>
        </w:rPr>
        <w:t xml:space="preserve"> </w:t>
      </w:r>
      <w:r>
        <w:t>was</w:t>
      </w:r>
      <w:r>
        <w:rPr>
          <w:spacing w:val="-7"/>
        </w:rPr>
        <w:t xml:space="preserve"> </w:t>
      </w:r>
      <w:r>
        <w:t>no</w:t>
      </w:r>
      <w:r>
        <w:rPr>
          <w:spacing w:val="-9"/>
        </w:rPr>
        <w:t xml:space="preserve"> </w:t>
      </w:r>
      <w:r>
        <w:t>difference in oxytocin augmentation or tachysystole/</w:t>
      </w:r>
      <w:proofErr w:type="spellStart"/>
      <w:r>
        <w:t>hypertonus</w:t>
      </w:r>
      <w:proofErr w:type="spellEnd"/>
      <w:r>
        <w:t xml:space="preserve"> (4.2% versus 2.4%, </w:t>
      </w:r>
      <w:r w:rsidR="00230FF7">
        <w:t>RR </w:t>
      </w:r>
      <w:r>
        <w:t>1.59, 95%</w:t>
      </w:r>
      <w:r>
        <w:rPr>
          <w:spacing w:val="26"/>
        </w:rPr>
        <w:t xml:space="preserve"> </w:t>
      </w:r>
      <w:r>
        <w:t>CI 0.81–3.14; 8 trials, 908 women).</w:t>
      </w:r>
      <w:bookmarkStart w:id="196" w:name="5.2_PGE1_analogue_(misoprostol)"/>
      <w:bookmarkStart w:id="197" w:name="_bookmark95"/>
      <w:bookmarkEnd w:id="196"/>
      <w:bookmarkEnd w:id="197"/>
    </w:p>
    <w:p w14:paraId="3E1B3F95" w14:textId="77777777" w:rsidR="00CD0099" w:rsidRDefault="00CD0099" w:rsidP="00CD0099"/>
    <w:p w14:paraId="36631F35" w14:textId="77777777" w:rsidR="00AC0F19" w:rsidRDefault="00AC0F19" w:rsidP="00CD0099">
      <w:pPr>
        <w:pStyle w:val="Heading2"/>
      </w:pPr>
      <w:bookmarkStart w:id="198" w:name="_Toc75787999"/>
      <w:r>
        <w:t xml:space="preserve">PGE1 </w:t>
      </w:r>
      <w:r w:rsidRPr="00CE0499">
        <w:t>analogue</w:t>
      </w:r>
      <w:r>
        <w:t xml:space="preserve"> (misoprostol)</w:t>
      </w:r>
      <w:bookmarkEnd w:id="198"/>
    </w:p>
    <w:p w14:paraId="13B0F332" w14:textId="77777777" w:rsidR="00AC0F19" w:rsidRDefault="00AC0F19" w:rsidP="00CD0099">
      <w:pPr>
        <w:pStyle w:val="Heading3"/>
      </w:pPr>
      <w:bookmarkStart w:id="199" w:name="_bookmark96"/>
      <w:bookmarkEnd w:id="199"/>
      <w:r>
        <w:t>Summary of evidence</w:t>
      </w:r>
    </w:p>
    <w:p w14:paraId="066E8ED3" w14:textId="77777777" w:rsidR="00AC0F19" w:rsidRDefault="00AC0F19" w:rsidP="00CD0099">
      <w:r>
        <w:t>Two systematic reviews were identified evaluating misoprostol as an induction agent.</w:t>
      </w:r>
    </w:p>
    <w:p w14:paraId="5A69D6F8" w14:textId="77777777" w:rsidR="00AC0F19" w:rsidRDefault="00AC0F19" w:rsidP="00CD0099"/>
    <w:p w14:paraId="2968C947" w14:textId="77777777" w:rsidR="00AC0F19" w:rsidRDefault="00AC0F19" w:rsidP="00CD0099">
      <w:r>
        <w:t>A</w:t>
      </w:r>
      <w:r>
        <w:rPr>
          <w:spacing w:val="-11"/>
        </w:rPr>
        <w:t xml:space="preserve"> </w:t>
      </w:r>
      <w:r>
        <w:t>Cochrane</w:t>
      </w:r>
      <w:r>
        <w:rPr>
          <w:spacing w:val="-14"/>
        </w:rPr>
        <w:t xml:space="preserve"> </w:t>
      </w:r>
      <w:r>
        <w:t>systematic</w:t>
      </w:r>
      <w:r>
        <w:rPr>
          <w:spacing w:val="-14"/>
        </w:rPr>
        <w:t xml:space="preserve"> </w:t>
      </w:r>
      <w:r>
        <w:t>review</w:t>
      </w:r>
      <w:r>
        <w:rPr>
          <w:spacing w:val="-11"/>
        </w:rPr>
        <w:t xml:space="preserve"> </w:t>
      </w:r>
      <w:r>
        <w:t>of</w:t>
      </w:r>
      <w:r>
        <w:rPr>
          <w:spacing w:val="-8"/>
        </w:rPr>
        <w:t xml:space="preserve"> </w:t>
      </w:r>
      <w:r>
        <w:t>vaginal</w:t>
      </w:r>
      <w:r>
        <w:rPr>
          <w:spacing w:val="-9"/>
        </w:rPr>
        <w:t xml:space="preserve"> </w:t>
      </w:r>
      <w:r>
        <w:t>misoprostol</w:t>
      </w:r>
      <w:r>
        <w:rPr>
          <w:spacing w:val="-9"/>
        </w:rPr>
        <w:t xml:space="preserve"> </w:t>
      </w:r>
      <w:r>
        <w:t>included</w:t>
      </w:r>
      <w:r>
        <w:rPr>
          <w:spacing w:val="-13"/>
        </w:rPr>
        <w:t xml:space="preserve"> </w:t>
      </w:r>
      <w:r>
        <w:t>121</w:t>
      </w:r>
      <w:r>
        <w:rPr>
          <w:spacing w:val="-8"/>
        </w:rPr>
        <w:t xml:space="preserve"> </w:t>
      </w:r>
      <w:r>
        <w:t>trials</w:t>
      </w:r>
      <w:r>
        <w:rPr>
          <w:spacing w:val="-11"/>
        </w:rPr>
        <w:t xml:space="preserve"> </w:t>
      </w:r>
      <w:r>
        <w:t>(Hofmeyr</w:t>
      </w:r>
      <w:r>
        <w:rPr>
          <w:spacing w:val="-11"/>
        </w:rPr>
        <w:t xml:space="preserve"> </w:t>
      </w:r>
      <w:r w:rsidR="000F3C98">
        <w:rPr>
          <w:spacing w:val="-11"/>
        </w:rPr>
        <w:t>et al</w:t>
      </w:r>
      <w:r>
        <w:rPr>
          <w:spacing w:val="-11"/>
        </w:rPr>
        <w:t xml:space="preserve"> </w:t>
      </w:r>
      <w:r>
        <w:t>2010).</w:t>
      </w:r>
      <w:r>
        <w:rPr>
          <w:spacing w:val="-9"/>
        </w:rPr>
        <w:t xml:space="preserve"> </w:t>
      </w:r>
      <w:r>
        <w:t>The authors analysed 38 studies of 7,022 women comparing vaginal misoprostol with vaginal PGE2. Compared with vaginal PGE2, women who got vaginal misoprostol had a lower rate of failure to achieve</w:t>
      </w:r>
      <w:r>
        <w:rPr>
          <w:spacing w:val="-18"/>
        </w:rPr>
        <w:t xml:space="preserve"> </w:t>
      </w:r>
      <w:r>
        <w:t>vaginal</w:t>
      </w:r>
      <w:r>
        <w:rPr>
          <w:spacing w:val="-18"/>
        </w:rPr>
        <w:t xml:space="preserve"> </w:t>
      </w:r>
      <w:r>
        <w:t>birth</w:t>
      </w:r>
      <w:r>
        <w:rPr>
          <w:spacing w:val="-16"/>
        </w:rPr>
        <w:t xml:space="preserve"> </w:t>
      </w:r>
      <w:r>
        <w:t>within</w:t>
      </w:r>
      <w:r>
        <w:rPr>
          <w:spacing w:val="-17"/>
        </w:rPr>
        <w:t xml:space="preserve"> </w:t>
      </w:r>
      <w:r w:rsidR="00EB43A9">
        <w:t>24 hours</w:t>
      </w:r>
      <w:r>
        <w:rPr>
          <w:spacing w:val="-15"/>
        </w:rPr>
        <w:t xml:space="preserve"> </w:t>
      </w:r>
      <w:r>
        <w:t>(</w:t>
      </w:r>
      <w:r w:rsidR="00230FF7">
        <w:t>RR </w:t>
      </w:r>
      <w:r>
        <w:t>0.77,</w:t>
      </w:r>
      <w:r>
        <w:rPr>
          <w:spacing w:val="-17"/>
        </w:rPr>
        <w:t xml:space="preserve"> </w:t>
      </w:r>
      <w:r>
        <w:t>95%</w:t>
      </w:r>
      <w:r>
        <w:rPr>
          <w:spacing w:val="-10"/>
        </w:rPr>
        <w:t xml:space="preserve"> </w:t>
      </w:r>
      <w:r>
        <w:t>CI</w:t>
      </w:r>
      <w:r w:rsidR="00CD0099">
        <w:br/>
      </w:r>
      <w:r>
        <w:t>0.66–0.89;</w:t>
      </w:r>
      <w:r>
        <w:rPr>
          <w:spacing w:val="-17"/>
        </w:rPr>
        <w:t xml:space="preserve"> </w:t>
      </w:r>
      <w:r>
        <w:t>22</w:t>
      </w:r>
      <w:r>
        <w:rPr>
          <w:spacing w:val="-17"/>
        </w:rPr>
        <w:t xml:space="preserve"> </w:t>
      </w:r>
      <w:r>
        <w:t>trials;</w:t>
      </w:r>
      <w:r>
        <w:rPr>
          <w:spacing w:val="-12"/>
        </w:rPr>
        <w:t xml:space="preserve"> </w:t>
      </w:r>
      <w:r>
        <w:t>low</w:t>
      </w:r>
      <w:r>
        <w:rPr>
          <w:spacing w:val="-15"/>
        </w:rPr>
        <w:t xml:space="preserve"> </w:t>
      </w:r>
      <w:r>
        <w:t>quality).</w:t>
      </w:r>
      <w:r>
        <w:rPr>
          <w:spacing w:val="-15"/>
        </w:rPr>
        <w:t xml:space="preserve"> </w:t>
      </w:r>
      <w:r>
        <w:t>There were no differences in uterine hyperstimulation with FHR changes (</w:t>
      </w:r>
      <w:r w:rsidR="00230FF7">
        <w:t>RR </w:t>
      </w:r>
      <w:r>
        <w:t>1.43, 95% CI 0.97–2.09; 31 trials; low quality) or caesarean section (</w:t>
      </w:r>
      <w:r w:rsidR="00230FF7">
        <w:t>RR </w:t>
      </w:r>
      <w:r>
        <w:t>0.95, 95% CI 0.87–1.03; 34 trials; moderate quality). Compared with vaginal PGE2, vaginal misoprostol was associated with less need for oxytocin augmentation (38</w:t>
      </w:r>
      <w:r w:rsidR="00CD0099">
        <w:t> </w:t>
      </w:r>
      <w:r>
        <w:t xml:space="preserve">trials, </w:t>
      </w:r>
      <w:r w:rsidR="00230FF7">
        <w:t>RR </w:t>
      </w:r>
      <w:r>
        <w:t xml:space="preserve">0.68, 95% CI 0.60–0.76; low quality), more uterine hyperstimulation without FHR changes (26 trials, </w:t>
      </w:r>
      <w:r w:rsidR="00230FF7">
        <w:t>RR </w:t>
      </w:r>
      <w:r>
        <w:t>1.99, 95% CI 1.41–2.79; low quality),</w:t>
      </w:r>
      <w:r>
        <w:rPr>
          <w:spacing w:val="-7"/>
        </w:rPr>
        <w:t xml:space="preserve"> </w:t>
      </w:r>
      <w:r>
        <w:t>less</w:t>
      </w:r>
      <w:r>
        <w:rPr>
          <w:spacing w:val="-6"/>
        </w:rPr>
        <w:t xml:space="preserve"> </w:t>
      </w:r>
      <w:r>
        <w:t>epidural</w:t>
      </w:r>
      <w:r>
        <w:rPr>
          <w:spacing w:val="-9"/>
        </w:rPr>
        <w:t xml:space="preserve"> </w:t>
      </w:r>
      <w:r>
        <w:t>analgesia</w:t>
      </w:r>
      <w:r>
        <w:rPr>
          <w:spacing w:val="-9"/>
        </w:rPr>
        <w:t xml:space="preserve"> </w:t>
      </w:r>
      <w:r>
        <w:t>(8</w:t>
      </w:r>
      <w:r>
        <w:rPr>
          <w:spacing w:val="-7"/>
        </w:rPr>
        <w:t xml:space="preserve"> </w:t>
      </w:r>
      <w:r>
        <w:t>trials,</w:t>
      </w:r>
      <w:r>
        <w:rPr>
          <w:spacing w:val="-8"/>
        </w:rPr>
        <w:t xml:space="preserve"> </w:t>
      </w:r>
      <w:r w:rsidR="00230FF7">
        <w:t>RR </w:t>
      </w:r>
      <w:r>
        <w:t>0.92,</w:t>
      </w:r>
      <w:r>
        <w:rPr>
          <w:spacing w:val="-8"/>
        </w:rPr>
        <w:t xml:space="preserve"> </w:t>
      </w:r>
      <w:r>
        <w:t>95%</w:t>
      </w:r>
      <w:r>
        <w:rPr>
          <w:spacing w:val="-7"/>
        </w:rPr>
        <w:t xml:space="preserve"> </w:t>
      </w:r>
      <w:r>
        <w:t>CI</w:t>
      </w:r>
      <w:r>
        <w:rPr>
          <w:spacing w:val="-8"/>
        </w:rPr>
        <w:t xml:space="preserve"> </w:t>
      </w:r>
      <w:r>
        <w:t>0.85–0.99;</w:t>
      </w:r>
      <w:r>
        <w:rPr>
          <w:spacing w:val="-9"/>
        </w:rPr>
        <w:t xml:space="preserve"> </w:t>
      </w:r>
      <w:r>
        <w:t>low</w:t>
      </w:r>
      <w:r>
        <w:rPr>
          <w:spacing w:val="-6"/>
        </w:rPr>
        <w:t xml:space="preserve"> </w:t>
      </w:r>
      <w:r>
        <w:t>quality)</w:t>
      </w:r>
      <w:r>
        <w:rPr>
          <w:spacing w:val="-7"/>
        </w:rPr>
        <w:t xml:space="preserve"> </w:t>
      </w:r>
      <w:r>
        <w:t>and</w:t>
      </w:r>
      <w:r>
        <w:rPr>
          <w:spacing w:val="-8"/>
        </w:rPr>
        <w:t xml:space="preserve"> </w:t>
      </w:r>
      <w:r>
        <w:t>a</w:t>
      </w:r>
      <w:r>
        <w:rPr>
          <w:spacing w:val="-9"/>
        </w:rPr>
        <w:t xml:space="preserve"> </w:t>
      </w:r>
      <w:r>
        <w:t xml:space="preserve">higher rate of meconium stained liquor (18 trials, </w:t>
      </w:r>
      <w:r w:rsidR="00230FF7">
        <w:t>RR </w:t>
      </w:r>
      <w:r>
        <w:t xml:space="preserve">1.35, 95% CI 1.13–1.61). No trials reported on maternal satisfaction. The authors concluded that low-dose vaginal misoprostol is similar to PGE2 in effectiveness and </w:t>
      </w:r>
      <w:proofErr w:type="gramStart"/>
      <w:r>
        <w:t>risks</w:t>
      </w:r>
      <w:proofErr w:type="gramEnd"/>
      <w:r>
        <w:t xml:space="preserve"> but that vaginal misoprostol should not be researched further as another Cochrane review has suggested that oral misoprostol is preferable to</w:t>
      </w:r>
      <w:r>
        <w:rPr>
          <w:spacing w:val="-13"/>
        </w:rPr>
        <w:t xml:space="preserve"> </w:t>
      </w:r>
      <w:r>
        <w:t>vaginal.</w:t>
      </w:r>
    </w:p>
    <w:p w14:paraId="33FE72D3" w14:textId="77777777" w:rsidR="00AC0F19" w:rsidRDefault="00AC0F19" w:rsidP="00CD0099">
      <w:pPr>
        <w:spacing w:before="240"/>
      </w:pPr>
      <w:r>
        <w:lastRenderedPageBreak/>
        <w:t>A</w:t>
      </w:r>
      <w:r>
        <w:rPr>
          <w:spacing w:val="-12"/>
        </w:rPr>
        <w:t xml:space="preserve"> </w:t>
      </w:r>
      <w:r>
        <w:t>Cochrane</w:t>
      </w:r>
      <w:r>
        <w:rPr>
          <w:spacing w:val="-15"/>
        </w:rPr>
        <w:t xml:space="preserve"> </w:t>
      </w:r>
      <w:r>
        <w:t>systematic</w:t>
      </w:r>
      <w:r>
        <w:rPr>
          <w:spacing w:val="-15"/>
        </w:rPr>
        <w:t xml:space="preserve"> </w:t>
      </w:r>
      <w:r>
        <w:t>review</w:t>
      </w:r>
      <w:r>
        <w:rPr>
          <w:spacing w:val="-11"/>
        </w:rPr>
        <w:t xml:space="preserve"> </w:t>
      </w:r>
      <w:r>
        <w:t>of</w:t>
      </w:r>
      <w:r>
        <w:rPr>
          <w:spacing w:val="-13"/>
        </w:rPr>
        <w:t xml:space="preserve"> </w:t>
      </w:r>
      <w:r>
        <w:t>oral</w:t>
      </w:r>
      <w:r>
        <w:rPr>
          <w:spacing w:val="-15"/>
        </w:rPr>
        <w:t xml:space="preserve"> </w:t>
      </w:r>
      <w:r>
        <w:t>misoprostol</w:t>
      </w:r>
      <w:r>
        <w:rPr>
          <w:spacing w:val="-14"/>
        </w:rPr>
        <w:t xml:space="preserve"> </w:t>
      </w:r>
      <w:r>
        <w:t>included</w:t>
      </w:r>
      <w:r>
        <w:rPr>
          <w:spacing w:val="-14"/>
        </w:rPr>
        <w:t xml:space="preserve"> </w:t>
      </w:r>
      <w:r>
        <w:t>75</w:t>
      </w:r>
      <w:r>
        <w:rPr>
          <w:spacing w:val="-14"/>
        </w:rPr>
        <w:t xml:space="preserve"> </w:t>
      </w:r>
      <w:r>
        <w:t>trials</w:t>
      </w:r>
      <w:r>
        <w:rPr>
          <w:spacing w:val="-12"/>
        </w:rPr>
        <w:t xml:space="preserve"> </w:t>
      </w:r>
      <w:r>
        <w:t>of</w:t>
      </w:r>
      <w:r>
        <w:rPr>
          <w:spacing w:val="-12"/>
        </w:rPr>
        <w:t xml:space="preserve"> </w:t>
      </w:r>
      <w:r>
        <w:t>13</w:t>
      </w:r>
      <w:r>
        <w:rPr>
          <w:spacing w:val="-14"/>
        </w:rPr>
        <w:t>,</w:t>
      </w:r>
      <w:r>
        <w:t>793</w:t>
      </w:r>
      <w:r>
        <w:rPr>
          <w:spacing w:val="-14"/>
        </w:rPr>
        <w:t xml:space="preserve"> </w:t>
      </w:r>
      <w:r>
        <w:t>pregnant</w:t>
      </w:r>
      <w:r>
        <w:rPr>
          <w:spacing w:val="-14"/>
        </w:rPr>
        <w:t xml:space="preserve"> </w:t>
      </w:r>
      <w:r>
        <w:t>women in their third trimester, due for induction with a viable fetus (</w:t>
      </w:r>
      <w:proofErr w:type="spellStart"/>
      <w:r>
        <w:t>Alfirevic</w:t>
      </w:r>
      <w:proofErr w:type="spellEnd"/>
      <w:r>
        <w:t xml:space="preserve"> </w:t>
      </w:r>
      <w:r w:rsidR="000F3C98">
        <w:t>et al</w:t>
      </w:r>
      <w:r>
        <w:t xml:space="preserve"> 2014). In the 37 trials of 6,417</w:t>
      </w:r>
      <w:r>
        <w:rPr>
          <w:spacing w:val="-7"/>
        </w:rPr>
        <w:t xml:space="preserve"> </w:t>
      </w:r>
      <w:r>
        <w:t>women,</w:t>
      </w:r>
      <w:r>
        <w:rPr>
          <w:spacing w:val="-6"/>
        </w:rPr>
        <w:t xml:space="preserve"> </w:t>
      </w:r>
      <w:r>
        <w:t>which</w:t>
      </w:r>
      <w:r>
        <w:rPr>
          <w:spacing w:val="-7"/>
        </w:rPr>
        <w:t xml:space="preserve"> </w:t>
      </w:r>
      <w:r>
        <w:t>compared</w:t>
      </w:r>
      <w:r>
        <w:rPr>
          <w:spacing w:val="-1"/>
        </w:rPr>
        <w:t xml:space="preserve"> </w:t>
      </w:r>
      <w:r>
        <w:t>oral</w:t>
      </w:r>
      <w:r>
        <w:rPr>
          <w:spacing w:val="-3"/>
        </w:rPr>
        <w:t xml:space="preserve"> </w:t>
      </w:r>
      <w:r>
        <w:t>with</w:t>
      </w:r>
      <w:r>
        <w:rPr>
          <w:spacing w:val="-1"/>
        </w:rPr>
        <w:t xml:space="preserve"> </w:t>
      </w:r>
      <w:r>
        <w:t>vaginal</w:t>
      </w:r>
      <w:r>
        <w:rPr>
          <w:spacing w:val="-3"/>
        </w:rPr>
        <w:t xml:space="preserve"> </w:t>
      </w:r>
      <w:r>
        <w:t>misoprostol,</w:t>
      </w:r>
      <w:r>
        <w:rPr>
          <w:spacing w:val="-6"/>
        </w:rPr>
        <w:t xml:space="preserve"> </w:t>
      </w:r>
      <w:r>
        <w:t>women</w:t>
      </w:r>
      <w:r>
        <w:rPr>
          <w:spacing w:val="-1"/>
        </w:rPr>
        <w:t xml:space="preserve"> </w:t>
      </w:r>
      <w:r>
        <w:t>taking</w:t>
      </w:r>
      <w:r>
        <w:rPr>
          <w:spacing w:val="-7"/>
        </w:rPr>
        <w:t xml:space="preserve"> </w:t>
      </w:r>
      <w:r>
        <w:t>oral</w:t>
      </w:r>
      <w:r>
        <w:rPr>
          <w:spacing w:val="-7"/>
        </w:rPr>
        <w:t xml:space="preserve"> </w:t>
      </w:r>
      <w:r>
        <w:t>misoprostol</w:t>
      </w:r>
      <w:r>
        <w:rPr>
          <w:spacing w:val="-8"/>
        </w:rPr>
        <w:t xml:space="preserve"> </w:t>
      </w:r>
      <w:r>
        <w:t xml:space="preserve">had similar outcomes of vaginal birth within </w:t>
      </w:r>
      <w:r w:rsidR="00EB43A9">
        <w:t>24 hours</w:t>
      </w:r>
      <w:r>
        <w:t xml:space="preserve"> (</w:t>
      </w:r>
      <w:r w:rsidR="00230FF7">
        <w:t>RR </w:t>
      </w:r>
      <w:r>
        <w:t>1.08, 95% CI 0.86–1.36; 14 trials, 2,448</w:t>
      </w:r>
      <w:r>
        <w:rPr>
          <w:spacing w:val="-13"/>
        </w:rPr>
        <w:t xml:space="preserve"> </w:t>
      </w:r>
      <w:r>
        <w:t>women;</w:t>
      </w:r>
      <w:r>
        <w:rPr>
          <w:spacing w:val="-13"/>
        </w:rPr>
        <w:t xml:space="preserve"> </w:t>
      </w:r>
      <w:r>
        <w:t>low</w:t>
      </w:r>
      <w:r>
        <w:rPr>
          <w:spacing w:val="-10"/>
        </w:rPr>
        <w:t xml:space="preserve"> </w:t>
      </w:r>
      <w:r>
        <w:t>quality),</w:t>
      </w:r>
      <w:r>
        <w:rPr>
          <w:spacing w:val="-11"/>
        </w:rPr>
        <w:t xml:space="preserve"> </w:t>
      </w:r>
      <w:r>
        <w:t>uterine</w:t>
      </w:r>
      <w:r>
        <w:rPr>
          <w:spacing w:val="-13"/>
        </w:rPr>
        <w:t xml:space="preserve"> </w:t>
      </w:r>
      <w:r>
        <w:t>hyperstimulation</w:t>
      </w:r>
      <w:r>
        <w:rPr>
          <w:spacing w:val="-12"/>
        </w:rPr>
        <w:t xml:space="preserve"> </w:t>
      </w:r>
      <w:r>
        <w:t>with</w:t>
      </w:r>
      <w:r>
        <w:rPr>
          <w:spacing w:val="-12"/>
        </w:rPr>
        <w:t xml:space="preserve"> </w:t>
      </w:r>
      <w:r>
        <w:t>fetal</w:t>
      </w:r>
      <w:r>
        <w:rPr>
          <w:spacing w:val="-13"/>
        </w:rPr>
        <w:t xml:space="preserve"> </w:t>
      </w:r>
      <w:r>
        <w:t>heart</w:t>
      </w:r>
      <w:r>
        <w:rPr>
          <w:spacing w:val="-13"/>
        </w:rPr>
        <w:t xml:space="preserve"> </w:t>
      </w:r>
      <w:r>
        <w:t>rate</w:t>
      </w:r>
      <w:r>
        <w:rPr>
          <w:spacing w:val="-14"/>
        </w:rPr>
        <w:t xml:space="preserve"> </w:t>
      </w:r>
      <w:r>
        <w:t>changes</w:t>
      </w:r>
      <w:r>
        <w:rPr>
          <w:spacing w:val="-10"/>
        </w:rPr>
        <w:t xml:space="preserve"> </w:t>
      </w:r>
      <w:r>
        <w:t>(</w:t>
      </w:r>
      <w:r w:rsidR="00230FF7">
        <w:t>RR </w:t>
      </w:r>
      <w:r>
        <w:t>0.71,</w:t>
      </w:r>
      <w:r>
        <w:rPr>
          <w:spacing w:val="-12"/>
        </w:rPr>
        <w:t xml:space="preserve"> </w:t>
      </w:r>
      <w:r>
        <w:t>95% CI</w:t>
      </w:r>
      <w:r>
        <w:rPr>
          <w:spacing w:val="-7"/>
        </w:rPr>
        <w:t xml:space="preserve"> </w:t>
      </w:r>
      <w:r>
        <w:t>0.47</w:t>
      </w:r>
      <w:r>
        <w:rPr>
          <w:spacing w:val="-2"/>
        </w:rPr>
        <w:t>–</w:t>
      </w:r>
      <w:r>
        <w:t>1.08;</w:t>
      </w:r>
      <w:r>
        <w:rPr>
          <w:spacing w:val="-3"/>
        </w:rPr>
        <w:t xml:space="preserve"> </w:t>
      </w:r>
      <w:r>
        <w:t>29</w:t>
      </w:r>
      <w:r>
        <w:rPr>
          <w:spacing w:val="-7"/>
        </w:rPr>
        <w:t xml:space="preserve"> </w:t>
      </w:r>
      <w:r>
        <w:t>trials;</w:t>
      </w:r>
      <w:r>
        <w:rPr>
          <w:spacing w:val="-6"/>
        </w:rPr>
        <w:t xml:space="preserve"> </w:t>
      </w:r>
      <w:r>
        <w:t>5</w:t>
      </w:r>
      <w:r>
        <w:rPr>
          <w:spacing w:val="-2"/>
        </w:rPr>
        <w:t>,</w:t>
      </w:r>
      <w:r>
        <w:t>503</w:t>
      </w:r>
      <w:r w:rsidR="00CD0099">
        <w:t> </w:t>
      </w:r>
      <w:r>
        <w:t>women;</w:t>
      </w:r>
      <w:r>
        <w:rPr>
          <w:spacing w:val="-3"/>
        </w:rPr>
        <w:t xml:space="preserve"> </w:t>
      </w:r>
      <w:r>
        <w:t>low</w:t>
      </w:r>
      <w:r>
        <w:rPr>
          <w:spacing w:val="-5"/>
        </w:rPr>
        <w:t xml:space="preserve"> </w:t>
      </w:r>
      <w:r>
        <w:t>quality),</w:t>
      </w:r>
      <w:r>
        <w:rPr>
          <w:spacing w:val="-2"/>
        </w:rPr>
        <w:t xml:space="preserve"> </w:t>
      </w:r>
      <w:r>
        <w:t>and</w:t>
      </w:r>
      <w:r>
        <w:rPr>
          <w:spacing w:val="-1"/>
        </w:rPr>
        <w:t xml:space="preserve"> </w:t>
      </w:r>
      <w:r>
        <w:t>caesarean</w:t>
      </w:r>
      <w:r>
        <w:rPr>
          <w:spacing w:val="-6"/>
        </w:rPr>
        <w:t xml:space="preserve"> </w:t>
      </w:r>
      <w:r>
        <w:t>section</w:t>
      </w:r>
      <w:r>
        <w:rPr>
          <w:spacing w:val="-2"/>
        </w:rPr>
        <w:t xml:space="preserve"> </w:t>
      </w:r>
      <w:r>
        <w:t>(</w:t>
      </w:r>
      <w:r w:rsidR="00230FF7">
        <w:t>RR </w:t>
      </w:r>
      <w:r>
        <w:t>0.93,</w:t>
      </w:r>
      <w:r>
        <w:rPr>
          <w:spacing w:val="-2"/>
        </w:rPr>
        <w:t xml:space="preserve"> </w:t>
      </w:r>
      <w:r>
        <w:t>95%</w:t>
      </w:r>
      <w:r>
        <w:rPr>
          <w:spacing w:val="-6"/>
        </w:rPr>
        <w:t xml:space="preserve"> </w:t>
      </w:r>
      <w:r>
        <w:t>CI 0.81–1.07; 35 trials; 6,326</w:t>
      </w:r>
      <w:r w:rsidR="00CD0099">
        <w:t> </w:t>
      </w:r>
      <w:r>
        <w:t>women; low quality). Women taking oral misoprostol had more meconium-stained liquor (</w:t>
      </w:r>
      <w:r w:rsidR="00230FF7">
        <w:t>RR </w:t>
      </w:r>
      <w:r>
        <w:t>1.22, 95% CI 1.03–1.44, 24 trials; 3,634 women; moderate quality),</w:t>
      </w:r>
      <w:r>
        <w:rPr>
          <w:spacing w:val="-2"/>
        </w:rPr>
        <w:t xml:space="preserve"> </w:t>
      </w:r>
      <w:r>
        <w:t>less</w:t>
      </w:r>
      <w:r>
        <w:rPr>
          <w:spacing w:val="-5"/>
        </w:rPr>
        <w:t xml:space="preserve"> </w:t>
      </w:r>
      <w:r>
        <w:t>postpartum</w:t>
      </w:r>
      <w:r>
        <w:rPr>
          <w:spacing w:val="-5"/>
        </w:rPr>
        <w:t xml:space="preserve"> </w:t>
      </w:r>
      <w:r>
        <w:t>haemorrhage</w:t>
      </w:r>
      <w:r>
        <w:rPr>
          <w:spacing w:val="-7"/>
        </w:rPr>
        <w:t xml:space="preserve"> </w:t>
      </w:r>
      <w:r>
        <w:t>(</w:t>
      </w:r>
      <w:r w:rsidR="00230FF7">
        <w:t>RR </w:t>
      </w:r>
      <w:r>
        <w:t>0.57,</w:t>
      </w:r>
      <w:r>
        <w:rPr>
          <w:spacing w:val="-2"/>
        </w:rPr>
        <w:t xml:space="preserve"> </w:t>
      </w:r>
      <w:r>
        <w:t>95%</w:t>
      </w:r>
      <w:r>
        <w:rPr>
          <w:spacing w:val="-6"/>
        </w:rPr>
        <w:t xml:space="preserve"> </w:t>
      </w:r>
      <w:r>
        <w:t>CI</w:t>
      </w:r>
      <w:r>
        <w:rPr>
          <w:spacing w:val="-6"/>
        </w:rPr>
        <w:t xml:space="preserve"> </w:t>
      </w:r>
      <w:r>
        <w:t>0.34</w:t>
      </w:r>
      <w:r>
        <w:rPr>
          <w:spacing w:val="-2"/>
        </w:rPr>
        <w:t>–</w:t>
      </w:r>
      <w:r>
        <w:t>0.95;</w:t>
      </w:r>
      <w:r>
        <w:rPr>
          <w:spacing w:val="-6"/>
        </w:rPr>
        <w:t xml:space="preserve"> </w:t>
      </w:r>
      <w:r>
        <w:t>10</w:t>
      </w:r>
      <w:r>
        <w:rPr>
          <w:spacing w:val="-7"/>
        </w:rPr>
        <w:t xml:space="preserve"> </w:t>
      </w:r>
      <w:r>
        <w:t>trials;</w:t>
      </w:r>
      <w:r>
        <w:rPr>
          <w:spacing w:val="-7"/>
        </w:rPr>
        <w:t xml:space="preserve"> </w:t>
      </w:r>
      <w:r>
        <w:t>1,478</w:t>
      </w:r>
      <w:r>
        <w:rPr>
          <w:spacing w:val="-6"/>
        </w:rPr>
        <w:t xml:space="preserve"> </w:t>
      </w:r>
      <w:r>
        <w:t>women; low</w:t>
      </w:r>
      <w:r>
        <w:rPr>
          <w:spacing w:val="8"/>
        </w:rPr>
        <w:t xml:space="preserve"> </w:t>
      </w:r>
      <w:r>
        <w:t>quality)</w:t>
      </w:r>
      <w:r>
        <w:rPr>
          <w:spacing w:val="7"/>
        </w:rPr>
        <w:t xml:space="preserve"> </w:t>
      </w:r>
      <w:r>
        <w:t>and</w:t>
      </w:r>
      <w:r>
        <w:rPr>
          <w:spacing w:val="7"/>
        </w:rPr>
        <w:t xml:space="preserve"> </w:t>
      </w:r>
      <w:r>
        <w:t>fewer</w:t>
      </w:r>
      <w:r>
        <w:rPr>
          <w:spacing w:val="7"/>
        </w:rPr>
        <w:t xml:space="preserve"> </w:t>
      </w:r>
      <w:r>
        <w:t>babies</w:t>
      </w:r>
      <w:r>
        <w:rPr>
          <w:spacing w:val="9"/>
        </w:rPr>
        <w:t xml:space="preserve"> </w:t>
      </w:r>
      <w:r>
        <w:t>had</w:t>
      </w:r>
      <w:r>
        <w:rPr>
          <w:spacing w:val="7"/>
        </w:rPr>
        <w:t xml:space="preserve"> </w:t>
      </w:r>
      <w:r>
        <w:t>low</w:t>
      </w:r>
      <w:r>
        <w:rPr>
          <w:spacing w:val="9"/>
        </w:rPr>
        <w:t xml:space="preserve"> </w:t>
      </w:r>
      <w:r w:rsidR="00763E83">
        <w:t>5</w:t>
      </w:r>
      <w:r w:rsidR="00763E83">
        <w:noBreakHyphen/>
        <w:t>minute</w:t>
      </w:r>
      <w:r>
        <w:rPr>
          <w:spacing w:val="6"/>
        </w:rPr>
        <w:t xml:space="preserve"> </w:t>
      </w:r>
      <w:r>
        <w:t>Apgar</w:t>
      </w:r>
      <w:r>
        <w:rPr>
          <w:spacing w:val="7"/>
        </w:rPr>
        <w:t xml:space="preserve"> </w:t>
      </w:r>
      <w:r>
        <w:t>score</w:t>
      </w:r>
      <w:r>
        <w:rPr>
          <w:spacing w:val="6"/>
        </w:rPr>
        <w:t xml:space="preserve"> </w:t>
      </w:r>
      <w:r>
        <w:t>(</w:t>
      </w:r>
      <w:r w:rsidR="00230FF7">
        <w:t>RR </w:t>
      </w:r>
      <w:r>
        <w:t>0.60,</w:t>
      </w:r>
      <w:r>
        <w:rPr>
          <w:spacing w:val="7"/>
        </w:rPr>
        <w:t xml:space="preserve"> </w:t>
      </w:r>
      <w:r>
        <w:t>95%</w:t>
      </w:r>
      <w:r>
        <w:rPr>
          <w:spacing w:val="7"/>
        </w:rPr>
        <w:t xml:space="preserve"> </w:t>
      </w:r>
      <w:r>
        <w:t>CI</w:t>
      </w:r>
      <w:r>
        <w:rPr>
          <w:spacing w:val="2"/>
        </w:rPr>
        <w:t xml:space="preserve"> </w:t>
      </w:r>
      <w:r>
        <w:t>0.44</w:t>
      </w:r>
      <w:r>
        <w:rPr>
          <w:spacing w:val="7"/>
        </w:rPr>
        <w:t>–</w:t>
      </w:r>
      <w:r>
        <w:t>0.82; 19</w:t>
      </w:r>
      <w:r w:rsidR="00CD0099">
        <w:t> </w:t>
      </w:r>
      <w:r>
        <w:t>trials; 4,009 babies; moderate quality) compared with vaginal misoprostol. For all comparisons, the incidence of serious neonatal or maternal morbidity or death was rare. One study</w:t>
      </w:r>
      <w:r>
        <w:rPr>
          <w:spacing w:val="-14"/>
        </w:rPr>
        <w:t xml:space="preserve"> </w:t>
      </w:r>
      <w:r>
        <w:t>looked</w:t>
      </w:r>
      <w:r>
        <w:rPr>
          <w:spacing w:val="-8"/>
        </w:rPr>
        <w:t xml:space="preserve"> </w:t>
      </w:r>
      <w:r>
        <w:t>at</w:t>
      </w:r>
      <w:r>
        <w:rPr>
          <w:spacing w:val="-9"/>
        </w:rPr>
        <w:t xml:space="preserve"> </w:t>
      </w:r>
      <w:r>
        <w:t>maternal</w:t>
      </w:r>
      <w:r>
        <w:rPr>
          <w:spacing w:val="-9"/>
        </w:rPr>
        <w:t xml:space="preserve"> </w:t>
      </w:r>
      <w:r>
        <w:t>satisfaction</w:t>
      </w:r>
      <w:r>
        <w:rPr>
          <w:spacing w:val="-9"/>
        </w:rPr>
        <w:t xml:space="preserve"> </w:t>
      </w:r>
      <w:r>
        <w:t>and</w:t>
      </w:r>
      <w:r>
        <w:rPr>
          <w:spacing w:val="-8"/>
        </w:rPr>
        <w:t xml:space="preserve"> </w:t>
      </w:r>
      <w:r>
        <w:t>found</w:t>
      </w:r>
      <w:r>
        <w:rPr>
          <w:spacing w:val="-12"/>
        </w:rPr>
        <w:t xml:space="preserve"> </w:t>
      </w:r>
      <w:r>
        <w:t>that</w:t>
      </w:r>
      <w:r>
        <w:rPr>
          <w:spacing w:val="-9"/>
        </w:rPr>
        <w:t xml:space="preserve"> </w:t>
      </w:r>
      <w:r>
        <w:t>one</w:t>
      </w:r>
      <w:r>
        <w:rPr>
          <w:spacing w:val="-14"/>
        </w:rPr>
        <w:t xml:space="preserve"> </w:t>
      </w:r>
      <w:r>
        <w:t>woman</w:t>
      </w:r>
      <w:r>
        <w:rPr>
          <w:spacing w:val="-9"/>
        </w:rPr>
        <w:t xml:space="preserve"> </w:t>
      </w:r>
      <w:r>
        <w:t>in</w:t>
      </w:r>
      <w:r>
        <w:rPr>
          <w:spacing w:val="-13"/>
        </w:rPr>
        <w:t xml:space="preserve"> </w:t>
      </w:r>
      <w:r>
        <w:t>each</w:t>
      </w:r>
      <w:r>
        <w:rPr>
          <w:spacing w:val="-13"/>
        </w:rPr>
        <w:t xml:space="preserve"> </w:t>
      </w:r>
      <w:r>
        <w:t>group</w:t>
      </w:r>
      <w:r>
        <w:rPr>
          <w:spacing w:val="-8"/>
        </w:rPr>
        <w:t xml:space="preserve"> </w:t>
      </w:r>
      <w:r>
        <w:t>was</w:t>
      </w:r>
      <w:r>
        <w:rPr>
          <w:spacing w:val="-11"/>
        </w:rPr>
        <w:t xml:space="preserve"> </w:t>
      </w:r>
      <w:r>
        <w:t>dissatisfied with their treatment. The authors concluded that oral misoprostol was safer than vaginal misoprostol. The outcome of uterine hyperstimulation was dose dependent, and the authors recommend low dose</w:t>
      </w:r>
      <w:r w:rsidR="00CD0099">
        <w:br/>
      </w:r>
      <w:r>
        <w:t>20–25</w:t>
      </w:r>
      <w:r w:rsidR="00CD0099">
        <w:t> </w:t>
      </w:r>
      <w:r>
        <w:t>micrograms in solution if using oral misoprostol.</w:t>
      </w:r>
    </w:p>
    <w:p w14:paraId="4387CDD0" w14:textId="77777777" w:rsidR="00AC0F19" w:rsidRDefault="00AC0F19" w:rsidP="00CD0099"/>
    <w:p w14:paraId="4BEF7124" w14:textId="77777777" w:rsidR="00AC0F19" w:rsidRDefault="00AC0F19" w:rsidP="00CD0099">
      <w:r>
        <w:t>In the 10 trials of 3,240 women that compared oral misoprostol with vaginal PGE2 (</w:t>
      </w:r>
      <w:proofErr w:type="spellStart"/>
      <w:r>
        <w:t>dinoprostone</w:t>
      </w:r>
      <w:proofErr w:type="spellEnd"/>
      <w:r>
        <w:t>),</w:t>
      </w:r>
      <w:r>
        <w:rPr>
          <w:spacing w:val="-6"/>
        </w:rPr>
        <w:t xml:space="preserve"> </w:t>
      </w:r>
      <w:r>
        <w:t>there</w:t>
      </w:r>
      <w:r>
        <w:rPr>
          <w:spacing w:val="-7"/>
        </w:rPr>
        <w:t xml:space="preserve"> </w:t>
      </w:r>
      <w:r>
        <w:t>was</w:t>
      </w:r>
      <w:r>
        <w:rPr>
          <w:spacing w:val="-4"/>
        </w:rPr>
        <w:t xml:space="preserve"> </w:t>
      </w:r>
      <w:r>
        <w:t>similar</w:t>
      </w:r>
      <w:r>
        <w:rPr>
          <w:spacing w:val="-6"/>
        </w:rPr>
        <w:t xml:space="preserve"> </w:t>
      </w:r>
      <w:r>
        <w:t>rates</w:t>
      </w:r>
      <w:r>
        <w:rPr>
          <w:spacing w:val="-5"/>
        </w:rPr>
        <w:t xml:space="preserve"> </w:t>
      </w:r>
      <w:r>
        <w:t>of</w:t>
      </w:r>
      <w:r>
        <w:rPr>
          <w:spacing w:val="-5"/>
        </w:rPr>
        <w:t xml:space="preserve"> </w:t>
      </w:r>
      <w:r>
        <w:t>vaginal</w:t>
      </w:r>
      <w:r>
        <w:rPr>
          <w:spacing w:val="-7"/>
        </w:rPr>
        <w:t xml:space="preserve"> </w:t>
      </w:r>
      <w:r>
        <w:t>birth</w:t>
      </w:r>
      <w:r>
        <w:rPr>
          <w:spacing w:val="-6"/>
        </w:rPr>
        <w:t xml:space="preserve"> </w:t>
      </w:r>
      <w:r>
        <w:t>within</w:t>
      </w:r>
      <w:r>
        <w:rPr>
          <w:spacing w:val="-6"/>
        </w:rPr>
        <w:t xml:space="preserve"> </w:t>
      </w:r>
      <w:r w:rsidR="00EB43A9">
        <w:t>24 hours</w:t>
      </w:r>
      <w:r>
        <w:rPr>
          <w:spacing w:val="-4"/>
        </w:rPr>
        <w:t xml:space="preserve"> </w:t>
      </w:r>
      <w:r>
        <w:t>(</w:t>
      </w:r>
      <w:r w:rsidR="00230FF7">
        <w:t>RR </w:t>
      </w:r>
      <w:r>
        <w:t>1.10,</w:t>
      </w:r>
      <w:r>
        <w:rPr>
          <w:spacing w:val="-1"/>
        </w:rPr>
        <w:t xml:space="preserve"> </w:t>
      </w:r>
      <w:r>
        <w:t>95%</w:t>
      </w:r>
      <w:r>
        <w:rPr>
          <w:spacing w:val="-5"/>
        </w:rPr>
        <w:t xml:space="preserve"> </w:t>
      </w:r>
      <w:r>
        <w:t>CI</w:t>
      </w:r>
      <w:r>
        <w:rPr>
          <w:spacing w:val="-7"/>
        </w:rPr>
        <w:t xml:space="preserve"> </w:t>
      </w:r>
      <w:r>
        <w:t>0.99–1.22; 5 trials; 2,128 women; moderate quality), caesarean section (</w:t>
      </w:r>
      <w:r w:rsidR="00230FF7">
        <w:t>RR </w:t>
      </w:r>
      <w:r>
        <w:t>0.92, 95% CI 0.81</w:t>
      </w:r>
      <w:r>
        <w:rPr>
          <w:spacing w:val="-16"/>
        </w:rPr>
        <w:t>–</w:t>
      </w:r>
      <w:r>
        <w:t>1.04; 10 trials; 3,240 women; moderate quality) and uterine hyperstimulation with FHR changes (</w:t>
      </w:r>
      <w:r w:rsidR="00230FF7">
        <w:t>RR </w:t>
      </w:r>
      <w:r>
        <w:t>0.95, 95% CI 0.59–1.53; 7 trials; 2,352 women; low quality).</w:t>
      </w:r>
    </w:p>
    <w:p w14:paraId="3BD43DFB" w14:textId="77777777" w:rsidR="00AC0F19" w:rsidRDefault="00AC0F19" w:rsidP="00CD0099"/>
    <w:p w14:paraId="585AA019" w14:textId="60B6D45D" w:rsidR="00AC0F19" w:rsidRDefault="00AC0F19" w:rsidP="00CD0099">
      <w:r>
        <w:t>A systematic review with Bayesian network meta-analysis of IOL with PGs (</w:t>
      </w:r>
      <w:proofErr w:type="spellStart"/>
      <w:r>
        <w:t>Alfirevic</w:t>
      </w:r>
      <w:proofErr w:type="spellEnd"/>
      <w:r>
        <w:t xml:space="preserve"> </w:t>
      </w:r>
      <w:r w:rsidR="000F3C98">
        <w:t>et al</w:t>
      </w:r>
      <w:r>
        <w:t xml:space="preserve"> 2015) included 280 RCTs of 48,068 women in their third trimester with a viable fetus who were undergoing cervical ripening or IOL. Compared with placebo, odds of failing to achieve a vaginal birth were lowest for high-dose vaginal misoprostol (≥50 </w:t>
      </w:r>
      <w:r w:rsidR="007E350C">
        <w:t>microgram</w:t>
      </w:r>
      <w:r>
        <w:t>)</w:t>
      </w:r>
      <w:r>
        <w:rPr>
          <w:spacing w:val="39"/>
        </w:rPr>
        <w:t xml:space="preserve"> </w:t>
      </w:r>
      <w:r>
        <w:t>(OR</w:t>
      </w:r>
      <w:r w:rsidR="00CD0099">
        <w:t> </w:t>
      </w:r>
      <w:r>
        <w:t>0.06 95% CI 0.02–0.12), with a 39% absolute probability of event (95% CI 1%–94%). Compared with placebo, odds of caesarean section were lowest for low-dose (</w:t>
      </w:r>
      <w:r w:rsidR="00436939">
        <w:t>&lt;</w:t>
      </w:r>
      <w:r>
        <w:t xml:space="preserve">50 </w:t>
      </w:r>
      <w:r w:rsidR="007E350C">
        <w:t>microgram</w:t>
      </w:r>
      <w:r>
        <w:t>) titrated oral misoprostol solution (OR 0.65, 95%</w:t>
      </w:r>
      <w:r w:rsidR="00CD0099">
        <w:t xml:space="preserve"> </w:t>
      </w:r>
      <w:r>
        <w:t>CI 0.49–0.83), with an absolute</w:t>
      </w:r>
      <w:r>
        <w:rPr>
          <w:spacing w:val="8"/>
        </w:rPr>
        <w:t xml:space="preserve"> </w:t>
      </w:r>
      <w:r>
        <w:t>probability of event of 15% (3%–40%). Maternal and neonatal mortality and serious morbidity were either</w:t>
      </w:r>
      <w:r>
        <w:rPr>
          <w:spacing w:val="-3"/>
        </w:rPr>
        <w:t xml:space="preserve"> </w:t>
      </w:r>
      <w:r>
        <w:t>too</w:t>
      </w:r>
      <w:r>
        <w:rPr>
          <w:spacing w:val="-7"/>
        </w:rPr>
        <w:t xml:space="preserve"> </w:t>
      </w:r>
      <w:r>
        <w:t>rare</w:t>
      </w:r>
      <w:r>
        <w:rPr>
          <w:spacing w:val="-8"/>
        </w:rPr>
        <w:t xml:space="preserve"> </w:t>
      </w:r>
      <w:r>
        <w:t>or</w:t>
      </w:r>
      <w:r>
        <w:rPr>
          <w:spacing w:val="-6"/>
        </w:rPr>
        <w:t xml:space="preserve"> </w:t>
      </w:r>
      <w:r>
        <w:t>poorly</w:t>
      </w:r>
      <w:r>
        <w:rPr>
          <w:spacing w:val="-7"/>
        </w:rPr>
        <w:t xml:space="preserve"> </w:t>
      </w:r>
      <w:r>
        <w:t>reported</w:t>
      </w:r>
      <w:r>
        <w:rPr>
          <w:spacing w:val="-7"/>
        </w:rPr>
        <w:t xml:space="preserve"> </w:t>
      </w:r>
      <w:r>
        <w:t>to</w:t>
      </w:r>
      <w:r>
        <w:rPr>
          <w:spacing w:val="-2"/>
        </w:rPr>
        <w:t xml:space="preserve"> </w:t>
      </w:r>
      <w:r>
        <w:t>carry</w:t>
      </w:r>
      <w:r>
        <w:rPr>
          <w:spacing w:val="-6"/>
        </w:rPr>
        <w:t xml:space="preserve"> </w:t>
      </w:r>
      <w:r>
        <w:t>out</w:t>
      </w:r>
      <w:r>
        <w:rPr>
          <w:spacing w:val="-8"/>
        </w:rPr>
        <w:t xml:space="preserve"> </w:t>
      </w:r>
      <w:r>
        <w:t>meaningful</w:t>
      </w:r>
      <w:r>
        <w:rPr>
          <w:spacing w:val="-8"/>
        </w:rPr>
        <w:t xml:space="preserve"> </w:t>
      </w:r>
      <w:r>
        <w:t>analysis;</w:t>
      </w:r>
      <w:r>
        <w:rPr>
          <w:spacing w:val="-8"/>
        </w:rPr>
        <w:t xml:space="preserve"> </w:t>
      </w:r>
      <w:r>
        <w:t>when</w:t>
      </w:r>
      <w:r>
        <w:rPr>
          <w:spacing w:val="-8"/>
        </w:rPr>
        <w:t xml:space="preserve"> </w:t>
      </w:r>
      <w:r>
        <w:t>defined</w:t>
      </w:r>
      <w:r>
        <w:rPr>
          <w:spacing w:val="-7"/>
        </w:rPr>
        <w:t xml:space="preserve"> </w:t>
      </w:r>
      <w:r>
        <w:t>properly,</w:t>
      </w:r>
      <w:r>
        <w:rPr>
          <w:spacing w:val="-1"/>
        </w:rPr>
        <w:t xml:space="preserve"> </w:t>
      </w:r>
      <w:r>
        <w:t xml:space="preserve">they were rare events. Unresolved </w:t>
      </w:r>
      <w:r w:rsidRPr="00DB6F4E">
        <w:t>inconsistency</w:t>
      </w:r>
      <w:r>
        <w:t xml:space="preserve"> was observed for the hyperstimulation outcome. They did not report on maternal</w:t>
      </w:r>
      <w:r>
        <w:rPr>
          <w:spacing w:val="-7"/>
        </w:rPr>
        <w:t xml:space="preserve"> </w:t>
      </w:r>
      <w:r>
        <w:t>satisfaction.</w:t>
      </w:r>
    </w:p>
    <w:p w14:paraId="27BCB7B9" w14:textId="77777777" w:rsidR="00AC0F19" w:rsidRDefault="00AC0F19" w:rsidP="00CD0099"/>
    <w:p w14:paraId="0DE1097B" w14:textId="77777777" w:rsidR="00AC0F19" w:rsidRDefault="00AC0F19" w:rsidP="00CD0099">
      <w:pPr>
        <w:pStyle w:val="Heading2"/>
      </w:pPr>
      <w:bookmarkStart w:id="200" w:name="Discussion_on_PGs"/>
      <w:bookmarkStart w:id="201" w:name="_bookmark97"/>
      <w:bookmarkStart w:id="202" w:name="_Toc75788000"/>
      <w:bookmarkEnd w:id="200"/>
      <w:bookmarkEnd w:id="201"/>
      <w:r w:rsidRPr="00DB6F4E">
        <w:t>Discussion</w:t>
      </w:r>
      <w:r>
        <w:t xml:space="preserve"> on prostaglandins</w:t>
      </w:r>
      <w:bookmarkEnd w:id="202"/>
    </w:p>
    <w:p w14:paraId="0D355BEC" w14:textId="77777777" w:rsidR="00AC0F19" w:rsidRPr="00DB6F4E" w:rsidRDefault="00AC0F19" w:rsidP="00CD0099">
      <w:r w:rsidRPr="00DB6F4E">
        <w:t>Evidence suggests that vaginal PGE2 (</w:t>
      </w:r>
      <w:proofErr w:type="spellStart"/>
      <w:r w:rsidRPr="00DB6F4E">
        <w:t>dinoprostone</w:t>
      </w:r>
      <w:proofErr w:type="spellEnd"/>
      <w:r w:rsidRPr="00DB6F4E">
        <w:t xml:space="preserve">) and oral PGE1 analogue (misoprostol) are probably comparable in effectiveness to achieve vaginal birth in </w:t>
      </w:r>
      <w:r w:rsidR="00EB43A9">
        <w:t>24 hours</w:t>
      </w:r>
      <w:r w:rsidRPr="00DB6F4E">
        <w:t xml:space="preserve"> and in safety, but oral PGE1 is probably associated with a lower risk of caesarean section.</w:t>
      </w:r>
    </w:p>
    <w:p w14:paraId="531434F7" w14:textId="77777777" w:rsidR="00AC0F19" w:rsidRPr="00DB6F4E" w:rsidRDefault="00AC0F19" w:rsidP="00CD0099"/>
    <w:p w14:paraId="4940C577" w14:textId="77777777" w:rsidR="00AC0F19" w:rsidRPr="00DB6F4E" w:rsidRDefault="00AC0F19" w:rsidP="00CD0099">
      <w:r w:rsidRPr="00DB6F4E">
        <w:t xml:space="preserve">The </w:t>
      </w:r>
      <w:r>
        <w:t>p</w:t>
      </w:r>
      <w:r w:rsidRPr="00DB6F4E">
        <w:t>anel noted that</w:t>
      </w:r>
      <w:r>
        <w:t>,</w:t>
      </w:r>
      <w:r w:rsidRPr="00DB6F4E">
        <w:t xml:space="preserve"> in their experience of reviewing cases, sometimes uterine hyperstimulation is not recognised, so </w:t>
      </w:r>
      <w:r>
        <w:t>clinicians</w:t>
      </w:r>
      <w:r w:rsidRPr="00DB6F4E">
        <w:t xml:space="preserve"> should </w:t>
      </w:r>
      <w:r>
        <w:t xml:space="preserve">consider </w:t>
      </w:r>
      <w:r w:rsidRPr="00DB6F4E">
        <w:t xml:space="preserve">a note of caution for any woman receiving any </w:t>
      </w:r>
      <w:r>
        <w:t>PG</w:t>
      </w:r>
      <w:r w:rsidRPr="00DB6F4E">
        <w:t>.</w:t>
      </w:r>
    </w:p>
    <w:p w14:paraId="54E448FC" w14:textId="77777777" w:rsidR="00AC0F19" w:rsidRPr="00DB6F4E" w:rsidRDefault="00AC0F19" w:rsidP="00CD0099">
      <w:pPr>
        <w:spacing w:before="240"/>
      </w:pPr>
      <w:r w:rsidRPr="00DB6F4E">
        <w:lastRenderedPageBreak/>
        <w:t>For vaginal PGE2 (</w:t>
      </w:r>
      <w:proofErr w:type="spellStart"/>
      <w:r w:rsidRPr="00DB6F4E">
        <w:t>dinoprostone</w:t>
      </w:r>
      <w:proofErr w:type="spellEnd"/>
      <w:r w:rsidRPr="00DB6F4E">
        <w:t xml:space="preserve">), the </w:t>
      </w:r>
      <w:r>
        <w:t>p</w:t>
      </w:r>
      <w:r w:rsidRPr="00DB6F4E">
        <w:t xml:space="preserve">anel agreed that it is reasonable to continue to offer either gel or controlled-release pessary (CERVIDIL®) for cervical ripening because the limited evidence suggests both administration methods are comparable for the outcome of vaginal birth in </w:t>
      </w:r>
      <w:r w:rsidR="00EB43A9">
        <w:t>24 hours</w:t>
      </w:r>
      <w:r w:rsidRPr="00DB6F4E">
        <w:t xml:space="preserve"> and for risk of caesarean section. It seems that controlled-release pessary is associated with more uterine tachysystole and </w:t>
      </w:r>
      <w:proofErr w:type="spellStart"/>
      <w:r w:rsidRPr="00DB6F4E">
        <w:t>hypertonus</w:t>
      </w:r>
      <w:proofErr w:type="spellEnd"/>
      <w:r w:rsidRPr="00DB6F4E">
        <w:t xml:space="preserve"> than gel, but </w:t>
      </w:r>
      <w:r>
        <w:t xml:space="preserve">it is </w:t>
      </w:r>
      <w:r w:rsidRPr="00DB6F4E">
        <w:t xml:space="preserve">not </w:t>
      </w:r>
      <w:r>
        <w:t xml:space="preserve">associated </w:t>
      </w:r>
      <w:r w:rsidRPr="00DB6F4E">
        <w:t xml:space="preserve">with more uterine hyperstimulation with FHR changes. However, this result should be interpreted with caution due to the small sample size. Specialised training in technique for positioning CERVIDIL® is required in order to ensure therapeutic and cost effectiveness. There is insufficient evidence to make recommendations regarding duration and repeat doses of controlled-release pessary nor regarding dose of vaginal gel by parity, repeat doses, total dose or time frame. In order to develop practice points, </w:t>
      </w:r>
      <w:r>
        <w:t>the panel</w:t>
      </w:r>
      <w:r w:rsidRPr="00DB6F4E">
        <w:t xml:space="preserve"> consulted with </w:t>
      </w:r>
      <w:r>
        <w:t>the Pharmaceutical</w:t>
      </w:r>
      <w:r w:rsidRPr="00DB6F4E">
        <w:t xml:space="preserve"> Society </w:t>
      </w:r>
      <w:r>
        <w:t>of New Zealand</w:t>
      </w:r>
      <w:r w:rsidRPr="00DB6F4E">
        <w:t xml:space="preserve"> and </w:t>
      </w:r>
      <w:r>
        <w:t>HQSC</w:t>
      </w:r>
      <w:r w:rsidRPr="00DB6F4E">
        <w:t xml:space="preserve"> and reviewed </w:t>
      </w:r>
      <w:r>
        <w:t xml:space="preserve">the </w:t>
      </w:r>
      <w:r w:rsidRPr="00DB6F4E">
        <w:t xml:space="preserve">protocols of </w:t>
      </w:r>
      <w:r>
        <w:t xml:space="preserve">the </w:t>
      </w:r>
      <w:r w:rsidRPr="00DB6F4E">
        <w:t xml:space="preserve">trials </w:t>
      </w:r>
      <w:r>
        <w:t>described</w:t>
      </w:r>
      <w:r w:rsidRPr="00DB6F4E">
        <w:t xml:space="preserve"> above.</w:t>
      </w:r>
    </w:p>
    <w:p w14:paraId="54D0D4D2" w14:textId="77777777" w:rsidR="00AC0F19" w:rsidRPr="00DB6F4E" w:rsidRDefault="00AC0F19" w:rsidP="00CD0099"/>
    <w:p w14:paraId="6A815DFE" w14:textId="05EE2BF8" w:rsidR="00AC0F19" w:rsidRPr="00DB6F4E" w:rsidRDefault="00AC0F19" w:rsidP="00CD0099">
      <w:r w:rsidRPr="00DB6F4E">
        <w:t xml:space="preserve">For PGE1 analogue (misoprostol), it seems that vaginal administration is associated with more uterine tachysystole and </w:t>
      </w:r>
      <w:proofErr w:type="spellStart"/>
      <w:r w:rsidRPr="00DB6F4E">
        <w:t>hypertonus</w:t>
      </w:r>
      <w:proofErr w:type="spellEnd"/>
      <w:r w:rsidRPr="00DB6F4E">
        <w:t>, and possibly more uterine hyperstimulation with FHR changes, than oral administration. Thus</w:t>
      </w:r>
      <w:r>
        <w:t>,</w:t>
      </w:r>
      <w:r w:rsidRPr="00DB6F4E">
        <w:t xml:space="preserve"> if a decision is made to use misoprostol, the </w:t>
      </w:r>
      <w:r>
        <w:t>p</w:t>
      </w:r>
      <w:r w:rsidRPr="00DB6F4E">
        <w:t xml:space="preserve">anel agreed it would be prudent to use oral misoprostol rather than vaginal. Oral administration may have the added benefit of fewer vaginal examinations. Oral misoprostol 25 </w:t>
      </w:r>
      <w:r w:rsidR="007E350C">
        <w:t>microgram</w:t>
      </w:r>
      <w:r w:rsidRPr="00DB6F4E">
        <w:t xml:space="preserve"> in solution two-hourly is widely used internationally and is recommended by the World Health Organi</w:t>
      </w:r>
      <w:r>
        <w:t>z</w:t>
      </w:r>
      <w:r w:rsidRPr="00DB6F4E">
        <w:t>ation (WHO). The method of dissolving the misoprostol tablet in water to achieve the correct dose is easy and well described.</w:t>
      </w:r>
    </w:p>
    <w:p w14:paraId="7FFFD414" w14:textId="77777777" w:rsidR="00AC0F19" w:rsidRPr="00DB6F4E" w:rsidRDefault="00AC0F19" w:rsidP="00CD0099"/>
    <w:p w14:paraId="1477F84E" w14:textId="77777777" w:rsidR="00AC0F19" w:rsidRPr="00DB6F4E" w:rsidRDefault="00AC0F19" w:rsidP="00CD0099">
      <w:r w:rsidRPr="00DB6F4E">
        <w:t xml:space="preserve">Although misoprostol is an approved medicine in </w:t>
      </w:r>
      <w:r>
        <w:t>New Zealand</w:t>
      </w:r>
      <w:r w:rsidRPr="00DB6F4E">
        <w:t xml:space="preserve">, it is not approved for use in childbirth. However, it can be regarded and used as a supported indication. This is similar to other medications </w:t>
      </w:r>
      <w:r>
        <w:t>that</w:t>
      </w:r>
      <w:r w:rsidRPr="00DB6F4E">
        <w:t xml:space="preserve"> are not approved for the indication they are sometimes used, for example, nifedipine for tocolysis. Many clinicians or DHBs may not be comfortable using it </w:t>
      </w:r>
      <w:r w:rsidR="00B0606D">
        <w:t>‘</w:t>
      </w:r>
      <w:r w:rsidRPr="00DB6F4E">
        <w:t>off-label</w:t>
      </w:r>
      <w:r>
        <w:t>,</w:t>
      </w:r>
      <w:r w:rsidR="00B0606D">
        <w:t>’</w:t>
      </w:r>
      <w:r w:rsidRPr="00DB6F4E">
        <w:t xml:space="preserve"> which could be a potential barrier to use. </w:t>
      </w:r>
      <w:r>
        <w:t>The panel has</w:t>
      </w:r>
      <w:r w:rsidRPr="00DB6F4E">
        <w:t xml:space="preserve"> sought advice on </w:t>
      </w:r>
      <w:r>
        <w:t>the</w:t>
      </w:r>
      <w:r w:rsidRPr="00DB6F4E">
        <w:t xml:space="preserve"> issue</w:t>
      </w:r>
      <w:r>
        <w:t>: t</w:t>
      </w:r>
      <w:r w:rsidRPr="00DB6F4E">
        <w:t>he National Maternity Monitoring Group</w:t>
      </w:r>
      <w:r>
        <w:t>,</w:t>
      </w:r>
      <w:r w:rsidRPr="00DB6F4E">
        <w:t xml:space="preserve"> </w:t>
      </w:r>
      <w:r>
        <w:t>in the Ministry of Health,</w:t>
      </w:r>
      <w:r w:rsidRPr="00DB6F4E">
        <w:t xml:space="preserve"> support the use of misoprostol as an option for women undergoing IOL.</w:t>
      </w:r>
    </w:p>
    <w:p w14:paraId="597D97AF" w14:textId="77777777" w:rsidR="00AC0F19" w:rsidRPr="00DB6F4E" w:rsidRDefault="00AC0F19" w:rsidP="00CD0099"/>
    <w:p w14:paraId="4230FC20" w14:textId="77777777" w:rsidR="00AC0F19" w:rsidRDefault="00AC0F19" w:rsidP="00CD0099">
      <w:r w:rsidRPr="00DB6F4E">
        <w:t xml:space="preserve">The Pharmaceutical Society of </w:t>
      </w:r>
      <w:r>
        <w:t>New Zealand</w:t>
      </w:r>
      <w:r w:rsidRPr="00DB6F4E">
        <w:t xml:space="preserve"> states that</w:t>
      </w:r>
      <w:r>
        <w:t>,</w:t>
      </w:r>
      <w:r w:rsidRPr="00DB6F4E">
        <w:t xml:space="preserve"> while it is recognised that cervical ripening in the setting of IOL in childbirth has not been listed as a registered indication for misoprostol use in </w:t>
      </w:r>
      <w:r>
        <w:t>New Zealand</w:t>
      </w:r>
      <w:r w:rsidRPr="00DB6F4E">
        <w:t>, the use of misoprostol in childbirth has been widely researched internationally and endorsed by the WHO. They do not believe that written informed consent for use of misoprostol for cervical ripening in IOL in childbirth is necessary but recommend referral to local policies</w:t>
      </w:r>
      <w:r>
        <w:t xml:space="preserve"> on off-label use of medicines.</w:t>
      </w:r>
    </w:p>
    <w:p w14:paraId="6C453283" w14:textId="77777777" w:rsidR="00AC0F19" w:rsidRDefault="00AC0F19" w:rsidP="00CD0099"/>
    <w:p w14:paraId="35AFB218" w14:textId="77777777" w:rsidR="00AC0F19" w:rsidRPr="00250EE5" w:rsidRDefault="00AC0F19" w:rsidP="00CD0099">
      <w:r w:rsidRPr="00250EE5">
        <w:t xml:space="preserve">The </w:t>
      </w:r>
      <w:r>
        <w:t>HQSC</w:t>
      </w:r>
      <w:r w:rsidRPr="00250EE5">
        <w:t xml:space="preserve"> recommends that the strength of misoprostol oral solution </w:t>
      </w:r>
      <w:r>
        <w:t>be</w:t>
      </w:r>
      <w:r w:rsidRPr="00250EE5">
        <w:t xml:space="preserve"> standardised nationally to ensure consistency. </w:t>
      </w:r>
      <w:r>
        <w:t>It</w:t>
      </w:r>
      <w:r w:rsidRPr="00250EE5">
        <w:t xml:space="preserve"> recommends that best evidence-based information </w:t>
      </w:r>
      <w:r>
        <w:t>be made</w:t>
      </w:r>
      <w:r w:rsidRPr="00250EE5">
        <w:t xml:space="preserve"> available for staff making this preparation and that the same strength </w:t>
      </w:r>
      <w:r>
        <w:t>be</w:t>
      </w:r>
      <w:r w:rsidRPr="00250EE5">
        <w:t xml:space="preserve"> prepared across all health organisations to prevent medicine dosing errors occurring due to strength mix-ups, particularly when staff work across different organisations. Any guidance on preparation should include who may prepare the solution, where it may be prepared, how to prepare it and the expiry (</w:t>
      </w:r>
      <w:r>
        <w:t>for example</w:t>
      </w:r>
      <w:r w:rsidRPr="00250EE5">
        <w:t xml:space="preserve">, for product prepared </w:t>
      </w:r>
      <w:r w:rsidR="00B0606D">
        <w:t>‘</w:t>
      </w:r>
      <w:r w:rsidRPr="00250EE5">
        <w:t>at the bedside</w:t>
      </w:r>
      <w:r w:rsidR="00B0606D">
        <w:t>’</w:t>
      </w:r>
      <w:r w:rsidRPr="00250EE5">
        <w:t xml:space="preserve"> </w:t>
      </w:r>
      <w:r>
        <w:t>compared with</w:t>
      </w:r>
      <w:r w:rsidRPr="00250EE5">
        <w:t xml:space="preserve"> in a pharmacy). HQSC has kindly provided two protocols that </w:t>
      </w:r>
      <w:r>
        <w:t xml:space="preserve">are listed </w:t>
      </w:r>
      <w:r w:rsidRPr="00C90D40">
        <w:t>in Appendix E.</w:t>
      </w:r>
    </w:p>
    <w:p w14:paraId="305008C7" w14:textId="77777777" w:rsidR="00AC0F19" w:rsidRPr="00250EE5" w:rsidRDefault="00AC0F19" w:rsidP="00CD0099">
      <w:pPr>
        <w:spacing w:before="240"/>
      </w:pPr>
      <w:r w:rsidRPr="00250EE5">
        <w:lastRenderedPageBreak/>
        <w:t xml:space="preserve">The </w:t>
      </w:r>
      <w:r>
        <w:t>p</w:t>
      </w:r>
      <w:r w:rsidRPr="00250EE5">
        <w:t xml:space="preserve">anel suggests that DHBs consult locally and develop local guidelines based on those provided, in cooperation with their local </w:t>
      </w:r>
      <w:r>
        <w:t>p</w:t>
      </w:r>
      <w:r w:rsidRPr="00250EE5">
        <w:t>harmacy, should they choose to use misoprostol. MidCentral DHB implemented misoprostol in 2018 and are another resource to assist with this.</w:t>
      </w:r>
    </w:p>
    <w:p w14:paraId="096D8DC4" w14:textId="77777777" w:rsidR="00AC0F19" w:rsidRPr="00250EE5" w:rsidRDefault="00AC0F19" w:rsidP="00CD0099"/>
    <w:p w14:paraId="4AE45904" w14:textId="77777777" w:rsidR="00AC0F19" w:rsidRDefault="00AC0F19" w:rsidP="00CD0099">
      <w:pPr>
        <w:pStyle w:val="Heading2"/>
      </w:pPr>
      <w:bookmarkStart w:id="203" w:name="5.3_Balloon_catheter"/>
      <w:bookmarkStart w:id="204" w:name="_bookmark98"/>
      <w:bookmarkStart w:id="205" w:name="_Toc75788001"/>
      <w:bookmarkEnd w:id="203"/>
      <w:bookmarkEnd w:id="204"/>
      <w:r>
        <w:t>Balloon</w:t>
      </w:r>
      <w:r>
        <w:rPr>
          <w:spacing w:val="-4"/>
        </w:rPr>
        <w:t xml:space="preserve"> </w:t>
      </w:r>
      <w:r w:rsidRPr="00250EE5">
        <w:t>catheter</w:t>
      </w:r>
      <w:bookmarkEnd w:id="205"/>
    </w:p>
    <w:p w14:paraId="3537CCDD" w14:textId="77777777" w:rsidR="00AC0F19" w:rsidRDefault="00AC0F19" w:rsidP="00CD0099">
      <w:pPr>
        <w:pStyle w:val="Heading3"/>
      </w:pPr>
      <w:bookmarkStart w:id="206" w:name="_bookmark99"/>
      <w:bookmarkEnd w:id="206"/>
      <w:r>
        <w:t>Summary of evidence</w:t>
      </w:r>
    </w:p>
    <w:p w14:paraId="38BB0F08" w14:textId="77777777" w:rsidR="00AC0F19" w:rsidRPr="00250EE5" w:rsidRDefault="00AC0F19" w:rsidP="00CD0099">
      <w:r w:rsidRPr="00250EE5">
        <w:t xml:space="preserve">One systematic review was identified evaluating mechanical methods, and two RCTs </w:t>
      </w:r>
      <w:r>
        <w:t xml:space="preserve">have been </w:t>
      </w:r>
      <w:r w:rsidRPr="00250EE5">
        <w:t>published since the meta-analysis.</w:t>
      </w:r>
    </w:p>
    <w:p w14:paraId="7B3C6A16" w14:textId="77777777" w:rsidR="00AC0F19" w:rsidRPr="00250EE5" w:rsidRDefault="00AC0F19" w:rsidP="00CD0099"/>
    <w:p w14:paraId="57BED96F" w14:textId="77777777" w:rsidR="00AC0F19" w:rsidRPr="00250EE5" w:rsidRDefault="00AC0F19" w:rsidP="00CD0099">
      <w:r w:rsidRPr="00250EE5">
        <w:t>A Cochrane systematic review (</w:t>
      </w:r>
      <w:proofErr w:type="spellStart"/>
      <w:r w:rsidRPr="00250EE5">
        <w:t>Jozwiak</w:t>
      </w:r>
      <w:proofErr w:type="spellEnd"/>
      <w:r w:rsidRPr="00250EE5">
        <w:t xml:space="preserve"> </w:t>
      </w:r>
      <w:r w:rsidR="000F3C98">
        <w:t>et al</w:t>
      </w:r>
      <w:r>
        <w:t xml:space="preserve"> </w:t>
      </w:r>
      <w:r w:rsidRPr="00250EE5">
        <w:t>2012</w:t>
      </w:r>
      <w:r>
        <w:t>a</w:t>
      </w:r>
      <w:r w:rsidRPr="00250EE5">
        <w:t>) of 71 RCTs of 9</w:t>
      </w:r>
      <w:r>
        <w:t>,</w:t>
      </w:r>
      <w:r w:rsidRPr="00250EE5">
        <w:t xml:space="preserve">722 women compared mechanical methods for IOL </w:t>
      </w:r>
      <w:r>
        <w:t>with</w:t>
      </w:r>
      <w:r w:rsidRPr="00250EE5">
        <w:t xml:space="preserve"> any PG. In the 21 studies of 3</w:t>
      </w:r>
      <w:r>
        <w:t>,</w:t>
      </w:r>
      <w:r w:rsidRPr="00250EE5">
        <w:t xml:space="preserve">202 women comparing balloon catheter specifically </w:t>
      </w:r>
      <w:r>
        <w:t>with</w:t>
      </w:r>
      <w:r w:rsidRPr="00250EE5">
        <w:t xml:space="preserve"> PGs, balloon catheter resulted in similar caesarean section rates (</w:t>
      </w:r>
      <w:r w:rsidR="00230FF7">
        <w:t>RR </w:t>
      </w:r>
      <w:r w:rsidRPr="00250EE5">
        <w:t>1.01, 95% CI 0.9</w:t>
      </w:r>
      <w:r>
        <w:t>–</w:t>
      </w:r>
      <w:r w:rsidRPr="00250EE5">
        <w:t>1.13; 21 trials</w:t>
      </w:r>
      <w:r>
        <w:t>;</w:t>
      </w:r>
      <w:r w:rsidRPr="00250EE5">
        <w:t xml:space="preserve"> moderate quality), assisted vaginal births (</w:t>
      </w:r>
      <w:r w:rsidR="00230FF7">
        <w:t>RR </w:t>
      </w:r>
      <w:r w:rsidRPr="00250EE5">
        <w:t>0.99, 95% CI</w:t>
      </w:r>
      <w:r>
        <w:t xml:space="preserve"> </w:t>
      </w:r>
      <w:r w:rsidRPr="00250EE5">
        <w:t>0.79</w:t>
      </w:r>
      <w:r>
        <w:t>–</w:t>
      </w:r>
      <w:r w:rsidRPr="00250EE5">
        <w:t xml:space="preserve">1.24; 6 trials; moderate quality) and vaginal birth not achieved in </w:t>
      </w:r>
      <w:r w:rsidR="00EB43A9">
        <w:t>24 hours</w:t>
      </w:r>
      <w:r w:rsidRPr="00250EE5">
        <w:t xml:space="preserve"> (</w:t>
      </w:r>
      <w:r w:rsidR="00230FF7">
        <w:t>RR </w:t>
      </w:r>
      <w:r w:rsidRPr="00250EE5">
        <w:t>1.26, 95% CI 0.94</w:t>
      </w:r>
      <w:r>
        <w:t>–</w:t>
      </w:r>
      <w:r w:rsidRPr="00250EE5">
        <w:t xml:space="preserve">1.68; 7 trials; low quality) compared </w:t>
      </w:r>
      <w:r>
        <w:t>with</w:t>
      </w:r>
      <w:r w:rsidRPr="00250EE5">
        <w:t xml:space="preserve"> any PG. For balloon catheter induction, more women needed oxytocin augmentation (</w:t>
      </w:r>
      <w:r w:rsidR="00230FF7">
        <w:t>RR </w:t>
      </w:r>
      <w:r w:rsidRPr="00250EE5">
        <w:t>1.51, 95% CI 1.15</w:t>
      </w:r>
      <w:r>
        <w:t>–</w:t>
      </w:r>
      <w:r w:rsidRPr="00250EE5">
        <w:t>1.97; 6 studies; low</w:t>
      </w:r>
      <w:r>
        <w:t>-</w:t>
      </w:r>
      <w:r w:rsidRPr="00250EE5">
        <w:t>quality evidence)</w:t>
      </w:r>
      <w:r>
        <w:t>,</w:t>
      </w:r>
      <w:r w:rsidRPr="00250EE5">
        <w:t xml:space="preserve"> and there was less risk of uterine hyperstimulation with </w:t>
      </w:r>
      <w:r>
        <w:t>FHR</w:t>
      </w:r>
      <w:r w:rsidRPr="00250EE5">
        <w:t xml:space="preserve"> changes (</w:t>
      </w:r>
      <w:r w:rsidR="00230FF7">
        <w:t>RR </w:t>
      </w:r>
      <w:r w:rsidRPr="00250EE5">
        <w:t>0.19, 95% CI 0.08</w:t>
      </w:r>
      <w:r>
        <w:t>–</w:t>
      </w:r>
      <w:r w:rsidRPr="00250EE5">
        <w:t>0.43; 9</w:t>
      </w:r>
      <w:r w:rsidR="00CD0099">
        <w:t> </w:t>
      </w:r>
      <w:r w:rsidRPr="00250EE5">
        <w:t>studies; moderate quality).</w:t>
      </w:r>
    </w:p>
    <w:p w14:paraId="4FA85283" w14:textId="77777777" w:rsidR="00AC0F19" w:rsidRPr="00250EE5" w:rsidRDefault="00AC0F19" w:rsidP="00CD0099"/>
    <w:p w14:paraId="0772479B" w14:textId="77777777" w:rsidR="00AC0F19" w:rsidRPr="00250EE5" w:rsidRDefault="00AC0F19" w:rsidP="00CD0099">
      <w:r w:rsidRPr="00250EE5">
        <w:t xml:space="preserve">Compared with PGE2 alone, PGE2 plus balloon catheter resulted in </w:t>
      </w:r>
      <w:r>
        <w:t xml:space="preserve">a </w:t>
      </w:r>
      <w:r w:rsidRPr="00250EE5">
        <w:t xml:space="preserve">decreased rate of not achieving vaginal birth at </w:t>
      </w:r>
      <w:r w:rsidR="00EB43A9">
        <w:t>24 hours</w:t>
      </w:r>
      <w:r w:rsidRPr="00250EE5">
        <w:t xml:space="preserve"> (</w:t>
      </w:r>
      <w:r w:rsidR="00230FF7">
        <w:t>RR </w:t>
      </w:r>
      <w:r w:rsidRPr="00250EE5">
        <w:t>0.45, 95% 0.28</w:t>
      </w:r>
      <w:r>
        <w:t>–</w:t>
      </w:r>
      <w:r w:rsidRPr="00250EE5">
        <w:t>0.71; 3 trials; moderate quality), similar caesarean section rate (0.92, 95% 0.79</w:t>
      </w:r>
      <w:r>
        <w:t>–</w:t>
      </w:r>
      <w:r w:rsidRPr="00250EE5">
        <w:t>1.08; 3 trials; moderate quality) and less uterine hyperstimulation with FHR changes (</w:t>
      </w:r>
      <w:r w:rsidR="00230FF7">
        <w:t>RR </w:t>
      </w:r>
      <w:r w:rsidRPr="00250EE5">
        <w:t>0.53, 95% 0.35</w:t>
      </w:r>
      <w:r>
        <w:t>–</w:t>
      </w:r>
      <w:r w:rsidRPr="00250EE5">
        <w:t xml:space="preserve">0.78; 1 trial; low quality). Only one trial measured patient satisfaction and discomfort. Women reported less discomfort with the single balloon catheter compared </w:t>
      </w:r>
      <w:r>
        <w:t>with</w:t>
      </w:r>
      <w:r w:rsidRPr="00250EE5">
        <w:t xml:space="preserve"> the double balloon and PGE2 but a comparable overall satisfaction with the three methods.</w:t>
      </w:r>
    </w:p>
    <w:p w14:paraId="4631BAE2" w14:textId="77777777" w:rsidR="00AC0F19" w:rsidRPr="00250EE5" w:rsidRDefault="00AC0F19" w:rsidP="00CD0099"/>
    <w:p w14:paraId="7CDB4511" w14:textId="77777777" w:rsidR="00AC0F19" w:rsidRPr="00250EE5" w:rsidRDefault="00AC0F19" w:rsidP="00AC0F19">
      <w:r w:rsidRPr="00250EE5">
        <w:t>PR</w:t>
      </w:r>
      <w:r w:rsidRPr="00CD0099">
        <w:t>O</w:t>
      </w:r>
      <w:r w:rsidRPr="00250EE5">
        <w:t>BAAT-II was a multicentre randomised controlled non-inferiority trial in the United Kingdom (</w:t>
      </w:r>
      <w:proofErr w:type="spellStart"/>
      <w:r w:rsidRPr="00250EE5">
        <w:t>Eikelder</w:t>
      </w:r>
      <w:proofErr w:type="spellEnd"/>
      <w:r w:rsidRPr="00250EE5">
        <w:t xml:space="preserve"> </w:t>
      </w:r>
      <w:r w:rsidR="000F3C98">
        <w:t>et al</w:t>
      </w:r>
      <w:r>
        <w:t xml:space="preserve"> </w:t>
      </w:r>
      <w:r w:rsidRPr="00250EE5">
        <w:t>2016) of 1</w:t>
      </w:r>
      <w:r>
        <w:t>,</w:t>
      </w:r>
      <w:r w:rsidRPr="00250EE5">
        <w:t xml:space="preserve">859 women with an unfavourable cervix and intact membranes having IOL at term, comparing oral misoprostol </w:t>
      </w:r>
      <w:r>
        <w:t>with</w:t>
      </w:r>
      <w:r w:rsidRPr="00250EE5">
        <w:t xml:space="preserve"> a single balloon catheter left in situ from 12 up to </w:t>
      </w:r>
      <w:r w:rsidR="00EB43A9">
        <w:t>48 hours</w:t>
      </w:r>
      <w:r w:rsidRPr="00250EE5">
        <w:t xml:space="preserve">. The composite primary outcome (neonatal asphyxia or post-partum haemorrhage) occurred in 12.2% of participants in the misoprostol group </w:t>
      </w:r>
      <w:r>
        <w:t>compared with</w:t>
      </w:r>
      <w:r w:rsidRPr="00250EE5">
        <w:t xml:space="preserve"> 11.5% in the balloon group (</w:t>
      </w:r>
      <w:r>
        <w:t>adjusted relative risk (</w:t>
      </w:r>
      <w:proofErr w:type="spellStart"/>
      <w:r w:rsidRPr="00250EE5">
        <w:t>aRR</w:t>
      </w:r>
      <w:proofErr w:type="spellEnd"/>
      <w:r>
        <w:t>)</w:t>
      </w:r>
      <w:r w:rsidRPr="00250EE5">
        <w:t xml:space="preserve"> 1.06, 90% CI 0.</w:t>
      </w:r>
      <w:r>
        <w:t>–</w:t>
      </w:r>
      <w:r w:rsidRPr="00250EE5">
        <w:t xml:space="preserve">1.31), and caesarean section occurred in 16.8% </w:t>
      </w:r>
      <w:r>
        <w:t>compared with</w:t>
      </w:r>
      <w:r w:rsidRPr="00250EE5">
        <w:t xml:space="preserve"> 20.1% (</w:t>
      </w:r>
      <w:r w:rsidR="00230FF7">
        <w:t>RR </w:t>
      </w:r>
      <w:r w:rsidRPr="00250EE5">
        <w:t>0.84, 95% CI 0.69</w:t>
      </w:r>
      <w:r>
        <w:t>–</w:t>
      </w:r>
      <w:r w:rsidRPr="00250EE5">
        <w:t>1.02</w:t>
      </w:r>
      <w:r>
        <w:t>;</w:t>
      </w:r>
      <w:r w:rsidRPr="00250EE5">
        <w:t xml:space="preserve"> p=0.07). They did not have maternal satisfaction as an outcome. There were 27 adverse events reported in the misoprostol group </w:t>
      </w:r>
      <w:r>
        <w:t>compared with</w:t>
      </w:r>
      <w:r w:rsidRPr="00250EE5">
        <w:t xml:space="preserve"> 25 in the balloon group, none of which was related to the intervention. Both balloon catheter and misoprostol were considered to be of equivalent effectiveness and safety.</w:t>
      </w:r>
    </w:p>
    <w:p w14:paraId="02F59CA2" w14:textId="77777777" w:rsidR="00AC0F19" w:rsidRPr="00250EE5" w:rsidRDefault="00AC0F19" w:rsidP="00CD0099"/>
    <w:p w14:paraId="2386A548" w14:textId="77777777" w:rsidR="00AC0F19" w:rsidRDefault="00AC0F19" w:rsidP="00CD0099">
      <w:pPr>
        <w:keepLines/>
      </w:pPr>
      <w:r w:rsidRPr="00250EE5">
        <w:lastRenderedPageBreak/>
        <w:t xml:space="preserve">INFORM was an RCT in India of 602 women with hypertension in pregnancy, comparing oral misoprostol </w:t>
      </w:r>
      <w:r>
        <w:t>with</w:t>
      </w:r>
      <w:r w:rsidRPr="00250EE5">
        <w:t xml:space="preserve"> a single balloon catheter left in situ for </w:t>
      </w:r>
      <w:r w:rsidR="003A4BD4">
        <w:t>12 hours</w:t>
      </w:r>
      <w:r w:rsidRPr="00250EE5">
        <w:t xml:space="preserve"> (</w:t>
      </w:r>
      <w:proofErr w:type="spellStart"/>
      <w:r w:rsidRPr="00250EE5">
        <w:t>Mundle</w:t>
      </w:r>
      <w:proofErr w:type="spellEnd"/>
      <w:r w:rsidRPr="00250EE5">
        <w:t xml:space="preserve"> </w:t>
      </w:r>
      <w:r w:rsidR="000F3C98">
        <w:t>et al</w:t>
      </w:r>
      <w:r>
        <w:t xml:space="preserve"> </w:t>
      </w:r>
      <w:r w:rsidRPr="00250EE5">
        <w:t>2017). Women in</w:t>
      </w:r>
      <w:r>
        <w:t xml:space="preserve"> the misoprostol group were more likely to have a vaginal birth within </w:t>
      </w:r>
      <w:r w:rsidR="00EB43A9">
        <w:t>24 hours</w:t>
      </w:r>
      <w:r>
        <w:t xml:space="preserve"> compared with women in the balloon group (57% vs 47% women; absolute risk difference 10%, 95% CI 2·0–17·9; p=0·01). Uterine hyperstimulation was uncommon (two cases (0·7%) vs one (0·3%); absolute risk difference 0·3%, 95% CI </w:t>
      </w:r>
      <w:r w:rsidRPr="00CE3061">
        <w:rPr>
          <w:vertAlign w:val="superscript"/>
        </w:rPr>
        <w:t>–</w:t>
      </w:r>
      <w:r>
        <w:t>0·8–1·5; p=0·57). There were 17 serious adverse events (3%): one case of intrapartum convulsion and one case of disseminated intravascular coagulation (both in the balloon group); two stillbirths (both in the balloon group); eight neonatal deaths (five in the misoprostol group and three in the balloon group); three cases of birth</w:t>
      </w:r>
      <w:r>
        <w:rPr>
          <w:spacing w:val="-8"/>
        </w:rPr>
        <w:t xml:space="preserve"> </w:t>
      </w:r>
      <w:r>
        <w:t>asphyxia</w:t>
      </w:r>
      <w:r>
        <w:rPr>
          <w:spacing w:val="-4"/>
        </w:rPr>
        <w:t xml:space="preserve"> </w:t>
      </w:r>
      <w:r>
        <w:t>and</w:t>
      </w:r>
      <w:r>
        <w:rPr>
          <w:spacing w:val="-7"/>
        </w:rPr>
        <w:t xml:space="preserve"> </w:t>
      </w:r>
      <w:r>
        <w:t>one</w:t>
      </w:r>
      <w:r>
        <w:rPr>
          <w:spacing w:val="-4"/>
        </w:rPr>
        <w:t xml:space="preserve"> </w:t>
      </w:r>
      <w:r>
        <w:t>case</w:t>
      </w:r>
      <w:r>
        <w:rPr>
          <w:spacing w:val="-4"/>
        </w:rPr>
        <w:t xml:space="preserve"> </w:t>
      </w:r>
      <w:r>
        <w:t>each</w:t>
      </w:r>
      <w:r>
        <w:rPr>
          <w:spacing w:val="-7"/>
        </w:rPr>
        <w:t xml:space="preserve"> </w:t>
      </w:r>
      <w:r>
        <w:t>of</w:t>
      </w:r>
      <w:r>
        <w:rPr>
          <w:spacing w:val="-3"/>
        </w:rPr>
        <w:t xml:space="preserve"> </w:t>
      </w:r>
      <w:r>
        <w:t>septicaemia</w:t>
      </w:r>
      <w:r>
        <w:rPr>
          <w:spacing w:val="-3"/>
        </w:rPr>
        <w:t xml:space="preserve"> </w:t>
      </w:r>
      <w:r>
        <w:t>and</w:t>
      </w:r>
      <w:r>
        <w:rPr>
          <w:spacing w:val="-2"/>
        </w:rPr>
        <w:t xml:space="preserve"> </w:t>
      </w:r>
      <w:r>
        <w:t>neonatal</w:t>
      </w:r>
      <w:r>
        <w:rPr>
          <w:spacing w:val="-9"/>
        </w:rPr>
        <w:t xml:space="preserve"> </w:t>
      </w:r>
      <w:r>
        <w:t>convulsion.</w:t>
      </w:r>
      <w:r>
        <w:rPr>
          <w:spacing w:val="-7"/>
        </w:rPr>
        <w:t xml:space="preserve"> </w:t>
      </w:r>
      <w:r>
        <w:t>Most</w:t>
      </w:r>
      <w:r>
        <w:rPr>
          <w:spacing w:val="-9"/>
        </w:rPr>
        <w:t xml:space="preserve"> </w:t>
      </w:r>
      <w:r>
        <w:t>women</w:t>
      </w:r>
      <w:r>
        <w:rPr>
          <w:spacing w:val="-2"/>
        </w:rPr>
        <w:t xml:space="preserve"> </w:t>
      </w:r>
      <w:r>
        <w:t>found their</w:t>
      </w:r>
      <w:r>
        <w:rPr>
          <w:spacing w:val="-12"/>
        </w:rPr>
        <w:t xml:space="preserve"> </w:t>
      </w:r>
      <w:r>
        <w:t>method</w:t>
      </w:r>
      <w:r>
        <w:rPr>
          <w:spacing w:val="-13"/>
        </w:rPr>
        <w:t xml:space="preserve"> </w:t>
      </w:r>
      <w:r>
        <w:t>of</w:t>
      </w:r>
      <w:r>
        <w:rPr>
          <w:spacing w:val="-12"/>
        </w:rPr>
        <w:t xml:space="preserve"> </w:t>
      </w:r>
      <w:r>
        <w:t>induction</w:t>
      </w:r>
      <w:r>
        <w:rPr>
          <w:spacing w:val="-12"/>
        </w:rPr>
        <w:t xml:space="preserve"> </w:t>
      </w:r>
      <w:r>
        <w:t>(and</w:t>
      </w:r>
      <w:r>
        <w:rPr>
          <w:spacing w:val="-13"/>
        </w:rPr>
        <w:t xml:space="preserve"> </w:t>
      </w:r>
      <w:r>
        <w:t>its</w:t>
      </w:r>
      <w:r>
        <w:rPr>
          <w:spacing w:val="-11"/>
        </w:rPr>
        <w:t xml:space="preserve"> </w:t>
      </w:r>
      <w:r>
        <w:t>duration)</w:t>
      </w:r>
      <w:r>
        <w:rPr>
          <w:spacing w:val="-11"/>
        </w:rPr>
        <w:t xml:space="preserve"> </w:t>
      </w:r>
      <w:r>
        <w:t>to</w:t>
      </w:r>
      <w:r>
        <w:rPr>
          <w:spacing w:val="-13"/>
        </w:rPr>
        <w:t xml:space="preserve"> </w:t>
      </w:r>
      <w:r>
        <w:t>be</w:t>
      </w:r>
      <w:r>
        <w:rPr>
          <w:spacing w:val="-14"/>
        </w:rPr>
        <w:t xml:space="preserve"> </w:t>
      </w:r>
      <w:r>
        <w:t>acceptable</w:t>
      </w:r>
      <w:r>
        <w:rPr>
          <w:spacing w:val="-8"/>
        </w:rPr>
        <w:t xml:space="preserve"> </w:t>
      </w:r>
      <w:r>
        <w:t>and</w:t>
      </w:r>
      <w:r>
        <w:rPr>
          <w:spacing w:val="-12"/>
        </w:rPr>
        <w:t xml:space="preserve"> </w:t>
      </w:r>
      <w:r>
        <w:t>the</w:t>
      </w:r>
      <w:r>
        <w:rPr>
          <w:spacing w:val="-14"/>
        </w:rPr>
        <w:t xml:space="preserve"> </w:t>
      </w:r>
      <w:r>
        <w:t>pain</w:t>
      </w:r>
      <w:r>
        <w:rPr>
          <w:spacing w:val="-13"/>
        </w:rPr>
        <w:t xml:space="preserve"> </w:t>
      </w:r>
      <w:r>
        <w:t>as</w:t>
      </w:r>
      <w:r>
        <w:rPr>
          <w:spacing w:val="-10"/>
        </w:rPr>
        <w:t xml:space="preserve"> </w:t>
      </w:r>
      <w:r>
        <w:t>slight</w:t>
      </w:r>
      <w:r>
        <w:rPr>
          <w:spacing w:val="-14"/>
        </w:rPr>
        <w:t xml:space="preserve"> </w:t>
      </w:r>
      <w:r>
        <w:t>or</w:t>
      </w:r>
      <w:r>
        <w:rPr>
          <w:spacing w:val="-12"/>
        </w:rPr>
        <w:t xml:space="preserve"> </w:t>
      </w:r>
      <w:r>
        <w:t>moderate. Women undergoing induction with misoprostol were more likely to report that they would</w:t>
      </w:r>
      <w:r>
        <w:rPr>
          <w:spacing w:val="-40"/>
        </w:rPr>
        <w:t xml:space="preserve"> </w:t>
      </w:r>
      <w:r>
        <w:t>use the same method in the future, compared with the balloon</w:t>
      </w:r>
      <w:r>
        <w:rPr>
          <w:spacing w:val="-1"/>
        </w:rPr>
        <w:t xml:space="preserve"> </w:t>
      </w:r>
      <w:r>
        <w:t>catheter.</w:t>
      </w:r>
    </w:p>
    <w:p w14:paraId="7F7F77FF" w14:textId="77777777" w:rsidR="00AC0F19" w:rsidRDefault="00AC0F19" w:rsidP="00421DA0"/>
    <w:p w14:paraId="582B755C" w14:textId="77777777" w:rsidR="00AC0F19" w:rsidRDefault="00AC0F19" w:rsidP="00421DA0">
      <w:pPr>
        <w:pStyle w:val="Heading3"/>
      </w:pPr>
      <w:bookmarkStart w:id="207" w:name="Single_versus_double_balloon_catheters"/>
      <w:bookmarkStart w:id="208" w:name="_bookmark100"/>
      <w:bookmarkEnd w:id="207"/>
      <w:bookmarkEnd w:id="208"/>
      <w:r>
        <w:t>Single versus double balloon catheters</w:t>
      </w:r>
    </w:p>
    <w:p w14:paraId="164230DA" w14:textId="77777777" w:rsidR="00AC0F19" w:rsidRPr="00250EE5" w:rsidRDefault="00AC0F19" w:rsidP="00421DA0">
      <w:r w:rsidRPr="00250EE5">
        <w:t>One systematic review was identified.</w:t>
      </w:r>
    </w:p>
    <w:p w14:paraId="0458DA4A" w14:textId="77777777" w:rsidR="00AC0F19" w:rsidRPr="00250EE5" w:rsidRDefault="00AC0F19" w:rsidP="00421DA0"/>
    <w:p w14:paraId="5FBAFA1C" w14:textId="77777777" w:rsidR="00AC0F19" w:rsidRDefault="00AC0F19" w:rsidP="00421DA0">
      <w:r w:rsidRPr="00250EE5">
        <w:t xml:space="preserve">A systematic review of five RCTs of 996 women compared single- versus double-balloon catheters for IOL (Salim </w:t>
      </w:r>
      <w:r w:rsidR="000F3C98">
        <w:t>et al</w:t>
      </w:r>
      <w:r>
        <w:t xml:space="preserve"> </w:t>
      </w:r>
      <w:r w:rsidRPr="00250EE5">
        <w:t xml:space="preserve">2018). There may be little or no difference between groups for the time from insertion of the catheter to birth nor mode of birth (primary outcomes). There may be little or no difference between groups for caesarean section, birth within </w:t>
      </w:r>
      <w:r w:rsidR="00EB43A9">
        <w:t>24 hours</w:t>
      </w:r>
      <w:r w:rsidRPr="00250EE5">
        <w:t xml:space="preserve">, intrapartum fever or chorioamnionitis, and </w:t>
      </w:r>
      <w:r w:rsidR="00763E83">
        <w:t>5</w:t>
      </w:r>
      <w:r w:rsidR="00763E83">
        <w:noBreakHyphen/>
        <w:t>minute</w:t>
      </w:r>
      <w:r w:rsidRPr="00250EE5">
        <w:t xml:space="preserve"> Apgar score </w:t>
      </w:r>
      <w:r w:rsidR="00436939">
        <w:t>&lt;</w:t>
      </w:r>
      <w:r w:rsidRPr="00250EE5">
        <w:t>7. Women who were induced with the single-balloon catheter were more satisfied (p = 0.03; WMD 0.56; 95% CI:</w:t>
      </w:r>
      <w:r w:rsidRPr="00250EE5" w:rsidDel="00F01BDB">
        <w:t xml:space="preserve"> </w:t>
      </w:r>
      <w:r w:rsidRPr="00250EE5">
        <w:t>0.06</w:t>
      </w:r>
      <w:r>
        <w:t>–</w:t>
      </w:r>
      <w:r w:rsidRPr="00250EE5">
        <w:t xml:space="preserve">1.06) and less likely to report pain scores </w:t>
      </w:r>
      <w:r w:rsidR="00436939">
        <w:t>&gt;</w:t>
      </w:r>
      <w:r w:rsidRPr="00250EE5">
        <w:t>4 compared with double-balloon catheter (36% vs 55%, p</w:t>
      </w:r>
      <w:r>
        <w:t xml:space="preserve"> </w:t>
      </w:r>
      <w:r w:rsidR="00436939">
        <w:t>&lt;</w:t>
      </w:r>
      <w:r w:rsidRPr="00250EE5">
        <w:t>0.001). Note that</w:t>
      </w:r>
      <w:r>
        <w:t>,</w:t>
      </w:r>
      <w:r w:rsidRPr="00250EE5">
        <w:t xml:space="preserve"> in the balloon arm of these trials, the balloon remained in situ for up to </w:t>
      </w:r>
      <w:r w:rsidR="003A4BD4">
        <w:t>12 hours</w:t>
      </w:r>
      <w:r w:rsidRPr="00250EE5">
        <w:t>.</w:t>
      </w:r>
    </w:p>
    <w:p w14:paraId="2319EAFA" w14:textId="77777777" w:rsidR="00AC0F19" w:rsidRPr="00250EE5" w:rsidRDefault="00AC0F19" w:rsidP="00421DA0"/>
    <w:p w14:paraId="34583464" w14:textId="77777777" w:rsidR="00AC0F19" w:rsidRDefault="00AC0F19" w:rsidP="00421DA0">
      <w:pPr>
        <w:pStyle w:val="Heading3"/>
      </w:pPr>
      <w:bookmarkStart w:id="209" w:name="Single_balloon_catheters_and_volume_of_i"/>
      <w:bookmarkStart w:id="210" w:name="_bookmark101"/>
      <w:bookmarkEnd w:id="209"/>
      <w:bookmarkEnd w:id="210"/>
      <w:r>
        <w:t>Single-balloon catheters and volume of inflation</w:t>
      </w:r>
    </w:p>
    <w:p w14:paraId="36DEA351" w14:textId="77777777" w:rsidR="00AC0F19" w:rsidRPr="00250EE5" w:rsidRDefault="00AC0F19" w:rsidP="00421DA0">
      <w:r w:rsidRPr="00250EE5">
        <w:t>One systematic review, and one RCT published since the review, were identified.</w:t>
      </w:r>
    </w:p>
    <w:p w14:paraId="162C1CBD" w14:textId="77777777" w:rsidR="00AC0F19" w:rsidRPr="00250EE5" w:rsidRDefault="00AC0F19" w:rsidP="00421DA0"/>
    <w:p w14:paraId="35574EFC" w14:textId="77777777" w:rsidR="00AC0F19" w:rsidRPr="00250EE5" w:rsidRDefault="00AC0F19" w:rsidP="00421DA0">
      <w:r w:rsidRPr="00250EE5">
        <w:t>The systematic review (</w:t>
      </w:r>
      <w:proofErr w:type="spellStart"/>
      <w:r w:rsidRPr="00250EE5">
        <w:t>Berndl</w:t>
      </w:r>
      <w:proofErr w:type="spellEnd"/>
      <w:r w:rsidRPr="00250EE5">
        <w:t xml:space="preserve"> </w:t>
      </w:r>
      <w:r w:rsidR="000F3C98">
        <w:t>et al</w:t>
      </w:r>
      <w:r>
        <w:t xml:space="preserve"> </w:t>
      </w:r>
      <w:r w:rsidRPr="00250EE5">
        <w:t>2014) of three trials of 575 women compared high- or low- volume single</w:t>
      </w:r>
      <w:r>
        <w:t>-</w:t>
      </w:r>
      <w:r w:rsidRPr="00250EE5">
        <w:t xml:space="preserve">balloon catheters (left in situ for </w:t>
      </w:r>
      <w:r w:rsidR="003A4BD4">
        <w:t>12 hours</w:t>
      </w:r>
      <w:r w:rsidRPr="00250EE5">
        <w:t xml:space="preserve">) for IOL. High-volume inflation was associated with a lower rate of failure to deliver within </w:t>
      </w:r>
      <w:r w:rsidR="00EB43A9">
        <w:t>24 hours</w:t>
      </w:r>
      <w:r w:rsidRPr="00250EE5">
        <w:t xml:space="preserve"> (</w:t>
      </w:r>
      <w:r w:rsidR="00230FF7">
        <w:t>RR </w:t>
      </w:r>
      <w:r w:rsidRPr="00250EE5">
        <w:t xml:space="preserve">0.70, 95% </w:t>
      </w:r>
      <w:r>
        <w:t xml:space="preserve">CI </w:t>
      </w:r>
      <w:r w:rsidRPr="00250EE5">
        <w:t>0.54</w:t>
      </w:r>
      <w:r>
        <w:t>–</w:t>
      </w:r>
      <w:r w:rsidRPr="00250EE5">
        <w:t>0.90; moderate quality) and a more favourable cervix at time of balloon removal (</w:t>
      </w:r>
      <w:r w:rsidR="00230FF7">
        <w:t>RR </w:t>
      </w:r>
      <w:r w:rsidRPr="00250EE5">
        <w:t xml:space="preserve">1.72, 95% </w:t>
      </w:r>
      <w:r>
        <w:t xml:space="preserve">CI </w:t>
      </w:r>
      <w:r w:rsidRPr="00250EE5">
        <w:t>1.46</w:t>
      </w:r>
      <w:r>
        <w:t>–</w:t>
      </w:r>
      <w:r w:rsidRPr="00250EE5">
        <w:t xml:space="preserve">2.04; very low quality), compared </w:t>
      </w:r>
      <w:r>
        <w:t>with</w:t>
      </w:r>
      <w:r w:rsidRPr="00250EE5">
        <w:t xml:space="preserve"> low-volume</w:t>
      </w:r>
      <w:r>
        <w:t xml:space="preserve"> inflation</w:t>
      </w:r>
      <w:r w:rsidRPr="00250EE5">
        <w:t>. There was no difference in caesarean section (</w:t>
      </w:r>
      <w:r w:rsidR="00230FF7">
        <w:t>RR </w:t>
      </w:r>
      <w:r w:rsidRPr="00250EE5">
        <w:t>0.82, 95%</w:t>
      </w:r>
      <w:r>
        <w:t xml:space="preserve"> </w:t>
      </w:r>
      <w:r w:rsidRPr="00250EE5">
        <w:t>CI 0.48</w:t>
      </w:r>
      <w:r>
        <w:t>–</w:t>
      </w:r>
      <w:r w:rsidRPr="00250EE5">
        <w:t>1.41; moderate quality) or epidural use. The</w:t>
      </w:r>
      <w:r>
        <w:t xml:space="preserve"> authors</w:t>
      </w:r>
      <w:r w:rsidRPr="00250EE5">
        <w:t xml:space="preserve"> did not report on maternal satisfaction.</w:t>
      </w:r>
    </w:p>
    <w:p w14:paraId="717DE898" w14:textId="77777777" w:rsidR="00AC0F19" w:rsidRPr="00250EE5" w:rsidRDefault="00AC0F19" w:rsidP="00421DA0"/>
    <w:p w14:paraId="06510143" w14:textId="77777777" w:rsidR="00AC0F19" w:rsidRDefault="00AC0F19" w:rsidP="00421DA0">
      <w:pPr>
        <w:keepLines/>
      </w:pPr>
      <w:r w:rsidRPr="00250EE5">
        <w:lastRenderedPageBreak/>
        <w:t>An RCT of 174 women compar</w:t>
      </w:r>
      <w:r>
        <w:t xml:space="preserve">ing </w:t>
      </w:r>
      <w:r w:rsidRPr="00250EE5">
        <w:t>single</w:t>
      </w:r>
      <w:r>
        <w:t>-</w:t>
      </w:r>
      <w:r w:rsidRPr="00250EE5">
        <w:t>balloon catheter</w:t>
      </w:r>
      <w:r>
        <w:t>s</w:t>
      </w:r>
      <w:r w:rsidRPr="00250EE5">
        <w:t xml:space="preserve"> filled with 30 mL </w:t>
      </w:r>
      <w:r>
        <w:t>with catheters filled with</w:t>
      </w:r>
      <w:r w:rsidRPr="00250EE5">
        <w:t xml:space="preserve"> 60 mL (Sandberg </w:t>
      </w:r>
      <w:r w:rsidR="000F3C98">
        <w:t>et al</w:t>
      </w:r>
      <w:r>
        <w:t xml:space="preserve"> </w:t>
      </w:r>
      <w:r w:rsidRPr="00250EE5">
        <w:t>2017) found no difference between groups for birth within eight hours after ARM (40.7% vs 48.8%; moderate quality). The 60 mL catheter was associated with higher spontaneous labour (OR 2.35, 95% CI 1.1</w:t>
      </w:r>
      <w:r>
        <w:t>–</w:t>
      </w:r>
      <w:r w:rsidRPr="00250EE5">
        <w:t>5.1), shorter time interval for cervical ripening (OR 4.5, 95% CI 1.2</w:t>
      </w:r>
      <w:r>
        <w:t>–</w:t>
      </w:r>
      <w:r w:rsidRPr="00250EE5">
        <w:t>16.7) and less blood loss (p=0.002). Subgroup analysis was performed by parity. For multipara, more women in the 60 mL group gave birth within eight hours (93.1% vs 65.2%, OR 7.2, 95% CI</w:t>
      </w:r>
      <w:r w:rsidR="00421DA0">
        <w:br/>
      </w:r>
      <w:r w:rsidRPr="00250EE5">
        <w:t>1.4</w:t>
      </w:r>
      <w:r>
        <w:t>–</w:t>
      </w:r>
      <w:r w:rsidRPr="00250EE5">
        <w:t>38.4); for nullipara, the 30 mL catheter was associated with increased caesarean section (31.8% vs 15.5%; OR 2.53, 95% CI 1.1</w:t>
      </w:r>
      <w:r>
        <w:t>–</w:t>
      </w:r>
      <w:r w:rsidRPr="00250EE5">
        <w:t>6.2). The 60 mL catheter ruptured 12</w:t>
      </w:r>
      <w:r w:rsidR="00421DA0">
        <w:t> </w:t>
      </w:r>
      <w:r w:rsidRPr="00250EE5">
        <w:t xml:space="preserve">times compared </w:t>
      </w:r>
      <w:r>
        <w:t>with</w:t>
      </w:r>
      <w:r w:rsidRPr="00250EE5">
        <w:t xml:space="preserve"> none in the 30 mL group. There were no differences in neonatal outcomes or maternal satisfaction.</w:t>
      </w:r>
    </w:p>
    <w:p w14:paraId="6CAA2C7F" w14:textId="77777777" w:rsidR="00AC0F19" w:rsidRPr="00250EE5" w:rsidRDefault="00AC0F19" w:rsidP="00421DA0"/>
    <w:p w14:paraId="5779F713" w14:textId="77777777" w:rsidR="00AC0F19" w:rsidRDefault="00AC0F19" w:rsidP="00421DA0">
      <w:pPr>
        <w:pStyle w:val="Heading3"/>
      </w:pPr>
      <w:bookmarkStart w:id="211" w:name="Discussion_on_balloon_catheters"/>
      <w:bookmarkStart w:id="212" w:name="_bookmark102"/>
      <w:bookmarkEnd w:id="211"/>
      <w:bookmarkEnd w:id="212"/>
      <w:r>
        <w:t>Discussion on balloon catheters</w:t>
      </w:r>
    </w:p>
    <w:p w14:paraId="7D088650" w14:textId="77777777" w:rsidR="00AC0F19" w:rsidRPr="00250EE5" w:rsidRDefault="00AC0F19" w:rsidP="00421DA0">
      <w:r>
        <w:t>For balloon catheters, the panel agreed that it is reasonable to continue to offer either single- or double-balloon catheter for cervical ripening, because the limited evidence</w:t>
      </w:r>
      <w:r>
        <w:rPr>
          <w:spacing w:val="-8"/>
        </w:rPr>
        <w:t xml:space="preserve"> </w:t>
      </w:r>
      <w:r>
        <w:t>suggests</w:t>
      </w:r>
      <w:r>
        <w:rPr>
          <w:spacing w:val="-5"/>
        </w:rPr>
        <w:t xml:space="preserve"> </w:t>
      </w:r>
      <w:r>
        <w:t>there</w:t>
      </w:r>
      <w:r>
        <w:rPr>
          <w:spacing w:val="-4"/>
        </w:rPr>
        <w:t xml:space="preserve"> </w:t>
      </w:r>
      <w:r>
        <w:t>may</w:t>
      </w:r>
      <w:r>
        <w:rPr>
          <w:spacing w:val="-7"/>
        </w:rPr>
        <w:t xml:space="preserve"> </w:t>
      </w:r>
      <w:r>
        <w:t>be</w:t>
      </w:r>
      <w:r>
        <w:rPr>
          <w:spacing w:val="-7"/>
        </w:rPr>
        <w:t xml:space="preserve"> </w:t>
      </w:r>
      <w:r w:rsidRPr="00250EE5">
        <w:t>no</w:t>
      </w:r>
      <w:r>
        <w:rPr>
          <w:spacing w:val="-2"/>
        </w:rPr>
        <w:t xml:space="preserve"> </w:t>
      </w:r>
      <w:r>
        <w:t>difference</w:t>
      </w:r>
      <w:r>
        <w:rPr>
          <w:spacing w:val="-2"/>
        </w:rPr>
        <w:t xml:space="preserve"> </w:t>
      </w:r>
      <w:r>
        <w:t>in</w:t>
      </w:r>
      <w:r>
        <w:rPr>
          <w:spacing w:val="-1"/>
        </w:rPr>
        <w:t xml:space="preserve"> </w:t>
      </w:r>
      <w:r>
        <w:t>mode</w:t>
      </w:r>
      <w:r>
        <w:rPr>
          <w:spacing w:val="-8"/>
        </w:rPr>
        <w:t xml:space="preserve"> </w:t>
      </w:r>
      <w:r>
        <w:t>of</w:t>
      </w:r>
      <w:r>
        <w:rPr>
          <w:spacing w:val="-5"/>
        </w:rPr>
        <w:t xml:space="preserve"> </w:t>
      </w:r>
      <w:r>
        <w:t>birth.</w:t>
      </w:r>
      <w:r>
        <w:rPr>
          <w:spacing w:val="-7"/>
        </w:rPr>
        <w:t xml:space="preserve"> </w:t>
      </w:r>
      <w:r>
        <w:t>There</w:t>
      </w:r>
      <w:r>
        <w:rPr>
          <w:spacing w:val="-4"/>
        </w:rPr>
        <w:t xml:space="preserve"> </w:t>
      </w:r>
      <w:r>
        <w:t>is</w:t>
      </w:r>
      <w:r>
        <w:rPr>
          <w:spacing w:val="1"/>
        </w:rPr>
        <w:t xml:space="preserve"> </w:t>
      </w:r>
      <w:r>
        <w:t>a</w:t>
      </w:r>
      <w:r>
        <w:rPr>
          <w:spacing w:val="-8"/>
        </w:rPr>
        <w:t xml:space="preserve"> </w:t>
      </w:r>
      <w:r>
        <w:t>50-mL</w:t>
      </w:r>
      <w:r>
        <w:rPr>
          <w:spacing w:val="-8"/>
        </w:rPr>
        <w:t xml:space="preserve"> </w:t>
      </w:r>
      <w:r>
        <w:t>single</w:t>
      </w:r>
      <w:r>
        <w:rPr>
          <w:spacing w:val="-2"/>
        </w:rPr>
        <w:t>-</w:t>
      </w:r>
      <w:r>
        <w:t xml:space="preserve">balloon </w:t>
      </w:r>
      <w:r w:rsidRPr="00250EE5">
        <w:t>foley catheter available in New Zealand, and DHBs may wish to consider cost and clinician preference in deciding which to offer.</w:t>
      </w:r>
    </w:p>
    <w:p w14:paraId="4B15B947" w14:textId="77777777" w:rsidR="00AC0F19" w:rsidRPr="00250EE5" w:rsidRDefault="00AC0F19" w:rsidP="00421DA0"/>
    <w:p w14:paraId="1B71A958" w14:textId="77777777" w:rsidR="00AC0F19" w:rsidRPr="00250EE5" w:rsidRDefault="00AC0F19" w:rsidP="00421DA0">
      <w:r w:rsidRPr="00250EE5">
        <w:t xml:space="preserve">Evidence suggests that balloon catheter and vaginal PGE2 are comparable in effectiveness to achieve vaginal birth in </w:t>
      </w:r>
      <w:r w:rsidR="00EB43A9">
        <w:t>24 hours</w:t>
      </w:r>
      <w:r w:rsidRPr="00250EE5">
        <w:t xml:space="preserve"> and in risk for caesarean section, but that balloon catheter has less risk of uterine hyperstimulation with FHR changes. On the other hand, PGs have less need for oxytocin augmentation. Evidence further suggests that oral misoprostol is more effective than balloon catheter in achieving vaginal birth in </w:t>
      </w:r>
      <w:r w:rsidR="00EB43A9">
        <w:t>24 hours</w:t>
      </w:r>
      <w:r w:rsidRPr="00250EE5">
        <w:t>. Balloon catheters and oral misoprostol are comparable in risk for caesarean section, PPH and neonatal asphyxia.</w:t>
      </w:r>
    </w:p>
    <w:p w14:paraId="727A528F" w14:textId="77777777" w:rsidR="00AC0F19" w:rsidRPr="00250EE5" w:rsidRDefault="00AC0F19" w:rsidP="00421DA0"/>
    <w:p w14:paraId="59BE1DA0" w14:textId="77777777" w:rsidR="00AC0F19" w:rsidRPr="00250EE5" w:rsidRDefault="00AC0F19" w:rsidP="00421DA0">
      <w:r w:rsidRPr="00250EE5">
        <w:t xml:space="preserve">The </w:t>
      </w:r>
      <w:r>
        <w:t>p</w:t>
      </w:r>
      <w:r w:rsidRPr="00250EE5">
        <w:t xml:space="preserve">anel agreed that it is reasonable to offer any of balloon catheter, vaginal PGE2 or oral PGE1 analogue (misoprostol) for cervical ripening. Balloon catheter may be more appropriate in circumstances where the risk of uterine hyperstimulation has more consequences, such as severe SGA. The </w:t>
      </w:r>
      <w:r>
        <w:t>p</w:t>
      </w:r>
      <w:r w:rsidRPr="00250EE5">
        <w:t>anel suggests that DHBs decide which cervical ripening options to offer to women, including one (or more) pharmacological method and one (or more) mechanical method, based on values and preferences, local resources and practical considerations.</w:t>
      </w:r>
    </w:p>
    <w:p w14:paraId="6D836FB2" w14:textId="77777777" w:rsidR="00AC0F19" w:rsidRDefault="00AC0F19" w:rsidP="00421DA0"/>
    <w:tbl>
      <w:tblPr>
        <w:tblStyle w:val="TableGrid"/>
        <w:tblW w:w="0" w:type="auto"/>
        <w:tblInd w:w="57" w:type="dxa"/>
        <w:tblLayout w:type="fixed"/>
        <w:tblCellMar>
          <w:left w:w="57" w:type="dxa"/>
          <w:right w:w="57" w:type="dxa"/>
        </w:tblCellMar>
        <w:tblLook w:val="04A0" w:firstRow="1" w:lastRow="0" w:firstColumn="1" w:lastColumn="0" w:noHBand="0" w:noVBand="1"/>
      </w:tblPr>
      <w:tblGrid>
        <w:gridCol w:w="4678"/>
        <w:gridCol w:w="1701"/>
        <w:gridCol w:w="1701"/>
      </w:tblGrid>
      <w:tr w:rsidR="00D2284E" w14:paraId="1E6CE79A" w14:textId="77777777" w:rsidTr="00230FF7">
        <w:trPr>
          <w:cantSplit/>
        </w:trPr>
        <w:tc>
          <w:tcPr>
            <w:tcW w:w="4678" w:type="dxa"/>
            <w:tcBorders>
              <w:top w:val="nil"/>
              <w:left w:val="nil"/>
              <w:bottom w:val="nil"/>
              <w:right w:val="nil"/>
            </w:tcBorders>
            <w:shd w:val="clear" w:color="auto" w:fill="D9D9D9" w:themeFill="background1" w:themeFillShade="D9"/>
          </w:tcPr>
          <w:p w14:paraId="6660E112" w14:textId="77777777" w:rsidR="00D2284E" w:rsidRPr="00806252" w:rsidRDefault="00D2284E" w:rsidP="00421DA0">
            <w:pPr>
              <w:pStyle w:val="TableText"/>
              <w:keepNext/>
              <w:rPr>
                <w:b/>
              </w:rPr>
            </w:pPr>
            <w:r w:rsidRPr="00806252">
              <w:rPr>
                <w:b/>
              </w:rPr>
              <w:lastRenderedPageBreak/>
              <w:t>Recommendation</w:t>
            </w:r>
          </w:p>
        </w:tc>
        <w:tc>
          <w:tcPr>
            <w:tcW w:w="1701" w:type="dxa"/>
            <w:tcBorders>
              <w:top w:val="nil"/>
              <w:left w:val="nil"/>
              <w:bottom w:val="nil"/>
              <w:right w:val="nil"/>
            </w:tcBorders>
            <w:shd w:val="clear" w:color="auto" w:fill="D9D9D9" w:themeFill="background1" w:themeFillShade="D9"/>
          </w:tcPr>
          <w:p w14:paraId="2DA74E7A" w14:textId="77777777" w:rsidR="00D2284E" w:rsidRPr="00806252" w:rsidRDefault="00D2284E" w:rsidP="00230FF7">
            <w:pPr>
              <w:pStyle w:val="TableText"/>
              <w:rPr>
                <w:b/>
              </w:rPr>
            </w:pPr>
            <w:r w:rsidRPr="00806252">
              <w:rPr>
                <w:b/>
              </w:rPr>
              <w:t>Level of</w:t>
            </w:r>
            <w:r>
              <w:rPr>
                <w:b/>
              </w:rPr>
              <w:br/>
            </w:r>
            <w:r w:rsidRPr="00806252">
              <w:rPr>
                <w:b/>
              </w:rPr>
              <w:t>evidence</w:t>
            </w:r>
          </w:p>
        </w:tc>
        <w:tc>
          <w:tcPr>
            <w:tcW w:w="1701" w:type="dxa"/>
            <w:tcBorders>
              <w:top w:val="nil"/>
              <w:left w:val="nil"/>
              <w:bottom w:val="nil"/>
              <w:right w:val="nil"/>
            </w:tcBorders>
            <w:shd w:val="clear" w:color="auto" w:fill="D9D9D9" w:themeFill="background1" w:themeFillShade="D9"/>
          </w:tcPr>
          <w:p w14:paraId="067A571F" w14:textId="77777777" w:rsidR="00D2284E" w:rsidRPr="00806252" w:rsidRDefault="00D2284E" w:rsidP="00230FF7">
            <w:pPr>
              <w:pStyle w:val="TableText"/>
              <w:rPr>
                <w:b/>
              </w:rPr>
            </w:pPr>
            <w:r w:rsidRPr="00806252">
              <w:rPr>
                <w:b/>
              </w:rPr>
              <w:t>Strength of recommendation</w:t>
            </w:r>
          </w:p>
        </w:tc>
      </w:tr>
      <w:tr w:rsidR="00421DA0" w14:paraId="29B00D5F" w14:textId="77777777" w:rsidTr="00230FF7">
        <w:trPr>
          <w:cantSplit/>
        </w:trPr>
        <w:tc>
          <w:tcPr>
            <w:tcW w:w="4678" w:type="dxa"/>
            <w:tcBorders>
              <w:top w:val="nil"/>
              <w:left w:val="nil"/>
              <w:bottom w:val="single" w:sz="4" w:space="0" w:color="A6A6A6" w:themeColor="background1" w:themeShade="A6"/>
              <w:right w:val="nil"/>
            </w:tcBorders>
          </w:tcPr>
          <w:p w14:paraId="52FDC048" w14:textId="77777777" w:rsidR="00421DA0" w:rsidRDefault="00421DA0" w:rsidP="00421DA0">
            <w:pPr>
              <w:pStyle w:val="TableText"/>
              <w:keepNext/>
            </w:pPr>
            <w:r>
              <w:t>Offer cervical ripening with PG to women with unfavourable cervix, to improve the chance of vaginal birth within 24 hours, compared with oxytocin alone.</w:t>
            </w:r>
          </w:p>
        </w:tc>
        <w:tc>
          <w:tcPr>
            <w:tcW w:w="1701" w:type="dxa"/>
            <w:tcBorders>
              <w:top w:val="nil"/>
              <w:left w:val="nil"/>
              <w:bottom w:val="single" w:sz="4" w:space="0" w:color="A6A6A6" w:themeColor="background1" w:themeShade="A6"/>
              <w:right w:val="nil"/>
            </w:tcBorders>
          </w:tcPr>
          <w:p w14:paraId="6BC672FB" w14:textId="77777777" w:rsidR="00421DA0" w:rsidRDefault="00421DA0" w:rsidP="00421DA0">
            <w:pPr>
              <w:pStyle w:val="TableText"/>
            </w:pPr>
            <w:r>
              <w:t>Level 1; moderate quality</w:t>
            </w:r>
          </w:p>
        </w:tc>
        <w:tc>
          <w:tcPr>
            <w:tcW w:w="1701" w:type="dxa"/>
            <w:tcBorders>
              <w:top w:val="nil"/>
              <w:left w:val="nil"/>
              <w:bottom w:val="single" w:sz="4" w:space="0" w:color="A6A6A6" w:themeColor="background1" w:themeShade="A6"/>
              <w:right w:val="nil"/>
            </w:tcBorders>
          </w:tcPr>
          <w:p w14:paraId="3735E572" w14:textId="77777777" w:rsidR="00421DA0" w:rsidRDefault="00421DA0" w:rsidP="00723A20">
            <w:pPr>
              <w:pStyle w:val="TableText"/>
            </w:pPr>
            <w:r>
              <w:t>Conditional</w:t>
            </w:r>
          </w:p>
        </w:tc>
      </w:tr>
      <w:tr w:rsidR="00421DA0" w14:paraId="4064C9C7" w14:textId="77777777" w:rsidTr="00230FF7">
        <w:trPr>
          <w:cantSplit/>
        </w:trPr>
        <w:tc>
          <w:tcPr>
            <w:tcW w:w="4678" w:type="dxa"/>
            <w:tcBorders>
              <w:top w:val="nil"/>
              <w:left w:val="nil"/>
              <w:bottom w:val="single" w:sz="4" w:space="0" w:color="A6A6A6" w:themeColor="background1" w:themeShade="A6"/>
              <w:right w:val="nil"/>
            </w:tcBorders>
          </w:tcPr>
          <w:p w14:paraId="61FDCFE0" w14:textId="77777777" w:rsidR="00421DA0" w:rsidRDefault="00421DA0" w:rsidP="00421DA0">
            <w:pPr>
              <w:pStyle w:val="TableText"/>
              <w:keepNext/>
            </w:pPr>
            <w:r>
              <w:t>Offer either PGE2 vaginal gel or controlled-release pessary for cervical ripening, as both methods are comparable to achieve vaginal birth in 24 hours and for risk of caesarean section.</w:t>
            </w:r>
          </w:p>
        </w:tc>
        <w:tc>
          <w:tcPr>
            <w:tcW w:w="1701" w:type="dxa"/>
            <w:tcBorders>
              <w:top w:val="nil"/>
              <w:left w:val="nil"/>
              <w:bottom w:val="single" w:sz="4" w:space="0" w:color="A6A6A6" w:themeColor="background1" w:themeShade="A6"/>
              <w:right w:val="nil"/>
            </w:tcBorders>
          </w:tcPr>
          <w:p w14:paraId="611CA076" w14:textId="77777777" w:rsidR="00421DA0" w:rsidRDefault="00421DA0" w:rsidP="00421DA0">
            <w:pPr>
              <w:pStyle w:val="TableText"/>
            </w:pPr>
            <w:r>
              <w:t>Level 1; moderate quality</w:t>
            </w:r>
          </w:p>
        </w:tc>
        <w:tc>
          <w:tcPr>
            <w:tcW w:w="1701" w:type="dxa"/>
            <w:tcBorders>
              <w:top w:val="nil"/>
              <w:left w:val="nil"/>
              <w:bottom w:val="single" w:sz="4" w:space="0" w:color="A6A6A6" w:themeColor="background1" w:themeShade="A6"/>
              <w:right w:val="nil"/>
            </w:tcBorders>
          </w:tcPr>
          <w:p w14:paraId="2244B1C6" w14:textId="77777777" w:rsidR="00421DA0" w:rsidRDefault="00421DA0" w:rsidP="00723A20">
            <w:pPr>
              <w:pStyle w:val="TableText"/>
            </w:pPr>
            <w:r>
              <w:t>Conditional</w:t>
            </w:r>
          </w:p>
        </w:tc>
      </w:tr>
      <w:tr w:rsidR="00421DA0" w14:paraId="5B2F901F" w14:textId="77777777" w:rsidTr="00230FF7">
        <w:trPr>
          <w:cantSplit/>
        </w:trPr>
        <w:tc>
          <w:tcPr>
            <w:tcW w:w="4678" w:type="dxa"/>
            <w:tcBorders>
              <w:top w:val="nil"/>
              <w:left w:val="nil"/>
              <w:bottom w:val="single" w:sz="4" w:space="0" w:color="A6A6A6" w:themeColor="background1" w:themeShade="A6"/>
              <w:right w:val="nil"/>
            </w:tcBorders>
          </w:tcPr>
          <w:p w14:paraId="759DB0C1" w14:textId="77777777" w:rsidR="00421DA0" w:rsidRDefault="00421DA0" w:rsidP="00421DA0">
            <w:pPr>
              <w:pStyle w:val="TableText"/>
              <w:keepNext/>
            </w:pPr>
            <w:r>
              <w:t>Offer oral misoprostol for cervical ripening, to reduce the risk of caesarean section.</w:t>
            </w:r>
          </w:p>
        </w:tc>
        <w:tc>
          <w:tcPr>
            <w:tcW w:w="1701" w:type="dxa"/>
            <w:tcBorders>
              <w:top w:val="nil"/>
              <w:left w:val="nil"/>
              <w:bottom w:val="single" w:sz="4" w:space="0" w:color="A6A6A6" w:themeColor="background1" w:themeShade="A6"/>
              <w:right w:val="nil"/>
            </w:tcBorders>
          </w:tcPr>
          <w:p w14:paraId="3D92D7AC" w14:textId="77777777" w:rsidR="00421DA0" w:rsidRDefault="00421DA0" w:rsidP="00421DA0">
            <w:pPr>
              <w:pStyle w:val="TableText"/>
            </w:pPr>
            <w:r>
              <w:t>Level 1; moderate quality</w:t>
            </w:r>
          </w:p>
        </w:tc>
        <w:tc>
          <w:tcPr>
            <w:tcW w:w="1701" w:type="dxa"/>
            <w:tcBorders>
              <w:top w:val="nil"/>
              <w:left w:val="nil"/>
              <w:bottom w:val="single" w:sz="4" w:space="0" w:color="A6A6A6" w:themeColor="background1" w:themeShade="A6"/>
              <w:right w:val="nil"/>
            </w:tcBorders>
          </w:tcPr>
          <w:p w14:paraId="4568A931" w14:textId="77777777" w:rsidR="00421DA0" w:rsidRDefault="00421DA0" w:rsidP="00723A20">
            <w:pPr>
              <w:pStyle w:val="TableText"/>
            </w:pPr>
            <w:r>
              <w:t>Conditional</w:t>
            </w:r>
          </w:p>
        </w:tc>
      </w:tr>
      <w:tr w:rsidR="00421DA0" w14:paraId="7DA1157B" w14:textId="77777777" w:rsidTr="00230FF7">
        <w:trPr>
          <w:cantSplit/>
        </w:trPr>
        <w:tc>
          <w:tcPr>
            <w:tcW w:w="4678" w:type="dxa"/>
            <w:tcBorders>
              <w:top w:val="nil"/>
              <w:left w:val="nil"/>
              <w:bottom w:val="single" w:sz="4" w:space="0" w:color="A6A6A6" w:themeColor="background1" w:themeShade="A6"/>
              <w:right w:val="nil"/>
            </w:tcBorders>
          </w:tcPr>
          <w:p w14:paraId="4AB8CE80" w14:textId="77777777" w:rsidR="00421DA0" w:rsidRDefault="00421DA0" w:rsidP="00723A20">
            <w:pPr>
              <w:pStyle w:val="TableText"/>
            </w:pPr>
            <w:r>
              <w:t>Offer balloon catheter for cervical ripening, to reduce the risk of uterine hyperstimulation with FHR changes, compared with PG.</w:t>
            </w:r>
          </w:p>
        </w:tc>
        <w:tc>
          <w:tcPr>
            <w:tcW w:w="1701" w:type="dxa"/>
            <w:tcBorders>
              <w:top w:val="nil"/>
              <w:left w:val="nil"/>
              <w:bottom w:val="single" w:sz="4" w:space="0" w:color="A6A6A6" w:themeColor="background1" w:themeShade="A6"/>
              <w:right w:val="nil"/>
            </w:tcBorders>
          </w:tcPr>
          <w:p w14:paraId="2ED6EB27" w14:textId="77777777" w:rsidR="00421DA0" w:rsidRDefault="00421DA0" w:rsidP="00421DA0">
            <w:pPr>
              <w:pStyle w:val="TableText"/>
            </w:pPr>
            <w:r>
              <w:t>Level 1; moderate quality</w:t>
            </w:r>
          </w:p>
        </w:tc>
        <w:tc>
          <w:tcPr>
            <w:tcW w:w="1701" w:type="dxa"/>
            <w:tcBorders>
              <w:top w:val="nil"/>
              <w:left w:val="nil"/>
              <w:bottom w:val="single" w:sz="4" w:space="0" w:color="A6A6A6" w:themeColor="background1" w:themeShade="A6"/>
              <w:right w:val="nil"/>
            </w:tcBorders>
          </w:tcPr>
          <w:p w14:paraId="06080B2B" w14:textId="77777777" w:rsidR="00421DA0" w:rsidRDefault="00421DA0" w:rsidP="00723A20">
            <w:pPr>
              <w:pStyle w:val="TableText"/>
            </w:pPr>
            <w:r>
              <w:t>Conditional</w:t>
            </w:r>
          </w:p>
        </w:tc>
      </w:tr>
      <w:tr w:rsidR="00421DA0" w14:paraId="4FCB330B" w14:textId="77777777" w:rsidTr="00230FF7">
        <w:trPr>
          <w:cantSplit/>
        </w:trPr>
        <w:tc>
          <w:tcPr>
            <w:tcW w:w="4678" w:type="dxa"/>
            <w:tcBorders>
              <w:top w:val="nil"/>
              <w:left w:val="nil"/>
              <w:bottom w:val="single" w:sz="4" w:space="0" w:color="A6A6A6" w:themeColor="background1" w:themeShade="A6"/>
              <w:right w:val="nil"/>
            </w:tcBorders>
          </w:tcPr>
          <w:p w14:paraId="27C21DF9" w14:textId="77777777" w:rsidR="00421DA0" w:rsidRDefault="00421DA0" w:rsidP="00421DA0">
            <w:pPr>
              <w:pStyle w:val="TableText"/>
            </w:pPr>
            <w:r>
              <w:t>For single-balloon catheter: Inflate greater than 30 mL (and not more than the manufacturer’s recommendation), to increase the chance of vaginal birth in 24 hours, compared with 30 mL or less.</w:t>
            </w:r>
          </w:p>
        </w:tc>
        <w:tc>
          <w:tcPr>
            <w:tcW w:w="1701" w:type="dxa"/>
            <w:tcBorders>
              <w:top w:val="nil"/>
              <w:left w:val="nil"/>
              <w:bottom w:val="single" w:sz="4" w:space="0" w:color="A6A6A6" w:themeColor="background1" w:themeShade="A6"/>
              <w:right w:val="nil"/>
            </w:tcBorders>
          </w:tcPr>
          <w:p w14:paraId="5D04B0E6" w14:textId="77777777" w:rsidR="00421DA0" w:rsidRDefault="00421DA0" w:rsidP="00421DA0">
            <w:pPr>
              <w:pStyle w:val="TableText"/>
            </w:pPr>
            <w:r>
              <w:t>Level 1; moderate quality</w:t>
            </w:r>
          </w:p>
        </w:tc>
        <w:tc>
          <w:tcPr>
            <w:tcW w:w="1701" w:type="dxa"/>
            <w:tcBorders>
              <w:top w:val="nil"/>
              <w:left w:val="nil"/>
              <w:bottom w:val="single" w:sz="4" w:space="0" w:color="A6A6A6" w:themeColor="background1" w:themeShade="A6"/>
              <w:right w:val="nil"/>
            </w:tcBorders>
          </w:tcPr>
          <w:p w14:paraId="1803406C" w14:textId="77777777" w:rsidR="00421DA0" w:rsidRDefault="00421DA0" w:rsidP="00723A20">
            <w:pPr>
              <w:pStyle w:val="TableText"/>
            </w:pPr>
            <w:r>
              <w:t>Conditional</w:t>
            </w:r>
          </w:p>
        </w:tc>
      </w:tr>
    </w:tbl>
    <w:p w14:paraId="41721599"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0B41655D" w14:textId="77777777" w:rsidTr="00230FF7">
        <w:trPr>
          <w:cantSplit/>
        </w:trPr>
        <w:tc>
          <w:tcPr>
            <w:tcW w:w="8080" w:type="dxa"/>
            <w:tcBorders>
              <w:top w:val="nil"/>
              <w:left w:val="nil"/>
              <w:bottom w:val="nil"/>
              <w:right w:val="nil"/>
            </w:tcBorders>
            <w:shd w:val="clear" w:color="auto" w:fill="D9D9D9" w:themeFill="background1" w:themeFillShade="D9"/>
          </w:tcPr>
          <w:p w14:paraId="50B357F0" w14:textId="77777777" w:rsidR="00D2284E" w:rsidRPr="008D53E4" w:rsidRDefault="00D2284E" w:rsidP="00230FF7">
            <w:pPr>
              <w:pStyle w:val="TableText"/>
            </w:pPr>
            <w:r w:rsidRPr="00806252">
              <w:rPr>
                <w:b/>
                <w:iCs/>
              </w:rPr>
              <w:t>Practice point</w:t>
            </w:r>
            <w:r w:rsidR="00421DA0">
              <w:rPr>
                <w:b/>
                <w:iCs/>
              </w:rPr>
              <w:t>s</w:t>
            </w:r>
          </w:p>
        </w:tc>
      </w:tr>
      <w:tr w:rsidR="00421DA0" w14:paraId="5668772F" w14:textId="77777777" w:rsidTr="00230FF7">
        <w:trPr>
          <w:cantSplit/>
        </w:trPr>
        <w:tc>
          <w:tcPr>
            <w:tcW w:w="8080" w:type="dxa"/>
            <w:tcBorders>
              <w:top w:val="nil"/>
              <w:left w:val="nil"/>
              <w:bottom w:val="single" w:sz="4" w:space="0" w:color="A6A6A6" w:themeColor="background1" w:themeShade="A6"/>
              <w:right w:val="nil"/>
            </w:tcBorders>
          </w:tcPr>
          <w:p w14:paraId="66DA45B9" w14:textId="77777777" w:rsidR="00421DA0" w:rsidRPr="00250EE5" w:rsidRDefault="00421DA0" w:rsidP="00723A20">
            <w:pPr>
              <w:pStyle w:val="TableBullet"/>
            </w:pPr>
            <w:r w:rsidRPr="00250EE5">
              <w:t>Consider offering membrane sweeping concurrent with cervical ripening.</w:t>
            </w:r>
          </w:p>
          <w:p w14:paraId="5EB1B919" w14:textId="77777777" w:rsidR="00421DA0" w:rsidRPr="00250EE5" w:rsidRDefault="00421DA0" w:rsidP="00723A20">
            <w:pPr>
              <w:pStyle w:val="TableBullet"/>
            </w:pPr>
            <w:r w:rsidRPr="00250EE5">
              <w:t xml:space="preserve">For cervical ripening with PGE2 vaginal gel: Decide initial dose based on parity and Bishop score. If nulliparous and </w:t>
            </w:r>
            <w:r>
              <w:t xml:space="preserve">the Bishop score is </w:t>
            </w:r>
            <w:r w:rsidR="00067D39">
              <w:t>≤</w:t>
            </w:r>
            <w:r w:rsidRPr="00250EE5">
              <w:t>4, consider 2</w:t>
            </w:r>
            <w:r>
              <w:t xml:space="preserve"> </w:t>
            </w:r>
            <w:r w:rsidRPr="00250EE5">
              <w:t>mg; otherwise consider 1</w:t>
            </w:r>
            <w:r>
              <w:t xml:space="preserve"> </w:t>
            </w:r>
            <w:r w:rsidRPr="00250EE5">
              <w:t xml:space="preserve">mg. Decide </w:t>
            </w:r>
            <w:r>
              <w:t xml:space="preserve">any </w:t>
            </w:r>
            <w:r w:rsidRPr="00250EE5">
              <w:t>subsequent dose based on cervical change – if none, consider 2</w:t>
            </w:r>
            <w:r>
              <w:t xml:space="preserve"> </w:t>
            </w:r>
            <w:r w:rsidRPr="00250EE5">
              <w:t>mg; otherwise consider 1</w:t>
            </w:r>
            <w:r>
              <w:t xml:space="preserve"> </w:t>
            </w:r>
            <w:r w:rsidRPr="00250EE5">
              <w:t xml:space="preserve">mg. Use as per </w:t>
            </w:r>
            <w:r>
              <w:t xml:space="preserve">the </w:t>
            </w:r>
            <w:r w:rsidRPr="00250EE5">
              <w:t>manufacturer</w:t>
            </w:r>
            <w:r>
              <w:t>’</w:t>
            </w:r>
            <w:r w:rsidRPr="00250EE5">
              <w:t>s</w:t>
            </w:r>
            <w:r>
              <w:t xml:space="preserve"> </w:t>
            </w:r>
            <w:r w:rsidRPr="00250EE5">
              <w:t>instructions.</w:t>
            </w:r>
          </w:p>
          <w:p w14:paraId="6316EDB0" w14:textId="77777777" w:rsidR="00421DA0" w:rsidRPr="00250EE5" w:rsidRDefault="00421DA0" w:rsidP="00723A20">
            <w:pPr>
              <w:pStyle w:val="TableBullet"/>
            </w:pPr>
            <w:r w:rsidRPr="00250EE5">
              <w:t>For cervical ripening with PGE2 controlled-release vaginal pessary: Pessary may have higher risk of</w:t>
            </w:r>
            <w:r>
              <w:t xml:space="preserve"> </w:t>
            </w:r>
            <w:r w:rsidRPr="00250EE5">
              <w:t xml:space="preserve">uterine tachysystole and </w:t>
            </w:r>
            <w:proofErr w:type="spellStart"/>
            <w:r w:rsidRPr="00250EE5">
              <w:t>hypertonus</w:t>
            </w:r>
            <w:proofErr w:type="spellEnd"/>
            <w:r w:rsidRPr="00250EE5">
              <w:t xml:space="preserve"> compared </w:t>
            </w:r>
            <w:r>
              <w:t>with</w:t>
            </w:r>
            <w:r w:rsidRPr="00250EE5">
              <w:t xml:space="preserve"> vaginal gel. Use as per</w:t>
            </w:r>
            <w:r>
              <w:t xml:space="preserve"> the</w:t>
            </w:r>
            <w:r w:rsidRPr="00250EE5">
              <w:t xml:space="preserve"> manufacturer</w:t>
            </w:r>
            <w:r>
              <w:t>’</w:t>
            </w:r>
            <w:r w:rsidRPr="00250EE5">
              <w:t>s</w:t>
            </w:r>
            <w:r>
              <w:t xml:space="preserve"> </w:t>
            </w:r>
            <w:r w:rsidRPr="00250EE5">
              <w:t>instructions.</w:t>
            </w:r>
          </w:p>
          <w:p w14:paraId="01A97194" w14:textId="5D0F45C4" w:rsidR="00421DA0" w:rsidRPr="00C90D40" w:rsidRDefault="00421DA0" w:rsidP="00723A20">
            <w:pPr>
              <w:pStyle w:val="TableBullet"/>
            </w:pPr>
            <w:r w:rsidRPr="00250EE5">
              <w:t xml:space="preserve">For cervical ripening with PGE1 analogue (misoprostol): Vaginal administration may have higher risk of adverse outcomes compared </w:t>
            </w:r>
            <w:r>
              <w:t>with</w:t>
            </w:r>
            <w:r w:rsidRPr="00250EE5">
              <w:t xml:space="preserve"> oral administration. If using misoprostol, low-dose (25</w:t>
            </w:r>
            <w:r>
              <w:t> microgram</w:t>
            </w:r>
            <w:r w:rsidRPr="00250EE5">
              <w:t xml:space="preserve">) two-hourly in oral solution is recommended. See </w:t>
            </w:r>
            <w:r>
              <w:t xml:space="preserve">also </w:t>
            </w:r>
            <w:r w:rsidRPr="00C90D40">
              <w:t xml:space="preserve">Appendix </w:t>
            </w:r>
            <w:proofErr w:type="spellStart"/>
            <w:r w:rsidRPr="00C90D40">
              <w:t>E</w:t>
            </w:r>
            <w:r w:rsidR="00C90D40">
              <w:fldChar w:fldCharType="begin"/>
            </w:r>
            <w:r w:rsidR="00C90D40">
              <w:instrText xml:space="preserve"> REF _Ref72417724 \h </w:instrText>
            </w:r>
            <w:r w:rsidR="00C90D40">
              <w:fldChar w:fldCharType="separate"/>
            </w:r>
            <w:r w:rsidR="00C04A3F">
              <w:t>Appendix</w:t>
            </w:r>
            <w:proofErr w:type="spellEnd"/>
            <w:r w:rsidR="00C04A3F">
              <w:t xml:space="preserve"> E: </w:t>
            </w:r>
            <w:r w:rsidR="00C04A3F" w:rsidRPr="00DA3B83">
              <w:t>Examples</w:t>
            </w:r>
            <w:r w:rsidR="00C04A3F">
              <w:t xml:space="preserve"> of preparation of oral misoprostol for cervical ripening</w:t>
            </w:r>
            <w:r w:rsidR="00C90D40">
              <w:fldChar w:fldCharType="end"/>
            </w:r>
            <w:r w:rsidRPr="00C90D40">
              <w:t>.</w:t>
            </w:r>
          </w:p>
          <w:p w14:paraId="5C76D8CF" w14:textId="77777777" w:rsidR="00421DA0" w:rsidRPr="00250EE5" w:rsidRDefault="00421DA0" w:rsidP="00723A20">
            <w:pPr>
              <w:pStyle w:val="TableBullet"/>
            </w:pPr>
            <w:r w:rsidRPr="00250EE5">
              <w:t xml:space="preserve">For cervical ripening with balloon catheter, consider offering either single- or double-balloon, as both are comparable to achieve vaginal birth in </w:t>
            </w:r>
            <w:r>
              <w:t>24 hours</w:t>
            </w:r>
            <w:r w:rsidRPr="00250EE5">
              <w:t xml:space="preserve"> and for risk of caesarean section. Use double-balloon catheter as per </w:t>
            </w:r>
            <w:r>
              <w:t xml:space="preserve">the </w:t>
            </w:r>
            <w:r w:rsidRPr="00250EE5">
              <w:t>manufacturer</w:t>
            </w:r>
            <w:r>
              <w:t>’</w:t>
            </w:r>
            <w:r w:rsidRPr="00250EE5">
              <w:t>s instructions.</w:t>
            </w:r>
          </w:p>
        </w:tc>
      </w:tr>
    </w:tbl>
    <w:p w14:paraId="00B1204B"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E6C6F0E" w14:textId="77777777" w:rsidTr="00230FF7">
        <w:trPr>
          <w:cantSplit/>
        </w:trPr>
        <w:tc>
          <w:tcPr>
            <w:tcW w:w="8080" w:type="dxa"/>
            <w:tcBorders>
              <w:top w:val="nil"/>
              <w:left w:val="nil"/>
              <w:bottom w:val="nil"/>
              <w:right w:val="nil"/>
            </w:tcBorders>
            <w:shd w:val="clear" w:color="auto" w:fill="D9D9D9" w:themeFill="background1" w:themeFillShade="D9"/>
          </w:tcPr>
          <w:p w14:paraId="26308509" w14:textId="77777777" w:rsidR="00D2284E" w:rsidRPr="008D53E4" w:rsidRDefault="00D2284E" w:rsidP="00230FF7">
            <w:pPr>
              <w:pStyle w:val="TableText"/>
              <w:rPr>
                <w:b/>
              </w:rPr>
            </w:pPr>
            <w:r w:rsidRPr="008D53E4">
              <w:rPr>
                <w:b/>
              </w:rPr>
              <w:t>Research gaps</w:t>
            </w:r>
          </w:p>
        </w:tc>
      </w:tr>
      <w:tr w:rsidR="00421DA0" w14:paraId="5D4A8866" w14:textId="77777777" w:rsidTr="00230FF7">
        <w:trPr>
          <w:cantSplit/>
        </w:trPr>
        <w:tc>
          <w:tcPr>
            <w:tcW w:w="8080" w:type="dxa"/>
            <w:tcBorders>
              <w:top w:val="nil"/>
              <w:left w:val="nil"/>
              <w:bottom w:val="single" w:sz="4" w:space="0" w:color="A6A6A6" w:themeColor="background1" w:themeShade="A6"/>
              <w:right w:val="nil"/>
            </w:tcBorders>
          </w:tcPr>
          <w:p w14:paraId="10ED47B0" w14:textId="77777777" w:rsidR="00421DA0" w:rsidRDefault="00421DA0" w:rsidP="00723A20">
            <w:pPr>
              <w:pStyle w:val="TableBullet"/>
            </w:pPr>
            <w:r>
              <w:t xml:space="preserve">For women having cervical ripening, to evaluate timing of starting IV </w:t>
            </w:r>
            <w:proofErr w:type="spellStart"/>
            <w:r>
              <w:t>Luer</w:t>
            </w:r>
            <w:proofErr w:type="spellEnd"/>
            <w:r>
              <w:t xml:space="preserve"> (routinely at start of IOL compared with as needed), on maternal satisfaction and potential harms.</w:t>
            </w:r>
          </w:p>
          <w:p w14:paraId="79E3F3BA" w14:textId="77777777" w:rsidR="00421DA0" w:rsidRDefault="00421DA0" w:rsidP="00723A20">
            <w:pPr>
              <w:pStyle w:val="TableBullet"/>
            </w:pPr>
            <w:r>
              <w:t>For</w:t>
            </w:r>
            <w:r>
              <w:rPr>
                <w:spacing w:val="-4"/>
              </w:rPr>
              <w:t xml:space="preserve"> </w:t>
            </w:r>
            <w:r>
              <w:t>cervical</w:t>
            </w:r>
            <w:r>
              <w:rPr>
                <w:spacing w:val="-3"/>
              </w:rPr>
              <w:t xml:space="preserve"> </w:t>
            </w:r>
            <w:r>
              <w:t>ripening</w:t>
            </w:r>
            <w:r>
              <w:rPr>
                <w:spacing w:val="-2"/>
              </w:rPr>
              <w:t xml:space="preserve"> </w:t>
            </w:r>
            <w:r>
              <w:t>with</w:t>
            </w:r>
            <w:r>
              <w:rPr>
                <w:spacing w:val="-2"/>
              </w:rPr>
              <w:t xml:space="preserve"> </w:t>
            </w:r>
            <w:r>
              <w:t>CERVIDIL®,</w:t>
            </w:r>
            <w:r>
              <w:rPr>
                <w:spacing w:val="-1"/>
              </w:rPr>
              <w:t xml:space="preserve"> </w:t>
            </w:r>
            <w:r>
              <w:t>to</w:t>
            </w:r>
            <w:r>
              <w:rPr>
                <w:spacing w:val="-9"/>
              </w:rPr>
              <w:t xml:space="preserve"> </w:t>
            </w:r>
            <w:r>
              <w:t>evaluate</w:t>
            </w:r>
            <w:r>
              <w:rPr>
                <w:spacing w:val="-5"/>
              </w:rPr>
              <w:t xml:space="preserve"> </w:t>
            </w:r>
            <w:r>
              <w:t>the</w:t>
            </w:r>
            <w:r>
              <w:rPr>
                <w:spacing w:val="-3"/>
              </w:rPr>
              <w:t xml:space="preserve"> </w:t>
            </w:r>
            <w:r>
              <w:t>effect</w:t>
            </w:r>
            <w:r>
              <w:rPr>
                <w:spacing w:val="-6"/>
              </w:rPr>
              <w:t xml:space="preserve"> </w:t>
            </w:r>
            <w:r>
              <w:t>of</w:t>
            </w:r>
            <w:r>
              <w:rPr>
                <w:spacing w:val="-2"/>
              </w:rPr>
              <w:t xml:space="preserve"> </w:t>
            </w:r>
            <w:r>
              <w:t>leaving</w:t>
            </w:r>
            <w:r>
              <w:rPr>
                <w:spacing w:val="-1"/>
              </w:rPr>
              <w:t xml:space="preserve"> </w:t>
            </w:r>
            <w:r>
              <w:t>it</w:t>
            </w:r>
            <w:r>
              <w:rPr>
                <w:spacing w:val="-2"/>
              </w:rPr>
              <w:t xml:space="preserve"> </w:t>
            </w:r>
            <w:r>
              <w:t>in</w:t>
            </w:r>
            <w:r>
              <w:rPr>
                <w:spacing w:val="-3"/>
              </w:rPr>
              <w:t xml:space="preserve"> </w:t>
            </w:r>
            <w:r>
              <w:t>situ</w:t>
            </w:r>
            <w:r>
              <w:rPr>
                <w:spacing w:val="-7"/>
              </w:rPr>
              <w:t xml:space="preserve"> </w:t>
            </w:r>
            <w:r>
              <w:t>for</w:t>
            </w:r>
            <w:r>
              <w:rPr>
                <w:spacing w:val="-4"/>
              </w:rPr>
              <w:t xml:space="preserve"> </w:t>
            </w:r>
            <w:r>
              <w:t>24</w:t>
            </w:r>
            <w:r>
              <w:rPr>
                <w:spacing w:val="-3"/>
              </w:rPr>
              <w:t xml:space="preserve"> </w:t>
            </w:r>
            <w:r>
              <w:t>versus</w:t>
            </w:r>
            <w:r>
              <w:rPr>
                <w:spacing w:val="-1"/>
              </w:rPr>
              <w:t xml:space="preserve"> </w:t>
            </w:r>
            <w:r>
              <w:t>12 hours,</w:t>
            </w:r>
            <w:r>
              <w:rPr>
                <w:spacing w:val="-2"/>
              </w:rPr>
              <w:t xml:space="preserve"> </w:t>
            </w:r>
            <w:r>
              <w:t>and</w:t>
            </w:r>
            <w:r>
              <w:rPr>
                <w:spacing w:val="-2"/>
              </w:rPr>
              <w:t xml:space="preserve"> </w:t>
            </w:r>
            <w:r>
              <w:t>to evaluate</w:t>
            </w:r>
            <w:r>
              <w:rPr>
                <w:spacing w:val="-3"/>
              </w:rPr>
              <w:t xml:space="preserve"> </w:t>
            </w:r>
            <w:r>
              <w:t>the</w:t>
            </w:r>
            <w:r>
              <w:rPr>
                <w:spacing w:val="-3"/>
              </w:rPr>
              <w:t xml:space="preserve"> </w:t>
            </w:r>
            <w:r>
              <w:t>effect</w:t>
            </w:r>
            <w:r>
              <w:rPr>
                <w:spacing w:val="-2"/>
              </w:rPr>
              <w:t xml:space="preserve"> </w:t>
            </w:r>
            <w:r>
              <w:t>of</w:t>
            </w:r>
            <w:r>
              <w:rPr>
                <w:spacing w:val="-5"/>
              </w:rPr>
              <w:t xml:space="preserve"> </w:t>
            </w:r>
            <w:r>
              <w:t>a</w:t>
            </w:r>
            <w:r>
              <w:rPr>
                <w:spacing w:val="-4"/>
              </w:rPr>
              <w:t xml:space="preserve"> </w:t>
            </w:r>
            <w:r>
              <w:t>2nd</w:t>
            </w:r>
            <w:r>
              <w:rPr>
                <w:spacing w:val="12"/>
                <w:position w:val="7"/>
                <w:sz w:val="14"/>
              </w:rPr>
              <w:t xml:space="preserve"> </w:t>
            </w:r>
            <w:r>
              <w:t>dose</w:t>
            </w:r>
            <w:r>
              <w:rPr>
                <w:spacing w:val="-3"/>
              </w:rPr>
              <w:t xml:space="preserve"> </w:t>
            </w:r>
            <w:r>
              <w:t>compared with</w:t>
            </w:r>
            <w:r>
              <w:rPr>
                <w:spacing w:val="-2"/>
              </w:rPr>
              <w:t xml:space="preserve"> </w:t>
            </w:r>
            <w:r>
              <w:t>one</w:t>
            </w:r>
            <w:r>
              <w:rPr>
                <w:spacing w:val="-4"/>
              </w:rPr>
              <w:t xml:space="preserve"> </w:t>
            </w:r>
            <w:r>
              <w:t>dose</w:t>
            </w:r>
            <w:r>
              <w:rPr>
                <w:spacing w:val="-2"/>
              </w:rPr>
              <w:t xml:space="preserve"> </w:t>
            </w:r>
            <w:r>
              <w:t>only,</w:t>
            </w:r>
            <w:r>
              <w:rPr>
                <w:spacing w:val="-1"/>
              </w:rPr>
              <w:t xml:space="preserve"> </w:t>
            </w:r>
            <w:r>
              <w:t>on</w:t>
            </w:r>
            <w:r>
              <w:rPr>
                <w:spacing w:val="-3"/>
              </w:rPr>
              <w:t xml:space="preserve"> </w:t>
            </w:r>
            <w:r>
              <w:t>chance</w:t>
            </w:r>
            <w:r>
              <w:rPr>
                <w:spacing w:val="-3"/>
              </w:rPr>
              <w:t xml:space="preserve"> </w:t>
            </w:r>
            <w:r>
              <w:t>of</w:t>
            </w:r>
            <w:r>
              <w:rPr>
                <w:spacing w:val="-5"/>
              </w:rPr>
              <w:t xml:space="preserve"> </w:t>
            </w:r>
            <w:r>
              <w:t>vaginal</w:t>
            </w:r>
            <w:r>
              <w:rPr>
                <w:spacing w:val="-4"/>
              </w:rPr>
              <w:t xml:space="preserve"> </w:t>
            </w:r>
            <w:r>
              <w:t>birth</w:t>
            </w:r>
            <w:r>
              <w:rPr>
                <w:spacing w:val="-3"/>
              </w:rPr>
              <w:t xml:space="preserve"> </w:t>
            </w:r>
            <w:r>
              <w:t>and</w:t>
            </w:r>
            <w:r>
              <w:rPr>
                <w:spacing w:val="-4"/>
              </w:rPr>
              <w:t xml:space="preserve"> </w:t>
            </w:r>
            <w:r>
              <w:t>on</w:t>
            </w:r>
            <w:r>
              <w:rPr>
                <w:spacing w:val="-3"/>
              </w:rPr>
              <w:t xml:space="preserve"> </w:t>
            </w:r>
            <w:r>
              <w:t>potential</w:t>
            </w:r>
            <w:r>
              <w:rPr>
                <w:spacing w:val="-2"/>
              </w:rPr>
              <w:t xml:space="preserve"> </w:t>
            </w:r>
            <w:r>
              <w:t>harms.</w:t>
            </w:r>
          </w:p>
          <w:p w14:paraId="390A2563" w14:textId="77777777" w:rsidR="00421DA0" w:rsidRDefault="00421DA0" w:rsidP="00723A20">
            <w:pPr>
              <w:pStyle w:val="TableBullet"/>
            </w:pPr>
            <w:r>
              <w:t xml:space="preserve">For cervical ripening with </w:t>
            </w:r>
            <w:proofErr w:type="spellStart"/>
            <w:r>
              <w:t>Prostin</w:t>
            </w:r>
            <w:proofErr w:type="spellEnd"/>
            <w:r>
              <w:t>®, to evaluate the effect of the number and dose of application/s on chance of vaginal birth and on potential harms, stratified by parity.</w:t>
            </w:r>
          </w:p>
          <w:p w14:paraId="55491E1B" w14:textId="77777777" w:rsidR="00421DA0" w:rsidRDefault="00421DA0" w:rsidP="00723A20">
            <w:pPr>
              <w:pStyle w:val="TableBullet"/>
            </w:pPr>
            <w:r>
              <w:t>After how much time do you consider changing to a second method of cervical ripening?</w:t>
            </w:r>
          </w:p>
          <w:p w14:paraId="7114D529" w14:textId="77777777" w:rsidR="00421DA0" w:rsidRDefault="00421DA0" w:rsidP="00723A20">
            <w:pPr>
              <w:pStyle w:val="TableBullet"/>
            </w:pPr>
            <w:r>
              <w:t>For cervical ripening with single-balloon catheter, to evaluate the effect of leaving it in situ for 12 compared with 24 hours, and to further evaluate the effect of low- vs high-volume inflation, on chance of vaginal birth, maternal satisfaction and comfort, and potential harms, stratified by parity.</w:t>
            </w:r>
          </w:p>
          <w:p w14:paraId="4742808D" w14:textId="77777777" w:rsidR="00421DA0" w:rsidRDefault="00421DA0" w:rsidP="00723A20">
            <w:pPr>
              <w:pStyle w:val="TableBullet"/>
            </w:pPr>
            <w:r>
              <w:t>To perform an economic analysis comparing mechanical methods with PG.</w:t>
            </w:r>
          </w:p>
        </w:tc>
      </w:tr>
    </w:tbl>
    <w:p w14:paraId="0F5F8F78" w14:textId="77777777" w:rsidR="00AC0F19" w:rsidRDefault="00AC0F19" w:rsidP="00421DA0">
      <w:pPr>
        <w:pStyle w:val="Heading2"/>
        <w:spacing w:before="720"/>
      </w:pPr>
      <w:bookmarkStart w:id="213" w:name="5.4_Methods_of_IOL_for_women_with_previo"/>
      <w:bookmarkStart w:id="214" w:name="_bookmark103"/>
      <w:bookmarkStart w:id="215" w:name="_Toc75788002"/>
      <w:bookmarkEnd w:id="213"/>
      <w:bookmarkEnd w:id="214"/>
      <w:r w:rsidRPr="00250EE5">
        <w:lastRenderedPageBreak/>
        <w:t>Methods</w:t>
      </w:r>
      <w:r>
        <w:t xml:space="preserve"> of IOL for women with previous caesarean</w:t>
      </w:r>
      <w:r>
        <w:rPr>
          <w:spacing w:val="-18"/>
        </w:rPr>
        <w:t xml:space="preserve"> </w:t>
      </w:r>
      <w:r>
        <w:t>section</w:t>
      </w:r>
      <w:bookmarkEnd w:id="215"/>
    </w:p>
    <w:p w14:paraId="600F9CF9" w14:textId="77777777" w:rsidR="00AC0F19" w:rsidRDefault="00AC0F19" w:rsidP="00421DA0">
      <w:pPr>
        <w:pStyle w:val="Heading3"/>
      </w:pPr>
      <w:bookmarkStart w:id="216" w:name="_bookmark104"/>
      <w:bookmarkEnd w:id="216"/>
      <w:r>
        <w:t>Summary of evidence</w:t>
      </w:r>
    </w:p>
    <w:p w14:paraId="5205E701" w14:textId="77777777" w:rsidR="00AC0F19" w:rsidRDefault="00AC0F19" w:rsidP="00421DA0">
      <w:r w:rsidRPr="00250EE5">
        <w:t>One systematic review was identified.</w:t>
      </w:r>
    </w:p>
    <w:p w14:paraId="477BF671" w14:textId="77777777" w:rsidR="00AC0F19" w:rsidRPr="00250EE5" w:rsidRDefault="00AC0F19" w:rsidP="00421DA0"/>
    <w:p w14:paraId="79AA2829" w14:textId="77777777" w:rsidR="00AC0F19" w:rsidRDefault="00AC0F19" w:rsidP="00421DA0">
      <w:r w:rsidRPr="00250EE5">
        <w:t xml:space="preserve">A Cochrane review of eight RCTs of 707 women reported on methods of IOL at term in women with a previous caesarean section (West </w:t>
      </w:r>
      <w:r w:rsidR="000F3C98">
        <w:t>et al</w:t>
      </w:r>
      <w:r>
        <w:t xml:space="preserve"> </w:t>
      </w:r>
      <w:r w:rsidRPr="00250EE5">
        <w:t>2017). All methods of cervical ripening or IOL (vaginal or oral</w:t>
      </w:r>
      <w:r w:rsidRPr="00441549">
        <w:t xml:space="preserve"> </w:t>
      </w:r>
      <w:r>
        <w:t>PGs</w:t>
      </w:r>
      <w:r w:rsidRPr="00250EE5">
        <w:t xml:space="preserve">, mifepristone, mechanical methods, oxytocin or placebo) that </w:t>
      </w:r>
      <w:r>
        <w:t>were</w:t>
      </w:r>
      <w:r w:rsidRPr="00250EE5">
        <w:t xml:space="preserve"> compared with placebo or any other method were included. Primary outcomes </w:t>
      </w:r>
      <w:proofErr w:type="gramStart"/>
      <w:r w:rsidRPr="00250EE5">
        <w:t>were:</w:t>
      </w:r>
      <w:proofErr w:type="gramEnd"/>
      <w:r w:rsidRPr="00250EE5">
        <w:t xml:space="preserve"> vaginal birth within </w:t>
      </w:r>
      <w:r w:rsidR="00EB43A9">
        <w:t>24 hours</w:t>
      </w:r>
      <w:r w:rsidRPr="00250EE5">
        <w:t xml:space="preserve">, uterine hyperstimulation with FHR changes, caesarean section, serious neonatal morbidity or perinatal death and serious maternal morbidity or death. No studies were found that looked at vaginal birth within </w:t>
      </w:r>
      <w:r w:rsidR="00EB43A9">
        <w:t>24 hours</w:t>
      </w:r>
      <w:r w:rsidRPr="00250EE5">
        <w:t xml:space="preserve"> or uterine hyperstimulation. The other outcomes were considered of low-quality evidence. Meta-analysis could not be undertaken due to multiple interventions with limited studies and variable quality. The authors concluded that RCT data on women with previous caesarean are underpowered and inadequate.</w:t>
      </w:r>
    </w:p>
    <w:p w14:paraId="0FD3A84E" w14:textId="77777777" w:rsidR="00AC0F19" w:rsidRPr="00250EE5" w:rsidRDefault="00AC0F19" w:rsidP="00421DA0"/>
    <w:p w14:paraId="45EC721B" w14:textId="77777777" w:rsidR="00AC0F19" w:rsidRDefault="00AC0F19" w:rsidP="00421DA0">
      <w:pPr>
        <w:pStyle w:val="Heading3"/>
      </w:pPr>
      <w:bookmarkStart w:id="217" w:name="_bookmark105"/>
      <w:bookmarkEnd w:id="217"/>
      <w:r>
        <w:t>Discussion</w:t>
      </w:r>
    </w:p>
    <w:p w14:paraId="1AE25160" w14:textId="77777777" w:rsidR="00B0606D" w:rsidRDefault="00AC0F19" w:rsidP="00421DA0">
      <w:r w:rsidRPr="00250EE5">
        <w:t xml:space="preserve">Prospective and retrospective cohort studies have shown an increased risk of uterine rupture in women who have had a previous caesarean section following IOL, especially when </w:t>
      </w:r>
      <w:r>
        <w:t>PG</w:t>
      </w:r>
      <w:r w:rsidRPr="00250EE5">
        <w:t xml:space="preserve">s are used for cervical ripening (Landon 2004; </w:t>
      </w:r>
      <w:proofErr w:type="spellStart"/>
      <w:r w:rsidRPr="00250EE5">
        <w:t>Lydon</w:t>
      </w:r>
      <w:proofErr w:type="spellEnd"/>
      <w:r w:rsidRPr="00250EE5">
        <w:t xml:space="preserve">‐Rochelle 2001; Smith 2004). The risk of uterine rupture following mechanical methods for cervical ripening is lower than with PGs (Bujold 2004; Landon 2004; </w:t>
      </w:r>
      <w:proofErr w:type="spellStart"/>
      <w:r w:rsidRPr="00250EE5">
        <w:t>Ravasia</w:t>
      </w:r>
      <w:proofErr w:type="spellEnd"/>
      <w:r w:rsidRPr="00250EE5">
        <w:t xml:space="preserve"> 2000), approximating the risk after spontaneous onset of labour. </w:t>
      </w:r>
      <w:r>
        <w:t>A UK national case-control study</w:t>
      </w:r>
      <w:r w:rsidRPr="00250EE5">
        <w:t xml:space="preserve"> ha</w:t>
      </w:r>
      <w:r>
        <w:t>s</w:t>
      </w:r>
      <w:r w:rsidRPr="00250EE5">
        <w:t xml:space="preserve"> shown that the use of oxytocin to induce labour in women who have had a previous caesarean section is associated with an incr</w:t>
      </w:r>
      <w:r w:rsidR="00421DA0">
        <w:t>eased risk of uterine rupture (</w:t>
      </w:r>
      <w:r w:rsidRPr="00250EE5">
        <w:t xml:space="preserve">Fitzpatrick </w:t>
      </w:r>
      <w:r w:rsidR="000F3C98">
        <w:t>et al</w:t>
      </w:r>
      <w:r>
        <w:t xml:space="preserve"> </w:t>
      </w:r>
      <w:r w:rsidRPr="00250EE5">
        <w:t>2012).</w:t>
      </w:r>
    </w:p>
    <w:p w14:paraId="77588200" w14:textId="77777777" w:rsidR="00AC0F19" w:rsidRPr="00250EE5" w:rsidRDefault="00AC0F19" w:rsidP="00421DA0"/>
    <w:p w14:paraId="198027B3" w14:textId="77777777" w:rsidR="00AC0F19" w:rsidRPr="00250EE5" w:rsidRDefault="00AC0F19" w:rsidP="00421DA0">
      <w:r w:rsidRPr="00250EE5">
        <w:t>There is insufficient high-quality evidence to make a clear recommendation for method of IOL in women with a previous caesarean section.</w:t>
      </w:r>
    </w:p>
    <w:p w14:paraId="647FAE81" w14:textId="77777777" w:rsidR="00AC0F19" w:rsidRDefault="00AC0F19" w:rsidP="00AC0F19"/>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3D619C88" w14:textId="77777777" w:rsidTr="00230FF7">
        <w:trPr>
          <w:cantSplit/>
        </w:trPr>
        <w:tc>
          <w:tcPr>
            <w:tcW w:w="8080" w:type="dxa"/>
            <w:tcBorders>
              <w:top w:val="nil"/>
              <w:left w:val="nil"/>
              <w:bottom w:val="nil"/>
              <w:right w:val="nil"/>
            </w:tcBorders>
            <w:shd w:val="clear" w:color="auto" w:fill="D9D9D9" w:themeFill="background1" w:themeFillShade="D9"/>
          </w:tcPr>
          <w:p w14:paraId="115678B6" w14:textId="77777777" w:rsidR="00D2284E" w:rsidRPr="008D53E4" w:rsidRDefault="00D2284E" w:rsidP="00230FF7">
            <w:pPr>
              <w:pStyle w:val="TableText"/>
            </w:pPr>
            <w:r w:rsidRPr="00806252">
              <w:rPr>
                <w:b/>
                <w:iCs/>
              </w:rPr>
              <w:t>Practice point</w:t>
            </w:r>
          </w:p>
        </w:tc>
      </w:tr>
      <w:tr w:rsidR="00D2284E" w14:paraId="0C7D7942" w14:textId="77777777" w:rsidTr="00230FF7">
        <w:trPr>
          <w:cantSplit/>
        </w:trPr>
        <w:tc>
          <w:tcPr>
            <w:tcW w:w="8080" w:type="dxa"/>
            <w:tcBorders>
              <w:top w:val="nil"/>
              <w:left w:val="nil"/>
              <w:bottom w:val="single" w:sz="4" w:space="0" w:color="A6A6A6" w:themeColor="background1" w:themeShade="A6"/>
              <w:right w:val="nil"/>
            </w:tcBorders>
          </w:tcPr>
          <w:p w14:paraId="64BEF302" w14:textId="77777777" w:rsidR="00D2284E" w:rsidRDefault="00421DA0" w:rsidP="00230FF7">
            <w:pPr>
              <w:pStyle w:val="TableBullet"/>
            </w:pPr>
            <w:r w:rsidRPr="00250EE5">
              <w:t xml:space="preserve">Consider using balloon catheter for cervical ripening where </w:t>
            </w:r>
            <w:r>
              <w:t>IOL</w:t>
            </w:r>
            <w:r w:rsidRPr="00250EE5">
              <w:t xml:space="preserve"> is indicated in the</w:t>
            </w:r>
            <w:r>
              <w:t xml:space="preserve"> </w:t>
            </w:r>
            <w:r w:rsidRPr="00250EE5">
              <w:t xml:space="preserve">setting of </w:t>
            </w:r>
            <w:r>
              <w:t xml:space="preserve">a </w:t>
            </w:r>
            <w:r w:rsidRPr="00250EE5">
              <w:t>previous caesarean section.</w:t>
            </w:r>
          </w:p>
        </w:tc>
      </w:tr>
    </w:tbl>
    <w:p w14:paraId="44A1912C"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F3D8711" w14:textId="77777777" w:rsidTr="00230FF7">
        <w:trPr>
          <w:cantSplit/>
        </w:trPr>
        <w:tc>
          <w:tcPr>
            <w:tcW w:w="8080" w:type="dxa"/>
            <w:tcBorders>
              <w:top w:val="nil"/>
              <w:left w:val="nil"/>
              <w:bottom w:val="nil"/>
              <w:right w:val="nil"/>
            </w:tcBorders>
            <w:shd w:val="clear" w:color="auto" w:fill="D9D9D9" w:themeFill="background1" w:themeFillShade="D9"/>
          </w:tcPr>
          <w:p w14:paraId="054B27AB" w14:textId="77777777" w:rsidR="00D2284E" w:rsidRPr="008D53E4" w:rsidRDefault="00421DA0" w:rsidP="00230FF7">
            <w:pPr>
              <w:pStyle w:val="TableText"/>
              <w:rPr>
                <w:b/>
              </w:rPr>
            </w:pPr>
            <w:r>
              <w:rPr>
                <w:b/>
              </w:rPr>
              <w:t>Research gap</w:t>
            </w:r>
          </w:p>
        </w:tc>
      </w:tr>
      <w:tr w:rsidR="00D2284E" w14:paraId="71CFA5A5" w14:textId="77777777" w:rsidTr="00230FF7">
        <w:trPr>
          <w:cantSplit/>
        </w:trPr>
        <w:tc>
          <w:tcPr>
            <w:tcW w:w="8080" w:type="dxa"/>
            <w:tcBorders>
              <w:top w:val="nil"/>
              <w:left w:val="nil"/>
              <w:bottom w:val="single" w:sz="4" w:space="0" w:color="A6A6A6" w:themeColor="background1" w:themeShade="A6"/>
              <w:right w:val="nil"/>
            </w:tcBorders>
          </w:tcPr>
          <w:p w14:paraId="667356A3" w14:textId="77777777" w:rsidR="00D2284E" w:rsidRDefault="00421DA0" w:rsidP="00230FF7">
            <w:pPr>
              <w:pStyle w:val="TableBullet"/>
            </w:pPr>
            <w:r>
              <w:t>To evaluate different methods of cervical ripening in women with previous caesarean section, such as mifepristone and balloon catheter.</w:t>
            </w:r>
          </w:p>
        </w:tc>
      </w:tr>
    </w:tbl>
    <w:p w14:paraId="4612A380" w14:textId="77777777" w:rsidR="00D2284E" w:rsidRDefault="00D2284E" w:rsidP="00421DA0"/>
    <w:p w14:paraId="54174961" w14:textId="77777777" w:rsidR="00AC0F19" w:rsidRDefault="00AC0F19" w:rsidP="00AC6551">
      <w:pPr>
        <w:pStyle w:val="Heading1"/>
      </w:pPr>
      <w:bookmarkStart w:id="218" w:name="Chapter_6_-_Methods_of_induction_of_labo"/>
      <w:bookmarkStart w:id="219" w:name="_bookmark106"/>
      <w:bookmarkStart w:id="220" w:name="_Toc75788003"/>
      <w:bookmarkEnd w:id="218"/>
      <w:bookmarkEnd w:id="219"/>
      <w:r>
        <w:lastRenderedPageBreak/>
        <w:t>:</w:t>
      </w:r>
      <w:r w:rsidR="00AC6551">
        <w:t xml:space="preserve"> </w:t>
      </w:r>
      <w:r>
        <w:t xml:space="preserve">Methods of </w:t>
      </w:r>
      <w:r w:rsidRPr="00F31279">
        <w:t>induction</w:t>
      </w:r>
      <w:r>
        <w:t xml:space="preserve"> of labour</w:t>
      </w:r>
      <w:bookmarkEnd w:id="220"/>
    </w:p>
    <w:p w14:paraId="1C66ECF3" w14:textId="77777777" w:rsidR="00AC0F19" w:rsidRDefault="00AC0F19" w:rsidP="00126358">
      <w:pPr>
        <w:pStyle w:val="Heading2"/>
      </w:pPr>
      <w:bookmarkStart w:id="221" w:name="Introduction"/>
      <w:bookmarkStart w:id="222" w:name="_bookmark107"/>
      <w:bookmarkStart w:id="223" w:name="_Toc75788004"/>
      <w:bookmarkEnd w:id="221"/>
      <w:bookmarkEnd w:id="222"/>
      <w:r w:rsidRPr="00F31279">
        <w:t>Introduction</w:t>
      </w:r>
      <w:bookmarkEnd w:id="223"/>
    </w:p>
    <w:p w14:paraId="339CF088" w14:textId="77777777" w:rsidR="00AC0F19" w:rsidRDefault="00AC0F19" w:rsidP="00126358">
      <w:r>
        <w:t xml:space="preserve">In this chapter, amniotomy or artificial rupture of membranes (ARM) and intravenous </w:t>
      </w:r>
      <w:r w:rsidRPr="00F31279">
        <w:t>oxytocin</w:t>
      </w:r>
      <w:r>
        <w:t xml:space="preserve"> infusion are considered.</w:t>
      </w:r>
    </w:p>
    <w:p w14:paraId="26C46B79" w14:textId="77777777" w:rsidR="00AC0F19" w:rsidRDefault="00AC0F19" w:rsidP="00126358"/>
    <w:p w14:paraId="585BC12B" w14:textId="77777777" w:rsidR="00AC0F19" w:rsidRDefault="00AC0F19" w:rsidP="00126358">
      <w:pPr>
        <w:pStyle w:val="Heading2"/>
      </w:pPr>
      <w:bookmarkStart w:id="224" w:name="6.1_Combination_ARM_with_oxytocin"/>
      <w:bookmarkStart w:id="225" w:name="_bookmark108"/>
      <w:bookmarkStart w:id="226" w:name="_Toc75788005"/>
      <w:bookmarkEnd w:id="224"/>
      <w:bookmarkEnd w:id="225"/>
      <w:r w:rsidRPr="00F31279">
        <w:t>Combin</w:t>
      </w:r>
      <w:r>
        <w:t>ing ARM with oxytocin</w:t>
      </w:r>
      <w:bookmarkEnd w:id="226"/>
    </w:p>
    <w:p w14:paraId="530E8203" w14:textId="77777777" w:rsidR="00AC0F19" w:rsidRPr="00F31279" w:rsidRDefault="00AC0F19" w:rsidP="00126358">
      <w:r w:rsidRPr="00F31279">
        <w:t xml:space="preserve">One systematic review and one RCT published since that review were identified evaluating </w:t>
      </w:r>
      <w:r>
        <w:t xml:space="preserve">the </w:t>
      </w:r>
      <w:r w:rsidRPr="00F31279">
        <w:t>combination of ARM with oxytocin.</w:t>
      </w:r>
    </w:p>
    <w:p w14:paraId="6E9E7C70" w14:textId="77777777" w:rsidR="00AC0F19" w:rsidRPr="00F31279" w:rsidRDefault="00AC0F19" w:rsidP="00126358"/>
    <w:p w14:paraId="5118BC3D" w14:textId="77777777" w:rsidR="00AC0F19" w:rsidRPr="00F31279" w:rsidRDefault="00AC0F19" w:rsidP="00126358">
      <w:r w:rsidRPr="00F31279">
        <w:t xml:space="preserve">In a Cochrane review (Howarth </w:t>
      </w:r>
      <w:r>
        <w:t xml:space="preserve">and Botha </w:t>
      </w:r>
      <w:r w:rsidRPr="00F31279">
        <w:t>2001) of 17 clinical trials (2</w:t>
      </w:r>
      <w:r>
        <w:t>,</w:t>
      </w:r>
      <w:r w:rsidRPr="00F31279">
        <w:t>566 women), amniotomy with oxytocin for third</w:t>
      </w:r>
      <w:r>
        <w:t>-</w:t>
      </w:r>
      <w:r w:rsidRPr="00F31279">
        <w:t xml:space="preserve">trimester IOL was compared </w:t>
      </w:r>
      <w:r>
        <w:t>with a</w:t>
      </w:r>
      <w:r w:rsidRPr="00F31279">
        <w:t xml:space="preserve"> placebo or other treatments. The primary outcomes </w:t>
      </w:r>
      <w:proofErr w:type="gramStart"/>
      <w:r w:rsidRPr="00F31279">
        <w:t>were:</w:t>
      </w:r>
      <w:proofErr w:type="gramEnd"/>
      <w:r w:rsidRPr="00F31279">
        <w:t xml:space="preserve"> vaginal birth not achieved in </w:t>
      </w:r>
      <w:r w:rsidR="00EB43A9">
        <w:t>24 hours</w:t>
      </w:r>
      <w:r w:rsidRPr="00F31279">
        <w:t xml:space="preserve">, uterine hyperstimulation with FHR changes, caesarean section, serious neonatal morbidity or perinatal death, and serious maternal morbidity or death. Secondary outcomes included instrumental delivery, epidural, perinatal death, </w:t>
      </w:r>
      <w:r>
        <w:t>PPH</w:t>
      </w:r>
      <w:r w:rsidRPr="00F31279">
        <w:t xml:space="preserve"> and fever.</w:t>
      </w:r>
    </w:p>
    <w:p w14:paraId="3CFA4B33" w14:textId="77777777" w:rsidR="00AC0F19" w:rsidRPr="00F31279" w:rsidRDefault="00AC0F19" w:rsidP="00126358"/>
    <w:p w14:paraId="6923B19A" w14:textId="77777777" w:rsidR="00AC0F19" w:rsidRPr="00F31279" w:rsidRDefault="00AC0F19" w:rsidP="00126358">
      <w:r w:rsidRPr="00F31279">
        <w:t xml:space="preserve">Comparing ARM/oxytocin </w:t>
      </w:r>
      <w:r>
        <w:t>with</w:t>
      </w:r>
      <w:r w:rsidRPr="00F31279">
        <w:t xml:space="preserve"> ARM alone, fewer women in the ARM/oxytocin group failed to achieve vaginal birth within </w:t>
      </w:r>
      <w:r w:rsidR="00EB43A9">
        <w:t>24 hours</w:t>
      </w:r>
      <w:r w:rsidRPr="00F31279">
        <w:t xml:space="preserve"> (</w:t>
      </w:r>
      <w:r w:rsidR="00230FF7">
        <w:t>RR </w:t>
      </w:r>
      <w:r w:rsidRPr="00F31279">
        <w:t>0.13, CI 0.04</w:t>
      </w:r>
      <w:r>
        <w:t>–</w:t>
      </w:r>
      <w:r w:rsidRPr="00F31279">
        <w:t>0.41</w:t>
      </w:r>
      <w:r>
        <w:t>;</w:t>
      </w:r>
      <w:r w:rsidRPr="00F31279">
        <w:t xml:space="preserve"> two trials</w:t>
      </w:r>
      <w:r>
        <w:t>;</w:t>
      </w:r>
      <w:r w:rsidRPr="00F31279">
        <w:t xml:space="preserve"> 296</w:t>
      </w:r>
      <w:r w:rsidR="00126358">
        <w:t> </w:t>
      </w:r>
      <w:r w:rsidRPr="00F31279">
        <w:t>women; low quality). Rates of caesarean section were similar between the groups (</w:t>
      </w:r>
      <w:r w:rsidR="00230FF7">
        <w:t>RR </w:t>
      </w:r>
      <w:r w:rsidRPr="00F31279">
        <w:t>0.45, CI 0.16</w:t>
      </w:r>
      <w:r>
        <w:t>–</w:t>
      </w:r>
      <w:r w:rsidRPr="00F31279">
        <w:t>1.30</w:t>
      </w:r>
      <w:r>
        <w:t>;</w:t>
      </w:r>
      <w:r w:rsidRPr="00F31279">
        <w:t xml:space="preserve"> two trials</w:t>
      </w:r>
      <w:r>
        <w:t>;</w:t>
      </w:r>
      <w:r w:rsidRPr="00F31279">
        <w:t xml:space="preserve"> 510 women; low quality). There were fewer instrumental deliveries in the ARM/oxytocin group compared </w:t>
      </w:r>
      <w:r>
        <w:t>with</w:t>
      </w:r>
      <w:r w:rsidRPr="00F31279">
        <w:t xml:space="preserve"> ARM alone (</w:t>
      </w:r>
      <w:r w:rsidR="00230FF7">
        <w:t>RR </w:t>
      </w:r>
      <w:r w:rsidRPr="00F31279">
        <w:t>0.65, 95% CI 0.49</w:t>
      </w:r>
      <w:r>
        <w:t>–</w:t>
      </w:r>
      <w:r w:rsidRPr="00F31279">
        <w:t>0.85, two trials</w:t>
      </w:r>
      <w:r>
        <w:t>;</w:t>
      </w:r>
      <w:r w:rsidRPr="00F31279">
        <w:t xml:space="preserve"> 510 women; low quality) and no difference in PPH (</w:t>
      </w:r>
      <w:r w:rsidR="00230FF7">
        <w:t>RR </w:t>
      </w:r>
      <w:r w:rsidRPr="00F31279">
        <w:t>0.44, 95% CI 0.2</w:t>
      </w:r>
      <w:r>
        <w:t>–</w:t>
      </w:r>
      <w:r w:rsidRPr="00F31279">
        <w:t>1.0</w:t>
      </w:r>
      <w:r>
        <w:t>;</w:t>
      </w:r>
      <w:r w:rsidRPr="00F31279">
        <w:t xml:space="preserve"> 2 trials</w:t>
      </w:r>
      <w:r>
        <w:t>;</w:t>
      </w:r>
      <w:r w:rsidRPr="00F31279">
        <w:t xml:space="preserve"> 500 women; low quality) or fever (</w:t>
      </w:r>
      <w:r w:rsidR="00230FF7">
        <w:t>RR </w:t>
      </w:r>
      <w:r w:rsidRPr="00F31279">
        <w:t>0.25, 95% CI 0.03</w:t>
      </w:r>
      <w:r>
        <w:t>–</w:t>
      </w:r>
      <w:r w:rsidRPr="00F31279">
        <w:t>2.16</w:t>
      </w:r>
      <w:r>
        <w:t>;</w:t>
      </w:r>
      <w:r w:rsidRPr="00F31279">
        <w:t xml:space="preserve"> 1 trial</w:t>
      </w:r>
      <w:r>
        <w:t>;</w:t>
      </w:r>
      <w:r w:rsidRPr="00F31279">
        <w:t xml:space="preserve"> 100 women; low quality). One trial of 100 women reported on perinatal death, where there was one event in the oxytocin/ARM group. There was no estimable effect for epidural. In women with a favourable cervix, use of amniotomy alone is an option for IOL if the head is well opposed to the cervix; however, the combination of ARM and intravenous oxytocin administration is more effective. This combination resulted </w:t>
      </w:r>
      <w:r>
        <w:t xml:space="preserve">in </w:t>
      </w:r>
      <w:r w:rsidRPr="00F31279">
        <w:t xml:space="preserve">at least a 60% reduction in women undelivered at </w:t>
      </w:r>
      <w:r w:rsidR="00EB43A9">
        <w:t>24 hours</w:t>
      </w:r>
      <w:r w:rsidRPr="00F31279">
        <w:t xml:space="preserve"> compared with ARM alone.</w:t>
      </w:r>
    </w:p>
    <w:p w14:paraId="19614521" w14:textId="77777777" w:rsidR="00AC0F19" w:rsidRPr="00F31279" w:rsidRDefault="00AC0F19" w:rsidP="00126358"/>
    <w:p w14:paraId="43A5B0D8" w14:textId="77777777" w:rsidR="00AC0F19" w:rsidRPr="00F31279" w:rsidRDefault="00AC0F19" w:rsidP="00126358">
      <w:r w:rsidRPr="00F31279">
        <w:t xml:space="preserve">Comparing ARM/oxytocin </w:t>
      </w:r>
      <w:r>
        <w:t>with</w:t>
      </w:r>
      <w:r w:rsidRPr="00F31279">
        <w:t xml:space="preserve"> oxytocin alone, there was no difference between the groups for caesarean section (</w:t>
      </w:r>
      <w:r w:rsidR="00230FF7">
        <w:t>RR </w:t>
      </w:r>
      <w:r w:rsidRPr="00F31279">
        <w:t>1.05 95% CI 0.64</w:t>
      </w:r>
      <w:r>
        <w:t>–</w:t>
      </w:r>
      <w:r w:rsidRPr="00F31279">
        <w:t>1.70</w:t>
      </w:r>
      <w:r>
        <w:t>;</w:t>
      </w:r>
      <w:r w:rsidRPr="00F31279">
        <w:t xml:space="preserve"> two trials</w:t>
      </w:r>
      <w:r>
        <w:t>;</w:t>
      </w:r>
      <w:r w:rsidRPr="00F31279">
        <w:t xml:space="preserve"> 511 women; low quality). The Cochrane authors concluded that research was </w:t>
      </w:r>
      <w:proofErr w:type="gramStart"/>
      <w:r w:rsidRPr="00F31279">
        <w:t>limited</w:t>
      </w:r>
      <w:proofErr w:type="gramEnd"/>
      <w:r w:rsidRPr="00F31279">
        <w:t xml:space="preserve"> and clinical practice should not be guided based on this review.</w:t>
      </w:r>
    </w:p>
    <w:p w14:paraId="467E2E9A" w14:textId="77777777" w:rsidR="00AC0F19" w:rsidRPr="00F31279" w:rsidRDefault="00AC0F19" w:rsidP="00126358"/>
    <w:p w14:paraId="71CEA581" w14:textId="77777777" w:rsidR="00AC0F19" w:rsidRDefault="00AC0F19" w:rsidP="00126358">
      <w:r w:rsidRPr="00F31279">
        <w:lastRenderedPageBreak/>
        <w:t xml:space="preserve">Gagnon-Gervais </w:t>
      </w:r>
      <w:r w:rsidR="000F3C98">
        <w:t>et al</w:t>
      </w:r>
      <w:r>
        <w:t xml:space="preserve"> </w:t>
      </w:r>
      <w:r w:rsidRPr="00F31279">
        <w:t xml:space="preserve">(2012) performed an RCT of 143 women, comparing oxytocin with early ARM (performed within one hour of starting oxytocin) to oxytocin with late ARM (performed four hours after starting oxytocin). The primary outcome was caesarean section; secondary outcomes were duration of labour and intrapartum fever. Caesarean section rates were similar in early and late ARM groups for nullipara (17.6% (early) vs 16.6% (late); </w:t>
      </w:r>
      <w:r w:rsidR="00230FF7">
        <w:t>RR </w:t>
      </w:r>
      <w:r w:rsidRPr="00F31279">
        <w:t>1.06, 95% CI 0.38</w:t>
      </w:r>
      <w:r>
        <w:t>–</w:t>
      </w:r>
      <w:r w:rsidRPr="00F31279">
        <w:t>2.97) and multipara (2.7% (early) vs 0% (late), p=0). Nullipara who had early ARM had a shorter labour (12.1 (6.7) vs 15.4 (5.6) hours, p = 0.03) and were less likely to have intrapartum fever (</w:t>
      </w:r>
      <w:r w:rsidR="00230FF7">
        <w:t>RR </w:t>
      </w:r>
      <w:r w:rsidRPr="00F31279">
        <w:t>0.24, 95% CI</w:t>
      </w:r>
      <w:r w:rsidR="00126358">
        <w:br/>
      </w:r>
      <w:r w:rsidRPr="00F31279">
        <w:t>0.05</w:t>
      </w:r>
      <w:r>
        <w:t>–</w:t>
      </w:r>
      <w:r w:rsidRPr="00F31279">
        <w:t xml:space="preserve">1.01), compared </w:t>
      </w:r>
      <w:r>
        <w:t>with</w:t>
      </w:r>
      <w:r w:rsidRPr="00F31279">
        <w:t xml:space="preserve"> late ARM.</w:t>
      </w:r>
    </w:p>
    <w:p w14:paraId="1FB044B8" w14:textId="77777777" w:rsidR="00AC0F19" w:rsidRPr="00F31279" w:rsidRDefault="00AC0F19" w:rsidP="00126358"/>
    <w:p w14:paraId="48490E40" w14:textId="77777777" w:rsidR="00AC0F19" w:rsidRDefault="00AC0F19" w:rsidP="00126358">
      <w:pPr>
        <w:pStyle w:val="Heading3"/>
      </w:pPr>
      <w:bookmarkStart w:id="227" w:name="6.2_Timing_of_ARM"/>
      <w:bookmarkStart w:id="228" w:name="_bookmark109"/>
      <w:bookmarkEnd w:id="227"/>
      <w:bookmarkEnd w:id="228"/>
      <w:r>
        <w:t>Timing of</w:t>
      </w:r>
      <w:r>
        <w:rPr>
          <w:spacing w:val="-1"/>
        </w:rPr>
        <w:t xml:space="preserve"> </w:t>
      </w:r>
      <w:r>
        <w:t>ARM</w:t>
      </w:r>
    </w:p>
    <w:p w14:paraId="35B48B10" w14:textId="77777777" w:rsidR="00AC0F19" w:rsidRPr="00F31279" w:rsidRDefault="00AC0F19" w:rsidP="00126358">
      <w:r>
        <w:t xml:space="preserve">Three RCTs, with a total of 1 073 women, were identified comparing early ARM (at start of IOL) with late ARM (&gt;4 hours or &gt;4 cm or at clinician discretion). </w:t>
      </w:r>
      <w:proofErr w:type="spellStart"/>
      <w:r>
        <w:t>Makarem</w:t>
      </w:r>
      <w:proofErr w:type="spellEnd"/>
      <w:r>
        <w:t xml:space="preserve"> </w:t>
      </w:r>
      <w:r w:rsidR="000F3C98">
        <w:t>et al</w:t>
      </w:r>
      <w:r>
        <w:t xml:space="preserve"> (2013) performed an RCT of 320 women, comparing vaginal misoprostol with early ARM to vaginal misoprostol with delayed ARM. Vaginal misoprostol was administered every six hours until regular contractions were established or maximum of four doses. Early </w:t>
      </w:r>
      <w:r w:rsidRPr="00F31279">
        <w:t>ARM was performed in the early active phase of labour (where the cervix was 3</w:t>
      </w:r>
      <w:r w:rsidR="00126358">
        <w:t> </w:t>
      </w:r>
      <w:r>
        <w:t>cm</w:t>
      </w:r>
      <w:r w:rsidRPr="00F31279">
        <w:t xml:space="preserve"> dilated), and late ARM was defined as either </w:t>
      </w:r>
      <w:r>
        <w:t>spontaneous rupture of membranes (</w:t>
      </w:r>
      <w:r w:rsidRPr="00F31279">
        <w:t>SROM</w:t>
      </w:r>
      <w:r>
        <w:t>)</w:t>
      </w:r>
      <w:r w:rsidRPr="00F31279">
        <w:t xml:space="preserve"> or as judged by the senior clinician. The primary outcome was vaginal birth within </w:t>
      </w:r>
      <w:r w:rsidR="00EB43A9">
        <w:t>24 hours</w:t>
      </w:r>
      <w:r w:rsidRPr="00F31279">
        <w:t xml:space="preserve">. Early ARM was more likely to achieve vaginal birth in </w:t>
      </w:r>
      <w:r w:rsidR="00EB43A9">
        <w:t>24 hours</w:t>
      </w:r>
      <w:r w:rsidRPr="00F31279">
        <w:t xml:space="preserve"> compared with late ARM (117 (73.13%) vs 105 (65.63), p = 0.15) and shorter</w:t>
      </w:r>
      <w:r>
        <w:t xml:space="preserve"> </w:t>
      </w:r>
      <w:r w:rsidRPr="00F31279">
        <w:t>labour duration (9.72 (4.61) vs 13.61 (5.61) hours, p = 0.002). There were no significant differences in other secondary outcomes.</w:t>
      </w:r>
    </w:p>
    <w:p w14:paraId="6A47A82C" w14:textId="77777777" w:rsidR="00AC0F19" w:rsidRPr="00F31279" w:rsidRDefault="00AC0F19" w:rsidP="00126358"/>
    <w:p w14:paraId="5A0B8523" w14:textId="77777777" w:rsidR="00AC0F19" w:rsidRPr="00126358" w:rsidRDefault="00AC0F19" w:rsidP="00126358">
      <w:pPr>
        <w:rPr>
          <w:spacing w:val="-2"/>
        </w:rPr>
      </w:pPr>
      <w:proofErr w:type="spellStart"/>
      <w:r w:rsidRPr="00126358">
        <w:rPr>
          <w:spacing w:val="-2"/>
        </w:rPr>
        <w:t>Macones</w:t>
      </w:r>
      <w:proofErr w:type="spellEnd"/>
      <w:r w:rsidRPr="00126358">
        <w:rPr>
          <w:spacing w:val="-2"/>
        </w:rPr>
        <w:t xml:space="preserve"> </w:t>
      </w:r>
      <w:r w:rsidR="000F3C98" w:rsidRPr="00126358">
        <w:rPr>
          <w:spacing w:val="-2"/>
        </w:rPr>
        <w:t>et al</w:t>
      </w:r>
      <w:r w:rsidRPr="00126358">
        <w:rPr>
          <w:spacing w:val="-2"/>
        </w:rPr>
        <w:t xml:space="preserve"> (2012) performed an RCT of 585 women, comparing any method of cervical ripening with ARM to any method with delayed ARM. Early ARM was defined as ARM occurring at cervical dilatation </w:t>
      </w:r>
      <w:r w:rsidR="00067D39">
        <w:rPr>
          <w:spacing w:val="-2"/>
        </w:rPr>
        <w:t>≤</w:t>
      </w:r>
      <w:r w:rsidRPr="00126358">
        <w:rPr>
          <w:spacing w:val="-2"/>
        </w:rPr>
        <w:t xml:space="preserve">4 cm and late ARM at dilatation </w:t>
      </w:r>
      <w:r w:rsidR="00436939" w:rsidRPr="00126358">
        <w:rPr>
          <w:spacing w:val="-2"/>
        </w:rPr>
        <w:t>&gt;</w:t>
      </w:r>
      <w:r w:rsidRPr="00126358">
        <w:rPr>
          <w:spacing w:val="-2"/>
        </w:rPr>
        <w:t xml:space="preserve">4 cm. The primary outcomes were time from start of IOL to birth and the proportion of women who gave birth within </w:t>
      </w:r>
      <w:r w:rsidR="00EB43A9" w:rsidRPr="00126358">
        <w:rPr>
          <w:spacing w:val="-2"/>
        </w:rPr>
        <w:t>24 hours</w:t>
      </w:r>
      <w:r w:rsidRPr="00126358">
        <w:rPr>
          <w:spacing w:val="-2"/>
        </w:rPr>
        <w:t xml:space="preserve"> from start of IOL. Secondary outcomes included: caesarean section, indications for caesarean section, chorioamnionitis (maternal temperature </w:t>
      </w:r>
      <w:r w:rsidR="00436939" w:rsidRPr="00126358">
        <w:rPr>
          <w:spacing w:val="-2"/>
        </w:rPr>
        <w:t>&gt;</w:t>
      </w:r>
      <w:r w:rsidRPr="00126358">
        <w:rPr>
          <w:spacing w:val="-2"/>
        </w:rPr>
        <w:t xml:space="preserve">38°C), post-partum fever, wound infection, endometritis, NICU admission and suspected neonatal sepsis. Most women had misoprostol, and others had a single-balloon catheter; 73% of women in both groups received more than one method of cervical ripening. Early ARM was associated with shorter IOL to delivery time (19.0 (9.1) vs 21.3 (10.1) hours; p = 0.04) and increased birth within </w:t>
      </w:r>
      <w:r w:rsidR="00EB43A9" w:rsidRPr="00126358">
        <w:rPr>
          <w:spacing w:val="-2"/>
        </w:rPr>
        <w:t>24 hours</w:t>
      </w:r>
      <w:r w:rsidRPr="00126358">
        <w:rPr>
          <w:spacing w:val="-2"/>
        </w:rPr>
        <w:t xml:space="preserve"> (</w:t>
      </w:r>
      <w:r w:rsidR="00230FF7" w:rsidRPr="00126358">
        <w:rPr>
          <w:spacing w:val="-2"/>
        </w:rPr>
        <w:t>RR </w:t>
      </w:r>
      <w:r w:rsidRPr="00126358">
        <w:rPr>
          <w:spacing w:val="-2"/>
        </w:rPr>
        <w:t>0.72, 95% CI</w:t>
      </w:r>
      <w:r w:rsidR="00126358">
        <w:rPr>
          <w:spacing w:val="-2"/>
        </w:rPr>
        <w:br/>
      </w:r>
      <w:r w:rsidRPr="00126358">
        <w:rPr>
          <w:spacing w:val="-2"/>
        </w:rPr>
        <w:t>0.59–0.89; p = 0.02) compared with late ARM. There was no difference in caesarean section (</w:t>
      </w:r>
      <w:r w:rsidR="00230FF7" w:rsidRPr="00126358">
        <w:rPr>
          <w:spacing w:val="-2"/>
        </w:rPr>
        <w:t>RR </w:t>
      </w:r>
      <w:r w:rsidRPr="00126358">
        <w:rPr>
          <w:spacing w:val="-2"/>
        </w:rPr>
        <w:t>1.03, 95% CI 0.85–1.25), chorioamnionitis (1.35, 95% CI</w:t>
      </w:r>
      <w:r w:rsidR="00126358">
        <w:rPr>
          <w:spacing w:val="-2"/>
        </w:rPr>
        <w:t xml:space="preserve"> </w:t>
      </w:r>
      <w:r w:rsidRPr="00126358">
        <w:rPr>
          <w:spacing w:val="-2"/>
        </w:rPr>
        <w:t>0.83–2.21), NICU admission (</w:t>
      </w:r>
      <w:r w:rsidR="00230FF7" w:rsidRPr="00126358">
        <w:rPr>
          <w:spacing w:val="-2"/>
        </w:rPr>
        <w:t>RR </w:t>
      </w:r>
      <w:r w:rsidRPr="00126358">
        <w:rPr>
          <w:spacing w:val="-2"/>
        </w:rPr>
        <w:t>0.90; 95% 0.61–1.35) or neonatal sepsis (</w:t>
      </w:r>
      <w:r w:rsidR="00230FF7" w:rsidRPr="00126358">
        <w:rPr>
          <w:spacing w:val="-2"/>
        </w:rPr>
        <w:t>RR </w:t>
      </w:r>
      <w:r w:rsidRPr="00126358">
        <w:rPr>
          <w:spacing w:val="-2"/>
        </w:rPr>
        <w:t>0.87; 95% CI 0.54–1.41).</w:t>
      </w:r>
    </w:p>
    <w:p w14:paraId="06FF71CD" w14:textId="77777777" w:rsidR="00AC0F19" w:rsidRPr="00F31279" w:rsidRDefault="00AC0F19" w:rsidP="00126358"/>
    <w:p w14:paraId="10BD7009" w14:textId="77777777" w:rsidR="00AC0F19" w:rsidRDefault="00AC0F19" w:rsidP="00126358">
      <w:r w:rsidRPr="00F31279">
        <w:t xml:space="preserve">Levy </w:t>
      </w:r>
      <w:r w:rsidR="000F3C98">
        <w:t>et al</w:t>
      </w:r>
      <w:r w:rsidRPr="00F31279">
        <w:t xml:space="preserve"> (2002) performed an RCT of 211 women who had cervical ripening with a balloon catheter and</w:t>
      </w:r>
      <w:r>
        <w:t>,</w:t>
      </w:r>
      <w:r w:rsidRPr="00F31279">
        <w:t xml:space="preserve"> once expelled, were then randomised to early ARM (80 women) or intravenous oxytocin with late ARM once regular contractions were established or change in cervical dilatation/effacement (88 women). The primary outcomes were caesarean section, chorioamnionitis and immediate neonatal complications (</w:t>
      </w:r>
      <w:r w:rsidR="00763E83">
        <w:t>5</w:t>
      </w:r>
      <w:r w:rsidR="00763E83">
        <w:noBreakHyphen/>
        <w:t>minute</w:t>
      </w:r>
      <w:r w:rsidRPr="00F31279">
        <w:t xml:space="preserve"> Apgar score </w:t>
      </w:r>
      <w:r w:rsidR="00436939">
        <w:t>&lt;</w:t>
      </w:r>
      <w:r w:rsidRPr="00F31279">
        <w:t>7 or cord pH</w:t>
      </w:r>
      <w:r>
        <w:t xml:space="preserve"> </w:t>
      </w:r>
      <w:r w:rsidR="00436939">
        <w:t>&lt;</w:t>
      </w:r>
      <w:r w:rsidRPr="00F31279">
        <w:t>7.0). There was a significant increase in caesarean section (</w:t>
      </w:r>
      <w:r w:rsidR="00230FF7">
        <w:t>RR </w:t>
      </w:r>
      <w:r w:rsidRPr="00F31279">
        <w:t>1.74, 95% CI 1.30–2.34) and maternal fever in labour (</w:t>
      </w:r>
      <w:r w:rsidR="00230FF7">
        <w:t>RR </w:t>
      </w:r>
      <w:r w:rsidRPr="00F31279">
        <w:t>1.69; 95% CI 1.15</w:t>
      </w:r>
      <w:r>
        <w:t>–</w:t>
      </w:r>
      <w:r w:rsidRPr="00F31279">
        <w:t>2.5) with early ARM compared with late ARM. There were no immediate neonatal complications.</w:t>
      </w:r>
    </w:p>
    <w:p w14:paraId="4E7FC357" w14:textId="77777777" w:rsidR="00AC0F19" w:rsidRDefault="00AC0F19" w:rsidP="00126358">
      <w:pPr>
        <w:pStyle w:val="Heading2"/>
        <w:spacing w:before="720"/>
      </w:pPr>
      <w:bookmarkStart w:id="229" w:name="6.3_Oxytocin_protocol"/>
      <w:bookmarkStart w:id="230" w:name="_bookmark110"/>
      <w:bookmarkStart w:id="231" w:name="_Toc75788006"/>
      <w:bookmarkEnd w:id="229"/>
      <w:bookmarkEnd w:id="230"/>
      <w:r>
        <w:lastRenderedPageBreak/>
        <w:t>Oxytocin</w:t>
      </w:r>
      <w:r>
        <w:rPr>
          <w:spacing w:val="-4"/>
        </w:rPr>
        <w:t xml:space="preserve"> </w:t>
      </w:r>
      <w:r w:rsidRPr="00F31279">
        <w:t>protocol</w:t>
      </w:r>
      <w:bookmarkEnd w:id="231"/>
    </w:p>
    <w:p w14:paraId="1675B1AE" w14:textId="77777777" w:rsidR="00AC0F19" w:rsidRPr="00F31279" w:rsidRDefault="00AC0F19" w:rsidP="00126358">
      <w:r w:rsidRPr="00F31279">
        <w:t>One systematic review was identified evaluating oxytocin protocols.</w:t>
      </w:r>
    </w:p>
    <w:p w14:paraId="3C2E2838" w14:textId="77777777" w:rsidR="00AC0F19" w:rsidRPr="00F31279" w:rsidRDefault="00AC0F19" w:rsidP="00126358"/>
    <w:p w14:paraId="51C9B52C" w14:textId="77777777" w:rsidR="00AC0F19" w:rsidRDefault="00AC0F19" w:rsidP="00126358">
      <w:r w:rsidRPr="00F31279">
        <w:t>A Cochrane review comparing high- versus low-dose oxytocin protocols included nine RCTs of 2</w:t>
      </w:r>
      <w:r>
        <w:t>,</w:t>
      </w:r>
      <w:r w:rsidRPr="00F31279">
        <w:t>391 women (</w:t>
      </w:r>
      <w:proofErr w:type="spellStart"/>
      <w:r w:rsidRPr="00F31279">
        <w:t>Budden</w:t>
      </w:r>
      <w:proofErr w:type="spellEnd"/>
      <w:r w:rsidRPr="00F31279">
        <w:t xml:space="preserve"> </w:t>
      </w:r>
      <w:r w:rsidR="000F3C98">
        <w:t>et al</w:t>
      </w:r>
      <w:r w:rsidRPr="00F31279">
        <w:t xml:space="preserve"> 2014). </w:t>
      </w:r>
      <w:r w:rsidR="00B0606D">
        <w:t>‘</w:t>
      </w:r>
      <w:r w:rsidRPr="00F31279">
        <w:t>High</w:t>
      </w:r>
      <w:r>
        <w:t xml:space="preserve"> </w:t>
      </w:r>
      <w:r w:rsidRPr="00F31279">
        <w:t>dose</w:t>
      </w:r>
      <w:r w:rsidR="00B0606D">
        <w:t>’</w:t>
      </w:r>
      <w:r w:rsidRPr="00F31279">
        <w:t xml:space="preserve"> was defined by Cochrane authors as at least 100 milliunits in the first 40 minutes, with increments delivering at least 600 milliunits in the first two hours; </w:t>
      </w:r>
      <w:r w:rsidR="00B0606D">
        <w:t>‘</w:t>
      </w:r>
      <w:r w:rsidRPr="00F31279">
        <w:t>low</w:t>
      </w:r>
      <w:r>
        <w:t xml:space="preserve"> </w:t>
      </w:r>
      <w:r w:rsidRPr="00F31279">
        <w:t>dose</w:t>
      </w:r>
      <w:r w:rsidR="00B0606D">
        <w:t>’</w:t>
      </w:r>
      <w:r w:rsidRPr="00F31279">
        <w:t xml:space="preserve"> as </w:t>
      </w:r>
      <w:r w:rsidR="00436939">
        <w:t>&lt;</w:t>
      </w:r>
      <w:r w:rsidRPr="00F31279">
        <w:t xml:space="preserve">100 milliunits oxytocin in the first 40 minutes, with increments delivering </w:t>
      </w:r>
      <w:r w:rsidR="00436939">
        <w:t>&lt;</w:t>
      </w:r>
      <w:r w:rsidRPr="00F31279">
        <w:t xml:space="preserve">600 milliunits total in the first two hours. There were probably </w:t>
      </w:r>
      <w:r>
        <w:t>few</w:t>
      </w:r>
      <w:r w:rsidRPr="00F31279">
        <w:t xml:space="preserve"> or no differences in most clinical outcomes, such as perinatal death, caesarean section, vaginal birth within </w:t>
      </w:r>
      <w:r w:rsidR="00EB43A9">
        <w:t>24 hours</w:t>
      </w:r>
      <w:r w:rsidRPr="00F31279">
        <w:t xml:space="preserve">, </w:t>
      </w:r>
      <w:r>
        <w:t>severe acute</w:t>
      </w:r>
      <w:r w:rsidRPr="00F31279">
        <w:t xml:space="preserve"> </w:t>
      </w:r>
      <w:r>
        <w:t>m</w:t>
      </w:r>
      <w:r w:rsidRPr="00F31279">
        <w:t xml:space="preserve">aternal </w:t>
      </w:r>
      <w:r>
        <w:t>m</w:t>
      </w:r>
      <w:r w:rsidRPr="00F31279">
        <w:t>orbidity</w:t>
      </w:r>
      <w:r>
        <w:t xml:space="preserve"> (SAMM)</w:t>
      </w:r>
      <w:r w:rsidRPr="00F31279">
        <w:t xml:space="preserve"> or uterine hyperstimulation with FHR changes. After removing high</w:t>
      </w:r>
      <w:r>
        <w:t>-</w:t>
      </w:r>
      <w:r w:rsidRPr="00F31279">
        <w:t>risk</w:t>
      </w:r>
      <w:r>
        <w:t>-</w:t>
      </w:r>
      <w:r w:rsidRPr="00F31279">
        <w:t>of</w:t>
      </w:r>
      <w:r>
        <w:t>-</w:t>
      </w:r>
      <w:r w:rsidRPr="00F31279">
        <w:t xml:space="preserve">bias studies, the remaining trials of 489 women showed that high-dose protocols may shorten the time from IOL to birth compared </w:t>
      </w:r>
      <w:r>
        <w:t>with</w:t>
      </w:r>
      <w:r w:rsidRPr="00F31279">
        <w:t xml:space="preserve"> low-dose</w:t>
      </w:r>
      <w:r>
        <w:t xml:space="preserve"> protocols</w:t>
      </w:r>
      <w:r w:rsidRPr="00F31279">
        <w:t xml:space="preserve"> but may be associated with a higher rate of tachysystole/</w:t>
      </w:r>
      <w:proofErr w:type="spellStart"/>
      <w:r w:rsidRPr="00F31279">
        <w:t>hypertonus</w:t>
      </w:r>
      <w:proofErr w:type="spellEnd"/>
      <w:r w:rsidRPr="00F31279">
        <w:t>. No trial assessed maternal satisfaction. The authors concluded that there was no evidence to support the use of high-dose</w:t>
      </w:r>
      <w:bookmarkStart w:id="232" w:name="_bookmark111"/>
      <w:bookmarkEnd w:id="232"/>
      <w:r w:rsidRPr="00F31279">
        <w:t xml:space="preserve"> oxytocin for IOL.</w:t>
      </w:r>
    </w:p>
    <w:p w14:paraId="4238481A" w14:textId="77777777" w:rsidR="00AC0F19" w:rsidRPr="00F31279" w:rsidRDefault="00AC0F19" w:rsidP="00126358"/>
    <w:p w14:paraId="0432F59A" w14:textId="77777777" w:rsidR="00AC0F19" w:rsidRDefault="00AC0F19" w:rsidP="00126358">
      <w:pPr>
        <w:pStyle w:val="Heading3"/>
      </w:pPr>
      <w:r>
        <w:t>Discussion</w:t>
      </w:r>
    </w:p>
    <w:p w14:paraId="3204B47E" w14:textId="77777777" w:rsidR="00AC0F19" w:rsidRPr="00F31279" w:rsidRDefault="00AC0F19" w:rsidP="00126358">
      <w:r>
        <w:t>The</w:t>
      </w:r>
      <w:r>
        <w:rPr>
          <w:spacing w:val="-10"/>
        </w:rPr>
        <w:t xml:space="preserve"> </w:t>
      </w:r>
      <w:r>
        <w:t>panel</w:t>
      </w:r>
      <w:r>
        <w:rPr>
          <w:spacing w:val="-10"/>
        </w:rPr>
        <w:t xml:space="preserve"> </w:t>
      </w:r>
      <w:r>
        <w:t>discussed the fact</w:t>
      </w:r>
      <w:r>
        <w:rPr>
          <w:spacing w:val="-9"/>
        </w:rPr>
        <w:t xml:space="preserve"> </w:t>
      </w:r>
      <w:r>
        <w:t>that</w:t>
      </w:r>
      <w:r>
        <w:rPr>
          <w:spacing w:val="-11"/>
        </w:rPr>
        <w:t xml:space="preserve"> </w:t>
      </w:r>
      <w:r>
        <w:t>individualising</w:t>
      </w:r>
      <w:r>
        <w:rPr>
          <w:spacing w:val="-9"/>
        </w:rPr>
        <w:t xml:space="preserve"> </w:t>
      </w:r>
      <w:r>
        <w:t>care</w:t>
      </w:r>
      <w:r>
        <w:rPr>
          <w:spacing w:val="-9"/>
        </w:rPr>
        <w:t xml:space="preserve"> </w:t>
      </w:r>
      <w:r>
        <w:t>is</w:t>
      </w:r>
      <w:r>
        <w:rPr>
          <w:spacing w:val="-6"/>
        </w:rPr>
        <w:t xml:space="preserve"> </w:t>
      </w:r>
      <w:r>
        <w:t>important</w:t>
      </w:r>
      <w:r>
        <w:rPr>
          <w:spacing w:val="-10"/>
        </w:rPr>
        <w:t xml:space="preserve"> </w:t>
      </w:r>
      <w:r>
        <w:t>when</w:t>
      </w:r>
      <w:r>
        <w:rPr>
          <w:spacing w:val="-9"/>
        </w:rPr>
        <w:t xml:space="preserve"> </w:t>
      </w:r>
      <w:r>
        <w:t xml:space="preserve">discussing the timing of ARM </w:t>
      </w:r>
      <w:r w:rsidRPr="00F31279">
        <w:t>and</w:t>
      </w:r>
      <w:r>
        <w:t xml:space="preserve"> starting oxytocin. It is usual practice in New Zealand to start oxytocin once the cervix</w:t>
      </w:r>
      <w:r>
        <w:rPr>
          <w:spacing w:val="51"/>
        </w:rPr>
        <w:t xml:space="preserve"> </w:t>
      </w:r>
      <w:r>
        <w:t>is</w:t>
      </w:r>
      <w:r>
        <w:rPr>
          <w:spacing w:val="53"/>
        </w:rPr>
        <w:t xml:space="preserve"> </w:t>
      </w:r>
      <w:r>
        <w:t>favourable</w:t>
      </w:r>
      <w:r>
        <w:rPr>
          <w:spacing w:val="53"/>
        </w:rPr>
        <w:t xml:space="preserve"> </w:t>
      </w:r>
      <w:r>
        <w:t>and</w:t>
      </w:r>
      <w:r>
        <w:rPr>
          <w:spacing w:val="51"/>
        </w:rPr>
        <w:t xml:space="preserve"> </w:t>
      </w:r>
      <w:r>
        <w:t>after</w:t>
      </w:r>
      <w:r>
        <w:rPr>
          <w:spacing w:val="52"/>
        </w:rPr>
        <w:t xml:space="preserve"> </w:t>
      </w:r>
      <w:r>
        <w:t>ruptured</w:t>
      </w:r>
      <w:r>
        <w:rPr>
          <w:spacing w:val="51"/>
        </w:rPr>
        <w:t xml:space="preserve"> </w:t>
      </w:r>
      <w:r>
        <w:t>membranes.</w:t>
      </w:r>
      <w:r>
        <w:rPr>
          <w:spacing w:val="51"/>
        </w:rPr>
        <w:t xml:space="preserve"> </w:t>
      </w:r>
      <w:r>
        <w:t>There</w:t>
      </w:r>
      <w:r>
        <w:rPr>
          <w:spacing w:val="51"/>
        </w:rPr>
        <w:t xml:space="preserve"> </w:t>
      </w:r>
      <w:r>
        <w:t>is</w:t>
      </w:r>
      <w:r>
        <w:rPr>
          <w:spacing w:val="48"/>
        </w:rPr>
        <w:t xml:space="preserve"> </w:t>
      </w:r>
      <w:r>
        <w:t>no</w:t>
      </w:r>
      <w:r>
        <w:rPr>
          <w:spacing w:val="52"/>
        </w:rPr>
        <w:t xml:space="preserve"> </w:t>
      </w:r>
      <w:r>
        <w:t>evidence</w:t>
      </w:r>
      <w:r>
        <w:rPr>
          <w:spacing w:val="50"/>
        </w:rPr>
        <w:t xml:space="preserve"> </w:t>
      </w:r>
      <w:r>
        <w:t>to</w:t>
      </w:r>
      <w:r>
        <w:rPr>
          <w:spacing w:val="52"/>
        </w:rPr>
        <w:t xml:space="preserve"> </w:t>
      </w:r>
      <w:r>
        <w:t>support</w:t>
      </w:r>
      <w:r>
        <w:rPr>
          <w:spacing w:val="50"/>
        </w:rPr>
        <w:t xml:space="preserve"> </w:t>
      </w:r>
      <w:r>
        <w:t xml:space="preserve">the </w:t>
      </w:r>
      <w:r w:rsidRPr="00F31279">
        <w:t xml:space="preserve">hypothetical concern for amniotic fluid embolism if oxytocin is started </w:t>
      </w:r>
      <w:r>
        <w:t>before</w:t>
      </w:r>
      <w:r w:rsidRPr="00F31279">
        <w:t xml:space="preserve"> ARM, and there may be benefits</w:t>
      </w:r>
      <w:r>
        <w:t>,</w:t>
      </w:r>
      <w:r w:rsidRPr="00F31279">
        <w:t xml:space="preserve"> such as fetal descent and rotation to occiput anterior and reduced risk of fever.</w:t>
      </w:r>
    </w:p>
    <w:p w14:paraId="798D0B4E" w14:textId="77777777" w:rsidR="00AC0F19" w:rsidRPr="00F31279" w:rsidRDefault="00AC0F19" w:rsidP="00126358"/>
    <w:p w14:paraId="32F79EC1" w14:textId="77777777" w:rsidR="00AC0F19" w:rsidRPr="00F31279" w:rsidRDefault="00AC0F19" w:rsidP="00126358">
      <w:r w:rsidRPr="00F31279">
        <w:t xml:space="preserve">When considering ARM, it is important to acknowledge the emotional and spiritual aspects of </w:t>
      </w:r>
      <w:r w:rsidR="00B0606D">
        <w:t>‘</w:t>
      </w:r>
      <w:r w:rsidRPr="00F31279">
        <w:t>rupturing membranes</w:t>
      </w:r>
      <w:r>
        <w:t>.</w:t>
      </w:r>
      <w:r w:rsidR="00B0606D">
        <w:t>’</w:t>
      </w:r>
      <w:r w:rsidRPr="00F31279">
        <w:t xml:space="preserve"> For many cultures (including </w:t>
      </w:r>
      <w:r>
        <w:t>t</w:t>
      </w:r>
      <w:r w:rsidRPr="00F31279">
        <w:t xml:space="preserve">e </w:t>
      </w:r>
      <w:proofErr w:type="spellStart"/>
      <w:r>
        <w:t>a</w:t>
      </w:r>
      <w:r w:rsidRPr="00F31279">
        <w:t>o</w:t>
      </w:r>
      <w:proofErr w:type="spellEnd"/>
      <w:r w:rsidRPr="00F31279">
        <w:t xml:space="preserve"> Māori)</w:t>
      </w:r>
      <w:r>
        <w:t>,</w:t>
      </w:r>
      <w:r w:rsidRPr="00F31279">
        <w:t xml:space="preserve"> the membranes are </w:t>
      </w:r>
      <w:proofErr w:type="spellStart"/>
      <w:r w:rsidRPr="00F31279">
        <w:t>āhuru</w:t>
      </w:r>
      <w:proofErr w:type="spellEnd"/>
      <w:r w:rsidRPr="00F31279">
        <w:t xml:space="preserve"> </w:t>
      </w:r>
      <w:proofErr w:type="spellStart"/>
      <w:r w:rsidRPr="00F31279">
        <w:t>mōwai</w:t>
      </w:r>
      <w:proofErr w:type="spellEnd"/>
      <w:r w:rsidRPr="00F31279">
        <w:t xml:space="preserve"> (safe haven) and are considered a taonga. The waters hold more significance than just liquid surrounding the p</w:t>
      </w:r>
      <w:r>
        <w:t>ē</w:t>
      </w:r>
      <w:r w:rsidRPr="00F31279">
        <w:t>pi. The</w:t>
      </w:r>
      <w:r>
        <w:t>y</w:t>
      </w:r>
      <w:r w:rsidRPr="00F31279">
        <w:t xml:space="preserve"> facilitate a transmission of knowledge through taonga </w:t>
      </w:r>
      <w:proofErr w:type="spellStart"/>
      <w:r w:rsidRPr="00F31279">
        <w:t>p</w:t>
      </w:r>
      <w:r>
        <w:t>u</w:t>
      </w:r>
      <w:r w:rsidRPr="00F31279">
        <w:t>oro</w:t>
      </w:r>
      <w:proofErr w:type="spellEnd"/>
      <w:r w:rsidRPr="00F31279">
        <w:t xml:space="preserve"> </w:t>
      </w:r>
      <w:r>
        <w:t>(musical instruments)</w:t>
      </w:r>
      <w:r w:rsidRPr="00F31279">
        <w:t xml:space="preserve">, vibrations and </w:t>
      </w:r>
      <w:r>
        <w:t>korero;</w:t>
      </w:r>
      <w:r w:rsidRPr="00F31279">
        <w:t xml:space="preserve"> transferring the hopes, dreams and aspirations from māmā, </w:t>
      </w:r>
      <w:proofErr w:type="spellStart"/>
      <w:r w:rsidRPr="00F31279">
        <w:t>pāpā</w:t>
      </w:r>
      <w:proofErr w:type="spellEnd"/>
      <w:r>
        <w:t xml:space="preserve"> and </w:t>
      </w:r>
      <w:r w:rsidRPr="00F31279">
        <w:t xml:space="preserve">whānau and </w:t>
      </w:r>
      <w:r>
        <w:t xml:space="preserve">making </w:t>
      </w:r>
      <w:r w:rsidRPr="00F31279">
        <w:t xml:space="preserve">connections to </w:t>
      </w:r>
      <w:proofErr w:type="spellStart"/>
      <w:r w:rsidRPr="00F31279">
        <w:t>tūpuna</w:t>
      </w:r>
      <w:proofErr w:type="spellEnd"/>
      <w:r w:rsidRPr="00F31279">
        <w:t>. Discuss where, when</w:t>
      </w:r>
      <w:r>
        <w:t xml:space="preserve"> and</w:t>
      </w:r>
      <w:r w:rsidRPr="00F31279">
        <w:t xml:space="preserve"> how the waters are ruptured. This understanding of </w:t>
      </w:r>
      <w:proofErr w:type="spellStart"/>
      <w:r w:rsidRPr="00F31279">
        <w:t>āhuru</w:t>
      </w:r>
      <w:proofErr w:type="spellEnd"/>
      <w:r w:rsidRPr="00F31279">
        <w:t xml:space="preserve"> </w:t>
      </w:r>
      <w:proofErr w:type="spellStart"/>
      <w:r w:rsidRPr="00F31279">
        <w:t>mōwai</w:t>
      </w:r>
      <w:proofErr w:type="spellEnd"/>
      <w:r w:rsidRPr="00F31279">
        <w:t xml:space="preserve"> is explored in the video </w:t>
      </w:r>
      <w:r>
        <w:t>Membranes Matter</w:t>
      </w:r>
      <w:r w:rsidRPr="00126358">
        <w:rPr>
          <w:rStyle w:val="FootnoteReference"/>
        </w:rPr>
        <w:footnoteReference w:id="3"/>
      </w:r>
      <w:r>
        <w:t xml:space="preserve"> </w:t>
      </w:r>
      <w:r w:rsidRPr="00F31279">
        <w:t>(</w:t>
      </w:r>
      <w:proofErr w:type="spellStart"/>
      <w:r w:rsidRPr="00F31279">
        <w:t>Farry</w:t>
      </w:r>
      <w:proofErr w:type="spellEnd"/>
      <w:r w:rsidRPr="00F31279">
        <w:t xml:space="preserve"> </w:t>
      </w:r>
      <w:r>
        <w:t xml:space="preserve">and Mellor </w:t>
      </w:r>
      <w:r w:rsidRPr="00F31279">
        <w:t>2008).</w:t>
      </w:r>
    </w:p>
    <w:p w14:paraId="60922FD9" w14:textId="77777777" w:rsidR="00AC0F19" w:rsidRPr="00F31279" w:rsidRDefault="00AC0F19" w:rsidP="00126358"/>
    <w:p w14:paraId="63427A96" w14:textId="77777777" w:rsidR="00AC0F19" w:rsidRPr="00F31279" w:rsidRDefault="00AC0F19" w:rsidP="00126358">
      <w:pPr>
        <w:keepLines/>
      </w:pPr>
      <w:r w:rsidRPr="00F31279">
        <w:lastRenderedPageBreak/>
        <w:t xml:space="preserve">The different approaches to IOL have pros and cons. The </w:t>
      </w:r>
      <w:r>
        <w:t>p</w:t>
      </w:r>
      <w:r w:rsidRPr="00F31279">
        <w:t xml:space="preserve">anel noted that it depends on the outcome that is valued in terms of interpreting these data. If achieving vaginal birth within </w:t>
      </w:r>
      <w:r w:rsidR="00EB43A9">
        <w:t>24 hours</w:t>
      </w:r>
      <w:r w:rsidRPr="00F31279">
        <w:t xml:space="preserve"> is of high value, then the current evidence supports the combination of early ARM and oxytocin to start an IOL. If shortening the time from start of IOL to birth is important, then limited evidence supports high-dose oxytocin protocol. However, other outcomes are not yet known, such as patient satisfaction, experience, pain scores, use of epidural and neonatal outcomes. There is a lot of qualitative evidence on the experience of women having oxytocin for induction. The </w:t>
      </w:r>
      <w:r>
        <w:t>p</w:t>
      </w:r>
      <w:r w:rsidRPr="00F31279">
        <w:t>anel agreed that the decision on the approach</w:t>
      </w:r>
      <w:r>
        <w:t xml:space="preserve"> to be taken</w:t>
      </w:r>
      <w:r w:rsidRPr="00F31279">
        <w:t xml:space="preserve"> should be determined by the woman, her clinicians and the DHB protocols.</w:t>
      </w:r>
    </w:p>
    <w:p w14:paraId="0865B5C5" w14:textId="77777777" w:rsidR="00AC0F19" w:rsidRPr="00F31279" w:rsidRDefault="00AC0F19" w:rsidP="00126358"/>
    <w:p w14:paraId="40FB01E9" w14:textId="77777777" w:rsidR="00AC0F19" w:rsidRPr="00F31279" w:rsidRDefault="00AC0F19" w:rsidP="00126358">
      <w:r w:rsidRPr="00F31279">
        <w:t>DHBs can decide their own oxytocin protocol. There is no evidence to support a different protocol for nullipara and multipara, different protocol for induction and augmentation, nor maximal dose for women with previous caesarean section. For safety</w:t>
      </w:r>
      <w:r>
        <w:t>,</w:t>
      </w:r>
      <w:r w:rsidRPr="00F31279">
        <w:t xml:space="preserve"> it may be prudent to have one protocol only and for an individual clinician to document any change to the protocol on a case-by-case basis. It is important that women are provided with information about the different methods of IOL and the factors that affect clinician decisions about which methods to offer.</w:t>
      </w:r>
    </w:p>
    <w:p w14:paraId="78851C16" w14:textId="77777777" w:rsidR="00AC0F19" w:rsidRPr="00F31279" w:rsidRDefault="00AC0F19" w:rsidP="00126358"/>
    <w:p w14:paraId="25936D08" w14:textId="77777777" w:rsidR="00AC0F19" w:rsidRPr="00F31279" w:rsidRDefault="00AC0F19" w:rsidP="00126358">
      <w:r w:rsidRPr="00F31279">
        <w:t xml:space="preserve">The </w:t>
      </w:r>
      <w:r>
        <w:t>p</w:t>
      </w:r>
      <w:r w:rsidRPr="00F31279">
        <w:t>anel noted that</w:t>
      </w:r>
      <w:r>
        <w:t>,</w:t>
      </w:r>
      <w:r w:rsidRPr="00F31279">
        <w:t xml:space="preserve"> in their experience of reviewing cases, sometimes uterine hyperstimulation is not recognised, so </w:t>
      </w:r>
      <w:r>
        <w:t>the guideline</w:t>
      </w:r>
      <w:r w:rsidRPr="00F31279">
        <w:t xml:space="preserve"> should </w:t>
      </w:r>
      <w:r>
        <w:t>include</w:t>
      </w:r>
      <w:r w:rsidRPr="00F31279">
        <w:t xml:space="preserve"> a note of caution for any woman receiving oxytocin. If </w:t>
      </w:r>
      <w:r>
        <w:t>PG</w:t>
      </w:r>
      <w:r w:rsidRPr="00F31279">
        <w:t xml:space="preserve">s are used for cervical ripening and a decision is made to induce or augment labour with oxytocin, then there is an increased risk of causing uterine hyperstimulation. The CERVIDIL® manufacturer recommends oxytocin not </w:t>
      </w:r>
      <w:r>
        <w:t xml:space="preserve">be </w:t>
      </w:r>
      <w:r w:rsidRPr="00F31279">
        <w:t xml:space="preserve">administered for at least 30 minutes after removal, and the </w:t>
      </w:r>
      <w:proofErr w:type="spellStart"/>
      <w:r w:rsidRPr="00F31279">
        <w:t>Prostin</w:t>
      </w:r>
      <w:proofErr w:type="spellEnd"/>
      <w:r w:rsidRPr="00F31279">
        <w:t>® manufacturer recommends six hours between the time of most recent application of gel and the administration of oxytocin.</w:t>
      </w:r>
    </w:p>
    <w:p w14:paraId="23CA9B42" w14:textId="77777777" w:rsidR="00AC0F19" w:rsidRPr="00F31279" w:rsidRDefault="00AC0F19" w:rsidP="00126358"/>
    <w:p w14:paraId="2EB2F42A" w14:textId="77777777" w:rsidR="00AC0F19" w:rsidRPr="00F31279" w:rsidRDefault="00AC0F19" w:rsidP="00126358">
      <w:r w:rsidRPr="00F31279">
        <w:t>There is currently insufficient high</w:t>
      </w:r>
      <w:r>
        <w:t>-</w:t>
      </w:r>
      <w:r w:rsidRPr="00F31279">
        <w:t>quality evidence to make a clear recommendation about method of IOL.</w:t>
      </w:r>
    </w:p>
    <w:p w14:paraId="224DCA26" w14:textId="77777777" w:rsidR="00AC0F19" w:rsidRDefault="00AC0F19" w:rsidP="00126358"/>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40DFB0F9" w14:textId="77777777" w:rsidTr="00230FF7">
        <w:trPr>
          <w:cantSplit/>
        </w:trPr>
        <w:tc>
          <w:tcPr>
            <w:tcW w:w="8080" w:type="dxa"/>
            <w:tcBorders>
              <w:top w:val="nil"/>
              <w:left w:val="nil"/>
              <w:bottom w:val="nil"/>
              <w:right w:val="nil"/>
            </w:tcBorders>
            <w:shd w:val="clear" w:color="auto" w:fill="D9D9D9" w:themeFill="background1" w:themeFillShade="D9"/>
          </w:tcPr>
          <w:p w14:paraId="1D50D3F2" w14:textId="77777777" w:rsidR="00D2284E" w:rsidRPr="008D53E4" w:rsidRDefault="00D2284E" w:rsidP="00230FF7">
            <w:pPr>
              <w:pStyle w:val="TableText"/>
            </w:pPr>
            <w:r w:rsidRPr="00806252">
              <w:rPr>
                <w:b/>
                <w:iCs/>
              </w:rPr>
              <w:t>Practice point</w:t>
            </w:r>
            <w:r w:rsidR="00126358">
              <w:rPr>
                <w:b/>
                <w:iCs/>
              </w:rPr>
              <w:t>s</w:t>
            </w:r>
          </w:p>
        </w:tc>
      </w:tr>
      <w:tr w:rsidR="00126358" w14:paraId="53BBD861" w14:textId="77777777" w:rsidTr="00230FF7">
        <w:trPr>
          <w:cantSplit/>
        </w:trPr>
        <w:tc>
          <w:tcPr>
            <w:tcW w:w="8080" w:type="dxa"/>
            <w:tcBorders>
              <w:top w:val="nil"/>
              <w:left w:val="nil"/>
              <w:bottom w:val="single" w:sz="4" w:space="0" w:color="A6A6A6" w:themeColor="background1" w:themeShade="A6"/>
              <w:right w:val="nil"/>
            </w:tcBorders>
          </w:tcPr>
          <w:p w14:paraId="609513ED" w14:textId="77777777" w:rsidR="00126358" w:rsidRPr="00F31279" w:rsidRDefault="00126358" w:rsidP="00723A20">
            <w:pPr>
              <w:pStyle w:val="TableBullet"/>
            </w:pPr>
            <w:r w:rsidRPr="00F31279">
              <w:t xml:space="preserve">To start </w:t>
            </w:r>
            <w:r>
              <w:t>IOL</w:t>
            </w:r>
            <w:r w:rsidRPr="00F31279">
              <w:t xml:space="preserve"> once the cervix is favourable, consider offering the combination of ARM and intravenous oxytocin infusion, to increase </w:t>
            </w:r>
            <w:r>
              <w:t xml:space="preserve">the </w:t>
            </w:r>
            <w:r w:rsidRPr="00F31279">
              <w:t>chance of vaginal</w:t>
            </w:r>
            <w:r>
              <w:t xml:space="preserve"> </w:t>
            </w:r>
            <w:r w:rsidRPr="00F31279">
              <w:t xml:space="preserve">birth within </w:t>
            </w:r>
            <w:r>
              <w:t>24 hours</w:t>
            </w:r>
            <w:r w:rsidRPr="00F31279">
              <w:t>.</w:t>
            </w:r>
          </w:p>
          <w:p w14:paraId="522A5246" w14:textId="77777777" w:rsidR="00126358" w:rsidRPr="00F31279" w:rsidRDefault="00126358" w:rsidP="00723A20">
            <w:pPr>
              <w:pStyle w:val="TableBullet"/>
            </w:pPr>
            <w:r w:rsidRPr="00F31279">
              <w:t xml:space="preserve">The timing and order of performing ARM and starting intravenous oxytocin infusion can be individualised and negotiated between the woman, her </w:t>
            </w:r>
            <w:r>
              <w:t>LMC</w:t>
            </w:r>
            <w:r w:rsidRPr="00F31279">
              <w:t>, the hospital midwife</w:t>
            </w:r>
            <w:r>
              <w:t xml:space="preserve"> </w:t>
            </w:r>
            <w:r w:rsidRPr="00F31279">
              <w:t>and the obstetrician.</w:t>
            </w:r>
          </w:p>
          <w:p w14:paraId="3CA325D7" w14:textId="77777777" w:rsidR="00126358" w:rsidRPr="00F31279" w:rsidRDefault="00126358" w:rsidP="00723A20">
            <w:pPr>
              <w:pStyle w:val="TableBullet"/>
            </w:pPr>
            <w:r w:rsidRPr="00F31279">
              <w:t>Offer either low- or high-dose oxytocin protocol, as both methods are comparable in terms of</w:t>
            </w:r>
            <w:r>
              <w:t xml:space="preserve"> </w:t>
            </w:r>
            <w:r w:rsidRPr="00F31279">
              <w:t xml:space="preserve">achieving vaginal birth in </w:t>
            </w:r>
            <w:r>
              <w:t>24 hours</w:t>
            </w:r>
            <w:r w:rsidRPr="00F31279">
              <w:t xml:space="preserve"> and risk for caesarean section.</w:t>
            </w:r>
          </w:p>
          <w:p w14:paraId="59EF7DD9" w14:textId="77777777" w:rsidR="00126358" w:rsidRPr="00F31279" w:rsidRDefault="00126358" w:rsidP="00723A20">
            <w:pPr>
              <w:pStyle w:val="TableBullet"/>
            </w:pPr>
            <w:r>
              <w:t>The u</w:t>
            </w:r>
            <w:r w:rsidRPr="00F31279">
              <w:t xml:space="preserve">sual time interval to increase </w:t>
            </w:r>
            <w:r>
              <w:t xml:space="preserve">the </w:t>
            </w:r>
            <w:r w:rsidRPr="00F31279">
              <w:t>dose of oxytocin is approximately 20 minutes.</w:t>
            </w:r>
          </w:p>
        </w:tc>
      </w:tr>
    </w:tbl>
    <w:p w14:paraId="6868E650" w14:textId="77777777" w:rsidR="00D2284E" w:rsidRDefault="00D2284E" w:rsidP="00D2284E"/>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2F145F2E" w14:textId="77777777" w:rsidTr="00230FF7">
        <w:trPr>
          <w:cantSplit/>
        </w:trPr>
        <w:tc>
          <w:tcPr>
            <w:tcW w:w="8080" w:type="dxa"/>
            <w:tcBorders>
              <w:top w:val="nil"/>
              <w:left w:val="nil"/>
              <w:bottom w:val="nil"/>
              <w:right w:val="nil"/>
            </w:tcBorders>
            <w:shd w:val="clear" w:color="auto" w:fill="D9D9D9" w:themeFill="background1" w:themeFillShade="D9"/>
          </w:tcPr>
          <w:p w14:paraId="1B588C8B" w14:textId="77777777" w:rsidR="00D2284E" w:rsidRPr="008D53E4" w:rsidRDefault="00D2284E" w:rsidP="00126358">
            <w:pPr>
              <w:pStyle w:val="TableText"/>
              <w:keepNext/>
              <w:rPr>
                <w:b/>
              </w:rPr>
            </w:pPr>
            <w:r w:rsidRPr="008D53E4">
              <w:rPr>
                <w:b/>
              </w:rPr>
              <w:lastRenderedPageBreak/>
              <w:t>Research gaps</w:t>
            </w:r>
          </w:p>
        </w:tc>
      </w:tr>
      <w:tr w:rsidR="00126358" w14:paraId="6D3AF19F" w14:textId="77777777" w:rsidTr="00230FF7">
        <w:trPr>
          <w:cantSplit/>
        </w:trPr>
        <w:tc>
          <w:tcPr>
            <w:tcW w:w="8080" w:type="dxa"/>
            <w:tcBorders>
              <w:top w:val="nil"/>
              <w:left w:val="nil"/>
              <w:bottom w:val="single" w:sz="4" w:space="0" w:color="A6A6A6" w:themeColor="background1" w:themeShade="A6"/>
              <w:right w:val="nil"/>
            </w:tcBorders>
          </w:tcPr>
          <w:p w14:paraId="3B942168" w14:textId="77777777" w:rsidR="00126358" w:rsidRDefault="00126358" w:rsidP="00723A20">
            <w:pPr>
              <w:pStyle w:val="TableBullet"/>
            </w:pPr>
            <w:r>
              <w:t>To explore New Zealand women’s experience of oxytocin infusion and of ARM.</w:t>
            </w:r>
          </w:p>
          <w:p w14:paraId="3CD26760" w14:textId="77777777" w:rsidR="00126358" w:rsidRDefault="00126358" w:rsidP="00723A20">
            <w:pPr>
              <w:pStyle w:val="TableBullet"/>
            </w:pPr>
            <w:r>
              <w:t>To further evaluate high- vs low-dose oxytocin protocols and to evaluate time interval to increase dose and by how much, to maximise benefit and minimise harm.</w:t>
            </w:r>
          </w:p>
          <w:p w14:paraId="6ED4AA7C" w14:textId="77777777" w:rsidR="00126358" w:rsidRDefault="00126358" w:rsidP="00723A20">
            <w:pPr>
              <w:pStyle w:val="TableBullet"/>
            </w:pPr>
            <w:r>
              <w:t>For women with Bishop scores &gt;6, to evaluate the effect of combination of ARM/oxytocin vs ARM alone with delayed oxytocin by 4–6 hours on maternal, perinatal, neonatal and long-term childhood outcomes.</w:t>
            </w:r>
          </w:p>
          <w:p w14:paraId="6F9D445D" w14:textId="77777777" w:rsidR="00126358" w:rsidRDefault="00126358" w:rsidP="00723A20">
            <w:pPr>
              <w:pStyle w:val="TableBullet"/>
            </w:pPr>
            <w:r>
              <w:t>For women with Bishop scores &gt;6, to evaluate the effect of combination of ARM/oxytocin vs oxytocin alone with delayed ARM until cervix &gt;4 cm dilated on maternal, perinatal, neonatal and long-term childhood outcomes.</w:t>
            </w:r>
          </w:p>
          <w:p w14:paraId="7F54A495" w14:textId="77777777" w:rsidR="00126358" w:rsidRDefault="00126358" w:rsidP="00723A20">
            <w:pPr>
              <w:pStyle w:val="TableBullet"/>
            </w:pPr>
            <w:r>
              <w:t>To develop a national oxytocin protocol.</w:t>
            </w:r>
          </w:p>
        </w:tc>
      </w:tr>
    </w:tbl>
    <w:p w14:paraId="09544698" w14:textId="77777777" w:rsidR="00D2284E" w:rsidRDefault="00D2284E" w:rsidP="00126358"/>
    <w:p w14:paraId="0124E301" w14:textId="77777777" w:rsidR="00AC0F19" w:rsidRDefault="00AC0F19" w:rsidP="00AC6551">
      <w:pPr>
        <w:pStyle w:val="Heading1"/>
      </w:pPr>
      <w:bookmarkStart w:id="233" w:name="Chapter_7_-_Setting_for_induction_of_lab"/>
      <w:bookmarkStart w:id="234" w:name="_bookmark112"/>
      <w:bookmarkStart w:id="235" w:name="_Toc75788007"/>
      <w:bookmarkEnd w:id="233"/>
      <w:bookmarkEnd w:id="234"/>
      <w:r>
        <w:lastRenderedPageBreak/>
        <w:t>:</w:t>
      </w:r>
      <w:r w:rsidR="00AC6551">
        <w:t xml:space="preserve"> </w:t>
      </w:r>
      <w:r w:rsidRPr="00912AFA">
        <w:t>Setting</w:t>
      </w:r>
      <w:r>
        <w:t xml:space="preserve"> for induction of labour</w:t>
      </w:r>
      <w:bookmarkEnd w:id="235"/>
    </w:p>
    <w:p w14:paraId="7F255029" w14:textId="77777777" w:rsidR="00AC0F19" w:rsidRDefault="00AC0F19" w:rsidP="000718E2">
      <w:pPr>
        <w:pStyle w:val="Heading2"/>
      </w:pPr>
      <w:bookmarkStart w:id="236" w:name="Summary_of_evidence"/>
      <w:bookmarkStart w:id="237" w:name="_bookmark113"/>
      <w:bookmarkStart w:id="238" w:name="_Toc75788008"/>
      <w:bookmarkEnd w:id="236"/>
      <w:bookmarkEnd w:id="237"/>
      <w:r>
        <w:t>Summary of evidence</w:t>
      </w:r>
      <w:bookmarkEnd w:id="238"/>
    </w:p>
    <w:p w14:paraId="55813AF1" w14:textId="77777777" w:rsidR="00AC0F19" w:rsidRPr="00912AFA" w:rsidRDefault="00AC0F19" w:rsidP="000718E2">
      <w:r w:rsidRPr="00912AFA">
        <w:t>One systematic review, and one RCT published since the review, were identified.</w:t>
      </w:r>
    </w:p>
    <w:p w14:paraId="59BF1347" w14:textId="77777777" w:rsidR="00AC0F19" w:rsidRPr="00912AFA" w:rsidRDefault="00AC0F19" w:rsidP="000718E2"/>
    <w:p w14:paraId="125381EF" w14:textId="77777777" w:rsidR="00AC0F19" w:rsidRPr="00912AFA" w:rsidRDefault="00AC0F19" w:rsidP="000718E2">
      <w:r w:rsidRPr="00912AFA">
        <w:t xml:space="preserve">A Cochrane review published in 2013 (Kelly </w:t>
      </w:r>
      <w:r w:rsidR="000F3C98">
        <w:t>et al</w:t>
      </w:r>
      <w:r>
        <w:t xml:space="preserve"> </w:t>
      </w:r>
      <w:r w:rsidRPr="00912AFA">
        <w:t>2013) included four trials of 1</w:t>
      </w:r>
      <w:r>
        <w:t>,</w:t>
      </w:r>
      <w:r w:rsidRPr="00912AFA">
        <w:t xml:space="preserve">439 women and compared inpatient versus outpatient IOL. Three used PGs, and one used balloon catheter. A meta-analysis was not able to be performed due to study heterogeneity. The authors noted that uterine hyperstimulation may prevent </w:t>
      </w:r>
      <w:r>
        <w:t>a</w:t>
      </w:r>
      <w:r w:rsidRPr="00912AFA">
        <w:t xml:space="preserve"> woman from going or remaining at home, so PGs may not be the best outpatient induction agent. The four trials included in this review are detailed below.</w:t>
      </w:r>
    </w:p>
    <w:p w14:paraId="28AC59F5" w14:textId="77777777" w:rsidR="00AC0F19" w:rsidRPr="00912AFA" w:rsidRDefault="00AC0F19" w:rsidP="000718E2"/>
    <w:p w14:paraId="7703E551" w14:textId="77777777" w:rsidR="00AC0F19" w:rsidRPr="00912AFA" w:rsidRDefault="00AC0F19" w:rsidP="000718E2">
      <w:r w:rsidRPr="00912AFA">
        <w:t>Wilkinson</w:t>
      </w:r>
      <w:r>
        <w:t xml:space="preserve"> </w:t>
      </w:r>
      <w:r w:rsidR="000F3C98">
        <w:t>et al</w:t>
      </w:r>
      <w:r w:rsidRPr="00912AFA">
        <w:t xml:space="preserve"> (2012) conducted an RCT in Australia of 827 women, and Ryan</w:t>
      </w:r>
      <w:r>
        <w:t xml:space="preserve"> </w:t>
      </w:r>
      <w:r w:rsidR="000F3C98">
        <w:t>et al</w:t>
      </w:r>
      <w:r w:rsidRPr="00912AFA">
        <w:t xml:space="preserve"> (1998) </w:t>
      </w:r>
      <w:r>
        <w:t xml:space="preserve">conducted </w:t>
      </w:r>
      <w:r w:rsidRPr="00912AFA">
        <w:t xml:space="preserve">an RCT in Canada of 201 women, evaluating outpatient versus inpatient IOL with vaginal PGE2. There may be little or no difference between groups in the primary outcomes of oxytocin use, total length of hospital stay or serious neonatal morbidity/death, nor in secondary outcomes of caesarean section, use of epidural, </w:t>
      </w:r>
      <w:r w:rsidR="00763E83">
        <w:t>5</w:t>
      </w:r>
      <w:r w:rsidR="00763E83">
        <w:noBreakHyphen/>
        <w:t>minute</w:t>
      </w:r>
      <w:r w:rsidRPr="00912AFA">
        <w:t xml:space="preserve"> Apgar </w:t>
      </w:r>
      <w:r w:rsidR="00436939">
        <w:t>&lt;</w:t>
      </w:r>
      <w:r w:rsidRPr="00912AFA">
        <w:t>7 or NICU admission. Patient satisfaction was studied, but not reported.</w:t>
      </w:r>
    </w:p>
    <w:p w14:paraId="6B81420B" w14:textId="77777777" w:rsidR="00AC0F19" w:rsidRPr="00912AFA" w:rsidRDefault="00AC0F19" w:rsidP="000718E2"/>
    <w:p w14:paraId="58CF964F" w14:textId="77777777" w:rsidR="00AC0F19" w:rsidRPr="00912AFA" w:rsidRDefault="00AC0F19" w:rsidP="000718E2">
      <w:proofErr w:type="spellStart"/>
      <w:r w:rsidRPr="00912AFA">
        <w:t>Biem</w:t>
      </w:r>
      <w:proofErr w:type="spellEnd"/>
      <w:r>
        <w:t xml:space="preserve"> </w:t>
      </w:r>
      <w:r w:rsidR="000F3C98">
        <w:t>et al</w:t>
      </w:r>
      <w:r w:rsidRPr="00912AFA">
        <w:t xml:space="preserve"> (2003) conducted an RCT in Canada of 300 women</w:t>
      </w:r>
      <w:r>
        <w:t>,</w:t>
      </w:r>
      <w:r w:rsidRPr="00912AFA">
        <w:t xml:space="preserve"> evaluating outpatient versus inpatient controlled-release PGE2 insert. There was probably no difference between groups in the primary outcomes of vaginal birth at </w:t>
      </w:r>
      <w:r w:rsidR="00EB43A9">
        <w:t>24 hours</w:t>
      </w:r>
      <w:r w:rsidRPr="00912AFA">
        <w:t xml:space="preserve">, oxytocin </w:t>
      </w:r>
      <w:proofErr w:type="gramStart"/>
      <w:r w:rsidRPr="00912AFA">
        <w:t>use</w:t>
      </w:r>
      <w:proofErr w:type="gramEnd"/>
      <w:r w:rsidRPr="00912AFA">
        <w:t xml:space="preserve"> or total length of hospital stay, nor in secondary outcomes of mode of birth, abnormal FHR pattern or NICU admission. Women in the outpatient group were more likely to report high levels of satisfaction </w:t>
      </w:r>
      <w:r>
        <w:t>about</w:t>
      </w:r>
      <w:r w:rsidRPr="00912AFA">
        <w:t xml:space="preserve"> their care during the induction process, but there was no difference during labour and birth.</w:t>
      </w:r>
    </w:p>
    <w:p w14:paraId="2EC62759" w14:textId="77777777" w:rsidR="00AC0F19" w:rsidRPr="00912AFA" w:rsidRDefault="00AC0F19" w:rsidP="000718E2"/>
    <w:p w14:paraId="02E04239" w14:textId="77777777" w:rsidR="00AC0F19" w:rsidRPr="00912AFA" w:rsidRDefault="00AC0F19" w:rsidP="000718E2">
      <w:proofErr w:type="spellStart"/>
      <w:r w:rsidRPr="00912AFA">
        <w:t>Sciscione</w:t>
      </w:r>
      <w:proofErr w:type="spellEnd"/>
      <w:r w:rsidRPr="00912AFA">
        <w:t xml:space="preserve"> </w:t>
      </w:r>
      <w:r w:rsidR="000F3C98">
        <w:t>et al</w:t>
      </w:r>
      <w:r>
        <w:t xml:space="preserve"> </w:t>
      </w:r>
      <w:r w:rsidRPr="00912AFA">
        <w:t xml:space="preserve">(2001) randomised 111 women in the </w:t>
      </w:r>
      <w:r>
        <w:t>United States</w:t>
      </w:r>
      <w:r w:rsidRPr="00912AFA">
        <w:t xml:space="preserve"> to outpatient vs inpatient single</w:t>
      </w:r>
      <w:r>
        <w:t>-</w:t>
      </w:r>
      <w:r w:rsidRPr="00912AFA">
        <w:t>balloon catheter and found no differences between the groups in the primary outcome of change in Bishop score nor in secondary outcomes. There were no adverse events or maternal morbidity. Women in the outpatient group spent 10 fewer hours in hospital.</w:t>
      </w:r>
    </w:p>
    <w:p w14:paraId="705943B8" w14:textId="77777777" w:rsidR="00AC0F19" w:rsidRPr="00912AFA" w:rsidRDefault="00AC0F19" w:rsidP="000718E2"/>
    <w:p w14:paraId="2B87E0D5" w14:textId="77777777" w:rsidR="00AC0F19" w:rsidRDefault="00AC0F19" w:rsidP="000718E2">
      <w:r>
        <w:t xml:space="preserve">Wilkinson </w:t>
      </w:r>
      <w:r w:rsidR="000F3C98">
        <w:t>et al</w:t>
      </w:r>
      <w:r>
        <w:t xml:space="preserve"> (2015a) performed a pilot RCT of 48 women evaluating outpatient versus inpatient double-balloon catheter. Women in the outpatient group were less likely to require oxytocin,</w:t>
      </w:r>
      <w:r>
        <w:rPr>
          <w:spacing w:val="-19"/>
        </w:rPr>
        <w:t xml:space="preserve"> </w:t>
      </w:r>
      <w:r>
        <w:t>had</w:t>
      </w:r>
      <w:r>
        <w:rPr>
          <w:spacing w:val="-13"/>
        </w:rPr>
        <w:t xml:space="preserve"> </w:t>
      </w:r>
      <w:r>
        <w:t>a</w:t>
      </w:r>
      <w:r>
        <w:rPr>
          <w:spacing w:val="-19"/>
        </w:rPr>
        <w:t xml:space="preserve"> </w:t>
      </w:r>
      <w:r>
        <w:t>lower</w:t>
      </w:r>
      <w:r>
        <w:rPr>
          <w:spacing w:val="-14"/>
        </w:rPr>
        <w:t xml:space="preserve"> </w:t>
      </w:r>
      <w:r>
        <w:t>caesarean</w:t>
      </w:r>
      <w:r>
        <w:rPr>
          <w:spacing w:val="-18"/>
        </w:rPr>
        <w:t xml:space="preserve"> </w:t>
      </w:r>
      <w:r>
        <w:t>section</w:t>
      </w:r>
      <w:r>
        <w:rPr>
          <w:spacing w:val="-18"/>
        </w:rPr>
        <w:t xml:space="preserve"> </w:t>
      </w:r>
      <w:r>
        <w:t>rate</w:t>
      </w:r>
      <w:r>
        <w:rPr>
          <w:spacing w:val="-15"/>
        </w:rPr>
        <w:t xml:space="preserve"> </w:t>
      </w:r>
      <w:r>
        <w:t>and</w:t>
      </w:r>
      <w:r>
        <w:rPr>
          <w:spacing w:val="-18"/>
        </w:rPr>
        <w:t xml:space="preserve"> </w:t>
      </w:r>
      <w:r>
        <w:t>a</w:t>
      </w:r>
      <w:r>
        <w:rPr>
          <w:spacing w:val="-15"/>
        </w:rPr>
        <w:t xml:space="preserve"> </w:t>
      </w:r>
      <w:r>
        <w:t>higher</w:t>
      </w:r>
      <w:r>
        <w:rPr>
          <w:spacing w:val="-17"/>
        </w:rPr>
        <w:t xml:space="preserve"> </w:t>
      </w:r>
      <w:r>
        <w:t>instrumental</w:t>
      </w:r>
      <w:r>
        <w:rPr>
          <w:spacing w:val="-14"/>
        </w:rPr>
        <w:t xml:space="preserve"> </w:t>
      </w:r>
      <w:r>
        <w:t>birth</w:t>
      </w:r>
      <w:r>
        <w:rPr>
          <w:spacing w:val="-19"/>
        </w:rPr>
        <w:t xml:space="preserve"> </w:t>
      </w:r>
      <w:r>
        <w:t>rate,</w:t>
      </w:r>
      <w:r>
        <w:rPr>
          <w:spacing w:val="-13"/>
        </w:rPr>
        <w:t xml:space="preserve"> </w:t>
      </w:r>
      <w:r>
        <w:t>but</w:t>
      </w:r>
      <w:r>
        <w:rPr>
          <w:spacing w:val="-19"/>
        </w:rPr>
        <w:t xml:space="preserve"> </w:t>
      </w:r>
      <w:r>
        <w:t xml:space="preserve">differences were not statistically significant (small sample size). There were no serious maternal or neonatal morbidities. Women in the outpatient group spent an average of </w:t>
      </w:r>
      <w:r w:rsidR="003A4BD4">
        <w:t>12 hours</w:t>
      </w:r>
      <w:r>
        <w:t xml:space="preserve"> out of hospital</w:t>
      </w:r>
      <w:r>
        <w:rPr>
          <w:spacing w:val="-8"/>
        </w:rPr>
        <w:t xml:space="preserve"> </w:t>
      </w:r>
      <w:r>
        <w:t>and</w:t>
      </w:r>
      <w:r>
        <w:rPr>
          <w:spacing w:val="-8"/>
        </w:rPr>
        <w:t xml:space="preserve"> </w:t>
      </w:r>
      <w:r>
        <w:t>were</w:t>
      </w:r>
      <w:r>
        <w:rPr>
          <w:spacing w:val="-8"/>
        </w:rPr>
        <w:t xml:space="preserve"> </w:t>
      </w:r>
      <w:r>
        <w:t>more</w:t>
      </w:r>
      <w:r>
        <w:rPr>
          <w:spacing w:val="-9"/>
        </w:rPr>
        <w:t xml:space="preserve"> </w:t>
      </w:r>
      <w:r>
        <w:t>likely</w:t>
      </w:r>
      <w:r>
        <w:rPr>
          <w:spacing w:val="-8"/>
        </w:rPr>
        <w:t xml:space="preserve"> </w:t>
      </w:r>
      <w:r>
        <w:t>to</w:t>
      </w:r>
      <w:r>
        <w:rPr>
          <w:spacing w:val="-7"/>
        </w:rPr>
        <w:t xml:space="preserve"> </w:t>
      </w:r>
      <w:r>
        <w:t>report</w:t>
      </w:r>
      <w:r>
        <w:rPr>
          <w:spacing w:val="-9"/>
        </w:rPr>
        <w:t xml:space="preserve"> </w:t>
      </w:r>
      <w:r>
        <w:t>they</w:t>
      </w:r>
      <w:r>
        <w:rPr>
          <w:spacing w:val="-7"/>
        </w:rPr>
        <w:t xml:space="preserve"> </w:t>
      </w:r>
      <w:r>
        <w:t>got</w:t>
      </w:r>
      <w:r>
        <w:rPr>
          <w:spacing w:val="-9"/>
        </w:rPr>
        <w:t xml:space="preserve"> </w:t>
      </w:r>
      <w:r>
        <w:t>a</w:t>
      </w:r>
      <w:r>
        <w:rPr>
          <w:spacing w:val="-9"/>
        </w:rPr>
        <w:t xml:space="preserve"> </w:t>
      </w:r>
      <w:r>
        <w:t>good</w:t>
      </w:r>
      <w:r>
        <w:rPr>
          <w:spacing w:val="-7"/>
        </w:rPr>
        <w:t xml:space="preserve"> </w:t>
      </w:r>
      <w:r>
        <w:t>night</w:t>
      </w:r>
      <w:r w:rsidR="00B0606D">
        <w:t>’</w:t>
      </w:r>
      <w:r>
        <w:t>s</w:t>
      </w:r>
      <w:r>
        <w:rPr>
          <w:spacing w:val="-7"/>
        </w:rPr>
        <w:t xml:space="preserve"> </w:t>
      </w:r>
      <w:r>
        <w:t>rest.</w:t>
      </w:r>
      <w:r>
        <w:rPr>
          <w:spacing w:val="-7"/>
        </w:rPr>
        <w:t xml:space="preserve"> </w:t>
      </w:r>
      <w:r>
        <w:t>Women</w:t>
      </w:r>
      <w:r>
        <w:rPr>
          <w:spacing w:val="-7"/>
        </w:rPr>
        <w:t xml:space="preserve"> </w:t>
      </w:r>
      <w:r>
        <w:t>in</w:t>
      </w:r>
      <w:r>
        <w:rPr>
          <w:spacing w:val="-8"/>
        </w:rPr>
        <w:t xml:space="preserve"> </w:t>
      </w:r>
      <w:r>
        <w:t>the</w:t>
      </w:r>
      <w:r>
        <w:rPr>
          <w:spacing w:val="-9"/>
        </w:rPr>
        <w:t xml:space="preserve"> </w:t>
      </w:r>
      <w:r>
        <w:t>outpatient group felt more emotionally supported, and midwives/doctors said they felt more comfortable sending</w:t>
      </w:r>
      <w:r>
        <w:rPr>
          <w:spacing w:val="-4"/>
        </w:rPr>
        <w:t xml:space="preserve"> </w:t>
      </w:r>
      <w:r>
        <w:t>their</w:t>
      </w:r>
      <w:r>
        <w:rPr>
          <w:spacing w:val="-4"/>
        </w:rPr>
        <w:t xml:space="preserve"> </w:t>
      </w:r>
      <w:r>
        <w:t>patients</w:t>
      </w:r>
      <w:r>
        <w:rPr>
          <w:spacing w:val="-2"/>
        </w:rPr>
        <w:t xml:space="preserve"> </w:t>
      </w:r>
      <w:r>
        <w:t>home</w:t>
      </w:r>
      <w:r>
        <w:rPr>
          <w:spacing w:val="-4"/>
        </w:rPr>
        <w:t xml:space="preserve"> </w:t>
      </w:r>
      <w:r>
        <w:lastRenderedPageBreak/>
        <w:t>with</w:t>
      </w:r>
      <w:r>
        <w:rPr>
          <w:spacing w:val="-3"/>
        </w:rPr>
        <w:t xml:space="preserve"> </w:t>
      </w:r>
      <w:r>
        <w:t>the</w:t>
      </w:r>
      <w:r>
        <w:rPr>
          <w:spacing w:val="-6"/>
        </w:rPr>
        <w:t xml:space="preserve"> </w:t>
      </w:r>
      <w:r>
        <w:t>balloon</w:t>
      </w:r>
      <w:r>
        <w:rPr>
          <w:spacing w:val="-3"/>
        </w:rPr>
        <w:t xml:space="preserve"> </w:t>
      </w:r>
      <w:r>
        <w:t>compared</w:t>
      </w:r>
      <w:r>
        <w:rPr>
          <w:spacing w:val="-4"/>
        </w:rPr>
        <w:t xml:space="preserve"> </w:t>
      </w:r>
      <w:r>
        <w:t>with</w:t>
      </w:r>
      <w:r>
        <w:rPr>
          <w:spacing w:val="-3"/>
        </w:rPr>
        <w:t xml:space="preserve"> </w:t>
      </w:r>
      <w:r>
        <w:t>PG.</w:t>
      </w:r>
      <w:r>
        <w:rPr>
          <w:spacing w:val="-4"/>
        </w:rPr>
        <w:t xml:space="preserve"> </w:t>
      </w:r>
      <w:r>
        <w:t>The</w:t>
      </w:r>
      <w:r>
        <w:rPr>
          <w:spacing w:val="-5"/>
        </w:rPr>
        <w:t xml:space="preserve"> </w:t>
      </w:r>
      <w:r>
        <w:t>authors</w:t>
      </w:r>
      <w:r>
        <w:rPr>
          <w:spacing w:val="-3"/>
        </w:rPr>
        <w:t xml:space="preserve"> </w:t>
      </w:r>
      <w:r>
        <w:t>concluded</w:t>
      </w:r>
      <w:r>
        <w:rPr>
          <w:spacing w:val="-3"/>
        </w:rPr>
        <w:t xml:space="preserve"> </w:t>
      </w:r>
      <w:r>
        <w:t>that</w:t>
      </w:r>
      <w:r>
        <w:rPr>
          <w:spacing w:val="-6"/>
        </w:rPr>
        <w:t xml:space="preserve"> </w:t>
      </w:r>
      <w:r>
        <w:t>the possibility of cervical ripening with balloon catheters in an outpatient setting should be explored in an adequately powered</w:t>
      </w:r>
      <w:r>
        <w:rPr>
          <w:spacing w:val="2"/>
        </w:rPr>
        <w:t xml:space="preserve"> </w:t>
      </w:r>
      <w:r>
        <w:t>trial.</w:t>
      </w:r>
    </w:p>
    <w:p w14:paraId="16C92705" w14:textId="77777777" w:rsidR="00AC0F19" w:rsidRDefault="00AC0F19" w:rsidP="000718E2"/>
    <w:p w14:paraId="3DEAA3EA" w14:textId="77777777" w:rsidR="00AC0F19" w:rsidRDefault="00AC0F19" w:rsidP="000718E2">
      <w:pPr>
        <w:pStyle w:val="Heading3"/>
      </w:pPr>
      <w:bookmarkStart w:id="239" w:name="Discussion"/>
      <w:bookmarkStart w:id="240" w:name="_bookmark114"/>
      <w:bookmarkEnd w:id="239"/>
      <w:bookmarkEnd w:id="240"/>
      <w:r>
        <w:t>Discussion</w:t>
      </w:r>
    </w:p>
    <w:p w14:paraId="6D9F0B37" w14:textId="77777777" w:rsidR="00AC0F19" w:rsidRDefault="00AC0F19" w:rsidP="000718E2">
      <w:r>
        <w:t>The Cochrane authors concluded that, on the basis of the available data, it is not possible to determine whether these methods of IOL are effective and safe within an outpatient setting. The included trials were of varying quality, and all were underpowered for the outcomes assessed. The trials do report high satisfaction levels in women who spent some time during their IOL out of hospital.</w:t>
      </w:r>
    </w:p>
    <w:p w14:paraId="097E3A90" w14:textId="77777777" w:rsidR="00AC0F19" w:rsidRDefault="00AC0F19" w:rsidP="000718E2"/>
    <w:p w14:paraId="4A996A46" w14:textId="77777777" w:rsidR="00B0606D" w:rsidRDefault="00AC0F19" w:rsidP="000718E2">
      <w:r w:rsidRPr="00912AFA">
        <w:t>There are two ongoing RCTs evaluating this research question. The OBLIGE study</w:t>
      </w:r>
      <w:r w:rsidRPr="000718E2">
        <w:rPr>
          <w:rStyle w:val="FootnoteReference"/>
        </w:rPr>
        <w:footnoteReference w:id="4"/>
      </w:r>
      <w:r w:rsidRPr="00912AFA">
        <w:t xml:space="preserve"> in New Zealand is comparing inpatient PGE2 with outpatient single</w:t>
      </w:r>
      <w:r>
        <w:t>-</w:t>
      </w:r>
      <w:r w:rsidRPr="00912AFA">
        <w:t>balloon catheter</w:t>
      </w:r>
      <w:r>
        <w:t>,</w:t>
      </w:r>
      <w:r w:rsidRPr="00912AFA">
        <w:t xml:space="preserve"> and the primary outcome is caesarean section rate; the PINC Balloon study in Australia is comparing inpatient PGE2 with outpatient double</w:t>
      </w:r>
      <w:r>
        <w:t>-</w:t>
      </w:r>
      <w:r w:rsidRPr="00912AFA">
        <w:t>balloon catheter</w:t>
      </w:r>
      <w:r>
        <w:t>,</w:t>
      </w:r>
      <w:r w:rsidRPr="00912AFA">
        <w:t xml:space="preserve"> and the primary outcome is a composite neonatal adverse outcome</w:t>
      </w:r>
      <w:hyperlink w:history="1"/>
      <w:r w:rsidRPr="00912AFA">
        <w:t>.</w:t>
      </w:r>
    </w:p>
    <w:p w14:paraId="7A8ECF9A" w14:textId="77777777" w:rsidR="00AC0F19" w:rsidRPr="00912AFA" w:rsidRDefault="00AC0F19" w:rsidP="000718E2"/>
    <w:p w14:paraId="53BF2E6C" w14:textId="77777777" w:rsidR="00AC0F19" w:rsidRPr="00912AFA" w:rsidRDefault="00AC0F19" w:rsidP="000718E2">
      <w:r w:rsidRPr="00912AFA">
        <w:t>It would seem sensible to have women at home with balloon</w:t>
      </w:r>
      <w:r>
        <w:t>-</w:t>
      </w:r>
      <w:r w:rsidRPr="00912AFA">
        <w:t xml:space="preserve">catheter inductions rather than PGs, given that studies show almost no adverse events during the cervical ripening phase of IOL with balloon </w:t>
      </w:r>
      <w:r>
        <w:t xml:space="preserve">catheters </w:t>
      </w:r>
      <w:r w:rsidRPr="00912AFA">
        <w:t>(</w:t>
      </w:r>
      <w:proofErr w:type="spellStart"/>
      <w:r>
        <w:t>Diederen</w:t>
      </w:r>
      <w:proofErr w:type="spellEnd"/>
      <w:r>
        <w:t xml:space="preserve"> </w:t>
      </w:r>
      <w:r w:rsidR="000F3C98">
        <w:t>et al</w:t>
      </w:r>
      <w:r>
        <w:t xml:space="preserve"> 2018</w:t>
      </w:r>
      <w:r w:rsidRPr="00912AFA">
        <w:t xml:space="preserve">). If offering outpatient IOL, it is imperative that safety measures and support </w:t>
      </w:r>
      <w:r>
        <w:t>be</w:t>
      </w:r>
      <w:r w:rsidRPr="00912AFA">
        <w:t xml:space="preserve"> in place. Women should be encouraged to communicate with the hospital midwives if they have any questions or concerns and be given written instructions to return to hospital if they have contractions or ROM or at a pre-specified time for reassessment.</w:t>
      </w:r>
    </w:p>
    <w:p w14:paraId="6864B93A" w14:textId="77777777" w:rsidR="00AC0F19" w:rsidRPr="00912AFA" w:rsidRDefault="00AC0F19" w:rsidP="000718E2"/>
    <w:p w14:paraId="7B22D7A9" w14:textId="77777777" w:rsidR="00AC0F19" w:rsidRPr="00912AFA" w:rsidRDefault="00AC0F19" w:rsidP="000718E2">
      <w:r w:rsidRPr="00912AFA">
        <w:t>There is insufficient high-quality evidence to make a clear recommendation regarding outpatient IOL.</w:t>
      </w:r>
    </w:p>
    <w:p w14:paraId="02B85653" w14:textId="77777777" w:rsidR="00AC0F19" w:rsidRDefault="00AC0F19" w:rsidP="00AC0F19">
      <w:pPr>
        <w:spacing w:after="1"/>
      </w:pPr>
    </w:p>
    <w:tbl>
      <w:tblPr>
        <w:tblStyle w:val="TableGrid"/>
        <w:tblW w:w="0" w:type="auto"/>
        <w:tblInd w:w="57" w:type="dxa"/>
        <w:tblLayout w:type="fixed"/>
        <w:tblCellMar>
          <w:left w:w="57" w:type="dxa"/>
          <w:right w:w="57" w:type="dxa"/>
        </w:tblCellMar>
        <w:tblLook w:val="04A0" w:firstRow="1" w:lastRow="0" w:firstColumn="1" w:lastColumn="0" w:noHBand="0" w:noVBand="1"/>
      </w:tblPr>
      <w:tblGrid>
        <w:gridCol w:w="8080"/>
      </w:tblGrid>
      <w:tr w:rsidR="00D2284E" w14:paraId="1256334E" w14:textId="77777777" w:rsidTr="00230FF7">
        <w:trPr>
          <w:cantSplit/>
        </w:trPr>
        <w:tc>
          <w:tcPr>
            <w:tcW w:w="8080" w:type="dxa"/>
            <w:tcBorders>
              <w:top w:val="nil"/>
              <w:left w:val="nil"/>
              <w:bottom w:val="nil"/>
              <w:right w:val="nil"/>
            </w:tcBorders>
            <w:shd w:val="clear" w:color="auto" w:fill="D9D9D9" w:themeFill="background1" w:themeFillShade="D9"/>
          </w:tcPr>
          <w:p w14:paraId="74D45F3A" w14:textId="77777777" w:rsidR="00D2284E" w:rsidRPr="008D53E4" w:rsidRDefault="000718E2" w:rsidP="00230FF7">
            <w:pPr>
              <w:pStyle w:val="TableText"/>
              <w:rPr>
                <w:b/>
              </w:rPr>
            </w:pPr>
            <w:r>
              <w:rPr>
                <w:b/>
              </w:rPr>
              <w:t>Research gap</w:t>
            </w:r>
          </w:p>
        </w:tc>
      </w:tr>
      <w:tr w:rsidR="00D2284E" w14:paraId="28373D6D" w14:textId="77777777" w:rsidTr="00230FF7">
        <w:trPr>
          <w:cantSplit/>
        </w:trPr>
        <w:tc>
          <w:tcPr>
            <w:tcW w:w="8080" w:type="dxa"/>
            <w:tcBorders>
              <w:top w:val="nil"/>
              <w:left w:val="nil"/>
              <w:bottom w:val="single" w:sz="4" w:space="0" w:color="A6A6A6" w:themeColor="background1" w:themeShade="A6"/>
              <w:right w:val="nil"/>
            </w:tcBorders>
          </w:tcPr>
          <w:p w14:paraId="0FFAEBDD" w14:textId="77777777" w:rsidR="00D2284E" w:rsidRDefault="000718E2" w:rsidP="00230FF7">
            <w:pPr>
              <w:pStyle w:val="TableBullet"/>
            </w:pPr>
            <w:r>
              <w:t>For women who need cervical ripening, to evaluate the effect of initiating labour away from a hospital setting compared with inpatient care, on chance of vaginal birth, potential harms, and maternal satisfaction, experience and perspectives.</w:t>
            </w:r>
          </w:p>
        </w:tc>
      </w:tr>
    </w:tbl>
    <w:p w14:paraId="6A3C44A7" w14:textId="77777777" w:rsidR="00D2284E" w:rsidRDefault="00D2284E" w:rsidP="000718E2"/>
    <w:p w14:paraId="2522B481" w14:textId="77777777" w:rsidR="00AC0F19" w:rsidRDefault="00AC0F19" w:rsidP="009C6A76">
      <w:pPr>
        <w:pStyle w:val="Heading1-notnumbered"/>
      </w:pPr>
      <w:bookmarkStart w:id="241" w:name="ABBREVIATIONS"/>
      <w:bookmarkStart w:id="242" w:name="_bookmark115"/>
      <w:bookmarkStart w:id="243" w:name="_Toc75788009"/>
      <w:bookmarkEnd w:id="241"/>
      <w:bookmarkEnd w:id="242"/>
      <w:r w:rsidRPr="00E92FCE">
        <w:lastRenderedPageBreak/>
        <w:t>Abbreviations</w:t>
      </w:r>
      <w:bookmarkEnd w:id="243"/>
    </w:p>
    <w:tbl>
      <w:tblPr>
        <w:tblW w:w="8222" w:type="dxa"/>
        <w:tblLayout w:type="fixed"/>
        <w:tblCellMar>
          <w:left w:w="0" w:type="dxa"/>
          <w:right w:w="0" w:type="dxa"/>
        </w:tblCellMar>
        <w:tblLook w:val="01E0" w:firstRow="1" w:lastRow="1" w:firstColumn="1" w:lastColumn="1" w:noHBand="0" w:noVBand="0"/>
      </w:tblPr>
      <w:tblGrid>
        <w:gridCol w:w="1526"/>
        <w:gridCol w:w="6696"/>
      </w:tblGrid>
      <w:tr w:rsidR="00AC0F19" w14:paraId="134F78B9" w14:textId="77777777" w:rsidTr="009C6A76">
        <w:trPr>
          <w:cantSplit/>
        </w:trPr>
        <w:tc>
          <w:tcPr>
            <w:tcW w:w="1526" w:type="dxa"/>
          </w:tcPr>
          <w:p w14:paraId="3F7379AD" w14:textId="77777777" w:rsidR="00AC0F19" w:rsidRDefault="00AC0F19" w:rsidP="00945549">
            <w:r>
              <w:t>AFI</w:t>
            </w:r>
          </w:p>
        </w:tc>
        <w:tc>
          <w:tcPr>
            <w:tcW w:w="6696" w:type="dxa"/>
          </w:tcPr>
          <w:p w14:paraId="4C0FC042" w14:textId="77777777" w:rsidR="00AC0F19" w:rsidRDefault="00AC0F19" w:rsidP="00945549">
            <w:r>
              <w:t>Amniotic fluid index</w:t>
            </w:r>
          </w:p>
        </w:tc>
      </w:tr>
      <w:tr w:rsidR="00AC0F19" w14:paraId="7003AAF7" w14:textId="77777777" w:rsidTr="009C6A76">
        <w:trPr>
          <w:cantSplit/>
        </w:trPr>
        <w:tc>
          <w:tcPr>
            <w:tcW w:w="1526" w:type="dxa"/>
          </w:tcPr>
          <w:p w14:paraId="6AD71564" w14:textId="77777777" w:rsidR="00AC0F19" w:rsidRDefault="00AC0F19" w:rsidP="009C6A76">
            <w:pPr>
              <w:spacing w:before="50"/>
            </w:pPr>
            <w:r>
              <w:t>ANZCTR</w:t>
            </w:r>
          </w:p>
        </w:tc>
        <w:tc>
          <w:tcPr>
            <w:tcW w:w="6696" w:type="dxa"/>
          </w:tcPr>
          <w:p w14:paraId="585C8268" w14:textId="77777777" w:rsidR="00AC0F19" w:rsidRDefault="00AC0F19" w:rsidP="009C6A76">
            <w:pPr>
              <w:spacing w:before="50"/>
            </w:pPr>
            <w:r>
              <w:t>Australian New Zealand Clinical Trials Registry</w:t>
            </w:r>
          </w:p>
        </w:tc>
      </w:tr>
      <w:tr w:rsidR="00AC0F19" w14:paraId="602E675B" w14:textId="77777777" w:rsidTr="009C6A76">
        <w:trPr>
          <w:cantSplit/>
        </w:trPr>
        <w:tc>
          <w:tcPr>
            <w:tcW w:w="1526" w:type="dxa"/>
          </w:tcPr>
          <w:p w14:paraId="57C2C81B" w14:textId="77777777" w:rsidR="00AC0F19" w:rsidRDefault="00AC0F19" w:rsidP="009C6A76">
            <w:pPr>
              <w:spacing w:before="50"/>
            </w:pPr>
            <w:proofErr w:type="spellStart"/>
            <w:r>
              <w:t>aOR</w:t>
            </w:r>
            <w:proofErr w:type="spellEnd"/>
          </w:p>
        </w:tc>
        <w:tc>
          <w:tcPr>
            <w:tcW w:w="6696" w:type="dxa"/>
          </w:tcPr>
          <w:p w14:paraId="66838FBE" w14:textId="77777777" w:rsidR="00AC0F19" w:rsidRDefault="00AC0F19" w:rsidP="009C6A76">
            <w:pPr>
              <w:spacing w:before="50"/>
            </w:pPr>
            <w:r>
              <w:t>Adjusted odds ratio</w:t>
            </w:r>
          </w:p>
        </w:tc>
      </w:tr>
      <w:tr w:rsidR="00AC0F19" w14:paraId="11104B8E" w14:textId="77777777" w:rsidTr="009C6A76">
        <w:trPr>
          <w:cantSplit/>
        </w:trPr>
        <w:tc>
          <w:tcPr>
            <w:tcW w:w="1526" w:type="dxa"/>
          </w:tcPr>
          <w:p w14:paraId="6F3FE725" w14:textId="77777777" w:rsidR="00AC0F19" w:rsidRDefault="00AC0F19" w:rsidP="009C6A76">
            <w:pPr>
              <w:spacing w:before="50"/>
            </w:pPr>
            <w:r>
              <w:t>APH</w:t>
            </w:r>
          </w:p>
        </w:tc>
        <w:tc>
          <w:tcPr>
            <w:tcW w:w="6696" w:type="dxa"/>
          </w:tcPr>
          <w:p w14:paraId="01937586" w14:textId="77777777" w:rsidR="00AC0F19" w:rsidRDefault="00AC0F19" w:rsidP="009C6A76">
            <w:pPr>
              <w:spacing w:before="50"/>
            </w:pPr>
            <w:r>
              <w:t>Antepartum haemorrhage</w:t>
            </w:r>
          </w:p>
        </w:tc>
      </w:tr>
      <w:tr w:rsidR="00AC0F19" w14:paraId="7BE12C0D" w14:textId="77777777" w:rsidTr="009C6A76">
        <w:trPr>
          <w:cantSplit/>
        </w:trPr>
        <w:tc>
          <w:tcPr>
            <w:tcW w:w="1526" w:type="dxa"/>
          </w:tcPr>
          <w:p w14:paraId="392F5111" w14:textId="77777777" w:rsidR="00AC0F19" w:rsidRDefault="00AC0F19" w:rsidP="009C6A76">
            <w:pPr>
              <w:spacing w:before="50"/>
            </w:pPr>
            <w:r>
              <w:t>ARM</w:t>
            </w:r>
          </w:p>
        </w:tc>
        <w:tc>
          <w:tcPr>
            <w:tcW w:w="6696" w:type="dxa"/>
          </w:tcPr>
          <w:p w14:paraId="6745CD48" w14:textId="77777777" w:rsidR="00AC0F19" w:rsidRDefault="00AC0F19" w:rsidP="009C6A76">
            <w:pPr>
              <w:spacing w:before="50"/>
            </w:pPr>
            <w:r>
              <w:t>Artificial rupture of membranes</w:t>
            </w:r>
          </w:p>
        </w:tc>
      </w:tr>
      <w:tr w:rsidR="00AC0F19" w14:paraId="1154DD36" w14:textId="77777777" w:rsidTr="009C6A76">
        <w:trPr>
          <w:cantSplit/>
        </w:trPr>
        <w:tc>
          <w:tcPr>
            <w:tcW w:w="1526" w:type="dxa"/>
          </w:tcPr>
          <w:p w14:paraId="0863FA51" w14:textId="77777777" w:rsidR="00AC0F19" w:rsidRDefault="00AC0F19" w:rsidP="009C6A76">
            <w:pPr>
              <w:spacing w:before="50"/>
            </w:pPr>
            <w:r>
              <w:t>ART</w:t>
            </w:r>
          </w:p>
        </w:tc>
        <w:tc>
          <w:tcPr>
            <w:tcW w:w="6696" w:type="dxa"/>
          </w:tcPr>
          <w:p w14:paraId="7E86B82F" w14:textId="77777777" w:rsidR="00AC0F19" w:rsidRDefault="00AC0F19" w:rsidP="009C6A76">
            <w:pPr>
              <w:spacing w:before="50"/>
            </w:pPr>
            <w:r>
              <w:t>Assisted reproductive technology</w:t>
            </w:r>
          </w:p>
        </w:tc>
      </w:tr>
      <w:tr w:rsidR="00AC0F19" w14:paraId="7751977E" w14:textId="77777777" w:rsidTr="009C6A76">
        <w:trPr>
          <w:cantSplit/>
        </w:trPr>
        <w:tc>
          <w:tcPr>
            <w:tcW w:w="1526" w:type="dxa"/>
          </w:tcPr>
          <w:p w14:paraId="7FB71716" w14:textId="77777777" w:rsidR="00AC0F19" w:rsidRDefault="00AC0F19" w:rsidP="009C6A76">
            <w:pPr>
              <w:spacing w:before="50"/>
            </w:pPr>
            <w:r>
              <w:t>BMI</w:t>
            </w:r>
          </w:p>
        </w:tc>
        <w:tc>
          <w:tcPr>
            <w:tcW w:w="6696" w:type="dxa"/>
          </w:tcPr>
          <w:p w14:paraId="2DFDA938" w14:textId="77777777" w:rsidR="00AC0F19" w:rsidRDefault="00AC0F19" w:rsidP="009C6A76">
            <w:pPr>
              <w:spacing w:before="50"/>
            </w:pPr>
            <w:r>
              <w:t>Body mass index</w:t>
            </w:r>
          </w:p>
        </w:tc>
      </w:tr>
      <w:tr w:rsidR="00AC0F19" w14:paraId="238403A1" w14:textId="77777777" w:rsidTr="009C6A76">
        <w:trPr>
          <w:cantSplit/>
        </w:trPr>
        <w:tc>
          <w:tcPr>
            <w:tcW w:w="1526" w:type="dxa"/>
          </w:tcPr>
          <w:p w14:paraId="102DA7ED" w14:textId="77777777" w:rsidR="00AC0F19" w:rsidRDefault="00AC0F19" w:rsidP="009C6A76">
            <w:pPr>
              <w:spacing w:before="50"/>
            </w:pPr>
            <w:r>
              <w:t>CTG</w:t>
            </w:r>
          </w:p>
        </w:tc>
        <w:tc>
          <w:tcPr>
            <w:tcW w:w="6696" w:type="dxa"/>
          </w:tcPr>
          <w:p w14:paraId="428FD8FC" w14:textId="77777777" w:rsidR="00AC0F19" w:rsidRDefault="00AC0F19" w:rsidP="009C6A76">
            <w:pPr>
              <w:spacing w:before="50"/>
            </w:pPr>
            <w:r>
              <w:t>Cardiotocography</w:t>
            </w:r>
          </w:p>
        </w:tc>
      </w:tr>
      <w:tr w:rsidR="00AC0F19" w14:paraId="6F69BE7A" w14:textId="77777777" w:rsidTr="009C6A76">
        <w:trPr>
          <w:cantSplit/>
        </w:trPr>
        <w:tc>
          <w:tcPr>
            <w:tcW w:w="1526" w:type="dxa"/>
          </w:tcPr>
          <w:p w14:paraId="1A8C074A" w14:textId="77777777" w:rsidR="00AC0F19" w:rsidRDefault="00AC0F19" w:rsidP="009C6A76">
            <w:pPr>
              <w:spacing w:before="50"/>
            </w:pPr>
            <w:r>
              <w:t>DHB</w:t>
            </w:r>
          </w:p>
        </w:tc>
        <w:tc>
          <w:tcPr>
            <w:tcW w:w="6696" w:type="dxa"/>
          </w:tcPr>
          <w:p w14:paraId="09006685" w14:textId="77777777" w:rsidR="00AC0F19" w:rsidRDefault="00AC0F19" w:rsidP="009C6A76">
            <w:pPr>
              <w:spacing w:before="50"/>
            </w:pPr>
            <w:r>
              <w:t>District health board</w:t>
            </w:r>
          </w:p>
        </w:tc>
      </w:tr>
      <w:tr w:rsidR="00AC0F19" w14:paraId="03586A0D" w14:textId="77777777" w:rsidTr="009C6A76">
        <w:trPr>
          <w:cantSplit/>
        </w:trPr>
        <w:tc>
          <w:tcPr>
            <w:tcW w:w="1526" w:type="dxa"/>
          </w:tcPr>
          <w:p w14:paraId="46BD3712" w14:textId="77777777" w:rsidR="00AC0F19" w:rsidRDefault="00AC0F19" w:rsidP="009C6A76">
            <w:pPr>
              <w:spacing w:before="50"/>
            </w:pPr>
            <w:r>
              <w:t>EFW</w:t>
            </w:r>
          </w:p>
        </w:tc>
        <w:tc>
          <w:tcPr>
            <w:tcW w:w="6696" w:type="dxa"/>
          </w:tcPr>
          <w:p w14:paraId="63F684FA" w14:textId="77777777" w:rsidR="00AC0F19" w:rsidRDefault="00AC0F19" w:rsidP="009C6A76">
            <w:pPr>
              <w:spacing w:before="50"/>
            </w:pPr>
            <w:r>
              <w:t>Estimated fetal weight</w:t>
            </w:r>
          </w:p>
        </w:tc>
      </w:tr>
      <w:tr w:rsidR="00AC0F19" w14:paraId="4D95F015" w14:textId="77777777" w:rsidTr="009C6A76">
        <w:trPr>
          <w:cantSplit/>
        </w:trPr>
        <w:tc>
          <w:tcPr>
            <w:tcW w:w="1526" w:type="dxa"/>
          </w:tcPr>
          <w:p w14:paraId="71E93888" w14:textId="77777777" w:rsidR="00AC0F19" w:rsidRDefault="00AC0F19" w:rsidP="009C6A76">
            <w:pPr>
              <w:spacing w:before="50"/>
            </w:pPr>
            <w:r>
              <w:t>FHR</w:t>
            </w:r>
          </w:p>
        </w:tc>
        <w:tc>
          <w:tcPr>
            <w:tcW w:w="6696" w:type="dxa"/>
          </w:tcPr>
          <w:p w14:paraId="1B2AA202" w14:textId="77777777" w:rsidR="00AC0F19" w:rsidRDefault="00AC0F19" w:rsidP="009C6A76">
            <w:pPr>
              <w:spacing w:before="50"/>
            </w:pPr>
            <w:r>
              <w:t>Fetal heart rate</w:t>
            </w:r>
          </w:p>
        </w:tc>
      </w:tr>
      <w:tr w:rsidR="00AC0F19" w14:paraId="787A99D2" w14:textId="77777777" w:rsidTr="009C6A76">
        <w:trPr>
          <w:cantSplit/>
        </w:trPr>
        <w:tc>
          <w:tcPr>
            <w:tcW w:w="1526" w:type="dxa"/>
          </w:tcPr>
          <w:p w14:paraId="0C2828CE" w14:textId="77777777" w:rsidR="00AC0F19" w:rsidRDefault="00AC0F19" w:rsidP="009C6A76">
            <w:pPr>
              <w:spacing w:before="50"/>
            </w:pPr>
            <w:r>
              <w:t>FGR</w:t>
            </w:r>
          </w:p>
        </w:tc>
        <w:tc>
          <w:tcPr>
            <w:tcW w:w="6696" w:type="dxa"/>
          </w:tcPr>
          <w:p w14:paraId="7BB20BC6" w14:textId="77777777" w:rsidR="00AC0F19" w:rsidRDefault="00AC0F19" w:rsidP="009C6A76">
            <w:pPr>
              <w:spacing w:before="50"/>
            </w:pPr>
            <w:r>
              <w:t>Fetal growth restriction</w:t>
            </w:r>
          </w:p>
        </w:tc>
      </w:tr>
      <w:tr w:rsidR="00AC0F19" w14:paraId="3171A44C" w14:textId="77777777" w:rsidTr="009C6A76">
        <w:trPr>
          <w:cantSplit/>
        </w:trPr>
        <w:tc>
          <w:tcPr>
            <w:tcW w:w="1526" w:type="dxa"/>
          </w:tcPr>
          <w:p w14:paraId="126C06E7" w14:textId="77777777" w:rsidR="00AC0F19" w:rsidRDefault="00AC0F19" w:rsidP="009C6A76">
            <w:pPr>
              <w:spacing w:before="50"/>
            </w:pPr>
            <w:r>
              <w:t>GDM</w:t>
            </w:r>
          </w:p>
        </w:tc>
        <w:tc>
          <w:tcPr>
            <w:tcW w:w="6696" w:type="dxa"/>
          </w:tcPr>
          <w:p w14:paraId="555177E6" w14:textId="77777777" w:rsidR="00AC0F19" w:rsidRDefault="00AC0F19" w:rsidP="009C6A76">
            <w:pPr>
              <w:spacing w:before="50"/>
            </w:pPr>
            <w:r>
              <w:t>Gestational diabetes mellitus</w:t>
            </w:r>
          </w:p>
        </w:tc>
      </w:tr>
      <w:tr w:rsidR="00AC0F19" w14:paraId="126AD242" w14:textId="77777777" w:rsidTr="009C6A76">
        <w:trPr>
          <w:cantSplit/>
        </w:trPr>
        <w:tc>
          <w:tcPr>
            <w:tcW w:w="1526" w:type="dxa"/>
          </w:tcPr>
          <w:p w14:paraId="6FB8C71B" w14:textId="77777777" w:rsidR="00AC0F19" w:rsidRDefault="00AC0F19" w:rsidP="009C6A76">
            <w:pPr>
              <w:spacing w:before="50"/>
            </w:pPr>
            <w:r>
              <w:t>HELLP</w:t>
            </w:r>
          </w:p>
        </w:tc>
        <w:tc>
          <w:tcPr>
            <w:tcW w:w="6696" w:type="dxa"/>
          </w:tcPr>
          <w:p w14:paraId="1EBB4C4C" w14:textId="77777777" w:rsidR="00AC0F19" w:rsidRDefault="00AC0F19" w:rsidP="009C6A76">
            <w:pPr>
              <w:spacing w:before="50"/>
            </w:pPr>
            <w:r>
              <w:t>Haemolysis, elevated liver enzymes, and low platelet count</w:t>
            </w:r>
          </w:p>
        </w:tc>
      </w:tr>
      <w:tr w:rsidR="00AC0F19" w14:paraId="0D503F62" w14:textId="77777777" w:rsidTr="009C6A76">
        <w:trPr>
          <w:cantSplit/>
        </w:trPr>
        <w:tc>
          <w:tcPr>
            <w:tcW w:w="1526" w:type="dxa"/>
          </w:tcPr>
          <w:p w14:paraId="2710EEDE" w14:textId="77777777" w:rsidR="00AC0F19" w:rsidRDefault="00AC0F19" w:rsidP="009C6A76">
            <w:pPr>
              <w:spacing w:before="50"/>
            </w:pPr>
            <w:r>
              <w:t>HQSC</w:t>
            </w:r>
          </w:p>
        </w:tc>
        <w:tc>
          <w:tcPr>
            <w:tcW w:w="6696" w:type="dxa"/>
          </w:tcPr>
          <w:p w14:paraId="4FA879AA" w14:textId="77777777" w:rsidR="00AC0F19" w:rsidRDefault="00AC0F19" w:rsidP="009C6A76">
            <w:pPr>
              <w:spacing w:before="50"/>
            </w:pPr>
            <w:r w:rsidRPr="00EA518F">
              <w:t xml:space="preserve">Health Quality </w:t>
            </w:r>
            <w:r>
              <w:t>&amp;</w:t>
            </w:r>
            <w:r w:rsidRPr="00EA518F">
              <w:t xml:space="preserve"> Safety Commission</w:t>
            </w:r>
          </w:p>
        </w:tc>
      </w:tr>
      <w:tr w:rsidR="00AC0F19" w14:paraId="3DE6A5A6" w14:textId="77777777" w:rsidTr="009C6A76">
        <w:trPr>
          <w:cantSplit/>
        </w:trPr>
        <w:tc>
          <w:tcPr>
            <w:tcW w:w="1526" w:type="dxa"/>
          </w:tcPr>
          <w:p w14:paraId="5A9C5729" w14:textId="77777777" w:rsidR="00AC0F19" w:rsidRDefault="00AC0F19" w:rsidP="009C6A76">
            <w:pPr>
              <w:spacing w:before="50"/>
            </w:pPr>
            <w:r>
              <w:t>ICSI</w:t>
            </w:r>
          </w:p>
        </w:tc>
        <w:tc>
          <w:tcPr>
            <w:tcW w:w="6696" w:type="dxa"/>
          </w:tcPr>
          <w:p w14:paraId="3AC8A174" w14:textId="77777777" w:rsidR="00AC0F19" w:rsidRPr="00A8255C" w:rsidRDefault="00AC0F19" w:rsidP="009C6A76">
            <w:pPr>
              <w:spacing w:before="50"/>
            </w:pPr>
            <w:r w:rsidRPr="00A8255C">
              <w:t>Intracytoplasmic sperm injection</w:t>
            </w:r>
          </w:p>
        </w:tc>
      </w:tr>
      <w:tr w:rsidR="00AC0F19" w14:paraId="342B1C31" w14:textId="77777777" w:rsidTr="009C6A76">
        <w:trPr>
          <w:cantSplit/>
        </w:trPr>
        <w:tc>
          <w:tcPr>
            <w:tcW w:w="1526" w:type="dxa"/>
          </w:tcPr>
          <w:p w14:paraId="546DA838" w14:textId="77777777" w:rsidR="00AC0F19" w:rsidRDefault="00AC0F19" w:rsidP="009C6A76">
            <w:pPr>
              <w:spacing w:before="50"/>
            </w:pPr>
            <w:r>
              <w:t>IOL</w:t>
            </w:r>
          </w:p>
        </w:tc>
        <w:tc>
          <w:tcPr>
            <w:tcW w:w="6696" w:type="dxa"/>
          </w:tcPr>
          <w:p w14:paraId="0DDB6129" w14:textId="77777777" w:rsidR="00AC0F19" w:rsidRDefault="00AC0F19" w:rsidP="009C6A76">
            <w:pPr>
              <w:spacing w:before="50"/>
            </w:pPr>
            <w:r>
              <w:t>Induction of labour</w:t>
            </w:r>
          </w:p>
        </w:tc>
      </w:tr>
      <w:tr w:rsidR="00AC0F19" w14:paraId="412460E8" w14:textId="77777777" w:rsidTr="009C6A76">
        <w:trPr>
          <w:cantSplit/>
        </w:trPr>
        <w:tc>
          <w:tcPr>
            <w:tcW w:w="1526" w:type="dxa"/>
          </w:tcPr>
          <w:p w14:paraId="74E54369" w14:textId="77777777" w:rsidR="00AC0F19" w:rsidRDefault="00AC0F19" w:rsidP="009C6A76">
            <w:pPr>
              <w:spacing w:before="50"/>
            </w:pPr>
            <w:r>
              <w:t>IUGR</w:t>
            </w:r>
          </w:p>
        </w:tc>
        <w:tc>
          <w:tcPr>
            <w:tcW w:w="6696" w:type="dxa"/>
          </w:tcPr>
          <w:p w14:paraId="1A581B84" w14:textId="77777777" w:rsidR="00AC0F19" w:rsidRDefault="00AC0F19" w:rsidP="009C6A76">
            <w:pPr>
              <w:spacing w:before="50"/>
            </w:pPr>
            <w:r>
              <w:t>Intrauterine growth restriction</w:t>
            </w:r>
          </w:p>
        </w:tc>
      </w:tr>
      <w:tr w:rsidR="00AC0F19" w14:paraId="54209C94" w14:textId="77777777" w:rsidTr="009C6A76">
        <w:trPr>
          <w:cantSplit/>
        </w:trPr>
        <w:tc>
          <w:tcPr>
            <w:tcW w:w="1526" w:type="dxa"/>
          </w:tcPr>
          <w:p w14:paraId="2BA688D6" w14:textId="77777777" w:rsidR="00AC0F19" w:rsidRDefault="00AC0F19" w:rsidP="009C6A76">
            <w:pPr>
              <w:spacing w:before="50"/>
            </w:pPr>
            <w:r>
              <w:t>IVF</w:t>
            </w:r>
          </w:p>
        </w:tc>
        <w:tc>
          <w:tcPr>
            <w:tcW w:w="6696" w:type="dxa"/>
          </w:tcPr>
          <w:p w14:paraId="2EDC4A71" w14:textId="77777777" w:rsidR="00AC0F19" w:rsidRDefault="00AC0F19" w:rsidP="009C6A76">
            <w:pPr>
              <w:spacing w:before="50"/>
            </w:pPr>
            <w:r>
              <w:t>In vitro fertilisation</w:t>
            </w:r>
          </w:p>
        </w:tc>
      </w:tr>
      <w:tr w:rsidR="00AC0F19" w14:paraId="144EDB55" w14:textId="77777777" w:rsidTr="009C6A76">
        <w:trPr>
          <w:cantSplit/>
        </w:trPr>
        <w:tc>
          <w:tcPr>
            <w:tcW w:w="1526" w:type="dxa"/>
          </w:tcPr>
          <w:p w14:paraId="0223B735" w14:textId="77777777" w:rsidR="00AC0F19" w:rsidRDefault="00AC0F19" w:rsidP="009C6A76">
            <w:pPr>
              <w:spacing w:before="50"/>
            </w:pPr>
            <w:r>
              <w:t>LGA</w:t>
            </w:r>
          </w:p>
        </w:tc>
        <w:tc>
          <w:tcPr>
            <w:tcW w:w="6696" w:type="dxa"/>
          </w:tcPr>
          <w:p w14:paraId="2F380CC6" w14:textId="77777777" w:rsidR="00AC0F19" w:rsidRDefault="00AC0F19" w:rsidP="009C6A76">
            <w:pPr>
              <w:spacing w:before="50"/>
            </w:pPr>
            <w:r>
              <w:t>Large for gestational age</w:t>
            </w:r>
          </w:p>
        </w:tc>
      </w:tr>
      <w:tr w:rsidR="00AC0F19" w14:paraId="50469771" w14:textId="77777777" w:rsidTr="009C6A76">
        <w:trPr>
          <w:cantSplit/>
        </w:trPr>
        <w:tc>
          <w:tcPr>
            <w:tcW w:w="1526" w:type="dxa"/>
          </w:tcPr>
          <w:p w14:paraId="3040F65D" w14:textId="77777777" w:rsidR="00AC0F19" w:rsidRDefault="00AC0F19" w:rsidP="009C6A76">
            <w:pPr>
              <w:spacing w:before="50"/>
            </w:pPr>
            <w:r>
              <w:t>LMC</w:t>
            </w:r>
          </w:p>
        </w:tc>
        <w:tc>
          <w:tcPr>
            <w:tcW w:w="6696" w:type="dxa"/>
          </w:tcPr>
          <w:p w14:paraId="47382740" w14:textId="77777777" w:rsidR="00AC0F19" w:rsidRDefault="00AC0F19" w:rsidP="009C6A76">
            <w:pPr>
              <w:spacing w:before="50"/>
            </w:pPr>
            <w:r>
              <w:t>Lead maternity carer</w:t>
            </w:r>
          </w:p>
        </w:tc>
      </w:tr>
      <w:tr w:rsidR="00AC0F19" w14:paraId="7FF9D379" w14:textId="77777777" w:rsidTr="009C6A76">
        <w:trPr>
          <w:cantSplit/>
        </w:trPr>
        <w:tc>
          <w:tcPr>
            <w:tcW w:w="1526" w:type="dxa"/>
          </w:tcPr>
          <w:p w14:paraId="3F2CB80C" w14:textId="77777777" w:rsidR="00AC0F19" w:rsidRDefault="00AC0F19" w:rsidP="009C6A76">
            <w:pPr>
              <w:spacing w:before="50"/>
            </w:pPr>
            <w:r>
              <w:t>MCA</w:t>
            </w:r>
          </w:p>
        </w:tc>
        <w:tc>
          <w:tcPr>
            <w:tcW w:w="6696" w:type="dxa"/>
          </w:tcPr>
          <w:p w14:paraId="319D70B6" w14:textId="77777777" w:rsidR="00AC0F19" w:rsidRDefault="00AC0F19" w:rsidP="009C6A76">
            <w:pPr>
              <w:spacing w:before="50"/>
            </w:pPr>
            <w:r>
              <w:t>Middle cerebral artery</w:t>
            </w:r>
          </w:p>
        </w:tc>
      </w:tr>
      <w:tr w:rsidR="00AC0F19" w14:paraId="7E7A4CC8" w14:textId="77777777" w:rsidTr="009C6A76">
        <w:trPr>
          <w:cantSplit/>
        </w:trPr>
        <w:tc>
          <w:tcPr>
            <w:tcW w:w="1526" w:type="dxa"/>
          </w:tcPr>
          <w:p w14:paraId="2E32D599" w14:textId="77777777" w:rsidR="00AC0F19" w:rsidRDefault="00AC0F19" w:rsidP="009C6A76">
            <w:pPr>
              <w:spacing w:before="50"/>
            </w:pPr>
            <w:r>
              <w:t>NICE</w:t>
            </w:r>
          </w:p>
        </w:tc>
        <w:tc>
          <w:tcPr>
            <w:tcW w:w="6696" w:type="dxa"/>
          </w:tcPr>
          <w:p w14:paraId="6F39262C" w14:textId="77777777" w:rsidR="00AC0F19" w:rsidRDefault="00AC0F19" w:rsidP="009C6A76">
            <w:pPr>
              <w:spacing w:before="50"/>
            </w:pPr>
            <w:r>
              <w:t>National Institute for Health and Care Excellence</w:t>
            </w:r>
          </w:p>
        </w:tc>
      </w:tr>
      <w:tr w:rsidR="00AC0F19" w14:paraId="09EB65AD" w14:textId="77777777" w:rsidTr="009C6A76">
        <w:trPr>
          <w:cantSplit/>
        </w:trPr>
        <w:tc>
          <w:tcPr>
            <w:tcW w:w="1526" w:type="dxa"/>
          </w:tcPr>
          <w:p w14:paraId="34E09CF4" w14:textId="77777777" w:rsidR="00AC0F19" w:rsidRDefault="00AC0F19" w:rsidP="009C6A76">
            <w:pPr>
              <w:spacing w:before="50"/>
            </w:pPr>
            <w:r>
              <w:t>NICU</w:t>
            </w:r>
          </w:p>
        </w:tc>
        <w:tc>
          <w:tcPr>
            <w:tcW w:w="6696" w:type="dxa"/>
          </w:tcPr>
          <w:p w14:paraId="27F1FFB4" w14:textId="77777777" w:rsidR="00AC0F19" w:rsidRDefault="00AC0F19" w:rsidP="009C6A76">
            <w:pPr>
              <w:spacing w:before="50"/>
            </w:pPr>
            <w:r>
              <w:t>Neonatal intensive care unit</w:t>
            </w:r>
          </w:p>
        </w:tc>
      </w:tr>
      <w:tr w:rsidR="00AC0F19" w14:paraId="59E465F1" w14:textId="77777777" w:rsidTr="009C6A76">
        <w:trPr>
          <w:cantSplit/>
        </w:trPr>
        <w:tc>
          <w:tcPr>
            <w:tcW w:w="1526" w:type="dxa"/>
          </w:tcPr>
          <w:p w14:paraId="26A843B0" w14:textId="77777777" w:rsidR="00AC0F19" w:rsidRDefault="00AC0F19" w:rsidP="009C6A76">
            <w:pPr>
              <w:spacing w:before="50"/>
            </w:pPr>
            <w:r>
              <w:t>NNT</w:t>
            </w:r>
          </w:p>
        </w:tc>
        <w:tc>
          <w:tcPr>
            <w:tcW w:w="6696" w:type="dxa"/>
          </w:tcPr>
          <w:p w14:paraId="2039865D" w14:textId="77777777" w:rsidR="00AC0F19" w:rsidRDefault="00AC0F19" w:rsidP="009C6A76">
            <w:pPr>
              <w:spacing w:before="50"/>
            </w:pPr>
            <w:r>
              <w:t>Number needed to treat</w:t>
            </w:r>
          </w:p>
        </w:tc>
      </w:tr>
      <w:tr w:rsidR="00AC0F19" w14:paraId="239EA1E0" w14:textId="77777777" w:rsidTr="009C6A76">
        <w:trPr>
          <w:cantSplit/>
        </w:trPr>
        <w:tc>
          <w:tcPr>
            <w:tcW w:w="1526" w:type="dxa"/>
          </w:tcPr>
          <w:p w14:paraId="2A27A552" w14:textId="77777777" w:rsidR="00AC0F19" w:rsidRDefault="00AC0F19" w:rsidP="009C6A76">
            <w:pPr>
              <w:spacing w:before="50"/>
            </w:pPr>
            <w:r>
              <w:t>PG</w:t>
            </w:r>
          </w:p>
        </w:tc>
        <w:tc>
          <w:tcPr>
            <w:tcW w:w="6696" w:type="dxa"/>
          </w:tcPr>
          <w:p w14:paraId="4DFDFB4D" w14:textId="77777777" w:rsidR="00AC0F19" w:rsidRDefault="00AC0F19" w:rsidP="009C6A76">
            <w:pPr>
              <w:spacing w:before="50"/>
            </w:pPr>
            <w:r>
              <w:t>Prostaglandin</w:t>
            </w:r>
          </w:p>
        </w:tc>
      </w:tr>
      <w:tr w:rsidR="00AC0F19" w14:paraId="4353926B" w14:textId="77777777" w:rsidTr="009C6A76">
        <w:trPr>
          <w:cantSplit/>
        </w:trPr>
        <w:tc>
          <w:tcPr>
            <w:tcW w:w="1526" w:type="dxa"/>
          </w:tcPr>
          <w:p w14:paraId="17B4CD3E" w14:textId="77777777" w:rsidR="00AC0F19" w:rsidRDefault="00AC0F19" w:rsidP="009C6A76">
            <w:pPr>
              <w:spacing w:before="50"/>
            </w:pPr>
            <w:r>
              <w:t>PMMRC</w:t>
            </w:r>
          </w:p>
        </w:tc>
        <w:tc>
          <w:tcPr>
            <w:tcW w:w="6696" w:type="dxa"/>
          </w:tcPr>
          <w:p w14:paraId="0E328637" w14:textId="77777777" w:rsidR="00AC0F19" w:rsidRDefault="00AC0F19" w:rsidP="009C6A76">
            <w:pPr>
              <w:spacing w:before="50"/>
            </w:pPr>
            <w:r>
              <w:t>Perinatal and Maternal Mortality Review Committee</w:t>
            </w:r>
          </w:p>
        </w:tc>
      </w:tr>
      <w:tr w:rsidR="00AC0F19" w14:paraId="26F33DAE" w14:textId="77777777" w:rsidTr="009C6A76">
        <w:trPr>
          <w:cantSplit/>
        </w:trPr>
        <w:tc>
          <w:tcPr>
            <w:tcW w:w="1526" w:type="dxa"/>
          </w:tcPr>
          <w:p w14:paraId="7824F3AD" w14:textId="77777777" w:rsidR="00AC0F19" w:rsidRDefault="00AC0F19" w:rsidP="009C6A76">
            <w:pPr>
              <w:spacing w:before="50"/>
            </w:pPr>
            <w:r>
              <w:t>PPH</w:t>
            </w:r>
          </w:p>
        </w:tc>
        <w:tc>
          <w:tcPr>
            <w:tcW w:w="6696" w:type="dxa"/>
          </w:tcPr>
          <w:p w14:paraId="3CA527C3" w14:textId="77777777" w:rsidR="00AC0F19" w:rsidRDefault="00AC0F19" w:rsidP="009C6A76">
            <w:pPr>
              <w:spacing w:before="50"/>
            </w:pPr>
            <w:r>
              <w:t>Postpartum haemorrhage</w:t>
            </w:r>
          </w:p>
        </w:tc>
      </w:tr>
      <w:tr w:rsidR="00AC0F19" w14:paraId="1F876000" w14:textId="77777777" w:rsidTr="009C6A76">
        <w:trPr>
          <w:cantSplit/>
        </w:trPr>
        <w:tc>
          <w:tcPr>
            <w:tcW w:w="1526" w:type="dxa"/>
          </w:tcPr>
          <w:p w14:paraId="5C920DE2" w14:textId="77777777" w:rsidR="00AC0F19" w:rsidRDefault="00AC0F19" w:rsidP="009C6A76">
            <w:pPr>
              <w:spacing w:before="50"/>
            </w:pPr>
            <w:r>
              <w:t>PROM</w:t>
            </w:r>
          </w:p>
        </w:tc>
        <w:tc>
          <w:tcPr>
            <w:tcW w:w="6696" w:type="dxa"/>
          </w:tcPr>
          <w:p w14:paraId="6A2B707D" w14:textId="77777777" w:rsidR="00AC0F19" w:rsidRDefault="00AC0F19" w:rsidP="009C6A76">
            <w:pPr>
              <w:spacing w:before="50"/>
            </w:pPr>
            <w:r>
              <w:t>Pre-labour rupture of membranes</w:t>
            </w:r>
          </w:p>
        </w:tc>
      </w:tr>
      <w:tr w:rsidR="00AC0F19" w14:paraId="4F176E3D" w14:textId="77777777" w:rsidTr="009C6A76">
        <w:trPr>
          <w:cantSplit/>
        </w:trPr>
        <w:tc>
          <w:tcPr>
            <w:tcW w:w="1526" w:type="dxa"/>
          </w:tcPr>
          <w:p w14:paraId="277AABC1" w14:textId="77777777" w:rsidR="00AC0F19" w:rsidRDefault="00AC0F19" w:rsidP="009C6A76">
            <w:pPr>
              <w:spacing w:before="50"/>
            </w:pPr>
            <w:r>
              <w:t>RANZCOG</w:t>
            </w:r>
          </w:p>
        </w:tc>
        <w:tc>
          <w:tcPr>
            <w:tcW w:w="6696" w:type="dxa"/>
          </w:tcPr>
          <w:p w14:paraId="281BD718" w14:textId="77777777" w:rsidR="00AC0F19" w:rsidRDefault="00AC0F19" w:rsidP="009C6A76">
            <w:pPr>
              <w:spacing w:before="50"/>
            </w:pPr>
            <w:r>
              <w:t>The Royal Australian and New Zealand College of Obstetricians and Gynaecologists</w:t>
            </w:r>
          </w:p>
        </w:tc>
      </w:tr>
      <w:tr w:rsidR="00AC0F19" w14:paraId="467CC2A3" w14:textId="77777777" w:rsidTr="009C6A76">
        <w:trPr>
          <w:cantSplit/>
        </w:trPr>
        <w:tc>
          <w:tcPr>
            <w:tcW w:w="1526" w:type="dxa"/>
          </w:tcPr>
          <w:p w14:paraId="50ECEEAE" w14:textId="77777777" w:rsidR="00AC0F19" w:rsidRDefault="00AC0F19" w:rsidP="009C6A76">
            <w:pPr>
              <w:spacing w:before="50"/>
            </w:pPr>
            <w:r>
              <w:t>RCT</w:t>
            </w:r>
          </w:p>
        </w:tc>
        <w:tc>
          <w:tcPr>
            <w:tcW w:w="6696" w:type="dxa"/>
          </w:tcPr>
          <w:p w14:paraId="2C8D5EDB" w14:textId="77777777" w:rsidR="00AC0F19" w:rsidRDefault="00AC0F19" w:rsidP="009C6A76">
            <w:pPr>
              <w:spacing w:before="50"/>
            </w:pPr>
            <w:r>
              <w:t>Randomised controlled trial</w:t>
            </w:r>
          </w:p>
        </w:tc>
      </w:tr>
      <w:tr w:rsidR="00AC0F19" w14:paraId="0F8D4AA7" w14:textId="77777777" w:rsidTr="009C6A76">
        <w:trPr>
          <w:cantSplit/>
        </w:trPr>
        <w:tc>
          <w:tcPr>
            <w:tcW w:w="1526" w:type="dxa"/>
          </w:tcPr>
          <w:p w14:paraId="3B43C134" w14:textId="77777777" w:rsidR="00AC0F19" w:rsidRDefault="00AC0F19" w:rsidP="009C6A76">
            <w:pPr>
              <w:spacing w:before="50"/>
            </w:pPr>
            <w:r>
              <w:t>RFM</w:t>
            </w:r>
          </w:p>
        </w:tc>
        <w:tc>
          <w:tcPr>
            <w:tcW w:w="6696" w:type="dxa"/>
          </w:tcPr>
          <w:p w14:paraId="3157C780" w14:textId="77777777" w:rsidR="00AC0F19" w:rsidRDefault="00AC0F19" w:rsidP="009C6A76">
            <w:pPr>
              <w:spacing w:before="50"/>
            </w:pPr>
            <w:r>
              <w:t>Reduced fetal movements</w:t>
            </w:r>
          </w:p>
        </w:tc>
      </w:tr>
      <w:tr w:rsidR="00AC0F19" w14:paraId="532C7CC7" w14:textId="77777777" w:rsidTr="009C6A76">
        <w:trPr>
          <w:cantSplit/>
        </w:trPr>
        <w:tc>
          <w:tcPr>
            <w:tcW w:w="1526" w:type="dxa"/>
          </w:tcPr>
          <w:p w14:paraId="3A759148" w14:textId="77777777" w:rsidR="00AC0F19" w:rsidRDefault="00AC0F19" w:rsidP="009C6A76">
            <w:pPr>
              <w:spacing w:before="50"/>
            </w:pPr>
            <w:r>
              <w:t>ROM</w:t>
            </w:r>
          </w:p>
        </w:tc>
        <w:tc>
          <w:tcPr>
            <w:tcW w:w="6696" w:type="dxa"/>
          </w:tcPr>
          <w:p w14:paraId="4B533BDD" w14:textId="77777777" w:rsidR="00AC0F19" w:rsidRDefault="00AC0F19" w:rsidP="009C6A76">
            <w:pPr>
              <w:spacing w:before="50"/>
            </w:pPr>
            <w:r>
              <w:t>Rupture of membranes</w:t>
            </w:r>
          </w:p>
        </w:tc>
      </w:tr>
      <w:tr w:rsidR="00AC0F19" w14:paraId="5F22C9F9" w14:textId="77777777" w:rsidTr="009C6A76">
        <w:trPr>
          <w:cantSplit/>
        </w:trPr>
        <w:tc>
          <w:tcPr>
            <w:tcW w:w="1526" w:type="dxa"/>
          </w:tcPr>
          <w:p w14:paraId="6CBBC2EB" w14:textId="77777777" w:rsidR="00AC0F19" w:rsidRDefault="00AC0F19" w:rsidP="009C6A76">
            <w:pPr>
              <w:spacing w:before="50"/>
            </w:pPr>
            <w:r>
              <w:t>SGA</w:t>
            </w:r>
          </w:p>
        </w:tc>
        <w:tc>
          <w:tcPr>
            <w:tcW w:w="6696" w:type="dxa"/>
          </w:tcPr>
          <w:p w14:paraId="7A31AF66" w14:textId="77777777" w:rsidR="00AC0F19" w:rsidRPr="00A8255C" w:rsidRDefault="00AC0F19" w:rsidP="009C6A76">
            <w:pPr>
              <w:spacing w:before="50"/>
            </w:pPr>
            <w:r w:rsidRPr="00A8255C">
              <w:t>Small for gestational age</w:t>
            </w:r>
          </w:p>
        </w:tc>
      </w:tr>
      <w:tr w:rsidR="00AC0F19" w14:paraId="59DF114E" w14:textId="77777777" w:rsidTr="009C6A76">
        <w:trPr>
          <w:cantSplit/>
        </w:trPr>
        <w:tc>
          <w:tcPr>
            <w:tcW w:w="1526" w:type="dxa"/>
          </w:tcPr>
          <w:p w14:paraId="54AB4147" w14:textId="77777777" w:rsidR="00AC0F19" w:rsidRDefault="00AC0F19" w:rsidP="009C6A76">
            <w:pPr>
              <w:spacing w:before="50"/>
            </w:pPr>
            <w:r>
              <w:t>SROM</w:t>
            </w:r>
          </w:p>
        </w:tc>
        <w:tc>
          <w:tcPr>
            <w:tcW w:w="6696" w:type="dxa"/>
          </w:tcPr>
          <w:p w14:paraId="48F4293E" w14:textId="77777777" w:rsidR="00AC0F19" w:rsidRPr="00A8255C" w:rsidRDefault="00AC0F19" w:rsidP="009C6A76">
            <w:pPr>
              <w:spacing w:before="50"/>
            </w:pPr>
            <w:r w:rsidRPr="00A8255C">
              <w:t>Spontaneous rupture of membranes</w:t>
            </w:r>
          </w:p>
        </w:tc>
      </w:tr>
      <w:tr w:rsidR="00AC0F19" w14:paraId="481947E9" w14:textId="77777777" w:rsidTr="009C6A76">
        <w:trPr>
          <w:cantSplit/>
        </w:trPr>
        <w:tc>
          <w:tcPr>
            <w:tcW w:w="1526" w:type="dxa"/>
          </w:tcPr>
          <w:p w14:paraId="5DA7B8BF" w14:textId="77777777" w:rsidR="00AC0F19" w:rsidRDefault="00AC0F19" w:rsidP="009C6A76">
            <w:pPr>
              <w:spacing w:before="50"/>
            </w:pPr>
            <w:r>
              <w:t>WHO</w:t>
            </w:r>
          </w:p>
        </w:tc>
        <w:tc>
          <w:tcPr>
            <w:tcW w:w="6696" w:type="dxa"/>
          </w:tcPr>
          <w:p w14:paraId="0667684F" w14:textId="77777777" w:rsidR="00AC0F19" w:rsidRPr="00A8255C" w:rsidRDefault="00AC0F19" w:rsidP="009C6A76">
            <w:pPr>
              <w:spacing w:before="50"/>
            </w:pPr>
            <w:r w:rsidRPr="00A8255C">
              <w:t>World Health Organization</w:t>
            </w:r>
          </w:p>
        </w:tc>
      </w:tr>
    </w:tbl>
    <w:p w14:paraId="0CE88BBE" w14:textId="77777777" w:rsidR="00D22963" w:rsidRDefault="00D22963" w:rsidP="00D22963">
      <w:pPr>
        <w:pStyle w:val="Heading1-notnumbered"/>
      </w:pPr>
      <w:bookmarkStart w:id="244" w:name="APPENDIX_A_-_Clinical_Guidelines_Panel"/>
      <w:bookmarkStart w:id="245" w:name="_bookmark116"/>
      <w:bookmarkStart w:id="246" w:name="_Toc75788010"/>
      <w:bookmarkEnd w:id="244"/>
      <w:bookmarkEnd w:id="245"/>
      <w:r>
        <w:lastRenderedPageBreak/>
        <w:t>Appendices</w:t>
      </w:r>
      <w:bookmarkEnd w:id="246"/>
    </w:p>
    <w:p w14:paraId="5045A02F" w14:textId="77777777" w:rsidR="00AC0F19" w:rsidRDefault="000D51DC" w:rsidP="00D22963">
      <w:pPr>
        <w:pStyle w:val="Heading2-Appendices"/>
        <w:keepNext/>
        <w:pageBreakBefore w:val="0"/>
        <w:spacing w:before="600"/>
      </w:pPr>
      <w:bookmarkStart w:id="247" w:name="_Toc75788011"/>
      <w:r>
        <w:t>Appendix A</w:t>
      </w:r>
      <w:r w:rsidR="00D2284E">
        <w:t xml:space="preserve">: </w:t>
      </w:r>
      <w:r w:rsidR="00AC0F19">
        <w:t>The panel that developed this clinical practice guideline</w:t>
      </w:r>
      <w:bookmarkEnd w:id="24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4253"/>
        <w:gridCol w:w="1984"/>
      </w:tblGrid>
      <w:tr w:rsidR="00AC0F19" w:rsidRPr="00C46DB0" w14:paraId="7856C97A" w14:textId="77777777" w:rsidTr="003A0E05">
        <w:trPr>
          <w:cantSplit/>
          <w:tblHeader/>
        </w:trPr>
        <w:tc>
          <w:tcPr>
            <w:tcW w:w="1843" w:type="dxa"/>
            <w:tcBorders>
              <w:top w:val="nil"/>
              <w:bottom w:val="nil"/>
            </w:tcBorders>
            <w:shd w:val="clear" w:color="auto" w:fill="D9D9D9" w:themeFill="background1" w:themeFillShade="D9"/>
          </w:tcPr>
          <w:p w14:paraId="1A1F12B4" w14:textId="77777777" w:rsidR="00AC0F19" w:rsidRPr="00C46DB0" w:rsidRDefault="00AC0F19" w:rsidP="00C46DB0">
            <w:pPr>
              <w:pStyle w:val="TableText"/>
              <w:rPr>
                <w:b/>
              </w:rPr>
            </w:pPr>
            <w:r w:rsidRPr="00C46DB0">
              <w:rPr>
                <w:b/>
              </w:rPr>
              <w:t>Member</w:t>
            </w:r>
          </w:p>
        </w:tc>
        <w:tc>
          <w:tcPr>
            <w:tcW w:w="4253" w:type="dxa"/>
            <w:tcBorders>
              <w:top w:val="nil"/>
              <w:bottom w:val="nil"/>
            </w:tcBorders>
            <w:shd w:val="clear" w:color="auto" w:fill="D9D9D9" w:themeFill="background1" w:themeFillShade="D9"/>
          </w:tcPr>
          <w:p w14:paraId="351D3EE2" w14:textId="77777777" w:rsidR="00AC0F19" w:rsidRPr="00C46DB0" w:rsidRDefault="00AC0F19" w:rsidP="00F727D4">
            <w:pPr>
              <w:pStyle w:val="TableText"/>
              <w:ind w:right="113"/>
              <w:rPr>
                <w:b/>
              </w:rPr>
            </w:pPr>
            <w:r w:rsidRPr="00C46DB0">
              <w:rPr>
                <w:b/>
              </w:rPr>
              <w:t>Affiliation / representing organisation</w:t>
            </w:r>
          </w:p>
        </w:tc>
        <w:tc>
          <w:tcPr>
            <w:tcW w:w="1984" w:type="dxa"/>
            <w:tcBorders>
              <w:top w:val="nil"/>
              <w:bottom w:val="nil"/>
            </w:tcBorders>
            <w:shd w:val="clear" w:color="auto" w:fill="D9D9D9" w:themeFill="background1" w:themeFillShade="D9"/>
          </w:tcPr>
          <w:p w14:paraId="3E02467C" w14:textId="77777777" w:rsidR="00AC0F19" w:rsidRPr="00C46DB0" w:rsidRDefault="00AC0F19" w:rsidP="00C46DB0">
            <w:pPr>
              <w:pStyle w:val="TableText"/>
              <w:rPr>
                <w:b/>
              </w:rPr>
            </w:pPr>
            <w:r w:rsidRPr="00C46DB0">
              <w:rPr>
                <w:b/>
              </w:rPr>
              <w:t>Role</w:t>
            </w:r>
          </w:p>
        </w:tc>
      </w:tr>
      <w:tr w:rsidR="00AC0F19" w14:paraId="618A7E57" w14:textId="77777777" w:rsidTr="00F727D4">
        <w:trPr>
          <w:cantSplit/>
        </w:trPr>
        <w:tc>
          <w:tcPr>
            <w:tcW w:w="1843" w:type="dxa"/>
            <w:tcBorders>
              <w:top w:val="nil"/>
            </w:tcBorders>
            <w:shd w:val="clear" w:color="auto" w:fill="auto"/>
          </w:tcPr>
          <w:p w14:paraId="347C43A2" w14:textId="77777777" w:rsidR="00AC0F19" w:rsidRDefault="00AC0F19" w:rsidP="00C46DB0">
            <w:pPr>
              <w:pStyle w:val="TableText"/>
            </w:pPr>
            <w:r>
              <w:t>Dr Michelle Wise</w:t>
            </w:r>
          </w:p>
        </w:tc>
        <w:tc>
          <w:tcPr>
            <w:tcW w:w="4253" w:type="dxa"/>
            <w:tcBorders>
              <w:top w:val="nil"/>
            </w:tcBorders>
            <w:shd w:val="clear" w:color="auto" w:fill="auto"/>
          </w:tcPr>
          <w:p w14:paraId="1E3B7080" w14:textId="77777777" w:rsidR="00AC0F19" w:rsidRDefault="00AC0F19" w:rsidP="00F727D4">
            <w:pPr>
              <w:pStyle w:val="TableText"/>
              <w:ind w:right="113"/>
            </w:pPr>
            <w:r>
              <w:t>Senior Lecturer, Department of Obstetrics and Gynaecology, Faculty of Medical and Health Sciences, The University of Auckland; Obstetrician and Gynaecologist, Auckland DHB</w:t>
            </w:r>
          </w:p>
        </w:tc>
        <w:tc>
          <w:tcPr>
            <w:tcW w:w="1984" w:type="dxa"/>
            <w:tcBorders>
              <w:top w:val="nil"/>
            </w:tcBorders>
            <w:shd w:val="clear" w:color="auto" w:fill="auto"/>
          </w:tcPr>
          <w:p w14:paraId="69579F63" w14:textId="77777777" w:rsidR="00AC0F19" w:rsidRDefault="00AC0F19" w:rsidP="00C46DB0">
            <w:pPr>
              <w:pStyle w:val="TableText"/>
            </w:pPr>
            <w:r>
              <w:t>Chair</w:t>
            </w:r>
          </w:p>
        </w:tc>
      </w:tr>
      <w:tr w:rsidR="00AC0F19" w14:paraId="040E79B5" w14:textId="77777777" w:rsidTr="00F727D4">
        <w:trPr>
          <w:cantSplit/>
        </w:trPr>
        <w:tc>
          <w:tcPr>
            <w:tcW w:w="1843" w:type="dxa"/>
            <w:shd w:val="clear" w:color="auto" w:fill="auto"/>
          </w:tcPr>
          <w:p w14:paraId="191DC698" w14:textId="77777777" w:rsidR="00AC0F19" w:rsidRDefault="00AC0F19" w:rsidP="00C46DB0">
            <w:pPr>
              <w:pStyle w:val="TableText"/>
            </w:pPr>
            <w:r>
              <w:t xml:space="preserve">Dr Jane </w:t>
            </w:r>
            <w:proofErr w:type="spellStart"/>
            <w:r>
              <w:t>Alsweiler</w:t>
            </w:r>
            <w:proofErr w:type="spellEnd"/>
          </w:p>
        </w:tc>
        <w:tc>
          <w:tcPr>
            <w:tcW w:w="4253" w:type="dxa"/>
            <w:shd w:val="clear" w:color="auto" w:fill="auto"/>
          </w:tcPr>
          <w:p w14:paraId="265879C8" w14:textId="77777777" w:rsidR="00AC0F19" w:rsidRDefault="00AC0F19" w:rsidP="00F727D4">
            <w:pPr>
              <w:pStyle w:val="TableText"/>
              <w:ind w:right="113"/>
            </w:pPr>
            <w:r>
              <w:t>Consultant Neo</w:t>
            </w:r>
            <w:r w:rsidR="00F727D4">
              <w:t>natologist, NICU, Auckland DHB;</w:t>
            </w:r>
            <w:r>
              <w:br/>
              <w:t>Senior Lecturer, Department of Paediatrics: Child and Youth Heal</w:t>
            </w:r>
            <w:r w:rsidR="00F727D4">
              <w:t>th, The University of Auckland;</w:t>
            </w:r>
            <w:r>
              <w:br/>
              <w:t>Honorary Senior Lecturer, Liggins Institute, The University of Auckland</w:t>
            </w:r>
          </w:p>
        </w:tc>
        <w:tc>
          <w:tcPr>
            <w:tcW w:w="1984" w:type="dxa"/>
            <w:shd w:val="clear" w:color="auto" w:fill="auto"/>
          </w:tcPr>
          <w:p w14:paraId="2B44A8DA" w14:textId="77777777" w:rsidR="00AC0F19" w:rsidRDefault="00AC0F19" w:rsidP="00C46DB0">
            <w:pPr>
              <w:pStyle w:val="TableText"/>
            </w:pPr>
            <w:r>
              <w:rPr>
                <w:spacing w:val="-1"/>
              </w:rPr>
              <w:t xml:space="preserve">Representing </w:t>
            </w:r>
            <w:r>
              <w:t>RACP</w:t>
            </w:r>
          </w:p>
        </w:tc>
      </w:tr>
      <w:tr w:rsidR="00AC0F19" w14:paraId="1A7B04D9" w14:textId="77777777" w:rsidTr="00F727D4">
        <w:trPr>
          <w:cantSplit/>
        </w:trPr>
        <w:tc>
          <w:tcPr>
            <w:tcW w:w="1843" w:type="dxa"/>
            <w:shd w:val="clear" w:color="auto" w:fill="auto"/>
          </w:tcPr>
          <w:p w14:paraId="3A5FC54F" w14:textId="77777777" w:rsidR="00AC0F19" w:rsidRDefault="00AC0F19" w:rsidP="00C46DB0">
            <w:pPr>
              <w:pStyle w:val="TableText"/>
            </w:pPr>
            <w:r>
              <w:t>Jacqui Anderson</w:t>
            </w:r>
          </w:p>
        </w:tc>
        <w:tc>
          <w:tcPr>
            <w:tcW w:w="4253" w:type="dxa"/>
            <w:shd w:val="clear" w:color="auto" w:fill="auto"/>
          </w:tcPr>
          <w:p w14:paraId="07213627" w14:textId="77777777" w:rsidR="00AC0F19" w:rsidRDefault="00AC0F19" w:rsidP="00F727D4">
            <w:pPr>
              <w:pStyle w:val="TableText"/>
              <w:ind w:right="113"/>
            </w:pPr>
            <w:r>
              <w:t>Midwifery Advisor: Quality Assurance</w:t>
            </w:r>
          </w:p>
        </w:tc>
        <w:tc>
          <w:tcPr>
            <w:tcW w:w="1984" w:type="dxa"/>
            <w:shd w:val="clear" w:color="auto" w:fill="auto"/>
          </w:tcPr>
          <w:p w14:paraId="20273077" w14:textId="77777777" w:rsidR="00AC0F19" w:rsidRDefault="00AC0F19" w:rsidP="00C46DB0">
            <w:pPr>
              <w:pStyle w:val="TableText"/>
            </w:pPr>
            <w:r>
              <w:rPr>
                <w:spacing w:val="-1"/>
              </w:rPr>
              <w:t xml:space="preserve">Representing </w:t>
            </w:r>
            <w:r>
              <w:t>New Zealand College of Midwives</w:t>
            </w:r>
          </w:p>
        </w:tc>
      </w:tr>
      <w:tr w:rsidR="00AC0F19" w14:paraId="53B5571D" w14:textId="77777777" w:rsidTr="00F727D4">
        <w:trPr>
          <w:cantSplit/>
        </w:trPr>
        <w:tc>
          <w:tcPr>
            <w:tcW w:w="1843" w:type="dxa"/>
            <w:shd w:val="clear" w:color="auto" w:fill="auto"/>
          </w:tcPr>
          <w:p w14:paraId="7C75B479" w14:textId="77777777" w:rsidR="00AC0F19" w:rsidRDefault="00AC0F19" w:rsidP="00C46DB0">
            <w:pPr>
              <w:pStyle w:val="TableText"/>
            </w:pPr>
            <w:r>
              <w:t>Lesley Ansell</w:t>
            </w:r>
          </w:p>
        </w:tc>
        <w:tc>
          <w:tcPr>
            <w:tcW w:w="4253" w:type="dxa"/>
            <w:shd w:val="clear" w:color="auto" w:fill="auto"/>
          </w:tcPr>
          <w:p w14:paraId="4A997646" w14:textId="77777777" w:rsidR="00AC0F19" w:rsidRDefault="00AC0F19" w:rsidP="00F727D4">
            <w:pPr>
              <w:pStyle w:val="TableText"/>
              <w:ind w:right="113"/>
            </w:pPr>
            <w:r>
              <w:t>Associate Clinical Charge Midwife Manager, Counties Manukau Health</w:t>
            </w:r>
          </w:p>
        </w:tc>
        <w:tc>
          <w:tcPr>
            <w:tcW w:w="1984" w:type="dxa"/>
            <w:shd w:val="clear" w:color="auto" w:fill="auto"/>
          </w:tcPr>
          <w:p w14:paraId="7C5B400E" w14:textId="77777777" w:rsidR="00AC0F19" w:rsidRDefault="00AC0F19" w:rsidP="00C46DB0">
            <w:pPr>
              <w:pStyle w:val="TableText"/>
              <w:rPr>
                <w:rFonts w:ascii="Times New Roman"/>
              </w:rPr>
            </w:pPr>
          </w:p>
        </w:tc>
      </w:tr>
      <w:tr w:rsidR="00AC0F19" w14:paraId="72F4F48E" w14:textId="77777777" w:rsidTr="00F727D4">
        <w:trPr>
          <w:cantSplit/>
        </w:trPr>
        <w:tc>
          <w:tcPr>
            <w:tcW w:w="1843" w:type="dxa"/>
            <w:shd w:val="clear" w:color="auto" w:fill="auto"/>
          </w:tcPr>
          <w:p w14:paraId="6EDBE174" w14:textId="77777777" w:rsidR="00AC0F19" w:rsidRDefault="00AC0F19" w:rsidP="00C46DB0">
            <w:pPr>
              <w:pStyle w:val="TableText"/>
            </w:pPr>
            <w:r>
              <w:t>Dr Sue Belgrave</w:t>
            </w:r>
          </w:p>
        </w:tc>
        <w:tc>
          <w:tcPr>
            <w:tcW w:w="4253" w:type="dxa"/>
            <w:shd w:val="clear" w:color="auto" w:fill="auto"/>
          </w:tcPr>
          <w:p w14:paraId="04650AE4" w14:textId="77777777" w:rsidR="00AC0F19" w:rsidRDefault="00AC0F19" w:rsidP="00F727D4">
            <w:pPr>
              <w:pStyle w:val="TableText"/>
              <w:ind w:right="113"/>
            </w:pPr>
            <w:r>
              <w:t>Obstetrician and Gynaecologist, Waitematā DHB;</w:t>
            </w:r>
            <w:r w:rsidR="00F727D4">
              <w:br/>
            </w:r>
            <w:r>
              <w:t>former Chair of the Perinatal and Maternal Mortality Review Committee (PMMRC)</w:t>
            </w:r>
          </w:p>
        </w:tc>
        <w:tc>
          <w:tcPr>
            <w:tcW w:w="1984" w:type="dxa"/>
            <w:shd w:val="clear" w:color="auto" w:fill="auto"/>
          </w:tcPr>
          <w:p w14:paraId="335F8819" w14:textId="77777777" w:rsidR="00AC0F19" w:rsidRDefault="00AC0F19" w:rsidP="00C46DB0">
            <w:pPr>
              <w:pStyle w:val="TableText"/>
            </w:pPr>
            <w:r>
              <w:t>Representing RANZCOG</w:t>
            </w:r>
          </w:p>
        </w:tc>
      </w:tr>
      <w:tr w:rsidR="00AC0F19" w14:paraId="69D49D60" w14:textId="77777777" w:rsidTr="00F727D4">
        <w:trPr>
          <w:cantSplit/>
        </w:trPr>
        <w:tc>
          <w:tcPr>
            <w:tcW w:w="1843" w:type="dxa"/>
            <w:shd w:val="clear" w:color="auto" w:fill="auto"/>
          </w:tcPr>
          <w:p w14:paraId="3A56E4BF" w14:textId="77777777" w:rsidR="00AC0F19" w:rsidRDefault="00AC0F19" w:rsidP="00C46DB0">
            <w:pPr>
              <w:pStyle w:val="TableText"/>
            </w:pPr>
            <w:r>
              <w:t>Dr Isabel Camano</w:t>
            </w:r>
          </w:p>
        </w:tc>
        <w:tc>
          <w:tcPr>
            <w:tcW w:w="4253" w:type="dxa"/>
            <w:shd w:val="clear" w:color="auto" w:fill="auto"/>
          </w:tcPr>
          <w:p w14:paraId="3292424A" w14:textId="77777777" w:rsidR="00AC0F19" w:rsidRDefault="00AC0F19" w:rsidP="00F727D4">
            <w:pPr>
              <w:pStyle w:val="TableText"/>
              <w:ind w:right="113"/>
            </w:pPr>
            <w:r>
              <w:t>Clinical Director, Obstetrics, Waikato DHB</w:t>
            </w:r>
          </w:p>
        </w:tc>
        <w:tc>
          <w:tcPr>
            <w:tcW w:w="1984" w:type="dxa"/>
            <w:shd w:val="clear" w:color="auto" w:fill="auto"/>
          </w:tcPr>
          <w:p w14:paraId="3005CEA0" w14:textId="77777777" w:rsidR="00AC0F19" w:rsidRDefault="00AC0F19" w:rsidP="00C46DB0">
            <w:pPr>
              <w:pStyle w:val="TableText"/>
              <w:rPr>
                <w:rFonts w:ascii="Times New Roman"/>
                <w:sz w:val="20"/>
              </w:rPr>
            </w:pPr>
          </w:p>
        </w:tc>
      </w:tr>
      <w:tr w:rsidR="00AC0F19" w14:paraId="20281C5C" w14:textId="77777777" w:rsidTr="00F727D4">
        <w:trPr>
          <w:cantSplit/>
        </w:trPr>
        <w:tc>
          <w:tcPr>
            <w:tcW w:w="1843" w:type="dxa"/>
            <w:shd w:val="clear" w:color="auto" w:fill="auto"/>
          </w:tcPr>
          <w:p w14:paraId="1CA65022" w14:textId="77777777" w:rsidR="00AC0F19" w:rsidRDefault="00AC0F19" w:rsidP="00C46DB0">
            <w:pPr>
              <w:pStyle w:val="TableText"/>
            </w:pPr>
            <w:r>
              <w:t>Dr Lesley Dixon</w:t>
            </w:r>
          </w:p>
        </w:tc>
        <w:tc>
          <w:tcPr>
            <w:tcW w:w="4253" w:type="dxa"/>
            <w:shd w:val="clear" w:color="auto" w:fill="auto"/>
          </w:tcPr>
          <w:p w14:paraId="335CDD2D" w14:textId="77777777" w:rsidR="00AC0F19" w:rsidRDefault="00AC0F19" w:rsidP="00F727D4">
            <w:pPr>
              <w:pStyle w:val="TableText"/>
              <w:ind w:right="113"/>
            </w:pPr>
            <w:r>
              <w:t>Midwifery Advisor: Practice advice and research development</w:t>
            </w:r>
          </w:p>
        </w:tc>
        <w:tc>
          <w:tcPr>
            <w:tcW w:w="1984" w:type="dxa"/>
            <w:shd w:val="clear" w:color="auto" w:fill="auto"/>
          </w:tcPr>
          <w:p w14:paraId="0C9DE35D" w14:textId="77777777" w:rsidR="00AC0F19" w:rsidRDefault="00AC0F19" w:rsidP="00C46DB0">
            <w:pPr>
              <w:pStyle w:val="TableText"/>
            </w:pPr>
            <w:r>
              <w:rPr>
                <w:spacing w:val="-1"/>
              </w:rPr>
              <w:t xml:space="preserve">Representing </w:t>
            </w:r>
            <w:r>
              <w:t>New Zealand College of Midwives</w:t>
            </w:r>
          </w:p>
        </w:tc>
      </w:tr>
      <w:tr w:rsidR="00AC0F19" w14:paraId="6F1A42BA" w14:textId="77777777" w:rsidTr="00F727D4">
        <w:trPr>
          <w:cantSplit/>
        </w:trPr>
        <w:tc>
          <w:tcPr>
            <w:tcW w:w="1843" w:type="dxa"/>
            <w:shd w:val="clear" w:color="auto" w:fill="auto"/>
          </w:tcPr>
          <w:p w14:paraId="3DD4CA64" w14:textId="77777777" w:rsidR="00AC0F19" w:rsidRDefault="00AC0F19" w:rsidP="00C46DB0">
            <w:pPr>
              <w:pStyle w:val="TableText"/>
            </w:pPr>
            <w:r>
              <w:t>Emma Farmer</w:t>
            </w:r>
          </w:p>
        </w:tc>
        <w:tc>
          <w:tcPr>
            <w:tcW w:w="4253" w:type="dxa"/>
            <w:shd w:val="clear" w:color="auto" w:fill="auto"/>
          </w:tcPr>
          <w:p w14:paraId="2765376B" w14:textId="77777777" w:rsidR="00AC0F19" w:rsidRDefault="00AC0F19" w:rsidP="00F727D4">
            <w:pPr>
              <w:pStyle w:val="TableText"/>
              <w:ind w:right="113"/>
            </w:pPr>
            <w:r>
              <w:t>Head of Midwifery, Waitematā DHB</w:t>
            </w:r>
          </w:p>
        </w:tc>
        <w:tc>
          <w:tcPr>
            <w:tcW w:w="1984" w:type="dxa"/>
            <w:shd w:val="clear" w:color="auto" w:fill="auto"/>
          </w:tcPr>
          <w:p w14:paraId="710BDC95" w14:textId="77777777" w:rsidR="00AC0F19" w:rsidRDefault="00AC0F19" w:rsidP="00C46DB0">
            <w:pPr>
              <w:pStyle w:val="TableText"/>
              <w:rPr>
                <w:rFonts w:ascii="Times New Roman"/>
                <w:sz w:val="20"/>
              </w:rPr>
            </w:pPr>
          </w:p>
        </w:tc>
      </w:tr>
      <w:tr w:rsidR="00AC0F19" w14:paraId="5772ACFE" w14:textId="77777777" w:rsidTr="00F727D4">
        <w:trPr>
          <w:cantSplit/>
        </w:trPr>
        <w:tc>
          <w:tcPr>
            <w:tcW w:w="1843" w:type="dxa"/>
            <w:shd w:val="clear" w:color="auto" w:fill="auto"/>
          </w:tcPr>
          <w:p w14:paraId="5D7ECA7C" w14:textId="77777777" w:rsidR="00AC0F19" w:rsidRDefault="00AC0F19" w:rsidP="00C46DB0">
            <w:pPr>
              <w:pStyle w:val="TableText"/>
            </w:pPr>
            <w:r>
              <w:t>Dr Charlotte Farrant</w:t>
            </w:r>
          </w:p>
        </w:tc>
        <w:tc>
          <w:tcPr>
            <w:tcW w:w="4253" w:type="dxa"/>
            <w:shd w:val="clear" w:color="auto" w:fill="auto"/>
          </w:tcPr>
          <w:p w14:paraId="642AED0F" w14:textId="77777777" w:rsidR="00AC0F19" w:rsidRDefault="00AC0F19" w:rsidP="00F727D4">
            <w:pPr>
              <w:pStyle w:val="TableText"/>
              <w:ind w:right="113"/>
            </w:pPr>
            <w:r>
              <w:t>Obstetrician and Gynaecologist, Northland DHB</w:t>
            </w:r>
          </w:p>
        </w:tc>
        <w:tc>
          <w:tcPr>
            <w:tcW w:w="1984" w:type="dxa"/>
            <w:shd w:val="clear" w:color="auto" w:fill="auto"/>
          </w:tcPr>
          <w:p w14:paraId="5DD53582" w14:textId="77777777" w:rsidR="00AC0F19" w:rsidRDefault="00AC0F19" w:rsidP="00C46DB0">
            <w:pPr>
              <w:pStyle w:val="TableText"/>
              <w:rPr>
                <w:rFonts w:ascii="Times New Roman"/>
              </w:rPr>
            </w:pPr>
          </w:p>
        </w:tc>
      </w:tr>
      <w:tr w:rsidR="00AC0F19" w14:paraId="6E23187D" w14:textId="77777777" w:rsidTr="00F727D4">
        <w:trPr>
          <w:cantSplit/>
        </w:trPr>
        <w:tc>
          <w:tcPr>
            <w:tcW w:w="1843" w:type="dxa"/>
            <w:shd w:val="clear" w:color="auto" w:fill="auto"/>
          </w:tcPr>
          <w:p w14:paraId="65637446" w14:textId="77777777" w:rsidR="00AC0F19" w:rsidRDefault="00AC0F19" w:rsidP="00C46DB0">
            <w:pPr>
              <w:pStyle w:val="TableText"/>
            </w:pPr>
            <w:r>
              <w:t>Dr Per Kempe</w:t>
            </w:r>
          </w:p>
        </w:tc>
        <w:tc>
          <w:tcPr>
            <w:tcW w:w="4253" w:type="dxa"/>
            <w:shd w:val="clear" w:color="auto" w:fill="auto"/>
          </w:tcPr>
          <w:p w14:paraId="33707FC4" w14:textId="77777777" w:rsidR="00AC0F19" w:rsidRDefault="00AC0F19" w:rsidP="00F727D4">
            <w:pPr>
              <w:pStyle w:val="TableText"/>
              <w:ind w:right="113"/>
            </w:pPr>
            <w:r>
              <w:t>Medical Lead, Obstetrician and Gynaecologist, MidCentral DHB</w:t>
            </w:r>
          </w:p>
        </w:tc>
        <w:tc>
          <w:tcPr>
            <w:tcW w:w="1984" w:type="dxa"/>
            <w:shd w:val="clear" w:color="auto" w:fill="auto"/>
          </w:tcPr>
          <w:p w14:paraId="7DE24FFA" w14:textId="77777777" w:rsidR="00AC0F19" w:rsidRDefault="00AC0F19" w:rsidP="00C46DB0">
            <w:pPr>
              <w:pStyle w:val="TableText"/>
              <w:rPr>
                <w:rFonts w:ascii="Times New Roman"/>
              </w:rPr>
            </w:pPr>
          </w:p>
        </w:tc>
      </w:tr>
      <w:tr w:rsidR="00AC0F19" w14:paraId="673FE558" w14:textId="77777777" w:rsidTr="00F727D4">
        <w:trPr>
          <w:cantSplit/>
        </w:trPr>
        <w:tc>
          <w:tcPr>
            <w:tcW w:w="1843" w:type="dxa"/>
            <w:shd w:val="clear" w:color="auto" w:fill="auto"/>
          </w:tcPr>
          <w:p w14:paraId="536F5830" w14:textId="77777777" w:rsidR="00AC0F19" w:rsidRDefault="00AC0F19" w:rsidP="00C46DB0">
            <w:pPr>
              <w:pStyle w:val="TableText"/>
            </w:pPr>
            <w:r>
              <w:t>Dr Jenny McDougall</w:t>
            </w:r>
          </w:p>
        </w:tc>
        <w:tc>
          <w:tcPr>
            <w:tcW w:w="4253" w:type="dxa"/>
            <w:shd w:val="clear" w:color="auto" w:fill="auto"/>
          </w:tcPr>
          <w:p w14:paraId="71970F1D" w14:textId="77777777" w:rsidR="00AC0F19" w:rsidRDefault="00AC0F19" w:rsidP="00F727D4">
            <w:pPr>
              <w:pStyle w:val="TableText"/>
              <w:ind w:right="113"/>
            </w:pPr>
            <w:r>
              <w:t>Service Clinical Director – Secondary Maternity, Auckland DHB</w:t>
            </w:r>
          </w:p>
        </w:tc>
        <w:tc>
          <w:tcPr>
            <w:tcW w:w="1984" w:type="dxa"/>
            <w:shd w:val="clear" w:color="auto" w:fill="auto"/>
          </w:tcPr>
          <w:p w14:paraId="4B2BB808" w14:textId="77777777" w:rsidR="00AC0F19" w:rsidRDefault="00AC0F19" w:rsidP="00C46DB0">
            <w:pPr>
              <w:pStyle w:val="TableText"/>
              <w:rPr>
                <w:rFonts w:ascii="Times New Roman"/>
              </w:rPr>
            </w:pPr>
          </w:p>
        </w:tc>
      </w:tr>
      <w:tr w:rsidR="00AC0F19" w14:paraId="34EDA296" w14:textId="77777777" w:rsidTr="00F727D4">
        <w:trPr>
          <w:cantSplit/>
        </w:trPr>
        <w:tc>
          <w:tcPr>
            <w:tcW w:w="1843" w:type="dxa"/>
            <w:shd w:val="clear" w:color="auto" w:fill="auto"/>
          </w:tcPr>
          <w:p w14:paraId="194E4407" w14:textId="77777777" w:rsidR="00AC0F19" w:rsidRDefault="00AC0F19" w:rsidP="00C46DB0">
            <w:pPr>
              <w:pStyle w:val="TableText"/>
            </w:pPr>
            <w:r>
              <w:t>Isis McKay</w:t>
            </w:r>
          </w:p>
        </w:tc>
        <w:tc>
          <w:tcPr>
            <w:tcW w:w="4253" w:type="dxa"/>
            <w:shd w:val="clear" w:color="auto" w:fill="auto"/>
          </w:tcPr>
          <w:p w14:paraId="6A9478F6" w14:textId="77777777" w:rsidR="00AC0F19" w:rsidRDefault="00AC0F19" w:rsidP="00F727D4">
            <w:pPr>
              <w:pStyle w:val="TableText"/>
              <w:ind w:right="113"/>
            </w:pPr>
            <w:r>
              <w:t>General Manager: Women</w:t>
            </w:r>
            <w:r w:rsidR="00B0606D">
              <w:t>’</w:t>
            </w:r>
            <w:r>
              <w:t>s Health Action (WHA);</w:t>
            </w:r>
            <w:r>
              <w:br/>
              <w:t>Co-founder: Health Promotion in Partnership</w:t>
            </w:r>
          </w:p>
        </w:tc>
        <w:tc>
          <w:tcPr>
            <w:tcW w:w="1984" w:type="dxa"/>
            <w:shd w:val="clear" w:color="auto" w:fill="auto"/>
          </w:tcPr>
          <w:p w14:paraId="5CF16CF4" w14:textId="77777777" w:rsidR="00AC0F19" w:rsidRDefault="00AC0F19" w:rsidP="00C46DB0">
            <w:pPr>
              <w:pStyle w:val="TableText"/>
            </w:pPr>
            <w:r>
              <w:t>Representing consumer perspectives</w:t>
            </w:r>
          </w:p>
        </w:tc>
      </w:tr>
      <w:tr w:rsidR="00AC0F19" w14:paraId="3088F6EE" w14:textId="77777777" w:rsidTr="00F727D4">
        <w:trPr>
          <w:cantSplit/>
        </w:trPr>
        <w:tc>
          <w:tcPr>
            <w:tcW w:w="1843" w:type="dxa"/>
            <w:shd w:val="clear" w:color="auto" w:fill="auto"/>
          </w:tcPr>
          <w:p w14:paraId="1B831515" w14:textId="77777777" w:rsidR="00AC0F19" w:rsidRDefault="00AC0F19" w:rsidP="00D22963">
            <w:pPr>
              <w:pStyle w:val="TableText"/>
              <w:keepNext/>
            </w:pPr>
            <w:r>
              <w:lastRenderedPageBreak/>
              <w:t>Deborah Pittam</w:t>
            </w:r>
          </w:p>
        </w:tc>
        <w:tc>
          <w:tcPr>
            <w:tcW w:w="4253" w:type="dxa"/>
            <w:shd w:val="clear" w:color="auto" w:fill="auto"/>
          </w:tcPr>
          <w:p w14:paraId="0ECC9023" w14:textId="77777777" w:rsidR="00AC0F19" w:rsidRDefault="00AC0F19" w:rsidP="00D22963">
            <w:pPr>
              <w:pStyle w:val="TableText"/>
              <w:keepNext/>
              <w:ind w:right="113"/>
            </w:pPr>
            <w:r>
              <w:t xml:space="preserve">Midwifery Leader, Auckland DHB; </w:t>
            </w:r>
            <w:r>
              <w:br/>
              <w:t>Previously midwife in Northland DHB</w:t>
            </w:r>
          </w:p>
        </w:tc>
        <w:tc>
          <w:tcPr>
            <w:tcW w:w="1984" w:type="dxa"/>
            <w:shd w:val="clear" w:color="auto" w:fill="auto"/>
          </w:tcPr>
          <w:p w14:paraId="58C24975" w14:textId="77777777" w:rsidR="00AC0F19" w:rsidRDefault="00AC0F19" w:rsidP="00D22963">
            <w:pPr>
              <w:pStyle w:val="TableText"/>
              <w:keepNext/>
              <w:rPr>
                <w:rFonts w:ascii="Times New Roman"/>
              </w:rPr>
            </w:pPr>
          </w:p>
        </w:tc>
      </w:tr>
      <w:tr w:rsidR="00AC0F19" w14:paraId="0EDC924C" w14:textId="77777777" w:rsidTr="00F727D4">
        <w:trPr>
          <w:cantSplit/>
        </w:trPr>
        <w:tc>
          <w:tcPr>
            <w:tcW w:w="1843" w:type="dxa"/>
            <w:shd w:val="clear" w:color="auto" w:fill="auto"/>
          </w:tcPr>
          <w:p w14:paraId="1175D1BE" w14:textId="77777777" w:rsidR="00AC0F19" w:rsidRDefault="00AC0F19" w:rsidP="00C46DB0">
            <w:pPr>
              <w:pStyle w:val="TableText"/>
            </w:pPr>
            <w:r>
              <w:t>Dr Sean Pocock</w:t>
            </w:r>
          </w:p>
        </w:tc>
        <w:tc>
          <w:tcPr>
            <w:tcW w:w="4253" w:type="dxa"/>
            <w:shd w:val="clear" w:color="auto" w:fill="auto"/>
          </w:tcPr>
          <w:p w14:paraId="6FFC3239" w14:textId="77777777" w:rsidR="00AC0F19" w:rsidRDefault="00AC0F19" w:rsidP="00F727D4">
            <w:pPr>
              <w:pStyle w:val="TableText"/>
              <w:ind w:right="113"/>
            </w:pPr>
            <w:r>
              <w:t>Obstetrician and Gynaecologist, Tairāwhiti DHB</w:t>
            </w:r>
          </w:p>
        </w:tc>
        <w:tc>
          <w:tcPr>
            <w:tcW w:w="1984" w:type="dxa"/>
            <w:shd w:val="clear" w:color="auto" w:fill="auto"/>
          </w:tcPr>
          <w:p w14:paraId="391FAA7F" w14:textId="77777777" w:rsidR="00AC0F19" w:rsidRDefault="00AC0F19" w:rsidP="00C46DB0">
            <w:pPr>
              <w:pStyle w:val="TableText"/>
              <w:rPr>
                <w:rFonts w:ascii="Times New Roman"/>
              </w:rPr>
            </w:pPr>
          </w:p>
        </w:tc>
      </w:tr>
      <w:tr w:rsidR="00AC0F19" w14:paraId="586938B7" w14:textId="77777777" w:rsidTr="00F727D4">
        <w:trPr>
          <w:cantSplit/>
        </w:trPr>
        <w:tc>
          <w:tcPr>
            <w:tcW w:w="1843" w:type="dxa"/>
            <w:shd w:val="clear" w:color="auto" w:fill="auto"/>
          </w:tcPr>
          <w:p w14:paraId="3EE51E03" w14:textId="77777777" w:rsidR="00AC0F19" w:rsidRDefault="00AC0F19" w:rsidP="00C46DB0">
            <w:pPr>
              <w:pStyle w:val="TableText"/>
            </w:pPr>
            <w:r>
              <w:t xml:space="preserve">Rose </w:t>
            </w:r>
            <w:proofErr w:type="spellStart"/>
            <w:r>
              <w:t>Swindells</w:t>
            </w:r>
            <w:proofErr w:type="spellEnd"/>
          </w:p>
        </w:tc>
        <w:tc>
          <w:tcPr>
            <w:tcW w:w="4253" w:type="dxa"/>
            <w:shd w:val="clear" w:color="auto" w:fill="auto"/>
          </w:tcPr>
          <w:p w14:paraId="76BD3FF7" w14:textId="77777777" w:rsidR="00AC0F19" w:rsidRDefault="00AC0F19" w:rsidP="00F727D4">
            <w:pPr>
              <w:pStyle w:val="TableText"/>
              <w:ind w:right="113"/>
            </w:pPr>
            <w:r>
              <w:t>–</w:t>
            </w:r>
          </w:p>
        </w:tc>
        <w:tc>
          <w:tcPr>
            <w:tcW w:w="1984" w:type="dxa"/>
            <w:shd w:val="clear" w:color="auto" w:fill="auto"/>
          </w:tcPr>
          <w:p w14:paraId="554BCFA1" w14:textId="77777777" w:rsidR="00AC0F19" w:rsidRDefault="00AC0F19" w:rsidP="00C46DB0">
            <w:pPr>
              <w:pStyle w:val="TableText"/>
            </w:pPr>
            <w:r>
              <w:t>Representing consumer perspectives</w:t>
            </w:r>
          </w:p>
        </w:tc>
      </w:tr>
      <w:tr w:rsidR="00AC0F19" w14:paraId="436EFC5D" w14:textId="77777777" w:rsidTr="00F727D4">
        <w:trPr>
          <w:cantSplit/>
        </w:trPr>
        <w:tc>
          <w:tcPr>
            <w:tcW w:w="1843" w:type="dxa"/>
            <w:shd w:val="clear" w:color="auto" w:fill="auto"/>
          </w:tcPr>
          <w:p w14:paraId="57B1AD87" w14:textId="77777777" w:rsidR="00AC0F19" w:rsidRDefault="00AC0F19" w:rsidP="00C46DB0">
            <w:pPr>
              <w:pStyle w:val="TableText"/>
            </w:pPr>
            <w:r>
              <w:t>Juliette Wotton</w:t>
            </w:r>
          </w:p>
        </w:tc>
        <w:tc>
          <w:tcPr>
            <w:tcW w:w="4253" w:type="dxa"/>
            <w:shd w:val="clear" w:color="auto" w:fill="auto"/>
          </w:tcPr>
          <w:p w14:paraId="565B0735" w14:textId="77777777" w:rsidR="00AC0F19" w:rsidRDefault="00AC0F19" w:rsidP="00F727D4">
            <w:pPr>
              <w:pStyle w:val="TableText"/>
              <w:ind w:right="113"/>
            </w:pPr>
            <w:r>
              <w:t>Clinical Educator in Midwifery, Auckland University of Technology (AUT)</w:t>
            </w:r>
          </w:p>
        </w:tc>
        <w:tc>
          <w:tcPr>
            <w:tcW w:w="1984" w:type="dxa"/>
            <w:shd w:val="clear" w:color="auto" w:fill="auto"/>
          </w:tcPr>
          <w:p w14:paraId="7D305D0F" w14:textId="77777777" w:rsidR="00AC0F19" w:rsidRDefault="00AC0F19" w:rsidP="00C46DB0">
            <w:pPr>
              <w:pStyle w:val="TableText"/>
              <w:rPr>
                <w:rFonts w:ascii="Times New Roman"/>
              </w:rPr>
            </w:pPr>
          </w:p>
        </w:tc>
      </w:tr>
    </w:tbl>
    <w:p w14:paraId="13D455A1" w14:textId="77777777" w:rsidR="00D22963" w:rsidRDefault="00D22963" w:rsidP="00D22963">
      <w:bookmarkStart w:id="248" w:name="_Toc72488581"/>
    </w:p>
    <w:p w14:paraId="53E5ACCC" w14:textId="77777777" w:rsidR="00AC0F19" w:rsidRDefault="00AC0F19" w:rsidP="00D22963">
      <w:pPr>
        <w:pStyle w:val="Heading3-Appendices"/>
      </w:pPr>
      <w:r>
        <w:t>Acknowledgements</w:t>
      </w:r>
      <w:bookmarkEnd w:id="248"/>
    </w:p>
    <w:p w14:paraId="2D22E780" w14:textId="77777777" w:rsidR="00B0606D" w:rsidRDefault="00AC0F19" w:rsidP="003A0E05">
      <w:r w:rsidRPr="005251FD">
        <w:t>Helena Trollope, Research Assistant and Project Manager</w:t>
      </w:r>
    </w:p>
    <w:p w14:paraId="2F17E7BA" w14:textId="77777777" w:rsidR="00AC0F19" w:rsidRPr="005251FD" w:rsidRDefault="00AC0F19" w:rsidP="003A0E05">
      <w:pPr>
        <w:spacing w:before="60"/>
      </w:pPr>
      <w:r w:rsidRPr="005251FD">
        <w:t>Julie Brown, Research Assistant</w:t>
      </w:r>
    </w:p>
    <w:p w14:paraId="43219653" w14:textId="77777777" w:rsidR="00AC0F19" w:rsidRPr="005251FD" w:rsidRDefault="00AC0F19" w:rsidP="003A0E05">
      <w:pPr>
        <w:spacing w:before="60"/>
      </w:pPr>
      <w:r w:rsidRPr="005251FD">
        <w:t xml:space="preserve">Tash </w:t>
      </w:r>
      <w:proofErr w:type="spellStart"/>
      <w:r w:rsidRPr="005251FD">
        <w:t>Wharerau</w:t>
      </w:r>
      <w:proofErr w:type="spellEnd"/>
      <w:r>
        <w:t>,</w:t>
      </w:r>
      <w:r w:rsidRPr="005251FD">
        <w:t xml:space="preserve"> </w:t>
      </w:r>
      <w:proofErr w:type="spellStart"/>
      <w:r w:rsidRPr="005251FD">
        <w:t>Wahine</w:t>
      </w:r>
      <w:proofErr w:type="spellEnd"/>
      <w:r w:rsidRPr="005251FD">
        <w:t xml:space="preserve"> Ora Health Promoter</w:t>
      </w:r>
      <w:r>
        <w:t xml:space="preserve">, </w:t>
      </w:r>
      <w:r w:rsidRPr="005251FD">
        <w:t>Women</w:t>
      </w:r>
      <w:r w:rsidR="00B0606D">
        <w:t>’</w:t>
      </w:r>
      <w:r w:rsidRPr="005251FD">
        <w:t>s Health Action</w:t>
      </w:r>
      <w:r>
        <w:t xml:space="preserve"> (WHA)</w:t>
      </w:r>
    </w:p>
    <w:p w14:paraId="7A90BA20" w14:textId="77777777" w:rsidR="00AC0F19" w:rsidRDefault="00AC0F19" w:rsidP="003A0E05"/>
    <w:p w14:paraId="1D4164DF" w14:textId="77777777" w:rsidR="00AC0F19" w:rsidRDefault="000D51DC" w:rsidP="00E71F41">
      <w:pPr>
        <w:pStyle w:val="Heading2-Appendices"/>
      </w:pPr>
      <w:bookmarkStart w:id="249" w:name="APPENDIX_B_-_Search_Methods"/>
      <w:bookmarkStart w:id="250" w:name="_bookmark117"/>
      <w:bookmarkStart w:id="251" w:name="_Toc75788012"/>
      <w:bookmarkEnd w:id="249"/>
      <w:bookmarkEnd w:id="250"/>
      <w:r>
        <w:lastRenderedPageBreak/>
        <w:t>Appendix B</w:t>
      </w:r>
      <w:r w:rsidR="00AC0F19">
        <w:t>:</w:t>
      </w:r>
      <w:r w:rsidR="002452D5">
        <w:t xml:space="preserve"> </w:t>
      </w:r>
      <w:r w:rsidR="00AC0F19" w:rsidRPr="00076A98">
        <w:t>Search</w:t>
      </w:r>
      <w:r w:rsidR="00AC0F19">
        <w:t xml:space="preserve"> methods</w:t>
      </w:r>
      <w:bookmarkEnd w:id="251"/>
    </w:p>
    <w:p w14:paraId="70C7939A" w14:textId="77777777" w:rsidR="00AC0F19" w:rsidRDefault="00AC0F19" w:rsidP="00554F0A">
      <w:pPr>
        <w:pStyle w:val="Heading3-Appendices"/>
      </w:pPr>
      <w:bookmarkStart w:id="252" w:name="Methods"/>
      <w:bookmarkStart w:id="253" w:name="_bookmark118"/>
      <w:bookmarkStart w:id="254" w:name="_Toc72488583"/>
      <w:bookmarkEnd w:id="252"/>
      <w:bookmarkEnd w:id="253"/>
      <w:r w:rsidRPr="00076A98">
        <w:t>Methods</w:t>
      </w:r>
      <w:bookmarkEnd w:id="254"/>
    </w:p>
    <w:p w14:paraId="33767DEC" w14:textId="77777777" w:rsidR="00AC0F19" w:rsidRDefault="00AC0F19" w:rsidP="008A7EAC">
      <w:r w:rsidRPr="00076A98">
        <w:t xml:space="preserve">Searches for indications and methods for induction of labour </w:t>
      </w:r>
      <w:r w:rsidRPr="00AB4F01">
        <w:t>(</w:t>
      </w:r>
      <w:r w:rsidR="008A7EAC" w:rsidRPr="00AB4F01">
        <w:t>T</w:t>
      </w:r>
      <w:r w:rsidRPr="00AB4F01">
        <w:t>able</w:t>
      </w:r>
      <w:r w:rsidR="008A7EAC" w:rsidRPr="00AB4F01">
        <w:t> </w:t>
      </w:r>
      <w:r w:rsidRPr="00AB4F01">
        <w:t>B1) were</w:t>
      </w:r>
      <w:r w:rsidRPr="00076A98">
        <w:t xml:space="preserve"> conducted using the Cochrane Database of Systematic Reviews, and databases PubMed, </w:t>
      </w:r>
      <w:proofErr w:type="spellStart"/>
      <w:r w:rsidRPr="00076A98">
        <w:t>MeSH</w:t>
      </w:r>
      <w:proofErr w:type="spellEnd"/>
      <w:r w:rsidRPr="00076A98">
        <w:t xml:space="preserve"> and Google Scholar. Search dates were limited from 01/01/2014</w:t>
      </w:r>
      <w:r>
        <w:t xml:space="preserve"> to </w:t>
      </w:r>
      <w:r w:rsidRPr="00076A98">
        <w:t>03/12/2018 to ensure any updated information from the 2014 National Consensus IOL Guideline was identified. If searching new terms, the timeline was open. In addition, the registries clinicaltrials.gov and ANZCTR were searched to identify any ongoing clinical trials focused on IOL.</w:t>
      </w:r>
    </w:p>
    <w:p w14:paraId="63C98DB1" w14:textId="77777777" w:rsidR="00AC0F19" w:rsidRPr="00076A98" w:rsidRDefault="00AC0F19" w:rsidP="008A7EAC"/>
    <w:p w14:paraId="464D99AA" w14:textId="77777777" w:rsidR="00AC0F19" w:rsidRDefault="00AC0F19" w:rsidP="00554F0A">
      <w:pPr>
        <w:pStyle w:val="Heading3-Appendices"/>
      </w:pPr>
      <w:bookmarkStart w:id="255" w:name="Searches"/>
      <w:bookmarkStart w:id="256" w:name="_bookmark119"/>
      <w:bookmarkStart w:id="257" w:name="_Toc72488584"/>
      <w:bookmarkEnd w:id="255"/>
      <w:bookmarkEnd w:id="256"/>
      <w:r>
        <w:t>Searches</w:t>
      </w:r>
      <w:bookmarkEnd w:id="257"/>
    </w:p>
    <w:p w14:paraId="2A0CEAD9" w14:textId="77777777" w:rsidR="00AC0F19" w:rsidRDefault="00AC0F19" w:rsidP="008A7EAC">
      <w:r>
        <w:t xml:space="preserve">Terms used in all searches included: </w:t>
      </w:r>
      <w:r w:rsidR="00B0606D">
        <w:t>‘</w:t>
      </w:r>
      <w:r>
        <w:t>induction of labour</w:t>
      </w:r>
      <w:r w:rsidR="00B0606D">
        <w:t>’</w:t>
      </w:r>
      <w:r>
        <w:t xml:space="preserve">, </w:t>
      </w:r>
      <w:r w:rsidR="00B0606D">
        <w:t>‘</w:t>
      </w:r>
      <w:r>
        <w:t>labour, induced</w:t>
      </w:r>
      <w:r w:rsidR="00B0606D">
        <w:t>’</w:t>
      </w:r>
      <w:r>
        <w:t xml:space="preserve">, </w:t>
      </w:r>
      <w:r w:rsidR="00B0606D">
        <w:t>‘</w:t>
      </w:r>
      <w:r>
        <w:t>expectant management</w:t>
      </w:r>
      <w:r w:rsidR="00B0606D">
        <w:t>’</w:t>
      </w:r>
      <w:r>
        <w:t xml:space="preserve">. Each indication was searched for using a variety of keywords. The initial search was for Cochrane </w:t>
      </w:r>
      <w:r w:rsidRPr="00076A98">
        <w:t>reviews</w:t>
      </w:r>
      <w:r>
        <w:t>. If not found, the search was limited to systematic reviews and meta-analyses, followed by RCTs. If not found, then observational studies were used.</w:t>
      </w:r>
    </w:p>
    <w:p w14:paraId="4C9A4360" w14:textId="77777777" w:rsidR="00AC0F19" w:rsidRDefault="00AC0F19" w:rsidP="008A7EAC"/>
    <w:p w14:paraId="55178AB9" w14:textId="77777777" w:rsidR="00AC0F19" w:rsidRDefault="00AC0F19" w:rsidP="008A7EAC">
      <w:pPr>
        <w:pStyle w:val="Heading3"/>
      </w:pPr>
      <w:bookmarkStart w:id="258" w:name="Search_terms"/>
      <w:bookmarkStart w:id="259" w:name="_bookmark120"/>
      <w:bookmarkEnd w:id="258"/>
      <w:bookmarkEnd w:id="259"/>
      <w:r>
        <w:t>Search terms (in alphabetical order)</w:t>
      </w:r>
    </w:p>
    <w:p w14:paraId="0331B4AD" w14:textId="77777777" w:rsidR="00AC0F19" w:rsidRDefault="00AC0F19" w:rsidP="008A7EAC">
      <w:r>
        <w:t xml:space="preserve">Advanced maternal age; antepartum haemorrhage; antepartum haemorrhage of unknown origin; artificial reproduction; artificial reproduction techniques; artificial rupture of membrane; artificial rupture of membranes; assisted reproduction; awareness </w:t>
      </w:r>
      <w:r>
        <w:rPr>
          <w:spacing w:val="-3"/>
        </w:rPr>
        <w:t xml:space="preserve">of </w:t>
      </w:r>
      <w:r>
        <w:t>fetal</w:t>
      </w:r>
      <w:r>
        <w:rPr>
          <w:spacing w:val="-11"/>
        </w:rPr>
        <w:t xml:space="preserve"> </w:t>
      </w:r>
      <w:r>
        <w:t>movements; body mass</w:t>
      </w:r>
      <w:r>
        <w:rPr>
          <w:spacing w:val="-9"/>
        </w:rPr>
        <w:t xml:space="preserve"> </w:t>
      </w:r>
      <w:r>
        <w:t>index;</w:t>
      </w:r>
      <w:r>
        <w:rPr>
          <w:spacing w:val="-9"/>
        </w:rPr>
        <w:t xml:space="preserve"> </w:t>
      </w:r>
      <w:proofErr w:type="spellStart"/>
      <w:r>
        <w:t>carboprost</w:t>
      </w:r>
      <w:proofErr w:type="spellEnd"/>
      <w:r>
        <w:t xml:space="preserve">; catheter; cervical ripening; </w:t>
      </w:r>
      <w:proofErr w:type="spellStart"/>
      <w:r>
        <w:t>cervidil</w:t>
      </w:r>
      <w:proofErr w:type="spellEnd"/>
      <w:r>
        <w:t>; cholestasis of pregnancy; controlled release; decreased fetal movements; DFM;</w:t>
      </w:r>
      <w:r>
        <w:rPr>
          <w:spacing w:val="-11"/>
        </w:rPr>
        <w:t xml:space="preserve"> </w:t>
      </w:r>
      <w:r>
        <w:t>Diabetes,</w:t>
      </w:r>
      <w:r>
        <w:rPr>
          <w:spacing w:val="-13"/>
        </w:rPr>
        <w:t xml:space="preserve"> </w:t>
      </w:r>
      <w:r>
        <w:t>Gestational;</w:t>
      </w:r>
      <w:r>
        <w:rPr>
          <w:spacing w:val="-8"/>
        </w:rPr>
        <w:t xml:space="preserve"> </w:t>
      </w:r>
      <w:r>
        <w:t>diabetes</w:t>
      </w:r>
      <w:r>
        <w:rPr>
          <w:spacing w:val="-8"/>
        </w:rPr>
        <w:t xml:space="preserve"> </w:t>
      </w:r>
      <w:r>
        <w:t>mellitus;</w:t>
      </w:r>
      <w:r>
        <w:rPr>
          <w:spacing w:val="-9"/>
        </w:rPr>
        <w:t xml:space="preserve"> </w:t>
      </w:r>
      <w:proofErr w:type="spellStart"/>
      <w:r>
        <w:t>dinoprostone</w:t>
      </w:r>
      <w:proofErr w:type="spellEnd"/>
      <w:r>
        <w:t>; double balloon; double balloon catheter; early amniotomy; early artificial rupture of membranes; elective induction; elective procedure; Fertilization in Vitro; fetal growth retardation; gestational</w:t>
      </w:r>
      <w:r>
        <w:rPr>
          <w:spacing w:val="-9"/>
        </w:rPr>
        <w:t xml:space="preserve"> </w:t>
      </w:r>
      <w:r>
        <w:t>diabetes;</w:t>
      </w:r>
      <w:r>
        <w:rPr>
          <w:spacing w:val="-13"/>
        </w:rPr>
        <w:t xml:space="preserve"> </w:t>
      </w:r>
      <w:r>
        <w:t xml:space="preserve">gestational hypertension; </w:t>
      </w:r>
      <w:proofErr w:type="spellStart"/>
      <w:r>
        <w:t>Hemorrhage</w:t>
      </w:r>
      <w:proofErr w:type="spellEnd"/>
      <w:r>
        <w:t>; high dose oxytocin; history of stillbirth; Hypertension;</w:t>
      </w:r>
      <w:r>
        <w:rPr>
          <w:spacing w:val="-8"/>
        </w:rPr>
        <w:t xml:space="preserve"> </w:t>
      </w:r>
      <w:r>
        <w:t>hypertension in pregnancy; Hypertension, Pregnancy-Induced; increased BMI; Infant, Small for Gestational Age; inpatient; intracytoplasmic sperm injection; intrahepatic cholestasis of pregnancy; intrauterine growth restriction; in-vitro fertilisation; IUGR;</w:t>
      </w:r>
      <w:r>
        <w:rPr>
          <w:spacing w:val="-7"/>
        </w:rPr>
        <w:t xml:space="preserve"> </w:t>
      </w:r>
      <w:r>
        <w:t>IVF; large</w:t>
      </w:r>
      <w:r>
        <w:rPr>
          <w:spacing w:val="-4"/>
        </w:rPr>
        <w:t xml:space="preserve"> </w:t>
      </w:r>
      <w:r>
        <w:t>for</w:t>
      </w:r>
      <w:r>
        <w:rPr>
          <w:spacing w:val="-9"/>
        </w:rPr>
        <w:t xml:space="preserve"> </w:t>
      </w:r>
      <w:r>
        <w:t>gestational</w:t>
      </w:r>
      <w:r>
        <w:rPr>
          <w:spacing w:val="-12"/>
        </w:rPr>
        <w:t xml:space="preserve"> </w:t>
      </w:r>
      <w:r>
        <w:t>age;</w:t>
      </w:r>
      <w:r>
        <w:rPr>
          <w:spacing w:val="-7"/>
        </w:rPr>
        <w:t xml:space="preserve"> </w:t>
      </w:r>
      <w:r>
        <w:t>LGA;</w:t>
      </w:r>
      <w:r>
        <w:rPr>
          <w:spacing w:val="-8"/>
        </w:rPr>
        <w:t xml:space="preserve"> </w:t>
      </w:r>
      <w:r>
        <w:t>late amniotomy; late artificial rupture of membranes;</w:t>
      </w:r>
      <w:r w:rsidRPr="00B402EF">
        <w:t xml:space="preserve"> </w:t>
      </w:r>
      <w:r>
        <w:t>low dose oxytocin; macrosomia;</w:t>
      </w:r>
      <w:r>
        <w:rPr>
          <w:spacing w:val="-8"/>
        </w:rPr>
        <w:t xml:space="preserve"> </w:t>
      </w:r>
      <w:r>
        <w:t>Maternal Age; maternal outcome; membrane sweeping; misoprostol; multiple pregnancy; neonatal</w:t>
      </w:r>
      <w:r>
        <w:rPr>
          <w:spacing w:val="-13"/>
        </w:rPr>
        <w:t xml:space="preserve"> </w:t>
      </w:r>
      <w:r>
        <w:t>outcome; Obesity; Obesity, Morbid; Oligohydramnios;</w:t>
      </w:r>
      <w:r w:rsidRPr="00D25702">
        <w:t xml:space="preserve"> </w:t>
      </w:r>
      <w:r>
        <w:t>outpatient;</w:t>
      </w:r>
      <w:r w:rsidRPr="00B402EF">
        <w:t xml:space="preserve"> </w:t>
      </w:r>
      <w:r>
        <w:t xml:space="preserve">oxytocin; oxytocin protocol; oxytocin regimen; perinatal outcome; PGE2; PGE2 gel; policy induction of labour; post-term; Pre-Eclampsia; Pregnancy, Multiple; Pregnancy, Prolonged; pregnancy stillbirth; </w:t>
      </w:r>
      <w:r>
        <w:lastRenderedPageBreak/>
        <w:t>pregnancy,</w:t>
      </w:r>
      <w:r>
        <w:rPr>
          <w:spacing w:val="-10"/>
        </w:rPr>
        <w:t xml:space="preserve"> </w:t>
      </w:r>
      <w:r>
        <w:t>Twin; Pre-labour rupture of membranes; Prolonged pregnancy; PROM; prostaglandins;</w:t>
      </w:r>
      <w:r w:rsidRPr="00B402EF">
        <w:t xml:space="preserve"> </w:t>
      </w:r>
      <w:proofErr w:type="spellStart"/>
      <w:r>
        <w:t>prostin</w:t>
      </w:r>
      <w:proofErr w:type="spellEnd"/>
      <w:r>
        <w:t xml:space="preserve">; </w:t>
      </w:r>
      <w:proofErr w:type="spellStart"/>
      <w:r>
        <w:t>prostin</w:t>
      </w:r>
      <w:proofErr w:type="spellEnd"/>
      <w:r>
        <w:t xml:space="preserve"> gel; raised BMI; recurrent stillbirth; reduced fetal movements; RFM; Reproductive Techniques; single balloon; Sperm Injections, Intracytoplasmic; Stillbirth; stillborn; suspected</w:t>
      </w:r>
      <w:r>
        <w:rPr>
          <w:spacing w:val="-11"/>
        </w:rPr>
        <w:t xml:space="preserve"> </w:t>
      </w:r>
      <w:r>
        <w:t>SGA;</w:t>
      </w:r>
      <w:r>
        <w:rPr>
          <w:spacing w:val="-8"/>
        </w:rPr>
        <w:t xml:space="preserve"> </w:t>
      </w:r>
      <w:r>
        <w:t>suspected small for gestational</w:t>
      </w:r>
      <w:r>
        <w:rPr>
          <w:spacing w:val="-8"/>
        </w:rPr>
        <w:t xml:space="preserve"> </w:t>
      </w:r>
      <w:r>
        <w:t>age;</w:t>
      </w:r>
      <w:r>
        <w:rPr>
          <w:spacing w:val="-8"/>
        </w:rPr>
        <w:t xml:space="preserve"> </w:t>
      </w:r>
      <w:r>
        <w:t xml:space="preserve">twin gestation; </w:t>
      </w:r>
      <w:r w:rsidR="00763E83">
        <w:t>type 1</w:t>
      </w:r>
      <w:r>
        <w:rPr>
          <w:spacing w:val="-9"/>
        </w:rPr>
        <w:t xml:space="preserve"> </w:t>
      </w:r>
      <w:r>
        <w:t>diabetes,</w:t>
      </w:r>
      <w:r>
        <w:rPr>
          <w:spacing w:val="-11"/>
        </w:rPr>
        <w:t xml:space="preserve"> </w:t>
      </w:r>
      <w:r w:rsidR="00763E83">
        <w:t>type 2</w:t>
      </w:r>
      <w:r>
        <w:rPr>
          <w:spacing w:val="-9"/>
        </w:rPr>
        <w:t xml:space="preserve"> </w:t>
      </w:r>
      <w:r>
        <w:t>diabetes, pre-existing diabetes.</w:t>
      </w:r>
    </w:p>
    <w:p w14:paraId="24ECFFAE" w14:textId="77777777" w:rsidR="00AC0F19" w:rsidRDefault="00AC0F19" w:rsidP="008A7EAC"/>
    <w:p w14:paraId="33197DD9" w14:textId="77777777" w:rsidR="00AC0F19" w:rsidRDefault="00AC0F19" w:rsidP="008A7EAC">
      <w:pPr>
        <w:pStyle w:val="Heading4"/>
      </w:pPr>
      <w:proofErr w:type="spellStart"/>
      <w:r>
        <w:t>MeSH</w:t>
      </w:r>
      <w:proofErr w:type="spellEnd"/>
      <w:r>
        <w:t xml:space="preserve"> search terms (in alphabetical order)</w:t>
      </w:r>
    </w:p>
    <w:p w14:paraId="73FDAAD2" w14:textId="77777777" w:rsidR="00AC0F19" w:rsidRDefault="00AC0F19" w:rsidP="008A7EAC">
      <w:r>
        <w:t xml:space="preserve">amniotomy; </w:t>
      </w:r>
      <w:proofErr w:type="spellStart"/>
      <w:r>
        <w:t>carboprost</w:t>
      </w:r>
      <w:proofErr w:type="spellEnd"/>
      <w:r>
        <w:t>;</w:t>
      </w:r>
      <w:r>
        <w:rPr>
          <w:spacing w:val="-19"/>
        </w:rPr>
        <w:t xml:space="preserve"> </w:t>
      </w:r>
      <w:r>
        <w:t>catheters; diabetes, gestational; diabetes mellitus; diabetes</w:t>
      </w:r>
      <w:r>
        <w:rPr>
          <w:spacing w:val="-10"/>
        </w:rPr>
        <w:t xml:space="preserve"> </w:t>
      </w:r>
      <w:r>
        <w:t>mellitus,</w:t>
      </w:r>
      <w:r>
        <w:rPr>
          <w:spacing w:val="-9"/>
        </w:rPr>
        <w:t xml:space="preserve"> </w:t>
      </w:r>
      <w:r w:rsidR="00763E83">
        <w:t>type 1</w:t>
      </w:r>
      <w:r>
        <w:t>;</w:t>
      </w:r>
      <w:r>
        <w:rPr>
          <w:spacing w:val="-11"/>
        </w:rPr>
        <w:t xml:space="preserve"> </w:t>
      </w:r>
      <w:r>
        <w:t>diabetes</w:t>
      </w:r>
      <w:r>
        <w:rPr>
          <w:spacing w:val="-9"/>
        </w:rPr>
        <w:t xml:space="preserve"> </w:t>
      </w:r>
      <w:r>
        <w:t>mellitus,</w:t>
      </w:r>
      <w:r>
        <w:rPr>
          <w:spacing w:val="-10"/>
        </w:rPr>
        <w:t xml:space="preserve"> </w:t>
      </w:r>
      <w:r w:rsidR="00763E83">
        <w:t>type 2</w:t>
      </w:r>
      <w:r>
        <w:t>;</w:t>
      </w:r>
      <w:r w:rsidRPr="00CE1B97">
        <w:t xml:space="preserve"> </w:t>
      </w:r>
      <w:proofErr w:type="spellStart"/>
      <w:r>
        <w:t>dinoprostone</w:t>
      </w:r>
      <w:proofErr w:type="spellEnd"/>
      <w:r>
        <w:t xml:space="preserve">; fertilisation, in-vitro; fetal growth retardation; fetal macrosomia; fetal membranes; </w:t>
      </w:r>
      <w:proofErr w:type="spellStart"/>
      <w:r>
        <w:t>hemorrhage</w:t>
      </w:r>
      <w:proofErr w:type="spellEnd"/>
      <w:r>
        <w:t>;</w:t>
      </w:r>
      <w:r>
        <w:rPr>
          <w:spacing w:val="-9"/>
        </w:rPr>
        <w:t xml:space="preserve"> </w:t>
      </w:r>
      <w:r>
        <w:t>hypertension; hypertension, pregnancy-induced; infant; inpatients;</w:t>
      </w:r>
      <w:r>
        <w:rPr>
          <w:spacing w:val="-11"/>
        </w:rPr>
        <w:t xml:space="preserve"> </w:t>
      </w:r>
      <w:r>
        <w:t>intracytoplasmic sperm</w:t>
      </w:r>
      <w:r>
        <w:rPr>
          <w:spacing w:val="-9"/>
        </w:rPr>
        <w:t xml:space="preserve"> </w:t>
      </w:r>
      <w:r>
        <w:t>injection;</w:t>
      </w:r>
      <w:r w:rsidRPr="00CE1B97">
        <w:t xml:space="preserve"> </w:t>
      </w:r>
      <w:r>
        <w:t>intrahepatic</w:t>
      </w:r>
      <w:r>
        <w:rPr>
          <w:spacing w:val="-4"/>
        </w:rPr>
        <w:t xml:space="preserve"> </w:t>
      </w:r>
      <w:r>
        <w:t>cholestasis</w:t>
      </w:r>
      <w:r>
        <w:rPr>
          <w:spacing w:val="-8"/>
        </w:rPr>
        <w:t xml:space="preserve"> </w:t>
      </w:r>
      <w:r>
        <w:t>of</w:t>
      </w:r>
      <w:r>
        <w:rPr>
          <w:spacing w:val="-5"/>
        </w:rPr>
        <w:t xml:space="preserve"> </w:t>
      </w:r>
      <w:r>
        <w:t>pregnancy</w:t>
      </w:r>
      <w:r>
        <w:rPr>
          <w:spacing w:val="-8"/>
        </w:rPr>
        <w:t xml:space="preserve"> </w:t>
      </w:r>
      <w:r>
        <w:t>(supplementary</w:t>
      </w:r>
      <w:r>
        <w:rPr>
          <w:spacing w:val="-11"/>
        </w:rPr>
        <w:t xml:space="preserve"> </w:t>
      </w:r>
      <w:r>
        <w:t xml:space="preserve">concept); </w:t>
      </w:r>
      <w:proofErr w:type="spellStart"/>
      <w:r>
        <w:t>Labor</w:t>
      </w:r>
      <w:proofErr w:type="spellEnd"/>
      <w:r>
        <w:t>, induced; maternal age; obesity; obesity, morbid; oligohydramnios;</w:t>
      </w:r>
      <w:r w:rsidRPr="00CE1B97">
        <w:t xml:space="preserve"> </w:t>
      </w:r>
      <w:r>
        <w:t>outpatient, hospital clinic; outpatients;</w:t>
      </w:r>
      <w:r w:rsidRPr="00CE1B97">
        <w:t xml:space="preserve"> </w:t>
      </w:r>
      <w:r>
        <w:t>oxytocin; pre-eclampsia; pregnancy; pregnancy, multiple; pregnancy outcomes; outcome assessment (healthcare); pregnancy, twin; premature rupture; prolonged; reduced fetal movements; reproductive techniques; small for gestational age; stillbirth;</w:t>
      </w:r>
      <w:r>
        <w:rPr>
          <w:spacing w:val="-4"/>
        </w:rPr>
        <w:t xml:space="preserve"> </w:t>
      </w:r>
      <w:r>
        <w:t>treatment outcome.</w:t>
      </w:r>
    </w:p>
    <w:p w14:paraId="658F34F2" w14:textId="77777777" w:rsidR="00AC0F19" w:rsidRDefault="00AC0F19" w:rsidP="008A7EAC"/>
    <w:p w14:paraId="41EF0F17" w14:textId="77777777" w:rsidR="00AC0F19" w:rsidRDefault="00AC0F19" w:rsidP="00554F0A">
      <w:pPr>
        <w:pStyle w:val="Heading3-Appendices"/>
      </w:pPr>
      <w:bookmarkStart w:id="260" w:name="Selection_Criteria"/>
      <w:bookmarkStart w:id="261" w:name="_bookmark121"/>
      <w:bookmarkStart w:id="262" w:name="_Toc72488585"/>
      <w:bookmarkEnd w:id="260"/>
      <w:bookmarkEnd w:id="261"/>
      <w:r>
        <w:t>Selection criteria</w:t>
      </w:r>
      <w:bookmarkEnd w:id="262"/>
    </w:p>
    <w:p w14:paraId="0B22C3C5" w14:textId="77777777" w:rsidR="00AC0F19" w:rsidRDefault="00AC0F19" w:rsidP="008A7EAC">
      <w:r>
        <w:t>Selection criteria included papers written in English, where the ideal countries for published material were from populations most similar to that of New Zealand (Australia, United Kingdom, Canada, United States of America). Papers were selected if they evaluated IOL versus expectant management for the specific indication and had full texts available to assess.</w:t>
      </w:r>
    </w:p>
    <w:p w14:paraId="4FBD0AF2" w14:textId="77777777" w:rsidR="00AC0F19" w:rsidRDefault="00AC0F19" w:rsidP="008A7EAC">
      <w:bookmarkStart w:id="263" w:name="Quality_of_Evidence"/>
      <w:bookmarkStart w:id="264" w:name="_bookmark122"/>
      <w:bookmarkEnd w:id="263"/>
      <w:bookmarkEnd w:id="264"/>
    </w:p>
    <w:p w14:paraId="2259D077" w14:textId="77777777" w:rsidR="00AC0F19" w:rsidRDefault="00AC0F19" w:rsidP="00554F0A">
      <w:pPr>
        <w:pStyle w:val="Heading3-Appendices"/>
      </w:pPr>
      <w:bookmarkStart w:id="265" w:name="_Toc72488586"/>
      <w:r>
        <w:t>Quality of evidence</w:t>
      </w:r>
      <w:bookmarkEnd w:id="265"/>
    </w:p>
    <w:p w14:paraId="6A9F23F1" w14:textId="549A18A9" w:rsidR="00AC0F19" w:rsidRDefault="00AC0F19" w:rsidP="008A7EAC">
      <w:r>
        <w:t xml:space="preserve">Papers were categorised into the levels of evidence for intervention studies provided by the National Institute for Health and Care Excellence (NICE 2008) (see </w:t>
      </w:r>
      <w:r w:rsidR="008A7EAC">
        <w:fldChar w:fldCharType="begin"/>
      </w:r>
      <w:r w:rsidR="008A7EAC">
        <w:instrText xml:space="preserve"> REF _Ref72414635 \h </w:instrText>
      </w:r>
      <w:r w:rsidR="008A7EAC">
        <w:fldChar w:fldCharType="separate"/>
      </w:r>
      <w:r w:rsidR="00C04A3F">
        <w:t>Table </w:t>
      </w:r>
      <w:r w:rsidR="00C04A3F">
        <w:rPr>
          <w:noProof/>
        </w:rPr>
        <w:t>2</w:t>
      </w:r>
      <w:r w:rsidR="008A7EAC">
        <w:fldChar w:fldCharType="end"/>
      </w:r>
      <w:r>
        <w:t xml:space="preserve"> under </w:t>
      </w:r>
      <w:r w:rsidR="008A7EAC">
        <w:fldChar w:fldCharType="begin"/>
      </w:r>
      <w:r w:rsidR="008A7EAC">
        <w:instrText xml:space="preserve"> REF _Ref72482576 \h </w:instrText>
      </w:r>
      <w:r w:rsidR="008A7EAC">
        <w:fldChar w:fldCharType="separate"/>
      </w:r>
      <w:r w:rsidR="00C04A3F">
        <w:t xml:space="preserve">Guideline </w:t>
      </w:r>
      <w:r w:rsidR="00C04A3F" w:rsidRPr="00EA518F">
        <w:t>development</w:t>
      </w:r>
      <w:r w:rsidR="00C04A3F">
        <w:t xml:space="preserve"> process</w:t>
      </w:r>
      <w:r w:rsidR="008A7EAC">
        <w:fldChar w:fldCharType="end"/>
      </w:r>
      <w:r>
        <w:t xml:space="preserve"> above). The panel aimed to provide the highest </w:t>
      </w:r>
      <w:r w:rsidRPr="00ED3DF6">
        <w:t>level</w:t>
      </w:r>
      <w:r>
        <w:t xml:space="preserve"> of evidence available for each indication in order to provide the most evidence-based guidance on IOL. The Cochrane Database of Systematic Reviews was the primary search as it provides the highest-quality evidence (level 1). If a Cochrane review was found, database searches were performed to assess any level-1 evidence published after the review. If a Cochrane review was not found, the PubMed and Google Scholar were searched for level-1 evidence; if none was found, high-quality level-2 evidence was sought. If level-2 evidence was not found, international guidelines were identified.</w:t>
      </w:r>
    </w:p>
    <w:p w14:paraId="7632D606" w14:textId="77777777" w:rsidR="00AC0F19" w:rsidRDefault="00AC0F19" w:rsidP="008A7EAC"/>
    <w:p w14:paraId="17499F97" w14:textId="77777777" w:rsidR="00AC0F19" w:rsidRDefault="00AC0F19" w:rsidP="00554F0A">
      <w:pPr>
        <w:pStyle w:val="Heading3-Appendices"/>
      </w:pPr>
      <w:bookmarkStart w:id="266" w:name="Results"/>
      <w:bookmarkStart w:id="267" w:name="_bookmark123"/>
      <w:bookmarkStart w:id="268" w:name="_Toc72488587"/>
      <w:bookmarkEnd w:id="266"/>
      <w:bookmarkEnd w:id="267"/>
      <w:r>
        <w:lastRenderedPageBreak/>
        <w:t>Results</w:t>
      </w:r>
      <w:bookmarkEnd w:id="268"/>
    </w:p>
    <w:p w14:paraId="7E7C1D9F" w14:textId="77777777" w:rsidR="00AC0F19" w:rsidRDefault="00AC0F19" w:rsidP="00DD60A0">
      <w:pPr>
        <w:pStyle w:val="Table"/>
      </w:pPr>
      <w:bookmarkStart w:id="269" w:name="Table_4._Results_of_searches"/>
      <w:bookmarkStart w:id="270" w:name="_bookmark124"/>
      <w:bookmarkStart w:id="271" w:name="_Toc72488610"/>
      <w:bookmarkEnd w:id="269"/>
      <w:bookmarkEnd w:id="270"/>
      <w:r>
        <w:t>Table</w:t>
      </w:r>
      <w:r w:rsidR="008A7EAC">
        <w:t> </w:t>
      </w:r>
      <w:r>
        <w:t>B1:</w:t>
      </w:r>
      <w:r w:rsidR="008A7EAC">
        <w:t xml:space="preserve"> </w:t>
      </w:r>
      <w:r>
        <w:t>Results of searches</w:t>
      </w:r>
      <w:bookmarkEnd w:id="271"/>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026"/>
        <w:gridCol w:w="2296"/>
        <w:gridCol w:w="3758"/>
      </w:tblGrid>
      <w:tr w:rsidR="00AC0F19" w:rsidRPr="008A7EAC" w14:paraId="677CECBE" w14:textId="77777777" w:rsidTr="00DD60A0">
        <w:trPr>
          <w:cantSplit/>
          <w:tblHeader/>
        </w:trPr>
        <w:tc>
          <w:tcPr>
            <w:tcW w:w="2026" w:type="dxa"/>
            <w:tcBorders>
              <w:top w:val="nil"/>
              <w:bottom w:val="nil"/>
            </w:tcBorders>
            <w:shd w:val="clear" w:color="auto" w:fill="D9D9D9" w:themeFill="background1" w:themeFillShade="D9"/>
          </w:tcPr>
          <w:p w14:paraId="7A895EAF" w14:textId="77777777" w:rsidR="00AC0F19" w:rsidRPr="008A7EAC" w:rsidRDefault="00AC0F19" w:rsidP="008A7EAC">
            <w:pPr>
              <w:pStyle w:val="TableText"/>
              <w:rPr>
                <w:b/>
              </w:rPr>
            </w:pPr>
            <w:r w:rsidRPr="008A7EAC">
              <w:rPr>
                <w:b/>
              </w:rPr>
              <w:t>Indication</w:t>
            </w:r>
          </w:p>
        </w:tc>
        <w:tc>
          <w:tcPr>
            <w:tcW w:w="2296" w:type="dxa"/>
            <w:tcBorders>
              <w:top w:val="nil"/>
              <w:bottom w:val="nil"/>
            </w:tcBorders>
            <w:shd w:val="clear" w:color="auto" w:fill="D9D9D9" w:themeFill="background1" w:themeFillShade="D9"/>
          </w:tcPr>
          <w:p w14:paraId="03025E95" w14:textId="77777777" w:rsidR="00AC0F19" w:rsidRPr="008A7EAC" w:rsidRDefault="00AC0F19" w:rsidP="008A7EAC">
            <w:pPr>
              <w:pStyle w:val="TableText"/>
              <w:rPr>
                <w:b/>
              </w:rPr>
            </w:pPr>
            <w:r w:rsidRPr="008A7EAC">
              <w:rPr>
                <w:b/>
              </w:rPr>
              <w:t>Cochrane Review</w:t>
            </w:r>
          </w:p>
        </w:tc>
        <w:tc>
          <w:tcPr>
            <w:tcW w:w="3758" w:type="dxa"/>
            <w:tcBorders>
              <w:top w:val="nil"/>
              <w:bottom w:val="nil"/>
            </w:tcBorders>
            <w:shd w:val="clear" w:color="auto" w:fill="D9D9D9" w:themeFill="background1" w:themeFillShade="D9"/>
          </w:tcPr>
          <w:p w14:paraId="0CF3291D" w14:textId="77777777" w:rsidR="00AC0F19" w:rsidRPr="008A7EAC" w:rsidRDefault="00AC0F19" w:rsidP="008A7EAC">
            <w:pPr>
              <w:pStyle w:val="TableText"/>
              <w:rPr>
                <w:b/>
              </w:rPr>
            </w:pPr>
            <w:r w:rsidRPr="008A7EAC">
              <w:rPr>
                <w:b/>
              </w:rPr>
              <w:t>PubMed / Google Scholar</w:t>
            </w:r>
          </w:p>
        </w:tc>
      </w:tr>
      <w:tr w:rsidR="00AC0F19" w14:paraId="4D1D8FA1" w14:textId="77777777" w:rsidTr="00DD60A0">
        <w:trPr>
          <w:cantSplit/>
        </w:trPr>
        <w:tc>
          <w:tcPr>
            <w:tcW w:w="2026" w:type="dxa"/>
            <w:tcBorders>
              <w:top w:val="nil"/>
            </w:tcBorders>
          </w:tcPr>
          <w:p w14:paraId="3E931021" w14:textId="77777777" w:rsidR="00AC0F19" w:rsidRDefault="00AC0F19" w:rsidP="008A7EAC">
            <w:pPr>
              <w:pStyle w:val="TableText"/>
            </w:pPr>
            <w:r>
              <w:t xml:space="preserve">Pregnancy </w:t>
            </w:r>
            <w:r w:rsidR="002E5969">
              <w:t>≥</w:t>
            </w:r>
            <w:r w:rsidR="00EB43A9">
              <w:t>41 weeks</w:t>
            </w:r>
            <w:r w:rsidR="00B0606D">
              <w:t>’</w:t>
            </w:r>
            <w:r>
              <w:t xml:space="preserve"> gestation*Δ</w:t>
            </w:r>
          </w:p>
        </w:tc>
        <w:tc>
          <w:tcPr>
            <w:tcW w:w="2296" w:type="dxa"/>
            <w:tcBorders>
              <w:top w:val="nil"/>
            </w:tcBorders>
          </w:tcPr>
          <w:p w14:paraId="2ADE87C0" w14:textId="77777777" w:rsidR="00AC0F19" w:rsidRDefault="00AC0F19" w:rsidP="008A7EAC">
            <w:pPr>
              <w:pStyle w:val="TableText"/>
            </w:pPr>
            <w:r>
              <w:t>1 review (2018)</w:t>
            </w:r>
            <w:r w:rsidR="008A7EAC">
              <w:br/>
            </w:r>
            <w:r>
              <w:t>30 trials</w:t>
            </w:r>
          </w:p>
        </w:tc>
        <w:tc>
          <w:tcPr>
            <w:tcW w:w="3758" w:type="dxa"/>
            <w:tcBorders>
              <w:top w:val="nil"/>
            </w:tcBorders>
          </w:tcPr>
          <w:p w14:paraId="360A8859" w14:textId="77777777" w:rsidR="00AC0F19" w:rsidRDefault="00AC0F19" w:rsidP="008A7EAC">
            <w:pPr>
              <w:pStyle w:val="TableText"/>
            </w:pPr>
            <w:r>
              <w:t>19 results: 5 reviews, 4 clinical trials</w:t>
            </w:r>
          </w:p>
        </w:tc>
      </w:tr>
      <w:tr w:rsidR="00AC0F19" w14:paraId="45976D8C" w14:textId="77777777" w:rsidTr="00DD60A0">
        <w:trPr>
          <w:cantSplit/>
        </w:trPr>
        <w:tc>
          <w:tcPr>
            <w:tcW w:w="2026" w:type="dxa"/>
          </w:tcPr>
          <w:p w14:paraId="021BF067" w14:textId="77777777" w:rsidR="00AC0F19" w:rsidRDefault="00AC0F19" w:rsidP="008A7EAC">
            <w:pPr>
              <w:pStyle w:val="TableText"/>
            </w:pPr>
            <w:r>
              <w:t>Pre-labour rupture of membranes*Δ</w:t>
            </w:r>
          </w:p>
        </w:tc>
        <w:tc>
          <w:tcPr>
            <w:tcW w:w="2296" w:type="dxa"/>
          </w:tcPr>
          <w:p w14:paraId="04E25BE4" w14:textId="77777777" w:rsidR="00AC0F19" w:rsidRDefault="00AC0F19" w:rsidP="008A7EAC">
            <w:pPr>
              <w:pStyle w:val="TableText"/>
            </w:pPr>
            <w:r>
              <w:t>1 review (2017)</w:t>
            </w:r>
            <w:r w:rsidR="008A7EAC">
              <w:br/>
            </w:r>
            <w:r>
              <w:t>23 trials</w:t>
            </w:r>
          </w:p>
        </w:tc>
        <w:tc>
          <w:tcPr>
            <w:tcW w:w="3758" w:type="dxa"/>
          </w:tcPr>
          <w:p w14:paraId="7AEBDD58" w14:textId="77777777" w:rsidR="00AC0F19" w:rsidRDefault="00AC0F19" w:rsidP="008A7EAC">
            <w:pPr>
              <w:pStyle w:val="TableText"/>
            </w:pPr>
            <w:r>
              <w:t>19 results: 7 reviews, 4 clinical trials</w:t>
            </w:r>
          </w:p>
        </w:tc>
      </w:tr>
      <w:tr w:rsidR="00AC0F19" w14:paraId="6F6470D5" w14:textId="77777777" w:rsidTr="00DD60A0">
        <w:trPr>
          <w:cantSplit/>
        </w:trPr>
        <w:tc>
          <w:tcPr>
            <w:tcW w:w="2026" w:type="dxa"/>
          </w:tcPr>
          <w:p w14:paraId="5D5276D7" w14:textId="77777777" w:rsidR="00AC0F19" w:rsidRDefault="00AC0F19" w:rsidP="008A7EAC">
            <w:pPr>
              <w:pStyle w:val="TableText"/>
            </w:pPr>
            <w:r>
              <w:t>Advanced maternal age*Δ</w:t>
            </w:r>
          </w:p>
        </w:tc>
        <w:tc>
          <w:tcPr>
            <w:tcW w:w="2296" w:type="dxa"/>
          </w:tcPr>
          <w:p w14:paraId="3FA5EDEC" w14:textId="77777777" w:rsidR="00AC0F19" w:rsidRDefault="00AC0F19" w:rsidP="008A7EAC">
            <w:pPr>
              <w:pStyle w:val="TableText"/>
            </w:pPr>
            <w:r>
              <w:t>No results</w:t>
            </w:r>
          </w:p>
        </w:tc>
        <w:tc>
          <w:tcPr>
            <w:tcW w:w="3758" w:type="dxa"/>
          </w:tcPr>
          <w:p w14:paraId="5BA54C14" w14:textId="77777777" w:rsidR="00AC0F19" w:rsidRDefault="00AC0F19" w:rsidP="008A7EAC">
            <w:pPr>
              <w:pStyle w:val="TableText"/>
            </w:pPr>
            <w:r>
              <w:t>5 results</w:t>
            </w:r>
            <w:r w:rsidR="008A7EAC">
              <w:br/>
            </w:r>
            <w:r>
              <w:t>1 review, 1 clinical trial</w:t>
            </w:r>
          </w:p>
        </w:tc>
      </w:tr>
      <w:tr w:rsidR="00AC0F19" w14:paraId="29CF1C79" w14:textId="77777777" w:rsidTr="00DD60A0">
        <w:trPr>
          <w:cantSplit/>
        </w:trPr>
        <w:tc>
          <w:tcPr>
            <w:tcW w:w="2026" w:type="dxa"/>
          </w:tcPr>
          <w:p w14:paraId="7B4985D9" w14:textId="77777777" w:rsidR="00AC0F19" w:rsidRDefault="00AC0F19" w:rsidP="008A7EAC">
            <w:pPr>
              <w:pStyle w:val="TableText"/>
            </w:pPr>
            <w:r>
              <w:t>Obesity in pregnancy*Δ</w:t>
            </w:r>
          </w:p>
        </w:tc>
        <w:tc>
          <w:tcPr>
            <w:tcW w:w="2296" w:type="dxa"/>
          </w:tcPr>
          <w:p w14:paraId="4EA0DA61" w14:textId="77777777" w:rsidR="00AC0F19" w:rsidRDefault="00AC0F19" w:rsidP="008A7EAC">
            <w:pPr>
              <w:pStyle w:val="TableText"/>
            </w:pPr>
            <w:r>
              <w:t>No results</w:t>
            </w:r>
          </w:p>
        </w:tc>
        <w:tc>
          <w:tcPr>
            <w:tcW w:w="3758" w:type="dxa"/>
          </w:tcPr>
          <w:p w14:paraId="0BE6A185" w14:textId="77777777" w:rsidR="00AC0F19" w:rsidRDefault="00AC0F19" w:rsidP="008A7EAC">
            <w:pPr>
              <w:pStyle w:val="TableText"/>
              <w:rPr>
                <w:i/>
              </w:rPr>
            </w:pPr>
            <w:r>
              <w:t>7 results: 1 review, 0 clinical trials</w:t>
            </w:r>
            <w:r w:rsidR="008A7EAC">
              <w:br/>
            </w:r>
            <w:r>
              <w:t xml:space="preserve">Wider search </w:t>
            </w:r>
            <w:r>
              <w:rPr>
                <w:position w:val="6"/>
                <w:sz w:val="13"/>
              </w:rPr>
              <w:t>(remove e)</w:t>
            </w:r>
            <w:r>
              <w:t xml:space="preserve">: 15 reviews, 2 clinical trials; </w:t>
            </w:r>
            <w:r>
              <w:rPr>
                <w:iCs/>
              </w:rPr>
              <w:t>n</w:t>
            </w:r>
            <w:r w:rsidRPr="00CB2918">
              <w:rPr>
                <w:iCs/>
              </w:rPr>
              <w:t>one of level-1 quality</w:t>
            </w:r>
          </w:p>
        </w:tc>
      </w:tr>
      <w:tr w:rsidR="00AC0F19" w14:paraId="11360AFE" w14:textId="77777777" w:rsidTr="00DD60A0">
        <w:trPr>
          <w:cantSplit/>
        </w:trPr>
        <w:tc>
          <w:tcPr>
            <w:tcW w:w="2026" w:type="dxa"/>
          </w:tcPr>
          <w:p w14:paraId="0984076E" w14:textId="77777777" w:rsidR="00AC0F19" w:rsidRDefault="00AC0F19" w:rsidP="008A7EAC">
            <w:pPr>
              <w:pStyle w:val="TableText"/>
            </w:pPr>
            <w:r>
              <w:t>Gestational diabetes*Δ</w:t>
            </w:r>
          </w:p>
        </w:tc>
        <w:tc>
          <w:tcPr>
            <w:tcW w:w="2296" w:type="dxa"/>
          </w:tcPr>
          <w:p w14:paraId="291DC6A7" w14:textId="77777777" w:rsidR="00AC0F19" w:rsidRDefault="00AC0F19" w:rsidP="008A7EAC">
            <w:pPr>
              <w:pStyle w:val="TableText"/>
            </w:pPr>
            <w:r>
              <w:t>1 review (2018)</w:t>
            </w:r>
            <w:r w:rsidR="008A7EAC">
              <w:br/>
            </w:r>
            <w:r>
              <w:t>1 trial</w:t>
            </w:r>
          </w:p>
        </w:tc>
        <w:tc>
          <w:tcPr>
            <w:tcW w:w="3758" w:type="dxa"/>
          </w:tcPr>
          <w:p w14:paraId="765AB747" w14:textId="77777777" w:rsidR="00AC0F19" w:rsidRDefault="00AC0F19" w:rsidP="008A7EAC">
            <w:pPr>
              <w:pStyle w:val="TableText"/>
            </w:pPr>
            <w:r>
              <w:t>19 results: 5 reviews; 2 clinical trials</w:t>
            </w:r>
          </w:p>
        </w:tc>
      </w:tr>
      <w:tr w:rsidR="00AC0F19" w14:paraId="519B965C" w14:textId="77777777" w:rsidTr="00DD60A0">
        <w:trPr>
          <w:cantSplit/>
        </w:trPr>
        <w:tc>
          <w:tcPr>
            <w:tcW w:w="2026" w:type="dxa"/>
          </w:tcPr>
          <w:p w14:paraId="615070D6" w14:textId="77777777" w:rsidR="00AC0F19" w:rsidRDefault="00AC0F19" w:rsidP="008A7EAC">
            <w:pPr>
              <w:pStyle w:val="TableText"/>
            </w:pPr>
            <w:r>
              <w:t>Hypertension in pregnancy*Δ</w:t>
            </w:r>
          </w:p>
        </w:tc>
        <w:tc>
          <w:tcPr>
            <w:tcW w:w="2296" w:type="dxa"/>
          </w:tcPr>
          <w:p w14:paraId="6605B548" w14:textId="77777777" w:rsidR="00AC0F19" w:rsidRDefault="00AC0F19" w:rsidP="008A7EAC">
            <w:pPr>
              <w:pStyle w:val="TableText"/>
            </w:pPr>
            <w:r>
              <w:t>1 review (2017)</w:t>
            </w:r>
            <w:r w:rsidR="008A7EAC">
              <w:br/>
            </w:r>
            <w:r>
              <w:t>5 trials</w:t>
            </w:r>
          </w:p>
        </w:tc>
        <w:tc>
          <w:tcPr>
            <w:tcW w:w="3758" w:type="dxa"/>
          </w:tcPr>
          <w:p w14:paraId="04086872" w14:textId="77777777" w:rsidR="00AC0F19" w:rsidRDefault="00AC0F19" w:rsidP="008A7EAC">
            <w:pPr>
              <w:pStyle w:val="TableText"/>
            </w:pPr>
            <w:r>
              <w:t>28 results: 10 reviews, 6 clinical trials</w:t>
            </w:r>
          </w:p>
        </w:tc>
      </w:tr>
      <w:tr w:rsidR="00AC0F19" w14:paraId="29FEBEC7" w14:textId="77777777" w:rsidTr="00DD60A0">
        <w:trPr>
          <w:cantSplit/>
        </w:trPr>
        <w:tc>
          <w:tcPr>
            <w:tcW w:w="2026" w:type="dxa"/>
          </w:tcPr>
          <w:p w14:paraId="58E4230F" w14:textId="77777777" w:rsidR="00AC0F19" w:rsidRDefault="00AC0F19" w:rsidP="008A7EAC">
            <w:pPr>
              <w:pStyle w:val="TableText"/>
            </w:pPr>
            <w:r>
              <w:t xml:space="preserve">Suspected SGA </w:t>
            </w:r>
            <w:r w:rsidR="002E5969">
              <w:t>≥</w:t>
            </w:r>
            <w:r w:rsidR="003A4BD4">
              <w:t>34 weeks</w:t>
            </w:r>
            <w:r>
              <w:t>*Δ</w:t>
            </w:r>
          </w:p>
        </w:tc>
        <w:tc>
          <w:tcPr>
            <w:tcW w:w="2296" w:type="dxa"/>
          </w:tcPr>
          <w:p w14:paraId="4321D5E8" w14:textId="77777777" w:rsidR="00AC0F19" w:rsidRDefault="00AC0F19" w:rsidP="008A7EAC">
            <w:pPr>
              <w:pStyle w:val="TableText"/>
            </w:pPr>
            <w:r>
              <w:t>1 review (2015)</w:t>
            </w:r>
            <w:r w:rsidR="008A7EAC">
              <w:br/>
            </w:r>
            <w:r>
              <w:t>3 trials</w:t>
            </w:r>
          </w:p>
        </w:tc>
        <w:tc>
          <w:tcPr>
            <w:tcW w:w="3758" w:type="dxa"/>
          </w:tcPr>
          <w:p w14:paraId="04180EDC" w14:textId="77777777" w:rsidR="00AC0F19" w:rsidRDefault="00AC0F19" w:rsidP="008A7EAC">
            <w:pPr>
              <w:pStyle w:val="TableText"/>
            </w:pPr>
            <w:r>
              <w:t>17 results: 3 reviews, 3 clinical trials</w:t>
            </w:r>
          </w:p>
        </w:tc>
      </w:tr>
      <w:tr w:rsidR="00AC0F19" w14:paraId="70E2CB0E" w14:textId="77777777" w:rsidTr="00DD60A0">
        <w:trPr>
          <w:cantSplit/>
        </w:trPr>
        <w:tc>
          <w:tcPr>
            <w:tcW w:w="2026" w:type="dxa"/>
          </w:tcPr>
          <w:p w14:paraId="2CE99C41" w14:textId="77777777" w:rsidR="00AC0F19" w:rsidRDefault="00AC0F19" w:rsidP="008A7EAC">
            <w:pPr>
              <w:pStyle w:val="TableText"/>
            </w:pPr>
            <w:r>
              <w:t>Suspected macrosomia*Δ</w:t>
            </w:r>
          </w:p>
        </w:tc>
        <w:tc>
          <w:tcPr>
            <w:tcW w:w="2296" w:type="dxa"/>
          </w:tcPr>
          <w:p w14:paraId="191C39CA" w14:textId="77777777" w:rsidR="00AC0F19" w:rsidRDefault="00AC0F19" w:rsidP="008A7EAC">
            <w:pPr>
              <w:pStyle w:val="TableText"/>
            </w:pPr>
            <w:r>
              <w:t>1 review (2016)</w:t>
            </w:r>
            <w:r w:rsidR="008A7EAC">
              <w:br/>
            </w:r>
            <w:r>
              <w:t>4 trials</w:t>
            </w:r>
          </w:p>
        </w:tc>
        <w:tc>
          <w:tcPr>
            <w:tcW w:w="3758" w:type="dxa"/>
          </w:tcPr>
          <w:p w14:paraId="6AE1BB7E" w14:textId="77777777" w:rsidR="00AC0F19" w:rsidRDefault="00AC0F19" w:rsidP="008A7EAC">
            <w:pPr>
              <w:pStyle w:val="TableText"/>
            </w:pPr>
            <w:r>
              <w:t>24 results: 11 reviews, 2 clinical trials</w:t>
            </w:r>
          </w:p>
        </w:tc>
      </w:tr>
      <w:tr w:rsidR="00AC0F19" w14:paraId="7A797489" w14:textId="77777777" w:rsidTr="00DD60A0">
        <w:trPr>
          <w:cantSplit/>
        </w:trPr>
        <w:tc>
          <w:tcPr>
            <w:tcW w:w="2026" w:type="dxa"/>
          </w:tcPr>
          <w:p w14:paraId="4794C2B5" w14:textId="77777777" w:rsidR="00AC0F19" w:rsidRDefault="00AC0F19" w:rsidP="008A7EAC">
            <w:pPr>
              <w:pStyle w:val="TableText"/>
            </w:pPr>
            <w:r>
              <w:t>Multiple pregnancy*Δ</w:t>
            </w:r>
          </w:p>
        </w:tc>
        <w:tc>
          <w:tcPr>
            <w:tcW w:w="2296" w:type="dxa"/>
          </w:tcPr>
          <w:p w14:paraId="30FE85E0" w14:textId="77777777" w:rsidR="00AC0F19" w:rsidRDefault="004072C2" w:rsidP="008A7EAC">
            <w:pPr>
              <w:pStyle w:val="TableText"/>
            </w:pPr>
            <w:r>
              <w:t xml:space="preserve">1 </w:t>
            </w:r>
            <w:r w:rsidR="00AC0F19">
              <w:t>review</w:t>
            </w:r>
            <w:r w:rsidR="00AC0F19">
              <w:rPr>
                <w:spacing w:val="1"/>
              </w:rPr>
              <w:t xml:space="preserve"> </w:t>
            </w:r>
            <w:r w:rsidR="00AC0F19">
              <w:t>(2014)</w:t>
            </w:r>
            <w:r w:rsidR="008A7EAC">
              <w:br/>
            </w:r>
            <w:r w:rsidR="00AC0F19">
              <w:t>trials</w:t>
            </w:r>
          </w:p>
        </w:tc>
        <w:tc>
          <w:tcPr>
            <w:tcW w:w="3758" w:type="dxa"/>
          </w:tcPr>
          <w:p w14:paraId="2F62C056" w14:textId="77777777" w:rsidR="00AC0F19" w:rsidRDefault="00AC0F19" w:rsidP="008A7EAC">
            <w:pPr>
              <w:pStyle w:val="TableText"/>
            </w:pPr>
            <w:r>
              <w:t>5 results: 4 reviews, 0 clinical trials</w:t>
            </w:r>
            <w:r w:rsidR="008A7EAC">
              <w:br/>
            </w:r>
            <w:r>
              <w:t xml:space="preserve">Wider search </w:t>
            </w:r>
            <w:r>
              <w:rPr>
                <w:position w:val="6"/>
                <w:sz w:val="13"/>
              </w:rPr>
              <w:t>(remove e)</w:t>
            </w:r>
            <w:r>
              <w:t>: 183 results: 20 reviews, 6 clinical trials</w:t>
            </w:r>
          </w:p>
        </w:tc>
      </w:tr>
      <w:tr w:rsidR="00AC0F19" w14:paraId="3056F7C7" w14:textId="77777777" w:rsidTr="00DD60A0">
        <w:trPr>
          <w:cantSplit/>
        </w:trPr>
        <w:tc>
          <w:tcPr>
            <w:tcW w:w="2026" w:type="dxa"/>
          </w:tcPr>
          <w:p w14:paraId="2078AF0C" w14:textId="77777777" w:rsidR="00AC0F19" w:rsidRDefault="00AC0F19" w:rsidP="008A7EAC">
            <w:pPr>
              <w:pStyle w:val="TableText"/>
            </w:pPr>
            <w:r>
              <w:t>Assisted reproductive technology*Δ</w:t>
            </w:r>
          </w:p>
        </w:tc>
        <w:tc>
          <w:tcPr>
            <w:tcW w:w="2296" w:type="dxa"/>
          </w:tcPr>
          <w:p w14:paraId="50E01BD3" w14:textId="77777777" w:rsidR="00AC0F19" w:rsidRDefault="00AC0F19" w:rsidP="008A7EAC">
            <w:pPr>
              <w:pStyle w:val="TableText"/>
            </w:pPr>
            <w:r>
              <w:t>No results</w:t>
            </w:r>
          </w:p>
        </w:tc>
        <w:tc>
          <w:tcPr>
            <w:tcW w:w="3758" w:type="dxa"/>
          </w:tcPr>
          <w:p w14:paraId="40985DE5" w14:textId="77777777" w:rsidR="00AC0F19" w:rsidRDefault="00AC0F19" w:rsidP="008A7EAC">
            <w:pPr>
              <w:pStyle w:val="TableText"/>
            </w:pPr>
            <w:r>
              <w:t>2 results: 1 review, 0 clinical trials</w:t>
            </w:r>
            <w:r w:rsidR="008A7EAC">
              <w:br/>
            </w:r>
            <w:r>
              <w:t xml:space="preserve">Wider search </w:t>
            </w:r>
            <w:r>
              <w:rPr>
                <w:position w:val="6"/>
                <w:sz w:val="13"/>
              </w:rPr>
              <w:t>(remove e)</w:t>
            </w:r>
            <w:r>
              <w:t>: 98 results: 9 reviews, 10 clinical trials</w:t>
            </w:r>
          </w:p>
        </w:tc>
      </w:tr>
      <w:tr w:rsidR="00AC0F19" w14:paraId="23EAD1AE" w14:textId="77777777" w:rsidTr="00DD60A0">
        <w:trPr>
          <w:cantSplit/>
        </w:trPr>
        <w:tc>
          <w:tcPr>
            <w:tcW w:w="2026" w:type="dxa"/>
          </w:tcPr>
          <w:p w14:paraId="136C621D" w14:textId="77777777" w:rsidR="00AC0F19" w:rsidRDefault="00AC0F19" w:rsidP="008A7EAC">
            <w:pPr>
              <w:pStyle w:val="TableText"/>
            </w:pPr>
            <w:r>
              <w:t>Antepartum haemorrhage of unknown origin*Δ</w:t>
            </w:r>
          </w:p>
        </w:tc>
        <w:tc>
          <w:tcPr>
            <w:tcW w:w="2296" w:type="dxa"/>
          </w:tcPr>
          <w:p w14:paraId="3FFCBDB0" w14:textId="77777777" w:rsidR="00AC0F19" w:rsidRDefault="00AC0F19" w:rsidP="008A7EAC">
            <w:pPr>
              <w:pStyle w:val="TableText"/>
            </w:pPr>
            <w:r>
              <w:t>No results</w:t>
            </w:r>
          </w:p>
        </w:tc>
        <w:tc>
          <w:tcPr>
            <w:tcW w:w="3758" w:type="dxa"/>
          </w:tcPr>
          <w:p w14:paraId="5E05E9E5" w14:textId="77777777" w:rsidR="00AC0F19" w:rsidRDefault="00AC0F19" w:rsidP="004072C2">
            <w:pPr>
              <w:pStyle w:val="TableText"/>
            </w:pPr>
            <w:r>
              <w:t>4 results: 0 reviews, 2 clinical trials</w:t>
            </w:r>
            <w:r w:rsidR="008A7EAC">
              <w:br/>
            </w:r>
            <w:r>
              <w:t xml:space="preserve">Wider search </w:t>
            </w:r>
            <w:r>
              <w:rPr>
                <w:position w:val="6"/>
                <w:sz w:val="13"/>
              </w:rPr>
              <w:t>(remove e)</w:t>
            </w:r>
            <w:r>
              <w:t>: 30 results: 3 reviews, 4</w:t>
            </w:r>
            <w:r w:rsidR="004072C2">
              <w:t> </w:t>
            </w:r>
            <w:r>
              <w:t>clinical trials</w:t>
            </w:r>
          </w:p>
        </w:tc>
      </w:tr>
      <w:tr w:rsidR="00AC0F19" w14:paraId="438DF65A" w14:textId="77777777" w:rsidTr="00DD60A0">
        <w:trPr>
          <w:cantSplit/>
        </w:trPr>
        <w:tc>
          <w:tcPr>
            <w:tcW w:w="2026" w:type="dxa"/>
          </w:tcPr>
          <w:p w14:paraId="027AD1BD" w14:textId="77777777" w:rsidR="00AC0F19" w:rsidRDefault="00AC0F19" w:rsidP="008A7EAC">
            <w:pPr>
              <w:pStyle w:val="TableText"/>
            </w:pPr>
            <w:r>
              <w:t>Previous stillbirth*Δ</w:t>
            </w:r>
          </w:p>
        </w:tc>
        <w:tc>
          <w:tcPr>
            <w:tcW w:w="2296" w:type="dxa"/>
          </w:tcPr>
          <w:p w14:paraId="3CCCE4C0" w14:textId="77777777" w:rsidR="00AC0F19" w:rsidRDefault="00AC0F19" w:rsidP="008A7EAC">
            <w:pPr>
              <w:pStyle w:val="TableText"/>
            </w:pPr>
            <w:r>
              <w:t>No results</w:t>
            </w:r>
          </w:p>
        </w:tc>
        <w:tc>
          <w:tcPr>
            <w:tcW w:w="3758" w:type="dxa"/>
          </w:tcPr>
          <w:p w14:paraId="1B707039" w14:textId="77777777" w:rsidR="00AC0F19" w:rsidRDefault="00AC0F19" w:rsidP="008A7EAC">
            <w:pPr>
              <w:pStyle w:val="TableText"/>
            </w:pPr>
            <w:r>
              <w:t>20 results: 10 reviews, 2 clinical trials</w:t>
            </w:r>
            <w:r w:rsidR="008A7EAC">
              <w:br/>
            </w:r>
            <w:r>
              <w:t xml:space="preserve">Wider search </w:t>
            </w:r>
            <w:r>
              <w:rPr>
                <w:position w:val="6"/>
                <w:sz w:val="13"/>
              </w:rPr>
              <w:t>(remove e)</w:t>
            </w:r>
            <w:r>
              <w:t>: 133 results: 22 reviews, 8 clinical trials</w:t>
            </w:r>
          </w:p>
        </w:tc>
      </w:tr>
      <w:tr w:rsidR="00AC0F19" w14:paraId="79E45F49" w14:textId="77777777" w:rsidTr="00DD60A0">
        <w:trPr>
          <w:cantSplit/>
        </w:trPr>
        <w:tc>
          <w:tcPr>
            <w:tcW w:w="2026" w:type="dxa"/>
          </w:tcPr>
          <w:p w14:paraId="3830A4A6" w14:textId="77777777" w:rsidR="00AC0F19" w:rsidRDefault="00AC0F19" w:rsidP="008A7EAC">
            <w:pPr>
              <w:pStyle w:val="TableText"/>
            </w:pPr>
            <w:r>
              <w:t>Cholestasis of pregnancy*Δ</w:t>
            </w:r>
          </w:p>
        </w:tc>
        <w:tc>
          <w:tcPr>
            <w:tcW w:w="2296" w:type="dxa"/>
          </w:tcPr>
          <w:p w14:paraId="3D2958DC" w14:textId="77777777" w:rsidR="00AC0F19" w:rsidRDefault="00AC0F19" w:rsidP="008A7EAC">
            <w:pPr>
              <w:pStyle w:val="TableText"/>
            </w:pPr>
            <w:r>
              <w:t>1 review (2013)</w:t>
            </w:r>
            <w:r w:rsidR="008A7EAC">
              <w:br/>
            </w:r>
            <w:r>
              <w:t>21 trials</w:t>
            </w:r>
          </w:p>
        </w:tc>
        <w:tc>
          <w:tcPr>
            <w:tcW w:w="3758" w:type="dxa"/>
          </w:tcPr>
          <w:p w14:paraId="7642C09E" w14:textId="77777777" w:rsidR="00AC0F19" w:rsidRDefault="00AC0F19" w:rsidP="004072C2">
            <w:pPr>
              <w:pStyle w:val="TableText"/>
            </w:pPr>
            <w:r>
              <w:t>0 results</w:t>
            </w:r>
            <w:r w:rsidR="008A7EAC">
              <w:br/>
            </w:r>
            <w:r>
              <w:t xml:space="preserve">Wider search </w:t>
            </w:r>
            <w:r>
              <w:rPr>
                <w:position w:val="6"/>
                <w:sz w:val="13"/>
              </w:rPr>
              <w:t>(remove e)</w:t>
            </w:r>
            <w:r>
              <w:t>: 17 results: 4 reviews, 1</w:t>
            </w:r>
            <w:r w:rsidR="004072C2">
              <w:t> </w:t>
            </w:r>
            <w:r>
              <w:t>clinical trial</w:t>
            </w:r>
          </w:p>
        </w:tc>
      </w:tr>
      <w:tr w:rsidR="00AC0F19" w14:paraId="787079D5" w14:textId="77777777" w:rsidTr="00DD60A0">
        <w:trPr>
          <w:cantSplit/>
        </w:trPr>
        <w:tc>
          <w:tcPr>
            <w:tcW w:w="2026" w:type="dxa"/>
          </w:tcPr>
          <w:p w14:paraId="49287751" w14:textId="77777777" w:rsidR="00AC0F19" w:rsidRDefault="00AC0F19" w:rsidP="008A7EAC">
            <w:pPr>
              <w:pStyle w:val="TableText"/>
            </w:pPr>
            <w:r>
              <w:t xml:space="preserve">Reduced fetal </w:t>
            </w:r>
            <w:proofErr w:type="spellStart"/>
            <w:r>
              <w:t>movementsΔ</w:t>
            </w:r>
            <w:proofErr w:type="spellEnd"/>
          </w:p>
        </w:tc>
        <w:tc>
          <w:tcPr>
            <w:tcW w:w="2296" w:type="dxa"/>
          </w:tcPr>
          <w:p w14:paraId="30764BBF" w14:textId="77777777" w:rsidR="00AC0F19" w:rsidRDefault="00AC0F19" w:rsidP="008A7EAC">
            <w:pPr>
              <w:pStyle w:val="TableText"/>
            </w:pPr>
            <w:r>
              <w:t>No results</w:t>
            </w:r>
          </w:p>
        </w:tc>
        <w:tc>
          <w:tcPr>
            <w:tcW w:w="3758" w:type="dxa"/>
          </w:tcPr>
          <w:p w14:paraId="4544B8C0" w14:textId="77777777" w:rsidR="00AC0F19" w:rsidRDefault="00AC0F19" w:rsidP="008A7EAC">
            <w:pPr>
              <w:pStyle w:val="TableText"/>
            </w:pPr>
            <w:r>
              <w:t>15 results: 8 reviews, 2 clinical trials</w:t>
            </w:r>
            <w:r w:rsidR="008A7EAC">
              <w:br/>
            </w:r>
            <w:r>
              <w:t xml:space="preserve">Wider search </w:t>
            </w:r>
            <w:r>
              <w:rPr>
                <w:position w:val="6"/>
                <w:sz w:val="13"/>
              </w:rPr>
              <w:t>(remove e)</w:t>
            </w:r>
            <w:r>
              <w:t>: 534 results: 92 reviews, 48 clinical trials</w:t>
            </w:r>
          </w:p>
        </w:tc>
      </w:tr>
      <w:tr w:rsidR="00AC0F19" w14:paraId="617CEF0B" w14:textId="77777777" w:rsidTr="00DD60A0">
        <w:trPr>
          <w:cantSplit/>
        </w:trPr>
        <w:tc>
          <w:tcPr>
            <w:tcW w:w="2026" w:type="dxa"/>
          </w:tcPr>
          <w:p w14:paraId="0DFEE9A7" w14:textId="77777777" w:rsidR="00AC0F19" w:rsidRDefault="00AC0F19" w:rsidP="008A7EAC">
            <w:pPr>
              <w:pStyle w:val="TableText"/>
            </w:pPr>
            <w:r>
              <w:t>Oligohydramnios</w:t>
            </w:r>
          </w:p>
        </w:tc>
        <w:tc>
          <w:tcPr>
            <w:tcW w:w="2296" w:type="dxa"/>
          </w:tcPr>
          <w:p w14:paraId="07565628" w14:textId="77777777" w:rsidR="00AC0F19" w:rsidRDefault="00AC0F19" w:rsidP="008A7EAC">
            <w:pPr>
              <w:pStyle w:val="TableText"/>
            </w:pPr>
            <w:r>
              <w:t>No results</w:t>
            </w:r>
          </w:p>
        </w:tc>
        <w:tc>
          <w:tcPr>
            <w:tcW w:w="3758" w:type="dxa"/>
          </w:tcPr>
          <w:p w14:paraId="1633EFA3" w14:textId="77777777" w:rsidR="00AC0F19" w:rsidRDefault="00AC0F19" w:rsidP="008A7EAC">
            <w:pPr>
              <w:pStyle w:val="TableText"/>
            </w:pPr>
            <w:r>
              <w:t>529 results: 82 reviews, 59 clinical trials</w:t>
            </w:r>
            <w:r w:rsidR="008A7EAC">
              <w:br/>
            </w:r>
            <w:r>
              <w:t xml:space="preserve">Wider search </w:t>
            </w:r>
            <w:r>
              <w:rPr>
                <w:position w:val="6"/>
                <w:sz w:val="13"/>
              </w:rPr>
              <w:t>(remove e)</w:t>
            </w:r>
            <w:r>
              <w:t>: 626 results: 75 reviews, 53 clinical trials</w:t>
            </w:r>
          </w:p>
        </w:tc>
      </w:tr>
      <w:tr w:rsidR="00AC0F19" w14:paraId="490F5053" w14:textId="77777777" w:rsidTr="00DD60A0">
        <w:trPr>
          <w:cantSplit/>
        </w:trPr>
        <w:tc>
          <w:tcPr>
            <w:tcW w:w="2026" w:type="dxa"/>
          </w:tcPr>
          <w:p w14:paraId="10EB66FE" w14:textId="77777777" w:rsidR="00AC0F19" w:rsidRDefault="00AC0F19" w:rsidP="008A7EAC">
            <w:pPr>
              <w:pStyle w:val="TableText"/>
            </w:pPr>
            <w:r>
              <w:t xml:space="preserve">Pre-existing diabetes </w:t>
            </w:r>
            <w:proofErr w:type="spellStart"/>
            <w:r>
              <w:t>mellitusΔ</w:t>
            </w:r>
            <w:proofErr w:type="spellEnd"/>
          </w:p>
        </w:tc>
        <w:tc>
          <w:tcPr>
            <w:tcW w:w="2296" w:type="dxa"/>
          </w:tcPr>
          <w:p w14:paraId="31DAEAA0" w14:textId="77777777" w:rsidR="00AC0F19" w:rsidRDefault="00AC0F19" w:rsidP="008A7EAC">
            <w:pPr>
              <w:pStyle w:val="TableText"/>
            </w:pPr>
            <w:r>
              <w:t>1 review (2018)</w:t>
            </w:r>
            <w:r w:rsidR="008A7EAC">
              <w:br/>
            </w:r>
            <w:r>
              <w:t>No trials</w:t>
            </w:r>
          </w:p>
        </w:tc>
        <w:tc>
          <w:tcPr>
            <w:tcW w:w="3758" w:type="dxa"/>
          </w:tcPr>
          <w:p w14:paraId="3667D97D" w14:textId="77777777" w:rsidR="00AC0F19" w:rsidRDefault="00AC0F19" w:rsidP="008A7EAC">
            <w:pPr>
              <w:pStyle w:val="TableText"/>
            </w:pPr>
            <w:r>
              <w:t>36 results: 11 reviews, 6 clinical trials</w:t>
            </w:r>
          </w:p>
        </w:tc>
      </w:tr>
      <w:tr w:rsidR="00AC0F19" w14:paraId="6C499725" w14:textId="77777777" w:rsidTr="00DD60A0">
        <w:trPr>
          <w:cantSplit/>
        </w:trPr>
        <w:tc>
          <w:tcPr>
            <w:tcW w:w="2026" w:type="dxa"/>
          </w:tcPr>
          <w:p w14:paraId="6B8957AB" w14:textId="77777777" w:rsidR="00AC0F19" w:rsidRDefault="00AC0F19" w:rsidP="008A7EAC">
            <w:pPr>
              <w:pStyle w:val="TableText"/>
            </w:pPr>
            <w:r>
              <w:t>IOL with no medical indication / elective IOLΔ</w:t>
            </w:r>
          </w:p>
        </w:tc>
        <w:tc>
          <w:tcPr>
            <w:tcW w:w="2296" w:type="dxa"/>
          </w:tcPr>
          <w:p w14:paraId="0EF51AF5" w14:textId="77777777" w:rsidR="00AC0F19" w:rsidRDefault="00AC0F19" w:rsidP="008A7EAC">
            <w:pPr>
              <w:pStyle w:val="TableText"/>
            </w:pPr>
            <w:r>
              <w:t>No results</w:t>
            </w:r>
          </w:p>
        </w:tc>
        <w:tc>
          <w:tcPr>
            <w:tcW w:w="3758" w:type="dxa"/>
          </w:tcPr>
          <w:p w14:paraId="6C17E8C4" w14:textId="77777777" w:rsidR="00AC0F19" w:rsidRDefault="00AC0F19" w:rsidP="008A7EAC">
            <w:pPr>
              <w:pStyle w:val="TableText"/>
            </w:pPr>
            <w:r>
              <w:t>35 results: 12 reviews, 2 clinical trials</w:t>
            </w:r>
          </w:p>
        </w:tc>
      </w:tr>
      <w:tr w:rsidR="00AC0F19" w:rsidRPr="004072C2" w14:paraId="312EC313" w14:textId="77777777" w:rsidTr="00DD60A0">
        <w:trPr>
          <w:cantSplit/>
        </w:trPr>
        <w:tc>
          <w:tcPr>
            <w:tcW w:w="8080" w:type="dxa"/>
            <w:gridSpan w:val="3"/>
          </w:tcPr>
          <w:p w14:paraId="5E384EAA" w14:textId="77777777" w:rsidR="00AC0F19" w:rsidRPr="004072C2" w:rsidRDefault="00AC0F19" w:rsidP="008A7EAC">
            <w:pPr>
              <w:pStyle w:val="TableText"/>
              <w:rPr>
                <w:b/>
              </w:rPr>
            </w:pPr>
            <w:r w:rsidRPr="004072C2">
              <w:rPr>
                <w:b/>
              </w:rPr>
              <w:lastRenderedPageBreak/>
              <w:t>Methods</w:t>
            </w:r>
          </w:p>
        </w:tc>
      </w:tr>
      <w:tr w:rsidR="00AC0F19" w14:paraId="32E75D11" w14:textId="77777777" w:rsidTr="00DD60A0">
        <w:trPr>
          <w:cantSplit/>
        </w:trPr>
        <w:tc>
          <w:tcPr>
            <w:tcW w:w="2026" w:type="dxa"/>
          </w:tcPr>
          <w:p w14:paraId="69FE7848" w14:textId="77777777" w:rsidR="00AC0F19" w:rsidRDefault="00AC0F19" w:rsidP="008A7EAC">
            <w:pPr>
              <w:pStyle w:val="TableText"/>
            </w:pPr>
            <w:r>
              <w:t>Mechanical IOL</w:t>
            </w:r>
          </w:p>
        </w:tc>
        <w:tc>
          <w:tcPr>
            <w:tcW w:w="2296" w:type="dxa"/>
          </w:tcPr>
          <w:p w14:paraId="62594DD4" w14:textId="77777777" w:rsidR="00AC0F19" w:rsidRDefault="00AC0F19" w:rsidP="008A7EAC">
            <w:pPr>
              <w:pStyle w:val="TableText"/>
            </w:pPr>
            <w:r>
              <w:t>2 reviews (2012, 2017)</w:t>
            </w:r>
            <w:r w:rsidR="008A7EAC">
              <w:br/>
            </w:r>
            <w:r>
              <w:t>2012: 71 trials</w:t>
            </w:r>
            <w:r w:rsidR="008A7EAC">
              <w:br/>
            </w:r>
            <w:r>
              <w:t>2017: 8 trials</w:t>
            </w:r>
          </w:p>
        </w:tc>
        <w:tc>
          <w:tcPr>
            <w:tcW w:w="3758" w:type="dxa"/>
          </w:tcPr>
          <w:p w14:paraId="170B9888" w14:textId="77777777" w:rsidR="00AC0F19" w:rsidRDefault="00AC0F19" w:rsidP="008A7EAC">
            <w:pPr>
              <w:pStyle w:val="TableText"/>
            </w:pPr>
            <w:r>
              <w:t>492 results: 64 reviews, 147 clinical trials</w:t>
            </w:r>
          </w:p>
        </w:tc>
      </w:tr>
      <w:tr w:rsidR="00AC0F19" w14:paraId="141198C8" w14:textId="77777777" w:rsidTr="00DD60A0">
        <w:trPr>
          <w:cantSplit/>
        </w:trPr>
        <w:tc>
          <w:tcPr>
            <w:tcW w:w="2026" w:type="dxa"/>
          </w:tcPr>
          <w:p w14:paraId="70EA2FD6" w14:textId="77777777" w:rsidR="00AC0F19" w:rsidRDefault="00AC0F19" w:rsidP="008A7EAC">
            <w:pPr>
              <w:pStyle w:val="TableText"/>
            </w:pPr>
            <w:r>
              <w:t>PGE2 gel</w:t>
            </w:r>
            <w:r w:rsidR="00B0606D">
              <w:t xml:space="preserve"> – </w:t>
            </w:r>
            <w:proofErr w:type="spellStart"/>
            <w:r>
              <w:t>dinoprosotone</w:t>
            </w:r>
            <w:proofErr w:type="spellEnd"/>
            <w:r>
              <w:t xml:space="preserve"> vs </w:t>
            </w:r>
            <w:proofErr w:type="spellStart"/>
            <w:r>
              <w:t>cervidil</w:t>
            </w:r>
            <w:proofErr w:type="spellEnd"/>
            <w:r>
              <w:t>; cervical vs vaginal</w:t>
            </w:r>
          </w:p>
        </w:tc>
        <w:tc>
          <w:tcPr>
            <w:tcW w:w="2296" w:type="dxa"/>
          </w:tcPr>
          <w:p w14:paraId="633A1CB3" w14:textId="77777777" w:rsidR="00AC0F19" w:rsidRDefault="00AC0F19" w:rsidP="008A7EAC">
            <w:pPr>
              <w:pStyle w:val="TableText"/>
            </w:pPr>
            <w:r>
              <w:t>2 reviews (2008, 2014)</w:t>
            </w:r>
            <w:r w:rsidR="008A7EAC">
              <w:br/>
            </w:r>
            <w:r>
              <w:t>2008: 56</w:t>
            </w:r>
            <w:r>
              <w:rPr>
                <w:spacing w:val="-11"/>
              </w:rPr>
              <w:t xml:space="preserve"> </w:t>
            </w:r>
            <w:r>
              <w:t>trials</w:t>
            </w:r>
            <w:r w:rsidR="008A7EAC">
              <w:br/>
            </w:r>
            <w:r>
              <w:t>2014: 70</w:t>
            </w:r>
            <w:r>
              <w:rPr>
                <w:spacing w:val="-11"/>
              </w:rPr>
              <w:t xml:space="preserve"> </w:t>
            </w:r>
            <w:r>
              <w:t>trials</w:t>
            </w:r>
          </w:p>
        </w:tc>
        <w:tc>
          <w:tcPr>
            <w:tcW w:w="3758" w:type="dxa"/>
          </w:tcPr>
          <w:p w14:paraId="476BF7E3" w14:textId="77777777" w:rsidR="00AC0F19" w:rsidRDefault="00AC0F19" w:rsidP="008A7EAC">
            <w:pPr>
              <w:pStyle w:val="TableText"/>
            </w:pPr>
            <w:r>
              <w:t>38 results: 2 reviews, 12 clinical trials</w:t>
            </w:r>
          </w:p>
        </w:tc>
      </w:tr>
      <w:tr w:rsidR="00AC0F19" w14:paraId="09BB0CCD" w14:textId="77777777" w:rsidTr="00DD60A0">
        <w:trPr>
          <w:cantSplit/>
        </w:trPr>
        <w:tc>
          <w:tcPr>
            <w:tcW w:w="2026" w:type="dxa"/>
          </w:tcPr>
          <w:p w14:paraId="021EF7EB" w14:textId="77777777" w:rsidR="00AC0F19" w:rsidRDefault="00AC0F19" w:rsidP="008A7EAC">
            <w:pPr>
              <w:pStyle w:val="TableText"/>
            </w:pPr>
            <w:r>
              <w:t>Pharmacological IOL / cervical ripening</w:t>
            </w:r>
          </w:p>
        </w:tc>
        <w:tc>
          <w:tcPr>
            <w:tcW w:w="2296" w:type="dxa"/>
          </w:tcPr>
          <w:p w14:paraId="79199BE1" w14:textId="77777777" w:rsidR="00AC0F19" w:rsidRDefault="00AC0F19" w:rsidP="008A7EAC">
            <w:pPr>
              <w:pStyle w:val="TableText"/>
            </w:pPr>
            <w:r>
              <w:t>2 reviews (2014, 2017)</w:t>
            </w:r>
            <w:r w:rsidR="008A7EAC">
              <w:br/>
            </w:r>
            <w:r>
              <w:t>2014: 75 trials</w:t>
            </w:r>
            <w:r w:rsidR="008A7EAC">
              <w:br/>
            </w:r>
            <w:r>
              <w:t>2017: 8 trials</w:t>
            </w:r>
          </w:p>
        </w:tc>
        <w:tc>
          <w:tcPr>
            <w:tcW w:w="3758" w:type="dxa"/>
          </w:tcPr>
          <w:p w14:paraId="667DF8B4" w14:textId="77777777" w:rsidR="00AC0F19" w:rsidRDefault="00AC0F19" w:rsidP="008A7EAC">
            <w:pPr>
              <w:pStyle w:val="TableText"/>
            </w:pPr>
            <w:r>
              <w:t>1,045 results: 175 reviews, 431 clinical trials</w:t>
            </w:r>
          </w:p>
        </w:tc>
      </w:tr>
      <w:tr w:rsidR="00AC0F19" w14:paraId="6CEBFC2C" w14:textId="77777777" w:rsidTr="00DD60A0">
        <w:trPr>
          <w:cantSplit/>
        </w:trPr>
        <w:tc>
          <w:tcPr>
            <w:tcW w:w="2026" w:type="dxa"/>
          </w:tcPr>
          <w:p w14:paraId="67E6CE2A" w14:textId="77777777" w:rsidR="00AC0F19" w:rsidRDefault="00AC0F19" w:rsidP="008A7EAC">
            <w:pPr>
              <w:pStyle w:val="TableText"/>
            </w:pPr>
            <w:r>
              <w:t xml:space="preserve">Artificial rupture </w:t>
            </w:r>
            <w:r>
              <w:rPr>
                <w:spacing w:val="-7"/>
              </w:rPr>
              <w:t xml:space="preserve">of </w:t>
            </w:r>
            <w:r>
              <w:t>membranes timing (early vs late)</w:t>
            </w:r>
          </w:p>
        </w:tc>
        <w:tc>
          <w:tcPr>
            <w:tcW w:w="2296" w:type="dxa"/>
          </w:tcPr>
          <w:p w14:paraId="1C801C38" w14:textId="77777777" w:rsidR="00AC0F19" w:rsidRDefault="00AC0F19" w:rsidP="008A7EAC">
            <w:pPr>
              <w:pStyle w:val="TableText"/>
            </w:pPr>
            <w:r>
              <w:t>1 review (2013)</w:t>
            </w:r>
            <w:r w:rsidR="008A7EAC">
              <w:br/>
            </w:r>
            <w:r>
              <w:t>14 trials</w:t>
            </w:r>
          </w:p>
        </w:tc>
        <w:tc>
          <w:tcPr>
            <w:tcW w:w="3758" w:type="dxa"/>
          </w:tcPr>
          <w:p w14:paraId="79C74697" w14:textId="77777777" w:rsidR="00AC0F19" w:rsidRDefault="00AC0F19" w:rsidP="008A7EAC">
            <w:pPr>
              <w:pStyle w:val="TableText"/>
            </w:pPr>
            <w:r>
              <w:t>22 results: 4 reviews, 10 clinical trials</w:t>
            </w:r>
          </w:p>
        </w:tc>
      </w:tr>
      <w:tr w:rsidR="00AC0F19" w14:paraId="43BA5C0D" w14:textId="77777777" w:rsidTr="00DD60A0">
        <w:trPr>
          <w:cantSplit/>
        </w:trPr>
        <w:tc>
          <w:tcPr>
            <w:tcW w:w="2026" w:type="dxa"/>
          </w:tcPr>
          <w:p w14:paraId="343624CA" w14:textId="77777777" w:rsidR="00AC0F19" w:rsidRDefault="00AC0F19" w:rsidP="008A7EAC">
            <w:pPr>
              <w:pStyle w:val="TableText"/>
            </w:pPr>
            <w:r>
              <w:t>Oxytocin protocol (low vs high; timing to increasing dose)</w:t>
            </w:r>
          </w:p>
        </w:tc>
        <w:tc>
          <w:tcPr>
            <w:tcW w:w="2296" w:type="dxa"/>
          </w:tcPr>
          <w:p w14:paraId="1C2E1627" w14:textId="77777777" w:rsidR="00AC0F19" w:rsidRDefault="00AC0F19" w:rsidP="008A7EAC">
            <w:pPr>
              <w:pStyle w:val="TableText"/>
            </w:pPr>
            <w:r>
              <w:t>2 reviews (2009, 2014)</w:t>
            </w:r>
            <w:r w:rsidR="008A7EAC">
              <w:br/>
            </w:r>
            <w:r>
              <w:t>2009: 61 trials</w:t>
            </w:r>
            <w:r w:rsidR="008A7EAC">
              <w:br/>
            </w:r>
            <w:r>
              <w:t>2014: 9 trials</w:t>
            </w:r>
          </w:p>
        </w:tc>
        <w:tc>
          <w:tcPr>
            <w:tcW w:w="3758" w:type="dxa"/>
          </w:tcPr>
          <w:p w14:paraId="2F14958F" w14:textId="77777777" w:rsidR="00AC0F19" w:rsidRDefault="00AC0F19" w:rsidP="008A7EAC">
            <w:pPr>
              <w:pStyle w:val="TableText"/>
            </w:pPr>
            <w:r>
              <w:t>3,923 results: 353 reviews, 724 clinical trials</w:t>
            </w:r>
          </w:p>
        </w:tc>
      </w:tr>
      <w:tr w:rsidR="00AC0F19" w14:paraId="731E1CE1" w14:textId="77777777" w:rsidTr="00DD60A0">
        <w:trPr>
          <w:cantSplit/>
        </w:trPr>
        <w:tc>
          <w:tcPr>
            <w:tcW w:w="2026" w:type="dxa"/>
          </w:tcPr>
          <w:p w14:paraId="5F6A350A" w14:textId="77777777" w:rsidR="00AC0F19" w:rsidRDefault="00AC0F19" w:rsidP="008A7EAC">
            <w:pPr>
              <w:pStyle w:val="TableText"/>
            </w:pPr>
            <w:r>
              <w:t>Membrane sweeping for reduction in need for IOL</w:t>
            </w:r>
          </w:p>
        </w:tc>
        <w:tc>
          <w:tcPr>
            <w:tcW w:w="2296" w:type="dxa"/>
          </w:tcPr>
          <w:p w14:paraId="0881A411" w14:textId="77777777" w:rsidR="00AC0F19" w:rsidRDefault="00AC0F19" w:rsidP="008A7EAC">
            <w:pPr>
              <w:pStyle w:val="TableText"/>
            </w:pPr>
            <w:r>
              <w:t>1 review (2005)</w:t>
            </w:r>
            <w:r w:rsidR="008A7EAC">
              <w:br/>
            </w:r>
            <w:r>
              <w:t>22 trials</w:t>
            </w:r>
          </w:p>
        </w:tc>
        <w:tc>
          <w:tcPr>
            <w:tcW w:w="3758" w:type="dxa"/>
          </w:tcPr>
          <w:p w14:paraId="707FD513" w14:textId="77777777" w:rsidR="00AC0F19" w:rsidRDefault="00AC0F19" w:rsidP="008A7EAC">
            <w:pPr>
              <w:pStyle w:val="TableText"/>
            </w:pPr>
            <w:r>
              <w:t>50 results: 17 reviews, 23 clinical trials</w:t>
            </w:r>
          </w:p>
        </w:tc>
      </w:tr>
      <w:tr w:rsidR="00AC0F19" w14:paraId="76CD3BEC" w14:textId="77777777" w:rsidTr="00DD60A0">
        <w:trPr>
          <w:cantSplit/>
        </w:trPr>
        <w:tc>
          <w:tcPr>
            <w:tcW w:w="2026" w:type="dxa"/>
          </w:tcPr>
          <w:p w14:paraId="6546E1FE" w14:textId="77777777" w:rsidR="00AC0F19" w:rsidRDefault="00AC0F19" w:rsidP="008A7EAC">
            <w:pPr>
              <w:pStyle w:val="TableText"/>
            </w:pPr>
            <w:r>
              <w:t>Outpatient IOL</w:t>
            </w:r>
          </w:p>
        </w:tc>
        <w:tc>
          <w:tcPr>
            <w:tcW w:w="2296" w:type="dxa"/>
          </w:tcPr>
          <w:p w14:paraId="6B58A9A8" w14:textId="77777777" w:rsidR="00AC0F19" w:rsidRDefault="00AC0F19" w:rsidP="008A7EAC">
            <w:pPr>
              <w:pStyle w:val="TableText"/>
            </w:pPr>
            <w:r>
              <w:t>2 reviews (2013, 2017)</w:t>
            </w:r>
            <w:r w:rsidR="008A7EAC">
              <w:br/>
            </w:r>
            <w:r>
              <w:t>2013; 4 trials</w:t>
            </w:r>
            <w:r w:rsidR="008A7EAC">
              <w:br/>
            </w:r>
            <w:r>
              <w:t>2017; 34 studies</w:t>
            </w:r>
          </w:p>
        </w:tc>
        <w:tc>
          <w:tcPr>
            <w:tcW w:w="3758" w:type="dxa"/>
          </w:tcPr>
          <w:p w14:paraId="437190CF" w14:textId="77777777" w:rsidR="00AC0F19" w:rsidRDefault="00AC0F19" w:rsidP="008A7EAC">
            <w:pPr>
              <w:pStyle w:val="TableText"/>
            </w:pPr>
            <w:r>
              <w:t>48 results: 9 reviews, 15 clinical trials</w:t>
            </w:r>
          </w:p>
        </w:tc>
      </w:tr>
    </w:tbl>
    <w:p w14:paraId="3A80CE10" w14:textId="77777777" w:rsidR="00AC0F19" w:rsidRPr="006D777E" w:rsidRDefault="00AC0F19" w:rsidP="008A7EAC">
      <w:pPr>
        <w:pStyle w:val="Note"/>
      </w:pPr>
      <w:r w:rsidRPr="006D777E">
        <w:t>Note</w:t>
      </w:r>
      <w:r w:rsidR="008A7EAC">
        <w:t>:</w:t>
      </w:r>
    </w:p>
    <w:p w14:paraId="7A6E0311" w14:textId="77777777" w:rsidR="00AC0F19" w:rsidRPr="00CB2918" w:rsidRDefault="00AC0F19" w:rsidP="008A7EAC">
      <w:pPr>
        <w:pStyle w:val="Note"/>
      </w:pPr>
      <w:r w:rsidRPr="00CB2918">
        <w:t>* = restricted dates 01/01/2014–03/12/2018</w:t>
      </w:r>
      <w:r>
        <w:t xml:space="preserve">; </w:t>
      </w:r>
      <w:r w:rsidRPr="00CB2918">
        <w:t>Δ = expectant management included in search terms</w:t>
      </w:r>
    </w:p>
    <w:p w14:paraId="69789969" w14:textId="77777777" w:rsidR="00AC0F19" w:rsidRDefault="00AC0F19" w:rsidP="004072C2">
      <w:bookmarkStart w:id="272" w:name="Searches_for_Ongoing_Clinical_Trials"/>
      <w:bookmarkStart w:id="273" w:name="_bookmark125"/>
      <w:bookmarkEnd w:id="272"/>
      <w:bookmarkEnd w:id="273"/>
    </w:p>
    <w:p w14:paraId="52A24342" w14:textId="77777777" w:rsidR="00AC0F19" w:rsidRDefault="00AC0F19" w:rsidP="00554F0A">
      <w:pPr>
        <w:pStyle w:val="Heading3-Appendices"/>
      </w:pPr>
      <w:bookmarkStart w:id="274" w:name="_Toc72488588"/>
      <w:r>
        <w:t>Searches for ongoing clinical trials</w:t>
      </w:r>
      <w:bookmarkEnd w:id="274"/>
    </w:p>
    <w:p w14:paraId="35FB2D51" w14:textId="77777777" w:rsidR="00AC0F19" w:rsidRDefault="00AC0F19" w:rsidP="00067D39">
      <w:r>
        <w:t>Searches on clinicaltrials.gov</w:t>
      </w:r>
      <w:r w:rsidRPr="00067D39">
        <w:rPr>
          <w:rStyle w:val="FootnoteReference"/>
        </w:rPr>
        <w:footnoteReference w:id="5"/>
      </w:r>
      <w:r>
        <w:t xml:space="preserve"> and ANZCTR yielded a total of 253 trials. Studies were not included if they </w:t>
      </w:r>
      <w:r w:rsidRPr="004C7BE4">
        <w:t>were</w:t>
      </w:r>
      <w:r>
        <w:t xml:space="preserve"> observational or if they combined methods and indications (for example, methods of IOL for obesity).</w:t>
      </w:r>
    </w:p>
    <w:p w14:paraId="00065D50" w14:textId="77777777" w:rsidR="00AC0F19" w:rsidRDefault="00AC0F19" w:rsidP="00067D39"/>
    <w:p w14:paraId="0F367439" w14:textId="77777777" w:rsidR="00AC0F19" w:rsidRDefault="00AC0F19" w:rsidP="00067D39">
      <w:pPr>
        <w:pStyle w:val="Heading3"/>
      </w:pPr>
      <w:bookmarkStart w:id="275" w:name="Indications"/>
      <w:bookmarkStart w:id="276" w:name="_bookmark126"/>
      <w:bookmarkEnd w:id="275"/>
      <w:bookmarkEnd w:id="276"/>
      <w:r>
        <w:lastRenderedPageBreak/>
        <w:t>Indications</w:t>
      </w:r>
    </w:p>
    <w:p w14:paraId="37155DFD" w14:textId="77777777" w:rsidR="00AC0F19" w:rsidRDefault="00AC0F19" w:rsidP="00067D39">
      <w:pPr>
        <w:keepLines/>
      </w:pPr>
      <w:r>
        <w:t xml:space="preserve">Eleven trials focused on IOL versus expectant management for an indication. Three trials were found on GDM; two trials were completed (one published – </w:t>
      </w:r>
      <w:proofErr w:type="spellStart"/>
      <w:r>
        <w:t>Alberico</w:t>
      </w:r>
      <w:proofErr w:type="spellEnd"/>
      <w:r>
        <w:t xml:space="preserve"> 2017; one not published), one trial not yet recruiting. Two trials were found on macrosomia; one completed (no publication), one not </w:t>
      </w:r>
      <w:r w:rsidRPr="004C7BE4">
        <w:t>yet</w:t>
      </w:r>
      <w:r>
        <w:t xml:space="preserve"> recruiting. Two trials were found for no medical indication; one published (</w:t>
      </w:r>
      <w:proofErr w:type="spellStart"/>
      <w:r>
        <w:t>Grobman</w:t>
      </w:r>
      <w:proofErr w:type="spellEnd"/>
      <w:r>
        <w:t xml:space="preserve"> </w:t>
      </w:r>
      <w:r w:rsidR="000F3C98">
        <w:t>et al</w:t>
      </w:r>
      <w:r>
        <w:t xml:space="preserve"> 2018), one unknown status. One trial was found for post-dates; completed (no publication). Two trials were found for term PROM; one </w:t>
      </w:r>
      <w:r w:rsidRPr="00AB4F01">
        <w:t>recruiting (</w:t>
      </w:r>
      <w:r w:rsidR="00067D39" w:rsidRPr="00AB4F01">
        <w:t>T</w:t>
      </w:r>
      <w:r w:rsidRPr="00AB4F01">
        <w:t>able B2), one unknown status</w:t>
      </w:r>
      <w:r>
        <w:t xml:space="preserve">. One study was for </w:t>
      </w:r>
      <w:r w:rsidR="00B0606D">
        <w:t>‘</w:t>
      </w:r>
      <w:r>
        <w:t>risks associated with c-section</w:t>
      </w:r>
      <w:r w:rsidR="00B0606D">
        <w:t>’</w:t>
      </w:r>
      <w:r>
        <w:t xml:space="preserve"> and was terminated.</w:t>
      </w:r>
    </w:p>
    <w:p w14:paraId="49C38BA5" w14:textId="77777777" w:rsidR="00AC0F19" w:rsidRDefault="00AC0F19" w:rsidP="00067D39"/>
    <w:p w14:paraId="6DD10D4F" w14:textId="77777777" w:rsidR="00AC0F19" w:rsidRDefault="00AC0F19" w:rsidP="00067D39">
      <w:pPr>
        <w:pStyle w:val="Heading3"/>
      </w:pPr>
      <w:bookmarkStart w:id="277" w:name="Methods_and_Setting"/>
      <w:bookmarkStart w:id="278" w:name="_bookmark127"/>
      <w:bookmarkEnd w:id="277"/>
      <w:bookmarkEnd w:id="278"/>
      <w:r>
        <w:t>Methods and setting</w:t>
      </w:r>
    </w:p>
    <w:p w14:paraId="07F87DC6" w14:textId="77777777" w:rsidR="00AC0F19" w:rsidRDefault="00AC0F19" w:rsidP="00067D39">
      <w:r w:rsidRPr="004C7BE4">
        <w:t>One hundred and thirty-eight trials were found for methods or setting of IOL.</w:t>
      </w:r>
    </w:p>
    <w:p w14:paraId="62FDC1F6" w14:textId="77777777" w:rsidR="00AC0F19" w:rsidRPr="004C7BE4" w:rsidRDefault="00AC0F19" w:rsidP="00067D39"/>
    <w:p w14:paraId="3C06DA93" w14:textId="77777777" w:rsidR="00AC0F19" w:rsidRPr="00AB4F01" w:rsidRDefault="00AC0F19" w:rsidP="00067D39">
      <w:r w:rsidRPr="004C7BE4">
        <w:t>Of the 138 trials, 69 were completed</w:t>
      </w:r>
      <w:r>
        <w:t>;</w:t>
      </w:r>
      <w:r w:rsidRPr="004C7BE4">
        <w:t xml:space="preserve"> 37 were recruiting</w:t>
      </w:r>
      <w:r>
        <w:t>;</w:t>
      </w:r>
      <w:r w:rsidRPr="004C7BE4">
        <w:t xml:space="preserve"> 5 were active, not recruiting</w:t>
      </w:r>
      <w:r>
        <w:t>;</w:t>
      </w:r>
      <w:r w:rsidRPr="004C7BE4">
        <w:t xml:space="preserve"> 5</w:t>
      </w:r>
      <w:r w:rsidR="00067D39">
        <w:t> </w:t>
      </w:r>
      <w:r w:rsidRPr="004C7BE4">
        <w:t>were not yet recruiting</w:t>
      </w:r>
      <w:r>
        <w:t>;</w:t>
      </w:r>
      <w:r w:rsidRPr="004C7BE4">
        <w:t xml:space="preserve"> 4 were terminated and 28 were </w:t>
      </w:r>
      <w:r w:rsidR="00B0606D">
        <w:t>‘</w:t>
      </w:r>
      <w:r w:rsidRPr="004C7BE4">
        <w:t>unknown status</w:t>
      </w:r>
      <w:r w:rsidR="00B0606D">
        <w:t>’</w:t>
      </w:r>
      <w:r w:rsidRPr="004C7BE4">
        <w:t>. Of the 69</w:t>
      </w:r>
      <w:r w:rsidR="00067D39">
        <w:t> </w:t>
      </w:r>
      <w:r w:rsidRPr="004C7BE4">
        <w:t>completed trials, 17 were published. Of the 37 recruiting, 23 were relevant (</w:t>
      </w:r>
      <w:r w:rsidR="00067D39" w:rsidRPr="00AB4F01">
        <w:t>T</w:t>
      </w:r>
      <w:r w:rsidRPr="00AB4F01">
        <w:t>able</w:t>
      </w:r>
      <w:r w:rsidR="00067D39" w:rsidRPr="00AB4F01">
        <w:t> </w:t>
      </w:r>
      <w:r w:rsidRPr="00AB4F01">
        <w:t>B2), 3 were not; 8 were related to methods for specific indications; 3 were for methods not researched in this guideline and 7 were for outpatient. Of the 138 trials, 16 were found with methods not included in this guideline. Five stated they were going to assess maternal satisfaction.</w:t>
      </w:r>
    </w:p>
    <w:p w14:paraId="6DFC1BEE" w14:textId="77777777" w:rsidR="00AC0F19" w:rsidRPr="00AB4F01" w:rsidRDefault="00AC0F19" w:rsidP="00067D39"/>
    <w:p w14:paraId="7BC87431" w14:textId="77777777" w:rsidR="00AC0F19" w:rsidRDefault="00AC0F19" w:rsidP="00067D39">
      <w:r w:rsidRPr="00AB4F01">
        <w:t>Of the 138 trials, 12 were evaluating outpatient versus inpatient care. Two of these were completed, 2 were not yet recruiting, 7 were recruiting (</w:t>
      </w:r>
      <w:r w:rsidR="00067D39" w:rsidRPr="00AB4F01">
        <w:t>T</w:t>
      </w:r>
      <w:r w:rsidRPr="00AB4F01">
        <w:t>able</w:t>
      </w:r>
      <w:r w:rsidR="00067D39" w:rsidRPr="00AB4F01">
        <w:t> </w:t>
      </w:r>
      <w:r w:rsidRPr="00AB4F01">
        <w:t>B3), 2 had an</w:t>
      </w:r>
      <w:r w:rsidRPr="004C7BE4">
        <w:t xml:space="preserve"> </w:t>
      </w:r>
      <w:r w:rsidR="00B0606D">
        <w:t>‘</w:t>
      </w:r>
      <w:r w:rsidRPr="004C7BE4">
        <w:t>unknown status</w:t>
      </w:r>
      <w:r w:rsidR="00B0606D">
        <w:t>’</w:t>
      </w:r>
      <w:r w:rsidRPr="004C7BE4">
        <w:t xml:space="preserve"> and 1 was terminated. No publications were available. One trial that was not found in our search comparing inpatient </w:t>
      </w:r>
      <w:r>
        <w:t>with</w:t>
      </w:r>
      <w:r w:rsidRPr="004C7BE4">
        <w:t xml:space="preserve"> outpatient inductions is currently recruiting.</w:t>
      </w:r>
    </w:p>
    <w:p w14:paraId="541E6A05" w14:textId="77777777" w:rsidR="00AC0F19" w:rsidRPr="004C7BE4" w:rsidRDefault="00AC0F19" w:rsidP="00067D39"/>
    <w:p w14:paraId="2DD62326" w14:textId="77777777" w:rsidR="00AC0F19" w:rsidRDefault="00AC0F19" w:rsidP="00067D39">
      <w:pPr>
        <w:pStyle w:val="Table"/>
      </w:pPr>
      <w:bookmarkStart w:id="279" w:name="Table_5._Recruiting_trials_for_indicatio"/>
      <w:bookmarkStart w:id="280" w:name="_bookmark128"/>
      <w:bookmarkStart w:id="281" w:name="_Toc72488611"/>
      <w:bookmarkEnd w:id="279"/>
      <w:bookmarkEnd w:id="280"/>
      <w:r>
        <w:lastRenderedPageBreak/>
        <w:t>Table</w:t>
      </w:r>
      <w:r w:rsidR="00067D39">
        <w:t> </w:t>
      </w:r>
      <w:r>
        <w:t>B2:</w:t>
      </w:r>
      <w:r w:rsidR="00067D39">
        <w:t xml:space="preserve"> </w:t>
      </w:r>
      <w:r>
        <w:t>Recruiting trials for indications and methods of induction of labour</w:t>
      </w:r>
      <w:bookmarkEnd w:id="281"/>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762"/>
        <w:gridCol w:w="3192"/>
        <w:gridCol w:w="2126"/>
      </w:tblGrid>
      <w:tr w:rsidR="00AC0F19" w:rsidRPr="00067D39" w14:paraId="51159BC1" w14:textId="77777777" w:rsidTr="00067D39">
        <w:trPr>
          <w:cantSplit/>
          <w:tblHeader/>
        </w:trPr>
        <w:tc>
          <w:tcPr>
            <w:tcW w:w="2762" w:type="dxa"/>
            <w:tcBorders>
              <w:top w:val="nil"/>
              <w:bottom w:val="nil"/>
            </w:tcBorders>
            <w:shd w:val="clear" w:color="auto" w:fill="D9D9D9" w:themeFill="background1" w:themeFillShade="D9"/>
          </w:tcPr>
          <w:p w14:paraId="0B0F40C6" w14:textId="77777777" w:rsidR="00AC0F19" w:rsidRPr="00067D39" w:rsidRDefault="00AC0F19" w:rsidP="00067D39">
            <w:pPr>
              <w:pStyle w:val="TableText"/>
              <w:keepNext/>
              <w:ind w:right="113"/>
              <w:rPr>
                <w:b/>
              </w:rPr>
            </w:pPr>
            <w:r w:rsidRPr="00067D39">
              <w:rPr>
                <w:b/>
              </w:rPr>
              <w:t>Identifier</w:t>
            </w:r>
          </w:p>
        </w:tc>
        <w:tc>
          <w:tcPr>
            <w:tcW w:w="3192" w:type="dxa"/>
            <w:tcBorders>
              <w:top w:val="nil"/>
              <w:bottom w:val="nil"/>
            </w:tcBorders>
            <w:shd w:val="clear" w:color="auto" w:fill="D9D9D9" w:themeFill="background1" w:themeFillShade="D9"/>
          </w:tcPr>
          <w:p w14:paraId="6334A8D8" w14:textId="77777777" w:rsidR="00AC0F19" w:rsidRPr="00067D39" w:rsidRDefault="00AC0F19" w:rsidP="00067D39">
            <w:pPr>
              <w:pStyle w:val="TableText"/>
              <w:ind w:right="113"/>
              <w:rPr>
                <w:b/>
              </w:rPr>
            </w:pPr>
            <w:r w:rsidRPr="00067D39">
              <w:rPr>
                <w:b/>
              </w:rPr>
              <w:t>Inclusion criteria</w:t>
            </w:r>
          </w:p>
        </w:tc>
        <w:tc>
          <w:tcPr>
            <w:tcW w:w="2126" w:type="dxa"/>
            <w:tcBorders>
              <w:top w:val="nil"/>
              <w:bottom w:val="nil"/>
            </w:tcBorders>
            <w:shd w:val="clear" w:color="auto" w:fill="D9D9D9" w:themeFill="background1" w:themeFillShade="D9"/>
          </w:tcPr>
          <w:p w14:paraId="763E5A28" w14:textId="77777777" w:rsidR="00AC0F19" w:rsidRPr="00067D39" w:rsidRDefault="00AC0F19" w:rsidP="00067D39">
            <w:pPr>
              <w:pStyle w:val="TableText"/>
              <w:rPr>
                <w:b/>
              </w:rPr>
            </w:pPr>
            <w:r w:rsidRPr="00067D39">
              <w:rPr>
                <w:b/>
              </w:rPr>
              <w:t>Primary outcome</w:t>
            </w:r>
          </w:p>
        </w:tc>
      </w:tr>
      <w:tr w:rsidR="00AC0F19" w:rsidRPr="00067D39" w14:paraId="6E9A2AF7" w14:textId="77777777" w:rsidTr="00067D39">
        <w:trPr>
          <w:cantSplit/>
        </w:trPr>
        <w:tc>
          <w:tcPr>
            <w:tcW w:w="8080" w:type="dxa"/>
            <w:gridSpan w:val="3"/>
            <w:tcBorders>
              <w:top w:val="nil"/>
            </w:tcBorders>
          </w:tcPr>
          <w:p w14:paraId="45051241" w14:textId="77777777" w:rsidR="00AC0F19" w:rsidRPr="00067D39" w:rsidRDefault="00AC0F19" w:rsidP="00067D39">
            <w:pPr>
              <w:pStyle w:val="TableText"/>
              <w:keepNext/>
              <w:ind w:right="113"/>
              <w:rPr>
                <w:b/>
              </w:rPr>
            </w:pPr>
            <w:r w:rsidRPr="00067D39">
              <w:rPr>
                <w:b/>
              </w:rPr>
              <w:t>Indications</w:t>
            </w:r>
          </w:p>
        </w:tc>
      </w:tr>
      <w:tr w:rsidR="00AC0F19" w14:paraId="70308C27" w14:textId="77777777" w:rsidTr="00067D39">
        <w:trPr>
          <w:cantSplit/>
        </w:trPr>
        <w:tc>
          <w:tcPr>
            <w:tcW w:w="2762" w:type="dxa"/>
          </w:tcPr>
          <w:p w14:paraId="2B6F4064" w14:textId="77777777" w:rsidR="00AC0F19" w:rsidRDefault="00AC0F19" w:rsidP="00067D39">
            <w:pPr>
              <w:pStyle w:val="TableText"/>
              <w:keepNext/>
              <w:ind w:right="113"/>
            </w:pPr>
            <w:r>
              <w:t>Premature rupture of membranes with a Bishop score</w:t>
            </w:r>
            <w:r w:rsidR="00067D39">
              <w:t> </w:t>
            </w:r>
            <w:r w:rsidR="00436939">
              <w:t>&lt;</w:t>
            </w:r>
            <w:r>
              <w:t xml:space="preserve">6; comparison of medical induction / expectant management, </w:t>
            </w:r>
            <w:hyperlink r:id="rId28">
              <w:r>
                <w:rPr>
                  <w:color w:val="0000FF"/>
                  <w:u w:val="single" w:color="0000FF"/>
                </w:rPr>
                <w:t>NCT02825641</w:t>
              </w:r>
            </w:hyperlink>
          </w:p>
        </w:tc>
        <w:tc>
          <w:tcPr>
            <w:tcW w:w="3192" w:type="dxa"/>
          </w:tcPr>
          <w:p w14:paraId="6605FD24" w14:textId="77777777" w:rsidR="00AC0F19" w:rsidRDefault="00AC0F19" w:rsidP="00067D39">
            <w:pPr>
              <w:pStyle w:val="TableText"/>
              <w:ind w:right="113"/>
            </w:pPr>
            <w:r>
              <w:t>Women with term (</w:t>
            </w:r>
            <w:r w:rsidR="00436939">
              <w:t>&gt;</w:t>
            </w:r>
            <w:r w:rsidR="00EB43A9">
              <w:t>37 weeks</w:t>
            </w:r>
            <w:r w:rsidR="00B0606D">
              <w:t>’</w:t>
            </w:r>
            <w:r>
              <w:t xml:space="preserve"> gestation), singleton, vertex presentation pregnancies, with no obstetric or clinical contraindications for labour induction, Bishop score </w:t>
            </w:r>
            <w:r w:rsidR="00436939">
              <w:t>&lt;</w:t>
            </w:r>
            <w:r>
              <w:t>6, and reactive non-stress test on presentation.</w:t>
            </w:r>
          </w:p>
        </w:tc>
        <w:tc>
          <w:tcPr>
            <w:tcW w:w="2126" w:type="dxa"/>
          </w:tcPr>
          <w:p w14:paraId="0ECD2C7E" w14:textId="77777777" w:rsidR="00AC0F19" w:rsidRDefault="00AC0F19" w:rsidP="00067D39">
            <w:pPr>
              <w:pStyle w:val="TableText"/>
            </w:pPr>
            <w:r>
              <w:t>Percentage of participants that achieve vaginal delivery (up to 7</w:t>
            </w:r>
            <w:r w:rsidR="00067D39">
              <w:t> </w:t>
            </w:r>
            <w:r>
              <w:t>days from the time of the presentation with PROM).</w:t>
            </w:r>
          </w:p>
        </w:tc>
      </w:tr>
      <w:tr w:rsidR="00AC0F19" w:rsidRPr="00067D39" w14:paraId="1B3EB7B6" w14:textId="77777777" w:rsidTr="00067D39">
        <w:trPr>
          <w:cantSplit/>
        </w:trPr>
        <w:tc>
          <w:tcPr>
            <w:tcW w:w="8080" w:type="dxa"/>
            <w:gridSpan w:val="3"/>
          </w:tcPr>
          <w:p w14:paraId="117D9EB8" w14:textId="77777777" w:rsidR="00AC0F19" w:rsidRPr="00067D39" w:rsidRDefault="00AC0F19" w:rsidP="00067D39">
            <w:pPr>
              <w:pStyle w:val="TableText"/>
              <w:keepNext/>
              <w:ind w:right="113"/>
              <w:rPr>
                <w:b/>
              </w:rPr>
            </w:pPr>
            <w:r w:rsidRPr="00067D39">
              <w:rPr>
                <w:b/>
              </w:rPr>
              <w:t>Methods</w:t>
            </w:r>
          </w:p>
        </w:tc>
      </w:tr>
      <w:tr w:rsidR="00AC0F19" w14:paraId="6893DBBA" w14:textId="77777777" w:rsidTr="00067D39">
        <w:trPr>
          <w:cantSplit/>
        </w:trPr>
        <w:tc>
          <w:tcPr>
            <w:tcW w:w="2762" w:type="dxa"/>
          </w:tcPr>
          <w:p w14:paraId="501A83CD" w14:textId="77777777" w:rsidR="00AC0F19" w:rsidRDefault="00AC0F19" w:rsidP="00067D39">
            <w:pPr>
              <w:pStyle w:val="TableText"/>
              <w:keepNext/>
              <w:ind w:right="113"/>
            </w:pPr>
            <w:r>
              <w:t xml:space="preserve">An RCT of a synthetic osmotic cervical dilator for IOL in comparison to </w:t>
            </w:r>
            <w:proofErr w:type="spellStart"/>
            <w:r>
              <w:t>dinoprostone</w:t>
            </w:r>
            <w:proofErr w:type="spellEnd"/>
            <w:r>
              <w:t xml:space="preserve"> vaginal insert (SOLVE), </w:t>
            </w:r>
            <w:hyperlink r:id="rId29">
              <w:r>
                <w:rPr>
                  <w:color w:val="0000FF"/>
                  <w:u w:val="single" w:color="0000FF"/>
                </w:rPr>
                <w:t>NCT03001661</w:t>
              </w:r>
            </w:hyperlink>
          </w:p>
        </w:tc>
        <w:tc>
          <w:tcPr>
            <w:tcW w:w="3192" w:type="dxa"/>
          </w:tcPr>
          <w:p w14:paraId="243F42A4" w14:textId="77777777" w:rsidR="00AC0F19" w:rsidRDefault="00AC0F19" w:rsidP="00067D39">
            <w:pPr>
              <w:pStyle w:val="TableText"/>
              <w:ind w:right="113"/>
            </w:pPr>
            <w:r>
              <w:t xml:space="preserve">Women </w:t>
            </w:r>
            <w:r w:rsidR="002E5969">
              <w:t>≥</w:t>
            </w:r>
            <w:r>
              <w:t>16 years of age with a singleton pregnancy and able to provide informed consent.</w:t>
            </w:r>
          </w:p>
        </w:tc>
        <w:tc>
          <w:tcPr>
            <w:tcW w:w="2126" w:type="dxa"/>
          </w:tcPr>
          <w:p w14:paraId="29EC4806" w14:textId="77777777" w:rsidR="00AC0F19" w:rsidRDefault="00AC0F19" w:rsidP="00067D39">
            <w:pPr>
              <w:pStyle w:val="TableText"/>
            </w:pPr>
            <w:r>
              <w:t>Failure to achieve vaginal delivery within 36 hours from randomisation.</w:t>
            </w:r>
          </w:p>
        </w:tc>
      </w:tr>
      <w:tr w:rsidR="00AC0F19" w14:paraId="3F84C544" w14:textId="77777777" w:rsidTr="00067D39">
        <w:trPr>
          <w:cantSplit/>
        </w:trPr>
        <w:tc>
          <w:tcPr>
            <w:tcW w:w="2762" w:type="dxa"/>
          </w:tcPr>
          <w:p w14:paraId="0B616EB4" w14:textId="77777777" w:rsidR="00AC0F19" w:rsidRDefault="00AC0F19" w:rsidP="00067D39">
            <w:pPr>
              <w:pStyle w:val="TableText"/>
              <w:ind w:right="113"/>
            </w:pPr>
            <w:r>
              <w:t xml:space="preserve">Efficacy of induction of </w:t>
            </w:r>
            <w:proofErr w:type="spellStart"/>
            <w:r>
              <w:t>labor</w:t>
            </w:r>
            <w:proofErr w:type="spellEnd"/>
            <w:r>
              <w:t xml:space="preserve"> on term using a double balloon catheter compared to </w:t>
            </w:r>
            <w:proofErr w:type="spellStart"/>
            <w:r>
              <w:t>dinoprostone</w:t>
            </w:r>
            <w:proofErr w:type="spellEnd"/>
            <w:r>
              <w:t xml:space="preserve"> vaginal-insert, </w:t>
            </w:r>
            <w:hyperlink r:id="rId30">
              <w:r>
                <w:rPr>
                  <w:color w:val="0000FF"/>
                  <w:u w:val="single" w:color="0000FF"/>
                </w:rPr>
                <w:t>NCT01720394</w:t>
              </w:r>
            </w:hyperlink>
          </w:p>
        </w:tc>
        <w:tc>
          <w:tcPr>
            <w:tcW w:w="3192" w:type="dxa"/>
          </w:tcPr>
          <w:p w14:paraId="33E093BB" w14:textId="77777777" w:rsidR="00AC0F19" w:rsidRDefault="00AC0F19" w:rsidP="00067D39">
            <w:pPr>
              <w:pStyle w:val="TableText"/>
              <w:ind w:right="113"/>
            </w:pPr>
            <w:r>
              <w:t>Medical indication for IOL, aged 18</w:t>
            </w:r>
            <w:r w:rsidR="00067D39">
              <w:t> </w:t>
            </w:r>
            <w:r>
              <w:t>years, signed informed consent, cephalic presentation, no PROM,</w:t>
            </w:r>
            <w:r w:rsidR="00067D39">
              <w:br/>
            </w:r>
            <w:r>
              <w:t>37–</w:t>
            </w:r>
            <w:r w:rsidR="00EB43A9">
              <w:t>42 weeks</w:t>
            </w:r>
            <w:r w:rsidR="00B0606D">
              <w:t>’</w:t>
            </w:r>
            <w:r>
              <w:t xml:space="preserve"> gestation, Bishop score </w:t>
            </w:r>
            <w:r w:rsidR="00067D39">
              <w:t>≤</w:t>
            </w:r>
            <w:r>
              <w:t>6, no contraindication for medical induction and no clinical sign of infection.</w:t>
            </w:r>
          </w:p>
        </w:tc>
        <w:tc>
          <w:tcPr>
            <w:tcW w:w="2126" w:type="dxa"/>
          </w:tcPr>
          <w:p w14:paraId="49904A72" w14:textId="77777777" w:rsidR="00AC0F19" w:rsidRDefault="00AC0F19" w:rsidP="00067D39">
            <w:pPr>
              <w:pStyle w:val="TableText"/>
            </w:pPr>
            <w:r>
              <w:t>Time interval from primary treatment to delivery.</w:t>
            </w:r>
          </w:p>
        </w:tc>
      </w:tr>
      <w:tr w:rsidR="00AC0F19" w14:paraId="280DB0BA" w14:textId="77777777" w:rsidTr="00067D39">
        <w:trPr>
          <w:cantSplit/>
        </w:trPr>
        <w:tc>
          <w:tcPr>
            <w:tcW w:w="2762" w:type="dxa"/>
          </w:tcPr>
          <w:p w14:paraId="639090FA" w14:textId="77777777" w:rsidR="00AC0F19" w:rsidRDefault="00AC0F19" w:rsidP="00067D39">
            <w:pPr>
              <w:pStyle w:val="TableText"/>
              <w:ind w:right="113"/>
            </w:pPr>
            <w:r>
              <w:t xml:space="preserve">Early amniotomy vs delayed amniotomy following Foley catheter ripening in nulliparous </w:t>
            </w:r>
            <w:proofErr w:type="spellStart"/>
            <w:r>
              <w:t>labor</w:t>
            </w:r>
            <w:proofErr w:type="spellEnd"/>
            <w:r>
              <w:t xml:space="preserve"> induction, </w:t>
            </w:r>
            <w:hyperlink r:id="rId31">
              <w:r>
                <w:rPr>
                  <w:color w:val="0000FF"/>
                  <w:u w:val="single" w:color="0000FF"/>
                </w:rPr>
                <w:t>NCT03039036</w:t>
              </w:r>
            </w:hyperlink>
          </w:p>
        </w:tc>
        <w:tc>
          <w:tcPr>
            <w:tcW w:w="3192" w:type="dxa"/>
          </w:tcPr>
          <w:p w14:paraId="3C16A767" w14:textId="77777777" w:rsidR="00AC0F19" w:rsidRDefault="00AC0F19" w:rsidP="00067D39">
            <w:pPr>
              <w:pStyle w:val="TableText"/>
              <w:ind w:right="113"/>
            </w:pPr>
            <w:r>
              <w:t xml:space="preserve">Women, aged </w:t>
            </w:r>
            <w:r w:rsidR="002E5969">
              <w:t>≥</w:t>
            </w:r>
            <w:r>
              <w:t>18 years who are nulliparous, pregnant with a singleton gestation (</w:t>
            </w:r>
            <w:r w:rsidR="002E5969">
              <w:t>≥</w:t>
            </w:r>
            <w:r w:rsidR="00EB43A9">
              <w:t>37 weeks</w:t>
            </w:r>
            <w:r>
              <w:t xml:space="preserve"> gestation) undergoing induction with Foley catheter, English speaking and can provide informed consent.</w:t>
            </w:r>
          </w:p>
        </w:tc>
        <w:tc>
          <w:tcPr>
            <w:tcW w:w="2126" w:type="dxa"/>
          </w:tcPr>
          <w:p w14:paraId="4C20F96D" w14:textId="77777777" w:rsidR="00AC0F19" w:rsidRDefault="00AC0F19" w:rsidP="00067D39">
            <w:pPr>
              <w:pStyle w:val="TableText"/>
            </w:pPr>
            <w:r>
              <w:t>Time interval from Foley catheter removal to delivery.</w:t>
            </w:r>
          </w:p>
        </w:tc>
      </w:tr>
      <w:tr w:rsidR="00AC0F19" w14:paraId="55AA96A6" w14:textId="77777777" w:rsidTr="00067D39">
        <w:trPr>
          <w:cantSplit/>
        </w:trPr>
        <w:tc>
          <w:tcPr>
            <w:tcW w:w="2762" w:type="dxa"/>
          </w:tcPr>
          <w:p w14:paraId="30419927" w14:textId="77777777" w:rsidR="00AC0F19" w:rsidRDefault="00AC0F19" w:rsidP="00067D39">
            <w:pPr>
              <w:pStyle w:val="TableText"/>
              <w:ind w:right="113"/>
            </w:pPr>
            <w:r>
              <w:t xml:space="preserve">What after the first </w:t>
            </w:r>
            <w:proofErr w:type="spellStart"/>
            <w:r>
              <w:t>propess</w:t>
            </w:r>
            <w:proofErr w:type="spellEnd"/>
            <w:r>
              <w:t xml:space="preserve"> (PRODUCT), </w:t>
            </w:r>
            <w:hyperlink r:id="rId32">
              <w:r>
                <w:rPr>
                  <w:color w:val="0000FF"/>
                  <w:u w:val="single" w:color="0000FF"/>
                </w:rPr>
                <w:t>NCT02956785</w:t>
              </w:r>
            </w:hyperlink>
          </w:p>
        </w:tc>
        <w:tc>
          <w:tcPr>
            <w:tcW w:w="3192" w:type="dxa"/>
          </w:tcPr>
          <w:p w14:paraId="5F9D2EE1" w14:textId="77777777" w:rsidR="00AC0F19" w:rsidRDefault="00AC0F19" w:rsidP="00067D39">
            <w:pPr>
              <w:pStyle w:val="TableText"/>
              <w:ind w:right="113"/>
            </w:pPr>
            <w:r>
              <w:t>Women with a viable singleton pregnancy with no antenatal fetal concerns, cephalic presentation with intact membranes and no prior c</w:t>
            </w:r>
            <w:r w:rsidR="00067D39">
              <w:noBreakHyphen/>
            </w:r>
            <w:r>
              <w:t>section, booked for IOL at</w:t>
            </w:r>
            <w:r w:rsidR="00067D39">
              <w:br/>
            </w:r>
            <w:r>
              <w:t>37–</w:t>
            </w:r>
            <w:r w:rsidR="00EB43A9">
              <w:t>42 weeks</w:t>
            </w:r>
            <w:r w:rsidR="00B0606D">
              <w:t>’</w:t>
            </w:r>
            <w:r>
              <w:t xml:space="preserve"> gestation.</w:t>
            </w:r>
          </w:p>
        </w:tc>
        <w:tc>
          <w:tcPr>
            <w:tcW w:w="2126" w:type="dxa"/>
          </w:tcPr>
          <w:p w14:paraId="2C1C530B" w14:textId="77777777" w:rsidR="00AC0F19" w:rsidRDefault="00AC0F19" w:rsidP="00067D39">
            <w:pPr>
              <w:pStyle w:val="TableText"/>
            </w:pPr>
            <w:r>
              <w:t>Rate of achieving spontaneous or artificial rupture of membranes.</w:t>
            </w:r>
          </w:p>
        </w:tc>
      </w:tr>
      <w:tr w:rsidR="00AC0F19" w14:paraId="77D0E5B4" w14:textId="77777777" w:rsidTr="00067D39">
        <w:trPr>
          <w:cantSplit/>
        </w:trPr>
        <w:tc>
          <w:tcPr>
            <w:tcW w:w="2762" w:type="dxa"/>
          </w:tcPr>
          <w:p w14:paraId="0C624D5A" w14:textId="77777777" w:rsidR="00AC0F19" w:rsidRDefault="00AC0F19" w:rsidP="00067D39">
            <w:pPr>
              <w:pStyle w:val="TableText"/>
              <w:ind w:right="113"/>
            </w:pPr>
            <w:r>
              <w:t xml:space="preserve">Foley bulb with oral misoprostol for induction of </w:t>
            </w:r>
            <w:proofErr w:type="spellStart"/>
            <w:r>
              <w:t>labor</w:t>
            </w:r>
            <w:proofErr w:type="spellEnd"/>
            <w:r>
              <w:t xml:space="preserve">, </w:t>
            </w:r>
            <w:hyperlink r:id="rId33">
              <w:r>
                <w:rPr>
                  <w:color w:val="0000FF"/>
                  <w:u w:val="single" w:color="0000FF"/>
                </w:rPr>
                <w:t>NCT03407625</w:t>
              </w:r>
            </w:hyperlink>
          </w:p>
        </w:tc>
        <w:tc>
          <w:tcPr>
            <w:tcW w:w="3192" w:type="dxa"/>
          </w:tcPr>
          <w:p w14:paraId="323E3084" w14:textId="77777777" w:rsidR="00AC0F19" w:rsidRDefault="00AC0F19" w:rsidP="00067D39">
            <w:pPr>
              <w:pStyle w:val="TableText"/>
              <w:ind w:right="113"/>
            </w:pPr>
            <w:r>
              <w:t xml:space="preserve">Women with a live singleton fetus with no major fetal malformations, cephalic presentation at </w:t>
            </w:r>
            <w:r w:rsidR="002E5969">
              <w:t>≥</w:t>
            </w:r>
            <w:r w:rsidR="00EB43A9">
              <w:t>37 weeks</w:t>
            </w:r>
            <w:r>
              <w:t xml:space="preserve"> gestation, with cervical dilatation of </w:t>
            </w:r>
            <w:r w:rsidR="00067D39">
              <w:t>≤</w:t>
            </w:r>
            <w:r>
              <w:t>2 cm, no previous uterine scar, intact fetal membranes and who have an indication for induction or attempted IOL and qualify for PG administration (according to current Parkland protocol).</w:t>
            </w:r>
          </w:p>
        </w:tc>
        <w:tc>
          <w:tcPr>
            <w:tcW w:w="2126" w:type="dxa"/>
          </w:tcPr>
          <w:p w14:paraId="16D801FC" w14:textId="77777777" w:rsidR="00AC0F19" w:rsidRDefault="00AC0F19" w:rsidP="00067D39">
            <w:pPr>
              <w:pStyle w:val="TableText"/>
            </w:pPr>
            <w:r>
              <w:t>Vaginal delivery.</w:t>
            </w:r>
          </w:p>
        </w:tc>
      </w:tr>
      <w:tr w:rsidR="00AC0F19" w14:paraId="03B33077" w14:textId="77777777" w:rsidTr="00067D39">
        <w:trPr>
          <w:cantSplit/>
        </w:trPr>
        <w:tc>
          <w:tcPr>
            <w:tcW w:w="2762" w:type="dxa"/>
          </w:tcPr>
          <w:p w14:paraId="24091D55" w14:textId="77777777" w:rsidR="00AC0F19" w:rsidRDefault="00AC0F19" w:rsidP="00067D39">
            <w:pPr>
              <w:pStyle w:val="TableText"/>
              <w:ind w:right="113"/>
            </w:pPr>
            <w:r>
              <w:lastRenderedPageBreak/>
              <w:t xml:space="preserve">Outpatient Foley for starting induction of </w:t>
            </w:r>
            <w:proofErr w:type="spellStart"/>
            <w:r>
              <w:t>labor</w:t>
            </w:r>
            <w:proofErr w:type="spellEnd"/>
            <w:r>
              <w:t xml:space="preserve"> at term in nulliparous women (OFFSITE III), </w:t>
            </w:r>
            <w:hyperlink r:id="rId34">
              <w:r>
                <w:rPr>
                  <w:color w:val="0000FF"/>
                  <w:u w:val="single" w:color="0000FF"/>
                </w:rPr>
                <w:t>NCT03472937</w:t>
              </w:r>
            </w:hyperlink>
          </w:p>
        </w:tc>
        <w:tc>
          <w:tcPr>
            <w:tcW w:w="3192" w:type="dxa"/>
          </w:tcPr>
          <w:p w14:paraId="0CB711EF" w14:textId="77777777" w:rsidR="00AC0F19" w:rsidRDefault="00AC0F19" w:rsidP="00067D39">
            <w:pPr>
              <w:pStyle w:val="TableText"/>
              <w:ind w:right="113"/>
            </w:pPr>
            <w:r>
              <w:t xml:space="preserve">Nulliparous women aged </w:t>
            </w:r>
            <w:r w:rsidR="002E5969">
              <w:t>≥</w:t>
            </w:r>
            <w:r>
              <w:t xml:space="preserve">18 years with a singleton, vertex presentation pregnancy with gestation between 39 and </w:t>
            </w:r>
            <w:r w:rsidR="00EB43A9">
              <w:t>42 weeks</w:t>
            </w:r>
            <w:r w:rsidR="00B0606D">
              <w:t>’</w:t>
            </w:r>
            <w:r>
              <w:t xml:space="preserve"> gestation, a modified Bishop score </w:t>
            </w:r>
            <w:r w:rsidR="00436939">
              <w:t>&lt;</w:t>
            </w:r>
            <w:r>
              <w:t xml:space="preserve">5 and cervical dilatation </w:t>
            </w:r>
            <w:r w:rsidR="00436939">
              <w:t>&lt;</w:t>
            </w:r>
            <w:r>
              <w:t>2 cm, no previous uterine surgery, reside within 30</w:t>
            </w:r>
            <w:r w:rsidR="00067D39">
              <w:t> </w:t>
            </w:r>
            <w:r>
              <w:t>min</w:t>
            </w:r>
            <w:r w:rsidR="00067D39">
              <w:t>ute</w:t>
            </w:r>
            <w:r>
              <w:t>s of the hospital and have access to a telephone and reliable transportation.</w:t>
            </w:r>
          </w:p>
        </w:tc>
        <w:tc>
          <w:tcPr>
            <w:tcW w:w="2126" w:type="dxa"/>
          </w:tcPr>
          <w:p w14:paraId="6637BF4F" w14:textId="77777777" w:rsidR="00AC0F19" w:rsidRDefault="00AC0F19" w:rsidP="00067D39">
            <w:pPr>
              <w:pStyle w:val="TableText"/>
            </w:pPr>
            <w:r>
              <w:t>Total time from admission to delivery.</w:t>
            </w:r>
          </w:p>
        </w:tc>
      </w:tr>
      <w:tr w:rsidR="00AC0F19" w14:paraId="572884F1" w14:textId="77777777" w:rsidTr="00067D39">
        <w:trPr>
          <w:cantSplit/>
        </w:trPr>
        <w:tc>
          <w:tcPr>
            <w:tcW w:w="2762" w:type="dxa"/>
          </w:tcPr>
          <w:p w14:paraId="0C56F4E3" w14:textId="77777777" w:rsidR="00AC0F19" w:rsidRDefault="00AC0F19" w:rsidP="00067D39">
            <w:pPr>
              <w:pStyle w:val="TableText"/>
              <w:ind w:right="113"/>
            </w:pPr>
            <w:r>
              <w:t xml:space="preserve">Comparing Foley catheter balloon with early amniotomy for induction of </w:t>
            </w:r>
            <w:proofErr w:type="spellStart"/>
            <w:r>
              <w:t>labor</w:t>
            </w:r>
            <w:proofErr w:type="spellEnd"/>
            <w:r>
              <w:t xml:space="preserve"> at term, </w:t>
            </w:r>
            <w:hyperlink r:id="rId35">
              <w:r>
                <w:rPr>
                  <w:color w:val="0000FF"/>
                  <w:u w:val="single" w:color="0000FF"/>
                </w:rPr>
                <w:t>NCT03629548</w:t>
              </w:r>
            </w:hyperlink>
          </w:p>
        </w:tc>
        <w:tc>
          <w:tcPr>
            <w:tcW w:w="3192" w:type="dxa"/>
          </w:tcPr>
          <w:p w14:paraId="7EFD7005" w14:textId="77777777" w:rsidR="00AC0F19" w:rsidRDefault="00AC0F19" w:rsidP="00067D39">
            <w:pPr>
              <w:pStyle w:val="TableText"/>
              <w:ind w:right="113"/>
            </w:pPr>
            <w:r>
              <w:t xml:space="preserve">Women with singleton, cephalic presentation pregnancy </w:t>
            </w:r>
            <w:r w:rsidR="002E5969">
              <w:t>≥</w:t>
            </w:r>
            <w:r w:rsidR="00EB43A9">
              <w:t>37 weeks</w:t>
            </w:r>
            <w:r w:rsidR="00B0606D">
              <w:t>’</w:t>
            </w:r>
            <w:r>
              <w:t xml:space="preserve"> gestation, with intact membranes, Bishop score </w:t>
            </w:r>
            <w:r w:rsidR="00436939">
              <w:t>&lt;</w:t>
            </w:r>
            <w:r>
              <w:t>5, obstetric indications for IOL and less than three uterine contractions in every 10</w:t>
            </w:r>
            <w:r w:rsidR="00067D39">
              <w:t> </w:t>
            </w:r>
            <w:r>
              <w:t>min</w:t>
            </w:r>
            <w:r w:rsidR="00067D39">
              <w:t>ute</w:t>
            </w:r>
            <w:r>
              <w:t>s.</w:t>
            </w:r>
          </w:p>
        </w:tc>
        <w:tc>
          <w:tcPr>
            <w:tcW w:w="2126" w:type="dxa"/>
          </w:tcPr>
          <w:p w14:paraId="5BBF5B90" w14:textId="77777777" w:rsidR="00AC0F19" w:rsidRDefault="00AC0F19" w:rsidP="00067D39">
            <w:pPr>
              <w:pStyle w:val="TableText"/>
            </w:pPr>
            <w:r>
              <w:t>Induction-to-delivery time.</w:t>
            </w:r>
          </w:p>
        </w:tc>
      </w:tr>
      <w:tr w:rsidR="00AC0F19" w14:paraId="2474AAEA" w14:textId="77777777" w:rsidTr="00067D39">
        <w:trPr>
          <w:cantSplit/>
        </w:trPr>
        <w:tc>
          <w:tcPr>
            <w:tcW w:w="2762" w:type="dxa"/>
          </w:tcPr>
          <w:p w14:paraId="48810564" w14:textId="77777777" w:rsidR="00AC0F19" w:rsidRDefault="00AC0F19" w:rsidP="00067D39">
            <w:pPr>
              <w:pStyle w:val="TableText"/>
              <w:ind w:right="113"/>
            </w:pPr>
            <w:r>
              <w:t xml:space="preserve">A comparison of oral misoprostol and vaginal misoprostol for cervical ripening and induction of </w:t>
            </w:r>
            <w:proofErr w:type="spellStart"/>
            <w:r>
              <w:t>labor</w:t>
            </w:r>
            <w:proofErr w:type="spellEnd"/>
            <w:r>
              <w:t xml:space="preserve">, </w:t>
            </w:r>
            <w:hyperlink r:id="rId36">
              <w:r>
                <w:rPr>
                  <w:color w:val="0000FF"/>
                  <w:u w:val="single" w:color="0000FF"/>
                </w:rPr>
                <w:t>NCT02777190</w:t>
              </w:r>
            </w:hyperlink>
          </w:p>
        </w:tc>
        <w:tc>
          <w:tcPr>
            <w:tcW w:w="3192" w:type="dxa"/>
          </w:tcPr>
          <w:p w14:paraId="18B8A020" w14:textId="77777777" w:rsidR="00AC0F19" w:rsidRDefault="00AC0F19" w:rsidP="00067D39">
            <w:pPr>
              <w:pStyle w:val="TableText"/>
              <w:ind w:right="113"/>
            </w:pPr>
            <w:r>
              <w:t xml:space="preserve">Women aged </w:t>
            </w:r>
            <w:r w:rsidR="002E5969">
              <w:t>≥</w:t>
            </w:r>
            <w:r>
              <w:t>18 years with a single live cephalic presenting intrauterine pregnancy (</w:t>
            </w:r>
            <w:r w:rsidR="002E5969">
              <w:t>≥</w:t>
            </w:r>
            <w:r w:rsidR="00EB43A9">
              <w:t>37 weeks</w:t>
            </w:r>
            <w:r w:rsidR="00B0606D">
              <w:t>’</w:t>
            </w:r>
            <w:r>
              <w:t xml:space="preserve"> gestation) undergoing IOL, with 20</w:t>
            </w:r>
            <w:r w:rsidR="00067D39">
              <w:t> </w:t>
            </w:r>
            <w:r>
              <w:t>min</w:t>
            </w:r>
            <w:r w:rsidR="00067D39">
              <w:t>ute</w:t>
            </w:r>
            <w:r>
              <w:t xml:space="preserve">s reassuring fetal heart rate, Bishop score </w:t>
            </w:r>
            <w:r w:rsidR="00067D39">
              <w:t>≤</w:t>
            </w:r>
            <w:r>
              <w:t xml:space="preserve">6 (cervical dilatation </w:t>
            </w:r>
            <w:r w:rsidR="00067D39">
              <w:t>≤</w:t>
            </w:r>
            <w:r>
              <w:t>2</w:t>
            </w:r>
            <w:r w:rsidR="00067D39">
              <w:t> </w:t>
            </w:r>
            <w:r>
              <w:t>cm), and three or fewer</w:t>
            </w:r>
            <w:r>
              <w:rPr>
                <w:spacing w:val="-16"/>
              </w:rPr>
              <w:t xml:space="preserve"> </w:t>
            </w:r>
            <w:r>
              <w:t>uterine contractions over 10</w:t>
            </w:r>
            <w:r w:rsidR="00067D39">
              <w:t> </w:t>
            </w:r>
            <w:r>
              <w:t>min</w:t>
            </w:r>
            <w:r w:rsidR="00067D39">
              <w:t>ute</w:t>
            </w:r>
            <w:r>
              <w:t>s.</w:t>
            </w:r>
          </w:p>
        </w:tc>
        <w:tc>
          <w:tcPr>
            <w:tcW w:w="2126" w:type="dxa"/>
          </w:tcPr>
          <w:p w14:paraId="7DE3BA72" w14:textId="77777777" w:rsidR="00AC0F19" w:rsidRDefault="00AC0F19" w:rsidP="00067D39">
            <w:pPr>
              <w:pStyle w:val="TableText"/>
            </w:pPr>
            <w:r>
              <w:t xml:space="preserve">Time interval from start of IOL (first misoprostol administration) to active phase of </w:t>
            </w:r>
            <w:proofErr w:type="spellStart"/>
            <w:r>
              <w:t>labor</w:t>
            </w:r>
            <w:proofErr w:type="spellEnd"/>
            <w:r>
              <w:t xml:space="preserve"> (</w:t>
            </w:r>
            <w:r w:rsidR="002E5969">
              <w:t>≥</w:t>
            </w:r>
            <w:r>
              <w:t>6 cm cervical dilation).</w:t>
            </w:r>
          </w:p>
        </w:tc>
      </w:tr>
      <w:tr w:rsidR="00AC0F19" w14:paraId="0CB30D22" w14:textId="77777777" w:rsidTr="00067D39">
        <w:trPr>
          <w:cantSplit/>
        </w:trPr>
        <w:tc>
          <w:tcPr>
            <w:tcW w:w="2762" w:type="dxa"/>
          </w:tcPr>
          <w:p w14:paraId="2ACDA475" w14:textId="77777777" w:rsidR="00AC0F19" w:rsidRDefault="00AC0F19" w:rsidP="00067D39">
            <w:pPr>
              <w:pStyle w:val="TableText"/>
              <w:ind w:right="113"/>
            </w:pPr>
            <w:r>
              <w:t xml:space="preserve">Cervical ripening with the double balloon device (DBD) for 6 hours compared with </w:t>
            </w:r>
            <w:r w:rsidR="003A4BD4">
              <w:t>12 hours</w:t>
            </w:r>
            <w:r>
              <w:t xml:space="preserve"> (</w:t>
            </w:r>
            <w:proofErr w:type="spellStart"/>
            <w:r>
              <w:t>DoubleCRIB</w:t>
            </w:r>
            <w:proofErr w:type="spellEnd"/>
            <w:r>
              <w:t xml:space="preserve">), </w:t>
            </w:r>
            <w:hyperlink r:id="rId37">
              <w:r>
                <w:rPr>
                  <w:color w:val="0000FF"/>
                  <w:u w:val="single" w:color="0000FF"/>
                </w:rPr>
                <w:t>NCT03045939</w:t>
              </w:r>
            </w:hyperlink>
          </w:p>
        </w:tc>
        <w:tc>
          <w:tcPr>
            <w:tcW w:w="3192" w:type="dxa"/>
          </w:tcPr>
          <w:p w14:paraId="2E2AE0FD" w14:textId="77777777" w:rsidR="00AC0F19" w:rsidRDefault="00AC0F19" w:rsidP="00067D39">
            <w:pPr>
              <w:pStyle w:val="TableText"/>
              <w:ind w:right="113"/>
            </w:pPr>
            <w:r>
              <w:t>Parous women aged ≥18 years with an indication for IOL, with a singleton pregnancy in vertex presentation with intact membranes and no significant regular uterine contraction (</w:t>
            </w:r>
            <w:r w:rsidR="002E5969">
              <w:t>≥</w:t>
            </w:r>
            <w:r w:rsidR="00EB43A9">
              <w:t>37 weeks</w:t>
            </w:r>
            <w:r w:rsidR="00B0606D">
              <w:t>’</w:t>
            </w:r>
            <w:r>
              <w:t xml:space="preserve"> gestation) with a Bishop score of ≤5, willingness to comply with the protocol for the duration of the study and signed informed consent.</w:t>
            </w:r>
          </w:p>
        </w:tc>
        <w:tc>
          <w:tcPr>
            <w:tcW w:w="2126" w:type="dxa"/>
          </w:tcPr>
          <w:p w14:paraId="3E062480" w14:textId="77777777" w:rsidR="00AC0F19" w:rsidRDefault="00AC0F19" w:rsidP="00067D39">
            <w:pPr>
              <w:pStyle w:val="TableText"/>
            </w:pPr>
            <w:r>
              <w:t>Time from insertion of the DBD to delivery.</w:t>
            </w:r>
          </w:p>
        </w:tc>
      </w:tr>
      <w:tr w:rsidR="00AC0F19" w14:paraId="2BCAAAE5" w14:textId="77777777" w:rsidTr="00067D39">
        <w:trPr>
          <w:cantSplit/>
        </w:trPr>
        <w:tc>
          <w:tcPr>
            <w:tcW w:w="2762" w:type="dxa"/>
          </w:tcPr>
          <w:p w14:paraId="4C0B8188" w14:textId="77777777" w:rsidR="00AC0F19" w:rsidRDefault="00AC0F19" w:rsidP="00067D39">
            <w:pPr>
              <w:pStyle w:val="TableText"/>
              <w:ind w:right="113"/>
            </w:pPr>
            <w:r>
              <w:t xml:space="preserve">Is there an interest in repeating the vaginal administration of </w:t>
            </w:r>
            <w:proofErr w:type="spellStart"/>
            <w:r>
              <w:t>dinoprostone</w:t>
            </w:r>
            <w:proofErr w:type="spellEnd"/>
            <w:r>
              <w:t xml:space="preserve"> (</w:t>
            </w:r>
            <w:proofErr w:type="spellStart"/>
            <w:r>
              <w:t>Propess</w:t>
            </w:r>
            <w:proofErr w:type="spellEnd"/>
            <w:r>
              <w:t xml:space="preserve">®), to promote induction of </w:t>
            </w:r>
            <w:proofErr w:type="spellStart"/>
            <w:r>
              <w:t>labor</w:t>
            </w:r>
            <w:proofErr w:type="spellEnd"/>
            <w:r>
              <w:t xml:space="preserve"> of pregnant women at term? (RE</w:t>
            </w:r>
            <w:r w:rsidR="00067D39">
              <w:noBreakHyphen/>
            </w:r>
            <w:r>
              <w:t xml:space="preserve">DINO), </w:t>
            </w:r>
            <w:hyperlink r:id="rId38">
              <w:r>
                <w:rPr>
                  <w:color w:val="0000FF"/>
                  <w:u w:val="single" w:color="0000FF"/>
                </w:rPr>
                <w:t>NCT02888041</w:t>
              </w:r>
            </w:hyperlink>
          </w:p>
        </w:tc>
        <w:tc>
          <w:tcPr>
            <w:tcW w:w="3192" w:type="dxa"/>
          </w:tcPr>
          <w:p w14:paraId="70751060" w14:textId="77777777" w:rsidR="00AC0F19" w:rsidRDefault="00AC0F19" w:rsidP="00067D39">
            <w:pPr>
              <w:pStyle w:val="TableText"/>
              <w:ind w:right="113"/>
            </w:pPr>
            <w:r>
              <w:t xml:space="preserve">Women </w:t>
            </w:r>
            <w:r w:rsidR="002E5969">
              <w:t>≥</w:t>
            </w:r>
            <w:r>
              <w:t>18 years old with a term cephalic presentation pregnancy ≥</w:t>
            </w:r>
            <w:r w:rsidR="00EB43A9">
              <w:t>37 weeks</w:t>
            </w:r>
            <w:r w:rsidR="00B0606D">
              <w:t>’</w:t>
            </w:r>
            <w:r>
              <w:t xml:space="preserve"> gestation, undergoing a medically indicated IOL with intact membranes, unfavourable cervical conditions (Bishop score </w:t>
            </w:r>
            <w:r w:rsidR="00436939">
              <w:t>&lt;</w:t>
            </w:r>
            <w:r>
              <w:t xml:space="preserve">6 ,1 hour before inclusion), who have had the establishment of a first </w:t>
            </w:r>
            <w:proofErr w:type="spellStart"/>
            <w:r>
              <w:t>Propess</w:t>
            </w:r>
            <w:proofErr w:type="spellEnd"/>
            <w:r>
              <w:t>® within 24–36 hours (before signing consent), have signed the consent form and are affiliated with a social security number.</w:t>
            </w:r>
          </w:p>
        </w:tc>
        <w:tc>
          <w:tcPr>
            <w:tcW w:w="2126" w:type="dxa"/>
          </w:tcPr>
          <w:p w14:paraId="56022823" w14:textId="77777777" w:rsidR="00AC0F19" w:rsidRDefault="00AC0F19" w:rsidP="00067D39">
            <w:pPr>
              <w:pStyle w:val="TableText"/>
            </w:pPr>
            <w:r>
              <w:t>Rate of deliveries vaginally.</w:t>
            </w:r>
          </w:p>
        </w:tc>
      </w:tr>
      <w:tr w:rsidR="00AC0F19" w14:paraId="22CE9D8D" w14:textId="77777777" w:rsidTr="00067D39">
        <w:trPr>
          <w:cantSplit/>
        </w:trPr>
        <w:tc>
          <w:tcPr>
            <w:tcW w:w="2762" w:type="dxa"/>
          </w:tcPr>
          <w:p w14:paraId="190AE76A" w14:textId="77777777" w:rsidR="00AC0F19" w:rsidRDefault="00AC0F19" w:rsidP="00067D39">
            <w:pPr>
              <w:pStyle w:val="TableText"/>
              <w:keepNext/>
              <w:ind w:right="113"/>
            </w:pPr>
            <w:r>
              <w:lastRenderedPageBreak/>
              <w:t xml:space="preserve">Labour induction with a combined method (pharmacologic and mechanical): randomized controlled trial, </w:t>
            </w:r>
            <w:hyperlink r:id="rId39">
              <w:r>
                <w:rPr>
                  <w:color w:val="0000FF"/>
                  <w:u w:val="single" w:color="0000FF"/>
                </w:rPr>
                <w:t>NCT03928600</w:t>
              </w:r>
            </w:hyperlink>
          </w:p>
        </w:tc>
        <w:tc>
          <w:tcPr>
            <w:tcW w:w="3192" w:type="dxa"/>
          </w:tcPr>
          <w:p w14:paraId="525C8747" w14:textId="77777777" w:rsidR="00AC0F19" w:rsidRDefault="00AC0F19" w:rsidP="00067D39">
            <w:pPr>
              <w:pStyle w:val="TableText"/>
              <w:keepNext/>
              <w:ind w:right="113"/>
            </w:pPr>
            <w:r>
              <w:t>Women with singleton, vertex-presenting pregnancies at term (</w:t>
            </w:r>
            <w:r w:rsidR="002E5969">
              <w:t>≥</w:t>
            </w:r>
            <w:r w:rsidR="00EB43A9">
              <w:t>37 weeks</w:t>
            </w:r>
            <w:r w:rsidR="00B0606D">
              <w:t>’</w:t>
            </w:r>
            <w:r>
              <w:t xml:space="preserve"> gestation), with no contraindication to vaginal delivery, intact membranes and Bishop score </w:t>
            </w:r>
            <w:r w:rsidR="00436939">
              <w:t>&lt;</w:t>
            </w:r>
            <w:r>
              <w:t xml:space="preserve">7 and cervical dilatation </w:t>
            </w:r>
            <w:r w:rsidR="00067D39">
              <w:t>≤</w:t>
            </w:r>
            <w:r>
              <w:t>2 cm.</w:t>
            </w:r>
          </w:p>
        </w:tc>
        <w:tc>
          <w:tcPr>
            <w:tcW w:w="2126" w:type="dxa"/>
          </w:tcPr>
          <w:p w14:paraId="42BE8A5B" w14:textId="77777777" w:rsidR="00AC0F19" w:rsidRDefault="00AC0F19" w:rsidP="00067D39">
            <w:pPr>
              <w:pStyle w:val="TableText"/>
              <w:keepNext/>
            </w:pPr>
            <w:r>
              <w:t>Time to delivery.</w:t>
            </w:r>
          </w:p>
        </w:tc>
      </w:tr>
      <w:tr w:rsidR="00AC0F19" w14:paraId="15664DB4" w14:textId="77777777" w:rsidTr="00067D39">
        <w:trPr>
          <w:cantSplit/>
        </w:trPr>
        <w:tc>
          <w:tcPr>
            <w:tcW w:w="2762" w:type="dxa"/>
          </w:tcPr>
          <w:p w14:paraId="6B7EF18D" w14:textId="77777777" w:rsidR="00AC0F19" w:rsidRDefault="00AC0F19" w:rsidP="00067D39">
            <w:pPr>
              <w:pStyle w:val="TableText"/>
              <w:ind w:right="113"/>
            </w:pPr>
            <w:r>
              <w:t xml:space="preserve">Oral misoprostol solution in labour induction, </w:t>
            </w:r>
            <w:hyperlink r:id="rId40">
              <w:r>
                <w:rPr>
                  <w:color w:val="0000FF"/>
                  <w:u w:val="single" w:color="0000FF"/>
                </w:rPr>
                <w:t>NCT03927807</w:t>
              </w:r>
            </w:hyperlink>
          </w:p>
        </w:tc>
        <w:tc>
          <w:tcPr>
            <w:tcW w:w="3192" w:type="dxa"/>
          </w:tcPr>
          <w:p w14:paraId="0005AB6F" w14:textId="77777777" w:rsidR="00AC0F19" w:rsidRDefault="00AC0F19" w:rsidP="00067D39">
            <w:pPr>
              <w:pStyle w:val="TableText"/>
              <w:ind w:right="113"/>
            </w:pPr>
            <w:r>
              <w:t>Nulliparous women with a singleton live pregnancy, cephalic presentation at term (</w:t>
            </w:r>
            <w:r w:rsidR="002E5969">
              <w:t>≥</w:t>
            </w:r>
            <w:r w:rsidR="00EB43A9">
              <w:t>37 weeks</w:t>
            </w:r>
            <w:r w:rsidR="00B0606D">
              <w:t>’</w:t>
            </w:r>
            <w:r>
              <w:t xml:space="preserve"> gestation), with a Bishop score </w:t>
            </w:r>
            <w:r w:rsidR="00436939">
              <w:t>&lt;</w:t>
            </w:r>
            <w:r>
              <w:t>6, reassuring FHR pattern, not in labour (no contractions), and a clinically adequate pelvis.</w:t>
            </w:r>
          </w:p>
        </w:tc>
        <w:tc>
          <w:tcPr>
            <w:tcW w:w="2126" w:type="dxa"/>
          </w:tcPr>
          <w:p w14:paraId="748E6284" w14:textId="77777777" w:rsidR="00AC0F19" w:rsidRDefault="00AC0F19" w:rsidP="00067D39">
            <w:pPr>
              <w:pStyle w:val="TableText"/>
            </w:pPr>
            <w:r>
              <w:t>Mode of delivery.</w:t>
            </w:r>
          </w:p>
        </w:tc>
      </w:tr>
      <w:tr w:rsidR="00AC0F19" w14:paraId="37552355" w14:textId="77777777" w:rsidTr="00067D39">
        <w:trPr>
          <w:cantSplit/>
        </w:trPr>
        <w:tc>
          <w:tcPr>
            <w:tcW w:w="2762" w:type="dxa"/>
          </w:tcPr>
          <w:p w14:paraId="10BFBB73" w14:textId="77777777" w:rsidR="00AC0F19" w:rsidRDefault="00AC0F19" w:rsidP="00067D39">
            <w:pPr>
              <w:pStyle w:val="TableText"/>
              <w:ind w:right="113"/>
            </w:pPr>
            <w:r>
              <w:t xml:space="preserve">Efficacy and safety of hourly titrated misoprostol versus vaginal </w:t>
            </w:r>
            <w:proofErr w:type="spellStart"/>
            <w:r>
              <w:t>dinoprostone</w:t>
            </w:r>
            <w:proofErr w:type="spellEnd"/>
            <w:r>
              <w:t xml:space="preserve"> and misoprostol for cervical ripening and labour induction, </w:t>
            </w:r>
            <w:hyperlink r:id="rId41">
              <w:r>
                <w:rPr>
                  <w:color w:val="0000FF"/>
                  <w:u w:val="single" w:color="0000FF"/>
                </w:rPr>
                <w:t>NCT02902653</w:t>
              </w:r>
            </w:hyperlink>
          </w:p>
        </w:tc>
        <w:tc>
          <w:tcPr>
            <w:tcW w:w="3192" w:type="dxa"/>
          </w:tcPr>
          <w:p w14:paraId="2686E214" w14:textId="77777777" w:rsidR="00AC0F19" w:rsidRDefault="00AC0F19" w:rsidP="00067D39">
            <w:pPr>
              <w:pStyle w:val="TableText"/>
              <w:ind w:right="113"/>
            </w:pPr>
            <w:r>
              <w:t xml:space="preserve">Women aged </w:t>
            </w:r>
            <w:r w:rsidR="00436939">
              <w:t>&gt;</w:t>
            </w:r>
            <w:r>
              <w:t xml:space="preserve">18 years with a single cephalic presenting pregnancy with intact membranes, unfavourable cervix (Bishop score </w:t>
            </w:r>
            <w:r w:rsidR="00436939">
              <w:t>&lt;</w:t>
            </w:r>
            <w:r>
              <w:t>6), CTG normal and signed informed consent from the patient.</w:t>
            </w:r>
          </w:p>
        </w:tc>
        <w:tc>
          <w:tcPr>
            <w:tcW w:w="2126" w:type="dxa"/>
          </w:tcPr>
          <w:p w14:paraId="1F9BCEB1" w14:textId="77777777" w:rsidR="00AC0F19" w:rsidRDefault="00AC0F19" w:rsidP="00067D39">
            <w:pPr>
              <w:pStyle w:val="TableText"/>
            </w:pPr>
            <w:r>
              <w:t>Compare the</w:t>
            </w:r>
            <w:r w:rsidR="00067D39">
              <w:t xml:space="preserve"> percent</w:t>
            </w:r>
            <w:r>
              <w:t xml:space="preserve">age of women in each group who achieved vaginal delivery within </w:t>
            </w:r>
            <w:r w:rsidR="00EB43A9">
              <w:t>24 hours</w:t>
            </w:r>
            <w:r>
              <w:t xml:space="preserve"> after the beginning of administration in each group (oral misoprostol, vaginal misoprostol and vaginal </w:t>
            </w:r>
            <w:proofErr w:type="spellStart"/>
            <w:r>
              <w:t>dinoprostone</w:t>
            </w:r>
            <w:proofErr w:type="spellEnd"/>
            <w:r>
              <w:t>).</w:t>
            </w:r>
          </w:p>
        </w:tc>
      </w:tr>
      <w:tr w:rsidR="00AC0F19" w14:paraId="4C7AD478" w14:textId="77777777" w:rsidTr="00067D39">
        <w:trPr>
          <w:cantSplit/>
        </w:trPr>
        <w:tc>
          <w:tcPr>
            <w:tcW w:w="2762" w:type="dxa"/>
          </w:tcPr>
          <w:p w14:paraId="58395536" w14:textId="77777777" w:rsidR="00AC0F19" w:rsidRDefault="00AC0F19" w:rsidP="00067D39">
            <w:pPr>
              <w:pStyle w:val="TableText"/>
              <w:ind w:right="113"/>
            </w:pPr>
            <w:r>
              <w:t xml:space="preserve">Comparison of misoprostol ripening efficacy with </w:t>
            </w:r>
            <w:proofErr w:type="spellStart"/>
            <w:r>
              <w:t>dilapan</w:t>
            </w:r>
            <w:proofErr w:type="spellEnd"/>
            <w:r>
              <w:t xml:space="preserve"> (COMRED), </w:t>
            </w:r>
            <w:hyperlink r:id="rId42">
              <w:r>
                <w:rPr>
                  <w:color w:val="0000FF"/>
                  <w:u w:val="single" w:color="0000FF"/>
                </w:rPr>
                <w:t>NCT03670836</w:t>
              </w:r>
            </w:hyperlink>
          </w:p>
        </w:tc>
        <w:tc>
          <w:tcPr>
            <w:tcW w:w="3192" w:type="dxa"/>
          </w:tcPr>
          <w:p w14:paraId="2A86D096" w14:textId="77777777" w:rsidR="00AC0F19" w:rsidRDefault="00AC0F19" w:rsidP="00067D39">
            <w:pPr>
              <w:pStyle w:val="TableText"/>
              <w:ind w:right="113"/>
            </w:pPr>
            <w:r>
              <w:t xml:space="preserve">Women undergoing IOL with a single live fetus in cephalic presentation with </w:t>
            </w:r>
            <w:r w:rsidR="002E5969">
              <w:t>≥</w:t>
            </w:r>
            <w:r w:rsidR="00EB43A9">
              <w:t>37 weeks</w:t>
            </w:r>
            <w:r w:rsidR="00B0606D">
              <w:t>’</w:t>
            </w:r>
            <w:r>
              <w:t xml:space="preserve"> gestation and able to provide informed consent.</w:t>
            </w:r>
          </w:p>
        </w:tc>
        <w:tc>
          <w:tcPr>
            <w:tcW w:w="2126" w:type="dxa"/>
          </w:tcPr>
          <w:p w14:paraId="10FCC769" w14:textId="77777777" w:rsidR="00AC0F19" w:rsidRDefault="00AC0F19" w:rsidP="00067D39">
            <w:pPr>
              <w:pStyle w:val="TableText"/>
            </w:pPr>
            <w:r>
              <w:t>Proportion of women achieving vaginal delivery.</w:t>
            </w:r>
          </w:p>
        </w:tc>
      </w:tr>
      <w:tr w:rsidR="00AC0F19" w14:paraId="514BB0E5" w14:textId="77777777" w:rsidTr="00067D39">
        <w:trPr>
          <w:cantSplit/>
        </w:trPr>
        <w:tc>
          <w:tcPr>
            <w:tcW w:w="2762" w:type="dxa"/>
          </w:tcPr>
          <w:p w14:paraId="1F35EAD2" w14:textId="77777777" w:rsidR="00AC0F19" w:rsidRDefault="00AC0F19" w:rsidP="00067D39">
            <w:pPr>
              <w:pStyle w:val="TableText"/>
              <w:ind w:right="113"/>
            </w:pPr>
            <w:r>
              <w:t xml:space="preserve">Cervical ripening using misoprostol vs </w:t>
            </w:r>
            <w:proofErr w:type="spellStart"/>
            <w:r>
              <w:t>dinoprostone</w:t>
            </w:r>
            <w:proofErr w:type="spellEnd"/>
            <w:r>
              <w:t xml:space="preserve">: a randomised, triple-blinded, interventional study comparing safety and efficacy in primiparous women, ACTRN12616000522415, </w:t>
            </w:r>
            <w:hyperlink r:id="rId43" w:history="1">
              <w:r w:rsidRPr="00067D39">
                <w:rPr>
                  <w:rStyle w:val="Hyperlink"/>
                  <w:szCs w:val="18"/>
                </w:rPr>
                <w:t>www.anzctr.org.au/Trial/Registration/TrialReview.aspx?id=370551&amp;isReview=true</w:t>
              </w:r>
            </w:hyperlink>
          </w:p>
        </w:tc>
        <w:tc>
          <w:tcPr>
            <w:tcW w:w="3192" w:type="dxa"/>
          </w:tcPr>
          <w:p w14:paraId="727E2AFD" w14:textId="77777777" w:rsidR="00AC0F19" w:rsidRDefault="00AC0F19" w:rsidP="00067D39">
            <w:pPr>
              <w:pStyle w:val="TableText"/>
              <w:ind w:right="113"/>
            </w:pPr>
            <w:r>
              <w:t xml:space="preserve">Pregnant women aged </w:t>
            </w:r>
            <w:r w:rsidR="002E5969">
              <w:t>≥</w:t>
            </w:r>
            <w:r>
              <w:t xml:space="preserve">18 years with BMI </w:t>
            </w:r>
            <w:r w:rsidR="00436939">
              <w:t>&lt;</w:t>
            </w:r>
            <w:r>
              <w:t>50 at booking, between 37 and 41+4 weeks</w:t>
            </w:r>
            <w:r w:rsidR="00B0606D">
              <w:t>’</w:t>
            </w:r>
            <w:r>
              <w:t xml:space="preserve"> gestation, having first baby undergoing medically indicated IOL, with Bishop score </w:t>
            </w:r>
            <w:r w:rsidR="00067D39">
              <w:t>≤</w:t>
            </w:r>
            <w:r>
              <w:t>4.</w:t>
            </w:r>
          </w:p>
        </w:tc>
        <w:tc>
          <w:tcPr>
            <w:tcW w:w="2126" w:type="dxa"/>
          </w:tcPr>
          <w:p w14:paraId="6D442EA8" w14:textId="77777777" w:rsidR="00AC0F19" w:rsidRPr="00067D39" w:rsidRDefault="00AC0F19" w:rsidP="00067D39">
            <w:pPr>
              <w:pStyle w:val="TableText"/>
              <w:rPr>
                <w:spacing w:val="-2"/>
              </w:rPr>
            </w:pPr>
            <w:r w:rsidRPr="00067D39">
              <w:rPr>
                <w:spacing w:val="-2"/>
              </w:rPr>
              <w:t>Number of women requiring further cervical ripening with balloon following treatment as assessed by Bishops</w:t>
            </w:r>
            <w:r w:rsidR="00B0606D" w:rsidRPr="00067D39">
              <w:rPr>
                <w:spacing w:val="-2"/>
              </w:rPr>
              <w:t>’</w:t>
            </w:r>
            <w:r w:rsidRPr="00067D39">
              <w:rPr>
                <w:spacing w:val="-2"/>
              </w:rPr>
              <w:t xml:space="preserve"> score ≤7 following removal of treatment drug (at </w:t>
            </w:r>
            <w:r w:rsidR="00EB43A9" w:rsidRPr="00067D39">
              <w:rPr>
                <w:spacing w:val="-2"/>
              </w:rPr>
              <w:t>24 hours</w:t>
            </w:r>
            <w:r w:rsidRPr="00067D39">
              <w:rPr>
                <w:spacing w:val="-2"/>
              </w:rPr>
              <w:t>).</w:t>
            </w:r>
          </w:p>
          <w:p w14:paraId="6BBEE1E2" w14:textId="77777777" w:rsidR="00AC0F19" w:rsidRPr="00067D39" w:rsidRDefault="00AC0F19" w:rsidP="00067D39">
            <w:pPr>
              <w:pStyle w:val="TableText"/>
              <w:rPr>
                <w:spacing w:val="-2"/>
              </w:rPr>
            </w:pPr>
            <w:r w:rsidRPr="00067D39">
              <w:rPr>
                <w:spacing w:val="-2"/>
              </w:rPr>
              <w:t xml:space="preserve">Number of women requiring IOL with oxytocin as assessed by the number of women who have not achieved spontaneous labour following treatment at </w:t>
            </w:r>
            <w:r w:rsidR="00EB43A9" w:rsidRPr="00067D39">
              <w:rPr>
                <w:spacing w:val="-2"/>
              </w:rPr>
              <w:t>48 hours</w:t>
            </w:r>
            <w:r w:rsidRPr="00067D39">
              <w:rPr>
                <w:spacing w:val="-2"/>
              </w:rPr>
              <w:t>).</w:t>
            </w:r>
          </w:p>
          <w:p w14:paraId="14EC88E0" w14:textId="77777777" w:rsidR="00AC0F19" w:rsidRDefault="00AC0F19" w:rsidP="00067D39">
            <w:pPr>
              <w:pStyle w:val="TableText"/>
            </w:pPr>
            <w:r w:rsidRPr="00067D39">
              <w:rPr>
                <w:spacing w:val="-2"/>
              </w:rPr>
              <w:t>Number of women requiring intervention for uterine hyperstimulation that is assessed by the number of women having 6 or more contractions in 10</w:t>
            </w:r>
            <w:r w:rsidR="00067D39">
              <w:rPr>
                <w:spacing w:val="-2"/>
              </w:rPr>
              <w:t> </w:t>
            </w:r>
            <w:r w:rsidRPr="00067D39">
              <w:rPr>
                <w:spacing w:val="-2"/>
              </w:rPr>
              <w:t>minutes who require tocolysis or other intervention for fetal cardiotocography changes.</w:t>
            </w:r>
          </w:p>
        </w:tc>
      </w:tr>
      <w:tr w:rsidR="00AC0F19" w14:paraId="4FD59099" w14:textId="77777777" w:rsidTr="00067D39">
        <w:trPr>
          <w:cantSplit/>
        </w:trPr>
        <w:tc>
          <w:tcPr>
            <w:tcW w:w="2762" w:type="dxa"/>
          </w:tcPr>
          <w:p w14:paraId="5FCE31E2" w14:textId="77777777" w:rsidR="00AC0F19" w:rsidRDefault="00AC0F19" w:rsidP="00067D39">
            <w:pPr>
              <w:pStyle w:val="TableText"/>
              <w:ind w:right="113"/>
            </w:pPr>
            <w:r>
              <w:lastRenderedPageBreak/>
              <w:t xml:space="preserve">Tension versus no tension with Foley bulb induction, </w:t>
            </w:r>
            <w:hyperlink r:id="rId44">
              <w:r>
                <w:rPr>
                  <w:color w:val="0000FF"/>
                  <w:u w:val="single" w:color="0000FF"/>
                </w:rPr>
                <w:t>NCT03588585</w:t>
              </w:r>
            </w:hyperlink>
          </w:p>
        </w:tc>
        <w:tc>
          <w:tcPr>
            <w:tcW w:w="3192" w:type="dxa"/>
          </w:tcPr>
          <w:p w14:paraId="045C8C23" w14:textId="77777777" w:rsidR="00AC0F19" w:rsidRDefault="00AC0F19" w:rsidP="00067D39">
            <w:pPr>
              <w:pStyle w:val="TableText"/>
              <w:ind w:right="113"/>
            </w:pPr>
            <w:r>
              <w:t xml:space="preserve">Nulliparous women aged ≥18 years with a singleton live intrauterine pregnancy, cephalic presenting, with intact fetal membranes, undergoing IOL at </w:t>
            </w:r>
            <w:proofErr w:type="spellStart"/>
            <w:r>
              <w:t>Kapi</w:t>
            </w:r>
            <w:r w:rsidR="00B0606D">
              <w:t>’</w:t>
            </w:r>
            <w:r>
              <w:t>olani</w:t>
            </w:r>
            <w:proofErr w:type="spellEnd"/>
            <w:r>
              <w:t xml:space="preserve"> Medical </w:t>
            </w:r>
            <w:proofErr w:type="spellStart"/>
            <w:r>
              <w:t>Center</w:t>
            </w:r>
            <w:proofErr w:type="spellEnd"/>
            <w:r>
              <w:t xml:space="preserve"> for Women and Children, Hawaii Pacific Health with a Bishop score </w:t>
            </w:r>
            <w:r w:rsidR="00067D39">
              <w:t>≤</w:t>
            </w:r>
            <w:r>
              <w:t>6.</w:t>
            </w:r>
          </w:p>
        </w:tc>
        <w:tc>
          <w:tcPr>
            <w:tcW w:w="2126" w:type="dxa"/>
          </w:tcPr>
          <w:p w14:paraId="6D78D6CE" w14:textId="77777777" w:rsidR="00AC0F19" w:rsidRDefault="00AC0F19" w:rsidP="00067D39">
            <w:pPr>
              <w:pStyle w:val="TableText"/>
            </w:pPr>
            <w:r>
              <w:t>Time to delivery.</w:t>
            </w:r>
          </w:p>
        </w:tc>
      </w:tr>
    </w:tbl>
    <w:p w14:paraId="4F192FD9" w14:textId="77777777" w:rsidR="00AC0F19" w:rsidRDefault="00AC0F19" w:rsidP="00067D39"/>
    <w:p w14:paraId="144D71C0" w14:textId="77777777" w:rsidR="00AC0F19" w:rsidRPr="004C7BE4" w:rsidRDefault="00AC0F19" w:rsidP="00AC0F19">
      <w:pPr>
        <w:pStyle w:val="Table"/>
      </w:pPr>
      <w:bookmarkStart w:id="282" w:name="Table_6._Recruiting_trials_looking_at_ou"/>
      <w:bookmarkStart w:id="283" w:name="_bookmark129"/>
      <w:bookmarkStart w:id="284" w:name="_Toc72488612"/>
      <w:bookmarkEnd w:id="282"/>
      <w:bookmarkEnd w:id="283"/>
      <w:r w:rsidRPr="004C7BE4">
        <w:t>Table</w:t>
      </w:r>
      <w:r w:rsidR="00067D39">
        <w:t> </w:t>
      </w:r>
      <w:r>
        <w:t>B3:</w:t>
      </w:r>
      <w:r w:rsidR="00067D39">
        <w:t xml:space="preserve"> </w:t>
      </w:r>
      <w:r w:rsidRPr="004C7BE4">
        <w:t>Recruiting trials looking at outpatient methods of induction of labour</w:t>
      </w:r>
      <w:bookmarkEnd w:id="28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694"/>
        <w:gridCol w:w="3260"/>
        <w:gridCol w:w="2126"/>
      </w:tblGrid>
      <w:tr w:rsidR="00AC0F19" w:rsidRPr="002F4056" w14:paraId="0E70E73C" w14:textId="77777777" w:rsidTr="002F4056">
        <w:trPr>
          <w:cantSplit/>
          <w:tblHeader/>
        </w:trPr>
        <w:tc>
          <w:tcPr>
            <w:tcW w:w="2694" w:type="dxa"/>
            <w:tcBorders>
              <w:top w:val="nil"/>
              <w:bottom w:val="nil"/>
            </w:tcBorders>
            <w:shd w:val="clear" w:color="auto" w:fill="D9D9D9" w:themeFill="background1" w:themeFillShade="D9"/>
          </w:tcPr>
          <w:p w14:paraId="7A118506" w14:textId="77777777" w:rsidR="00AC0F19" w:rsidRPr="002F4056" w:rsidRDefault="00AC0F19" w:rsidP="002F4056">
            <w:pPr>
              <w:pStyle w:val="TableText"/>
              <w:ind w:right="113"/>
              <w:rPr>
                <w:b/>
              </w:rPr>
            </w:pPr>
            <w:r w:rsidRPr="002F4056">
              <w:rPr>
                <w:b/>
              </w:rPr>
              <w:t>Identifier</w:t>
            </w:r>
          </w:p>
        </w:tc>
        <w:tc>
          <w:tcPr>
            <w:tcW w:w="3260" w:type="dxa"/>
            <w:tcBorders>
              <w:top w:val="nil"/>
              <w:bottom w:val="nil"/>
            </w:tcBorders>
            <w:shd w:val="clear" w:color="auto" w:fill="D9D9D9" w:themeFill="background1" w:themeFillShade="D9"/>
          </w:tcPr>
          <w:p w14:paraId="0D2932D1" w14:textId="77777777" w:rsidR="00AC0F19" w:rsidRPr="002F4056" w:rsidRDefault="00AC0F19" w:rsidP="002F4056">
            <w:pPr>
              <w:pStyle w:val="TableText"/>
              <w:ind w:right="113"/>
              <w:rPr>
                <w:b/>
              </w:rPr>
            </w:pPr>
            <w:r w:rsidRPr="002F4056">
              <w:rPr>
                <w:b/>
              </w:rPr>
              <w:t>Inclusion criteria</w:t>
            </w:r>
          </w:p>
        </w:tc>
        <w:tc>
          <w:tcPr>
            <w:tcW w:w="2126" w:type="dxa"/>
            <w:tcBorders>
              <w:top w:val="nil"/>
              <w:bottom w:val="nil"/>
            </w:tcBorders>
            <w:shd w:val="clear" w:color="auto" w:fill="D9D9D9" w:themeFill="background1" w:themeFillShade="D9"/>
          </w:tcPr>
          <w:p w14:paraId="008F2451" w14:textId="77777777" w:rsidR="00AC0F19" w:rsidRPr="002F4056" w:rsidRDefault="00AC0F19" w:rsidP="002F4056">
            <w:pPr>
              <w:pStyle w:val="TableText"/>
              <w:rPr>
                <w:b/>
              </w:rPr>
            </w:pPr>
            <w:r w:rsidRPr="002F4056">
              <w:rPr>
                <w:b/>
              </w:rPr>
              <w:t>Primary outcome</w:t>
            </w:r>
          </w:p>
        </w:tc>
      </w:tr>
      <w:tr w:rsidR="00AC0F19" w14:paraId="2BD64B6D" w14:textId="77777777" w:rsidTr="002F4056">
        <w:trPr>
          <w:cantSplit/>
        </w:trPr>
        <w:tc>
          <w:tcPr>
            <w:tcW w:w="2694" w:type="dxa"/>
            <w:tcBorders>
              <w:top w:val="nil"/>
            </w:tcBorders>
          </w:tcPr>
          <w:p w14:paraId="1C6397EE" w14:textId="77777777" w:rsidR="00AC0F19" w:rsidRDefault="00AC0F19" w:rsidP="002F4056">
            <w:pPr>
              <w:pStyle w:val="TableText"/>
              <w:ind w:right="113"/>
            </w:pPr>
            <w:r>
              <w:t xml:space="preserve">Outpatient cervical preparation to reduce induction duration in NTSV women (OCPRID), </w:t>
            </w:r>
            <w:hyperlink r:id="rId45">
              <w:r>
                <w:rPr>
                  <w:color w:val="0000FF"/>
                  <w:u w:val="single" w:color="0000FF"/>
                </w:rPr>
                <w:t>NCT03934918</w:t>
              </w:r>
            </w:hyperlink>
          </w:p>
        </w:tc>
        <w:tc>
          <w:tcPr>
            <w:tcW w:w="3260" w:type="dxa"/>
            <w:tcBorders>
              <w:top w:val="nil"/>
            </w:tcBorders>
          </w:tcPr>
          <w:p w14:paraId="33C84E1B" w14:textId="77777777" w:rsidR="00AC0F19" w:rsidRDefault="00AC0F19" w:rsidP="002F4056">
            <w:pPr>
              <w:pStyle w:val="TableText"/>
              <w:ind w:right="113"/>
            </w:pPr>
            <w:r>
              <w:t xml:space="preserve">Nulliparous women aged </w:t>
            </w:r>
            <w:r w:rsidR="00436939">
              <w:t>&gt;</w:t>
            </w:r>
            <w:r>
              <w:t xml:space="preserve">18 years with a singleton live pregnancy with vertex presentation, scheduled for IOL between 37 and </w:t>
            </w:r>
            <w:r w:rsidR="00EB43A9">
              <w:t>42 weeks</w:t>
            </w:r>
            <w:r w:rsidR="00B0606D">
              <w:t>’</w:t>
            </w:r>
            <w:r>
              <w:t xml:space="preserve"> gestation and a Bishop score </w:t>
            </w:r>
            <w:r w:rsidR="00436939">
              <w:t>&lt;</w:t>
            </w:r>
            <w:r>
              <w:t>6.</w:t>
            </w:r>
          </w:p>
        </w:tc>
        <w:tc>
          <w:tcPr>
            <w:tcW w:w="2126" w:type="dxa"/>
            <w:tcBorders>
              <w:top w:val="nil"/>
            </w:tcBorders>
          </w:tcPr>
          <w:p w14:paraId="26692C54" w14:textId="77777777" w:rsidR="00AC0F19" w:rsidRDefault="00AC0F19" w:rsidP="002F4056">
            <w:pPr>
              <w:pStyle w:val="TableText"/>
            </w:pPr>
            <w:r>
              <w:t>Duration of time from admission for IOL to delivery.</w:t>
            </w:r>
          </w:p>
        </w:tc>
      </w:tr>
      <w:tr w:rsidR="00AC0F19" w14:paraId="0FB83363" w14:textId="77777777" w:rsidTr="002F4056">
        <w:trPr>
          <w:cantSplit/>
        </w:trPr>
        <w:tc>
          <w:tcPr>
            <w:tcW w:w="2694" w:type="dxa"/>
          </w:tcPr>
          <w:p w14:paraId="57185991" w14:textId="77777777" w:rsidR="00AC0F19" w:rsidRDefault="00AC0F19" w:rsidP="00AB4F01">
            <w:pPr>
              <w:pStyle w:val="TableText"/>
              <w:ind w:right="113"/>
            </w:pPr>
            <w:r>
              <w:t>Comparison of low-risk pregnant women undergoing induction of labour at term by outpatient balloon or inpatient prostaglandin in order to assess caesarean section rate; an randomized controlled trial, ACTRN12616000739415</w:t>
            </w:r>
            <w:r w:rsidR="002F4056">
              <w:t xml:space="preserve">, </w:t>
            </w:r>
            <w:hyperlink r:id="rId46" w:history="1">
              <w:r w:rsidR="00AB4F01" w:rsidRPr="00036ED6">
                <w:rPr>
                  <w:rStyle w:val="Hyperlink"/>
                </w:rPr>
                <w:t>www.anzctr.org.au/Trial/Registration/TrialReview.aspx?id=370330&amp;isReview=true</w:t>
              </w:r>
            </w:hyperlink>
          </w:p>
        </w:tc>
        <w:tc>
          <w:tcPr>
            <w:tcW w:w="3260" w:type="dxa"/>
          </w:tcPr>
          <w:p w14:paraId="5C310460" w14:textId="77777777" w:rsidR="00AC0F19" w:rsidRDefault="00AC0F19" w:rsidP="002F4056">
            <w:pPr>
              <w:pStyle w:val="TableText"/>
              <w:ind w:right="113"/>
            </w:pPr>
            <w:r>
              <w:t xml:space="preserve">Women with a live singleton cephalic presentation and IOL planned at </w:t>
            </w:r>
            <w:r w:rsidR="002E5969">
              <w:t>≥</w:t>
            </w:r>
            <w:r w:rsidR="00EB43A9">
              <w:t>37 weeks</w:t>
            </w:r>
            <w:r w:rsidR="00B0606D">
              <w:t>’</w:t>
            </w:r>
            <w:r>
              <w:t xml:space="preserve"> gestation.</w:t>
            </w:r>
          </w:p>
        </w:tc>
        <w:tc>
          <w:tcPr>
            <w:tcW w:w="2126" w:type="dxa"/>
          </w:tcPr>
          <w:p w14:paraId="5F81C039" w14:textId="77777777" w:rsidR="00AC0F19" w:rsidRDefault="00AC0F19" w:rsidP="002F4056">
            <w:pPr>
              <w:pStyle w:val="TableText"/>
            </w:pPr>
            <w:r>
              <w:t>Caesarean section.</w:t>
            </w:r>
          </w:p>
        </w:tc>
      </w:tr>
      <w:tr w:rsidR="00AC0F19" w14:paraId="07F219D6" w14:textId="77777777" w:rsidTr="002F4056">
        <w:trPr>
          <w:cantSplit/>
        </w:trPr>
        <w:tc>
          <w:tcPr>
            <w:tcW w:w="2694" w:type="dxa"/>
          </w:tcPr>
          <w:p w14:paraId="289806ED" w14:textId="77777777" w:rsidR="00AC0F19" w:rsidRDefault="00AC0F19" w:rsidP="002F4056">
            <w:pPr>
              <w:pStyle w:val="TableText"/>
              <w:ind w:right="113"/>
            </w:pPr>
            <w:r>
              <w:t xml:space="preserve">Comparing outpatient to inpatient cervical ripening using </w:t>
            </w:r>
            <w:proofErr w:type="spellStart"/>
            <w:r>
              <w:t>Dilapan</w:t>
            </w:r>
            <w:proofErr w:type="spellEnd"/>
            <w:r>
              <w:t xml:space="preserve">-S® (HOMECARE), </w:t>
            </w:r>
            <w:hyperlink r:id="rId47">
              <w:r>
                <w:rPr>
                  <w:color w:val="0000FF"/>
                  <w:u w:val="single" w:color="0000FF"/>
                </w:rPr>
                <w:t>NCT03665688</w:t>
              </w:r>
            </w:hyperlink>
          </w:p>
        </w:tc>
        <w:tc>
          <w:tcPr>
            <w:tcW w:w="3260" w:type="dxa"/>
          </w:tcPr>
          <w:p w14:paraId="6B4E8125" w14:textId="77777777" w:rsidR="00AC0F19" w:rsidRDefault="00AC0F19" w:rsidP="002F4056">
            <w:pPr>
              <w:pStyle w:val="TableText"/>
              <w:ind w:right="113"/>
            </w:pPr>
            <w:r>
              <w:t>Pregnant women aged between</w:t>
            </w:r>
            <w:r w:rsidR="002F4056">
              <w:br/>
            </w:r>
            <w:r>
              <w:t xml:space="preserve">18–45 years with live singleton, cephalic presentation </w:t>
            </w:r>
            <w:r w:rsidR="002E5969">
              <w:t>≥</w:t>
            </w:r>
            <w:r w:rsidR="00EB43A9">
              <w:t>37 weeks</w:t>
            </w:r>
            <w:r w:rsidR="00B0606D">
              <w:t>’</w:t>
            </w:r>
            <w:r>
              <w:t xml:space="preserve"> gestation with intact membranes, a pelvic exam of </w:t>
            </w:r>
            <w:r w:rsidR="00067D39">
              <w:t>≤</w:t>
            </w:r>
            <w:r>
              <w:t>3</w:t>
            </w:r>
            <w:r w:rsidR="002F4056">
              <w:t> </w:t>
            </w:r>
            <w:r>
              <w:t>cm and at most 60% effaced, with understanding and can sign informed consent.</w:t>
            </w:r>
          </w:p>
        </w:tc>
        <w:tc>
          <w:tcPr>
            <w:tcW w:w="2126" w:type="dxa"/>
          </w:tcPr>
          <w:p w14:paraId="3DBD5A7C" w14:textId="77777777" w:rsidR="00AC0F19" w:rsidRDefault="00AC0F19" w:rsidP="002F4056">
            <w:pPr>
              <w:pStyle w:val="TableText"/>
            </w:pPr>
            <w:r>
              <w:t xml:space="preserve">Rate of hospital stay </w:t>
            </w:r>
            <w:r w:rsidR="00436939">
              <w:t>&gt;</w:t>
            </w:r>
            <w:r w:rsidR="00EB43A9">
              <w:t>48 hours</w:t>
            </w:r>
            <w:r>
              <w:t xml:space="preserve"> (from admission</w:t>
            </w:r>
            <w:r>
              <w:rPr>
                <w:spacing w:val="-12"/>
              </w:rPr>
              <w:t xml:space="preserve"> </w:t>
            </w:r>
            <w:r>
              <w:t>to discharge).</w:t>
            </w:r>
          </w:p>
          <w:p w14:paraId="24450C35" w14:textId="77777777" w:rsidR="00AC0F19" w:rsidRDefault="00AC0F19" w:rsidP="002F4056">
            <w:pPr>
              <w:pStyle w:val="TableText"/>
            </w:pPr>
            <w:r>
              <w:t xml:space="preserve">Health care cost impact (assessed based on direct hospital costs or </w:t>
            </w:r>
            <w:r>
              <w:rPr>
                <w:spacing w:val="-3"/>
              </w:rPr>
              <w:t xml:space="preserve">Medicaid </w:t>
            </w:r>
            <w:r>
              <w:t>charges).</w:t>
            </w:r>
          </w:p>
        </w:tc>
      </w:tr>
      <w:tr w:rsidR="00AC0F19" w14:paraId="248BF8FB" w14:textId="77777777" w:rsidTr="002F4056">
        <w:trPr>
          <w:cantSplit/>
        </w:trPr>
        <w:tc>
          <w:tcPr>
            <w:tcW w:w="2694" w:type="dxa"/>
          </w:tcPr>
          <w:p w14:paraId="6DD5CC47" w14:textId="77777777" w:rsidR="00AC0F19" w:rsidRDefault="00AC0F19" w:rsidP="002F4056">
            <w:pPr>
              <w:pStyle w:val="TableText"/>
              <w:ind w:right="113"/>
            </w:pPr>
            <w:r>
              <w:t xml:space="preserve">Outpatient Foley for starting induction of </w:t>
            </w:r>
            <w:proofErr w:type="spellStart"/>
            <w:r>
              <w:t>labor</w:t>
            </w:r>
            <w:proofErr w:type="spellEnd"/>
            <w:r>
              <w:t xml:space="preserve"> at term (OFFSITE), </w:t>
            </w:r>
            <w:hyperlink r:id="rId48">
              <w:r>
                <w:rPr>
                  <w:color w:val="0000FF"/>
                  <w:u w:val="single" w:color="0000FF"/>
                </w:rPr>
                <w:t>NCT02756689</w:t>
              </w:r>
            </w:hyperlink>
          </w:p>
        </w:tc>
        <w:tc>
          <w:tcPr>
            <w:tcW w:w="3260" w:type="dxa"/>
          </w:tcPr>
          <w:p w14:paraId="3E0AC012" w14:textId="77777777" w:rsidR="00AC0F19" w:rsidRDefault="00AC0F19" w:rsidP="002F4056">
            <w:pPr>
              <w:pStyle w:val="TableText"/>
              <w:ind w:right="113"/>
            </w:pPr>
            <w:r>
              <w:t xml:space="preserve">Multiparous women aged </w:t>
            </w:r>
            <w:r w:rsidR="002E5969">
              <w:t>≥</w:t>
            </w:r>
            <w:r>
              <w:t>18 years with singleton, vertex presentation 39–</w:t>
            </w:r>
            <w:r w:rsidR="00EB43A9">
              <w:t>42 weeks</w:t>
            </w:r>
            <w:r w:rsidR="00B0606D">
              <w:t>’</w:t>
            </w:r>
            <w:r>
              <w:t xml:space="preserve"> gestation with cervix </w:t>
            </w:r>
            <w:r w:rsidR="00067D39">
              <w:t>≤</w:t>
            </w:r>
            <w:r>
              <w:t>3</w:t>
            </w:r>
            <w:r w:rsidR="002F4056">
              <w:t> </w:t>
            </w:r>
            <w:r>
              <w:t xml:space="preserve">cm (if 2–3 cm must be </w:t>
            </w:r>
            <w:r w:rsidR="00436939">
              <w:t>&lt;</w:t>
            </w:r>
            <w:r>
              <w:t>80% effaced), no previous caesarean section or uterine scar, resides local and has access to a phone and reliable transportation.</w:t>
            </w:r>
          </w:p>
        </w:tc>
        <w:tc>
          <w:tcPr>
            <w:tcW w:w="2126" w:type="dxa"/>
          </w:tcPr>
          <w:p w14:paraId="3D774B2E" w14:textId="77777777" w:rsidR="00AC0F19" w:rsidRDefault="00AC0F19" w:rsidP="002F4056">
            <w:pPr>
              <w:pStyle w:val="TableText"/>
            </w:pPr>
            <w:r>
              <w:t>Total time from admission to delivery.</w:t>
            </w:r>
          </w:p>
        </w:tc>
      </w:tr>
      <w:tr w:rsidR="00AC0F19" w14:paraId="656EB84D" w14:textId="77777777" w:rsidTr="002F4056">
        <w:trPr>
          <w:cantSplit/>
        </w:trPr>
        <w:tc>
          <w:tcPr>
            <w:tcW w:w="2694" w:type="dxa"/>
          </w:tcPr>
          <w:p w14:paraId="28DB83C9" w14:textId="77777777" w:rsidR="00AC0F19" w:rsidRDefault="00AC0F19" w:rsidP="002F4056">
            <w:pPr>
              <w:pStyle w:val="TableText"/>
              <w:ind w:right="113"/>
            </w:pPr>
            <w:r>
              <w:t xml:space="preserve">Patient satisfaction during outpatient versus inpatient Foley catheter induction of </w:t>
            </w:r>
            <w:proofErr w:type="spellStart"/>
            <w:r>
              <w:t>labor</w:t>
            </w:r>
            <w:proofErr w:type="spellEnd"/>
            <w:r>
              <w:t xml:space="preserve">, </w:t>
            </w:r>
            <w:hyperlink r:id="rId49">
              <w:r>
                <w:rPr>
                  <w:color w:val="0000FF"/>
                  <w:u w:val="single" w:color="0000FF"/>
                </w:rPr>
                <w:t>NCT02975167</w:t>
              </w:r>
            </w:hyperlink>
          </w:p>
        </w:tc>
        <w:tc>
          <w:tcPr>
            <w:tcW w:w="3260" w:type="dxa"/>
          </w:tcPr>
          <w:p w14:paraId="085B7E41" w14:textId="77777777" w:rsidR="00AC0F19" w:rsidRDefault="00AC0F19" w:rsidP="002F4056">
            <w:pPr>
              <w:pStyle w:val="TableText"/>
              <w:ind w:right="113"/>
            </w:pPr>
            <w:r>
              <w:t xml:space="preserve">Women aged &gt;18 years with a singleton vertex presenting fetus at </w:t>
            </w:r>
            <w:r w:rsidR="002E5969">
              <w:t>≥</w:t>
            </w:r>
            <w:r w:rsidR="00EB43A9">
              <w:t>39 weeks</w:t>
            </w:r>
            <w:r w:rsidR="00B0606D">
              <w:t>’</w:t>
            </w:r>
            <w:r>
              <w:t xml:space="preserve"> gestation.</w:t>
            </w:r>
          </w:p>
        </w:tc>
        <w:tc>
          <w:tcPr>
            <w:tcW w:w="2126" w:type="dxa"/>
          </w:tcPr>
          <w:p w14:paraId="39073AFC" w14:textId="77777777" w:rsidR="00AC0F19" w:rsidRDefault="00AC0F19" w:rsidP="002F4056">
            <w:pPr>
              <w:pStyle w:val="TableText"/>
            </w:pPr>
            <w:r>
              <w:t>Patient satisfaction scores.</w:t>
            </w:r>
          </w:p>
        </w:tc>
      </w:tr>
      <w:tr w:rsidR="00AC0F19" w14:paraId="72E6706E" w14:textId="77777777" w:rsidTr="002F4056">
        <w:trPr>
          <w:cantSplit/>
        </w:trPr>
        <w:tc>
          <w:tcPr>
            <w:tcW w:w="2694" w:type="dxa"/>
          </w:tcPr>
          <w:p w14:paraId="63A14B3F" w14:textId="77777777" w:rsidR="00AC0F19" w:rsidRDefault="00AC0F19" w:rsidP="002F4056">
            <w:pPr>
              <w:pStyle w:val="TableText"/>
              <w:ind w:right="113"/>
            </w:pPr>
            <w:r>
              <w:t xml:space="preserve">Sleep and depression in induction of labour, </w:t>
            </w:r>
            <w:hyperlink r:id="rId50">
              <w:r>
                <w:rPr>
                  <w:color w:val="0000FF"/>
                  <w:u w:val="single" w:color="0000FF"/>
                </w:rPr>
                <w:t>NCT03380897</w:t>
              </w:r>
            </w:hyperlink>
          </w:p>
        </w:tc>
        <w:tc>
          <w:tcPr>
            <w:tcW w:w="3260" w:type="dxa"/>
          </w:tcPr>
          <w:p w14:paraId="3DD09198" w14:textId="77777777" w:rsidR="00AC0F19" w:rsidRDefault="00AC0F19" w:rsidP="002F4056">
            <w:pPr>
              <w:pStyle w:val="TableText"/>
              <w:ind w:right="113"/>
            </w:pPr>
            <w:r>
              <w:t xml:space="preserve">Women with an uncomplicated singleton pregnancy </w:t>
            </w:r>
            <w:r w:rsidR="002E5969">
              <w:t>≥</w:t>
            </w:r>
            <w:r>
              <w:t>37–</w:t>
            </w:r>
            <w:r w:rsidR="00067D39">
              <w:t>≤</w:t>
            </w:r>
            <w:r>
              <w:t>41+5 weeks</w:t>
            </w:r>
            <w:r w:rsidR="00B0606D">
              <w:t>’</w:t>
            </w:r>
            <w:r>
              <w:t xml:space="preserve"> gestation, patient lives within half an hour of the hospital.</w:t>
            </w:r>
          </w:p>
        </w:tc>
        <w:tc>
          <w:tcPr>
            <w:tcW w:w="2126" w:type="dxa"/>
          </w:tcPr>
          <w:p w14:paraId="056E48AB" w14:textId="77777777" w:rsidR="00AC0F19" w:rsidRDefault="00AC0F19" w:rsidP="002F4056">
            <w:pPr>
              <w:pStyle w:val="TableText"/>
            </w:pPr>
            <w:r>
              <w:t>Pain after double-balloon catheter insertion, measured by visual analogue scale (VAS).</w:t>
            </w:r>
          </w:p>
        </w:tc>
      </w:tr>
      <w:tr w:rsidR="00AC0F19" w14:paraId="5482D584" w14:textId="77777777" w:rsidTr="002F4056">
        <w:trPr>
          <w:cantSplit/>
        </w:trPr>
        <w:tc>
          <w:tcPr>
            <w:tcW w:w="2694" w:type="dxa"/>
          </w:tcPr>
          <w:p w14:paraId="0D742187" w14:textId="77777777" w:rsidR="00AC0F19" w:rsidRDefault="00AC0F19" w:rsidP="002F4056">
            <w:pPr>
              <w:pStyle w:val="TableText"/>
              <w:ind w:right="113"/>
            </w:pPr>
            <w:r>
              <w:lastRenderedPageBreak/>
              <w:t xml:space="preserve">Comparison of two mechanical methods of outpatient ripening of the cervix (CORC), </w:t>
            </w:r>
            <w:hyperlink r:id="rId51">
              <w:r>
                <w:rPr>
                  <w:color w:val="0000FF"/>
                  <w:u w:val="single" w:color="0000FF"/>
                </w:rPr>
                <w:t>NCT03752073</w:t>
              </w:r>
            </w:hyperlink>
          </w:p>
        </w:tc>
        <w:tc>
          <w:tcPr>
            <w:tcW w:w="3260" w:type="dxa"/>
          </w:tcPr>
          <w:p w14:paraId="3B36EB5F" w14:textId="77777777" w:rsidR="00AC0F19" w:rsidRDefault="00AC0F19" w:rsidP="002F4056">
            <w:pPr>
              <w:pStyle w:val="TableText"/>
              <w:ind w:right="113"/>
            </w:pPr>
            <w:r>
              <w:t xml:space="preserve">Women between 39 and </w:t>
            </w:r>
            <w:r w:rsidR="00EB43A9">
              <w:t>41 weeks</w:t>
            </w:r>
            <w:r w:rsidR="00B0606D">
              <w:t>’</w:t>
            </w:r>
            <w:r>
              <w:t xml:space="preserve"> gestational age who desire elective IOL, based on reliable estimated gestational age.</w:t>
            </w:r>
          </w:p>
        </w:tc>
        <w:tc>
          <w:tcPr>
            <w:tcW w:w="2126" w:type="dxa"/>
          </w:tcPr>
          <w:p w14:paraId="44F05F3F" w14:textId="77777777" w:rsidR="00AC0F19" w:rsidRDefault="00AC0F19" w:rsidP="002F4056">
            <w:pPr>
              <w:pStyle w:val="TableText"/>
            </w:pPr>
            <w:r>
              <w:t>Time from start of cervical ripening to delivery.</w:t>
            </w:r>
          </w:p>
        </w:tc>
      </w:tr>
      <w:tr w:rsidR="00AC0F19" w14:paraId="757B97EC" w14:textId="77777777" w:rsidTr="002F4056">
        <w:trPr>
          <w:cantSplit/>
        </w:trPr>
        <w:tc>
          <w:tcPr>
            <w:tcW w:w="2694" w:type="dxa"/>
          </w:tcPr>
          <w:p w14:paraId="3A461CCB" w14:textId="77777777" w:rsidR="00AC0F19" w:rsidRDefault="00AC0F19" w:rsidP="002F4056">
            <w:pPr>
              <w:pStyle w:val="TableText"/>
              <w:ind w:right="113"/>
            </w:pPr>
            <w:r>
              <w:t>Prostaglandin inpatient induction of labour compared with balloon outpatient induction of labour: a randomised controlled trial, ACTRN12614000039684</w:t>
            </w:r>
            <w:r w:rsidR="002F4056">
              <w:t xml:space="preserve">, </w:t>
            </w:r>
            <w:hyperlink r:id="rId52" w:history="1">
              <w:r w:rsidR="002F4056" w:rsidRPr="002F4056">
                <w:rPr>
                  <w:rStyle w:val="Hyperlink"/>
                </w:rPr>
                <w:t>www.anzctr.org.au/Trial/Registration/TrialReview.aspx?id=365522</w:t>
              </w:r>
            </w:hyperlink>
          </w:p>
        </w:tc>
        <w:tc>
          <w:tcPr>
            <w:tcW w:w="3260" w:type="dxa"/>
          </w:tcPr>
          <w:p w14:paraId="2ECB6A8B" w14:textId="77777777" w:rsidR="00AC0F19" w:rsidRDefault="00AC0F19" w:rsidP="002F4056">
            <w:pPr>
              <w:pStyle w:val="TableText"/>
              <w:ind w:right="113"/>
            </w:pPr>
            <w:r>
              <w:t xml:space="preserve">All women, aged 18–52 years, with live singleton </w:t>
            </w:r>
            <w:r w:rsidR="002E5969">
              <w:t>≥</w:t>
            </w:r>
            <w:r w:rsidR="00EB43A9">
              <w:t>37 weeks</w:t>
            </w:r>
            <w:r w:rsidR="00B0606D">
              <w:t>’</w:t>
            </w:r>
            <w:r>
              <w:t xml:space="preserve"> gestation, booked for IOL because of post-term and/or social/elective</w:t>
            </w:r>
            <w:r>
              <w:rPr>
                <w:spacing w:val="-16"/>
              </w:rPr>
              <w:t xml:space="preserve"> </w:t>
            </w:r>
            <w:r>
              <w:t>reasons, and requiring cervical priming will be suitable for inclusion in this study.</w:t>
            </w:r>
          </w:p>
        </w:tc>
        <w:tc>
          <w:tcPr>
            <w:tcW w:w="2126" w:type="dxa"/>
          </w:tcPr>
          <w:p w14:paraId="4CC32552" w14:textId="77777777" w:rsidR="00AC0F19" w:rsidRDefault="00AC0F19" w:rsidP="002F4056">
            <w:pPr>
              <w:pStyle w:val="TableText"/>
            </w:pPr>
            <w:r>
              <w:t xml:space="preserve">Composite measure of neonatal outcome comprising one or more of: admission to NICU; need for intubation and/or external cardiac compressions; neonatal academia (cord arterial pH </w:t>
            </w:r>
            <w:r w:rsidR="00436939">
              <w:t>&lt;</w:t>
            </w:r>
            <w:r>
              <w:t>7.10); hypoxic ischemic encephalopathy (HIE); neonatal seizure; infection (needing neonatal antibiotics); persistent pulmonary hypertension of the newborn.</w:t>
            </w:r>
          </w:p>
        </w:tc>
      </w:tr>
    </w:tbl>
    <w:p w14:paraId="21803079" w14:textId="77777777" w:rsidR="002F4056" w:rsidRDefault="002F4056" w:rsidP="002F4056">
      <w:bookmarkStart w:id="285" w:name="APPENDIX_C_-_Observational_studies"/>
      <w:bookmarkStart w:id="286" w:name="_bookmark130"/>
      <w:bookmarkEnd w:id="285"/>
      <w:bookmarkEnd w:id="286"/>
    </w:p>
    <w:p w14:paraId="4DD04F9F" w14:textId="77777777" w:rsidR="00AC0F19" w:rsidRDefault="000D51DC" w:rsidP="00E71F41">
      <w:pPr>
        <w:pStyle w:val="Heading2-Appendices"/>
      </w:pPr>
      <w:bookmarkStart w:id="287" w:name="_Toc75788013"/>
      <w:r>
        <w:lastRenderedPageBreak/>
        <w:t>Appendix C</w:t>
      </w:r>
      <w:r w:rsidR="00AC0F19">
        <w:t>:</w:t>
      </w:r>
      <w:r w:rsidR="002452D5">
        <w:t xml:space="preserve"> </w:t>
      </w:r>
      <w:r w:rsidR="00AC0F19" w:rsidRPr="00FA6312">
        <w:t>Observational</w:t>
      </w:r>
      <w:r w:rsidR="00AC0F19">
        <w:t xml:space="preserve"> studies</w:t>
      </w:r>
      <w:bookmarkEnd w:id="287"/>
    </w:p>
    <w:p w14:paraId="4B8B7368" w14:textId="77777777" w:rsidR="00AC0F19" w:rsidRDefault="00AC0F19" w:rsidP="00554F0A">
      <w:pPr>
        <w:pStyle w:val="Heading3-Appendices"/>
      </w:pPr>
      <w:bookmarkStart w:id="288" w:name="C.1_Tables_of_national_and_international"/>
      <w:bookmarkStart w:id="289" w:name="_bookmark131"/>
      <w:bookmarkStart w:id="290" w:name="_Toc72488590"/>
      <w:bookmarkEnd w:id="288"/>
      <w:bookmarkEnd w:id="289"/>
      <w:r>
        <w:t>Tables of national and international stillbirth risk factors</w:t>
      </w:r>
      <w:bookmarkEnd w:id="290"/>
    </w:p>
    <w:p w14:paraId="3FD74528" w14:textId="77777777" w:rsidR="00AC0F19" w:rsidRDefault="00AC0F19" w:rsidP="00723A20">
      <w:pPr>
        <w:pStyle w:val="Table"/>
      </w:pPr>
      <w:bookmarkStart w:id="291" w:name="Table_7._Adjusted_odds_ratio_for_perinat"/>
      <w:bookmarkStart w:id="292" w:name="_bookmark132"/>
      <w:bookmarkStart w:id="293" w:name="_Toc72488613"/>
      <w:bookmarkEnd w:id="291"/>
      <w:bookmarkEnd w:id="292"/>
      <w:r>
        <w:t>Table</w:t>
      </w:r>
      <w:r w:rsidR="00723A20">
        <w:t> </w:t>
      </w:r>
      <w:r>
        <w:t>C1:</w:t>
      </w:r>
      <w:r w:rsidR="00723A20">
        <w:t xml:space="preserve"> </w:t>
      </w:r>
      <w:r>
        <w:t>Adjusted odds ratio for perinatal related mortality, termination of pregnancy, stillbirth and neonatal death 2011</w:t>
      </w:r>
      <w:r w:rsidR="00B75D96">
        <w:t>–</w:t>
      </w:r>
      <w:r>
        <w:t>2015 in New Zealand</w:t>
      </w:r>
      <w:bookmarkEnd w:id="293"/>
    </w:p>
    <w:p w14:paraId="4084EA58" w14:textId="77777777" w:rsidR="00AC0F19" w:rsidRDefault="00723A20" w:rsidP="00723A20">
      <w:bookmarkStart w:id="294" w:name="Table_8._Risk_factors_and_attributable_s"/>
      <w:bookmarkStart w:id="295" w:name="_bookmark133"/>
      <w:bookmarkEnd w:id="294"/>
      <w:bookmarkEnd w:id="295"/>
      <w:r>
        <w:rPr>
          <w:noProof/>
          <w:lang w:eastAsia="en-NZ"/>
        </w:rPr>
        <w:drawing>
          <wp:inline distT="0" distB="0" distL="0" distR="0" wp14:anchorId="06B29B4C" wp14:editId="0D5DD363">
            <wp:extent cx="4567807" cy="4081462"/>
            <wp:effectExtent l="0" t="0" r="4445" b="0"/>
            <wp:docPr id="1" name="image1.jpeg" descr="Table C1: Adjusted odds ratio for perinatal related mortality, termination of pregnancy, stillbirth and neonatal death 2011-2015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7807" cy="4081462"/>
                    </a:xfrm>
                    <a:prstGeom prst="rect">
                      <a:avLst/>
                    </a:prstGeom>
                  </pic:spPr>
                </pic:pic>
              </a:graphicData>
            </a:graphic>
          </wp:inline>
        </w:drawing>
      </w:r>
    </w:p>
    <w:p w14:paraId="461F1181" w14:textId="77777777" w:rsidR="00723A20" w:rsidRDefault="00723A20" w:rsidP="00723A20">
      <w:pPr>
        <w:pStyle w:val="Source"/>
      </w:pPr>
      <w:r>
        <w:t>Source: PMMRC 2017</w:t>
      </w:r>
    </w:p>
    <w:p w14:paraId="30EF4C0B" w14:textId="77777777" w:rsidR="00723A20" w:rsidRPr="00723A20" w:rsidRDefault="00723A20" w:rsidP="00723A20"/>
    <w:p w14:paraId="67451517" w14:textId="77777777" w:rsidR="00AC0F19" w:rsidRDefault="00AC0F19" w:rsidP="00723A20">
      <w:pPr>
        <w:pStyle w:val="Table"/>
      </w:pPr>
      <w:bookmarkStart w:id="296" w:name="_Toc72488614"/>
      <w:r>
        <w:lastRenderedPageBreak/>
        <w:t>Table</w:t>
      </w:r>
      <w:r w:rsidR="00723A20">
        <w:t> </w:t>
      </w:r>
      <w:r>
        <w:t>C2:</w:t>
      </w:r>
      <w:r w:rsidR="00723A20">
        <w:t xml:space="preserve"> </w:t>
      </w:r>
      <w:r>
        <w:t>Risk factors and attributable stillbirth in selected high-income countries</w:t>
      </w:r>
      <w:bookmarkEnd w:id="296"/>
    </w:p>
    <w:p w14:paraId="6046FE0D" w14:textId="77777777" w:rsidR="00AC0F19" w:rsidRDefault="00AC0F19" w:rsidP="00AC0F19">
      <w:pPr>
        <w:keepNext/>
        <w:keepLines/>
        <w:spacing w:before="1"/>
        <w:rPr>
          <w:rFonts w:ascii="Calibri"/>
          <w:b/>
          <w:sz w:val="11"/>
        </w:rPr>
      </w:pPr>
      <w:r>
        <w:rPr>
          <w:noProof/>
          <w:lang w:eastAsia="en-NZ"/>
        </w:rPr>
        <w:drawing>
          <wp:inline distT="0" distB="0" distL="0" distR="0" wp14:anchorId="477B2778" wp14:editId="2E588174">
            <wp:extent cx="5538837" cy="3657600"/>
            <wp:effectExtent l="0" t="0" r="5080" b="0"/>
            <wp:docPr id="4" name="image2.jpeg" descr="Table C2: Risk factors and attributable stillbirth in selected high-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38837" cy="3657600"/>
                    </a:xfrm>
                    <a:prstGeom prst="rect">
                      <a:avLst/>
                    </a:prstGeom>
                  </pic:spPr>
                </pic:pic>
              </a:graphicData>
            </a:graphic>
          </wp:inline>
        </w:drawing>
      </w:r>
    </w:p>
    <w:p w14:paraId="1E8D2BBD" w14:textId="77777777" w:rsidR="00AC0F19" w:rsidRDefault="00723A20" w:rsidP="00723A20">
      <w:pPr>
        <w:pStyle w:val="Source"/>
      </w:pPr>
      <w:r>
        <w:t xml:space="preserve">Source: </w:t>
      </w:r>
      <w:proofErr w:type="spellStart"/>
      <w:r>
        <w:t>Flenady</w:t>
      </w:r>
      <w:proofErr w:type="spellEnd"/>
      <w:r>
        <w:t xml:space="preserve"> et al 2011</w:t>
      </w:r>
    </w:p>
    <w:p w14:paraId="28D3C488" w14:textId="77777777" w:rsidR="00723A20" w:rsidRPr="00723A20" w:rsidRDefault="00723A20" w:rsidP="00723A20"/>
    <w:p w14:paraId="5F276B33" w14:textId="77777777" w:rsidR="00AC0F19" w:rsidRDefault="00AC0F19" w:rsidP="00723A20">
      <w:pPr>
        <w:pStyle w:val="Table"/>
      </w:pPr>
      <w:bookmarkStart w:id="297" w:name="Table_9._Population-attributable_risk_fo"/>
      <w:bookmarkStart w:id="298" w:name="_bookmark134"/>
      <w:bookmarkStart w:id="299" w:name="_Toc72488615"/>
      <w:bookmarkEnd w:id="297"/>
      <w:bookmarkEnd w:id="298"/>
      <w:r>
        <w:t>Table</w:t>
      </w:r>
      <w:r w:rsidR="00723A20">
        <w:t> </w:t>
      </w:r>
      <w:r>
        <w:t>C3:</w:t>
      </w:r>
      <w:r w:rsidR="00723A20">
        <w:t xml:space="preserve"> </w:t>
      </w:r>
      <w:r>
        <w:t>Population-attributable risk for stillbirth in selected high-income countries</w:t>
      </w:r>
      <w:bookmarkEnd w:id="299"/>
    </w:p>
    <w:p w14:paraId="06485C8C" w14:textId="77777777" w:rsidR="00AC0F19" w:rsidRDefault="00AC0F19" w:rsidP="00723A20">
      <w:pPr>
        <w:rPr>
          <w:rFonts w:ascii="Calibri"/>
          <w:b/>
          <w:sz w:val="19"/>
        </w:rPr>
      </w:pPr>
      <w:r>
        <w:rPr>
          <w:noProof/>
          <w:lang w:eastAsia="en-NZ"/>
        </w:rPr>
        <w:drawing>
          <wp:inline distT="0" distB="0" distL="0" distR="0" wp14:anchorId="2DE70E70" wp14:editId="68E5B679">
            <wp:extent cx="4620221" cy="2978467"/>
            <wp:effectExtent l="0" t="0" r="9525" b="0"/>
            <wp:docPr id="7" name="image3.jpeg" descr="Table C3: Population-attributable risk for stillbirth in selected high-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20221" cy="2978467"/>
                    </a:xfrm>
                    <a:prstGeom prst="rect">
                      <a:avLst/>
                    </a:prstGeom>
                  </pic:spPr>
                </pic:pic>
              </a:graphicData>
            </a:graphic>
          </wp:inline>
        </w:drawing>
      </w:r>
    </w:p>
    <w:p w14:paraId="2113123F" w14:textId="77777777" w:rsidR="00723A20" w:rsidRDefault="00723A20" w:rsidP="00723A20">
      <w:pPr>
        <w:pStyle w:val="Source"/>
      </w:pPr>
      <w:r>
        <w:t xml:space="preserve">Source: </w:t>
      </w:r>
      <w:proofErr w:type="spellStart"/>
      <w:r>
        <w:t>Flenady</w:t>
      </w:r>
      <w:proofErr w:type="spellEnd"/>
      <w:r>
        <w:t xml:space="preserve"> et al 2011</w:t>
      </w:r>
    </w:p>
    <w:p w14:paraId="73AFB4E1" w14:textId="77777777" w:rsidR="00981BEE" w:rsidRDefault="00981BEE" w:rsidP="00981BEE">
      <w:bookmarkStart w:id="300" w:name="Table_10._Association_of_maternal_factor"/>
      <w:bookmarkStart w:id="301" w:name="_bookmark135"/>
      <w:bookmarkEnd w:id="300"/>
      <w:bookmarkEnd w:id="301"/>
    </w:p>
    <w:p w14:paraId="36BB0C35" w14:textId="77777777" w:rsidR="00AC0F19" w:rsidRDefault="00AC0F19" w:rsidP="00723A20">
      <w:pPr>
        <w:pStyle w:val="Table"/>
      </w:pPr>
      <w:bookmarkStart w:id="302" w:name="_Toc72488616"/>
      <w:r>
        <w:lastRenderedPageBreak/>
        <w:t>Table</w:t>
      </w:r>
      <w:r w:rsidR="00723A20">
        <w:t> </w:t>
      </w:r>
      <w:r>
        <w:t>C4:</w:t>
      </w:r>
      <w:r w:rsidR="00723A20">
        <w:t xml:space="preserve"> </w:t>
      </w:r>
      <w:r>
        <w:t>Association of maternal factors with antepartum stillbirth (INTERGROWTH-21 Project)</w:t>
      </w:r>
      <w:bookmarkEnd w:id="302"/>
    </w:p>
    <w:p w14:paraId="40D01975" w14:textId="77777777" w:rsidR="00AC0F19" w:rsidRDefault="00981BEE" w:rsidP="00981BEE">
      <w:bookmarkStart w:id="303" w:name="C.2_Pregnancy_≥41_weeks’_gestation_or_mo"/>
      <w:bookmarkStart w:id="304" w:name="_bookmark136"/>
      <w:bookmarkEnd w:id="303"/>
      <w:bookmarkEnd w:id="304"/>
      <w:r>
        <w:rPr>
          <w:noProof/>
          <w:lang w:eastAsia="en-NZ"/>
        </w:rPr>
        <w:drawing>
          <wp:inline distT="0" distB="0" distL="0" distR="0" wp14:anchorId="69106E7C" wp14:editId="05732ACE">
            <wp:extent cx="5130165" cy="3208486"/>
            <wp:effectExtent l="0" t="0" r="0" b="0"/>
            <wp:docPr id="9" name="image4.jpeg" descr="Table C4: Association of maternal factors with antepartum stillbirth (INTERGROWTH -21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30165" cy="3208486"/>
                    </a:xfrm>
                    <a:prstGeom prst="rect">
                      <a:avLst/>
                    </a:prstGeom>
                  </pic:spPr>
                </pic:pic>
              </a:graphicData>
            </a:graphic>
          </wp:inline>
        </w:drawing>
      </w:r>
    </w:p>
    <w:p w14:paraId="0A6D6CEE" w14:textId="77777777" w:rsidR="00981BEE" w:rsidRDefault="00981BEE" w:rsidP="00981BEE">
      <w:pPr>
        <w:pStyle w:val="Source"/>
      </w:pPr>
      <w:r>
        <w:t>Source: Hirst et al 2018</w:t>
      </w:r>
    </w:p>
    <w:p w14:paraId="22F8AE9E" w14:textId="77777777" w:rsidR="00981BEE" w:rsidRPr="00981BEE" w:rsidRDefault="00981BEE" w:rsidP="00981BEE"/>
    <w:p w14:paraId="394FBA2B" w14:textId="77777777" w:rsidR="00AC0F19" w:rsidRDefault="00AC0F19" w:rsidP="00554F0A">
      <w:pPr>
        <w:pStyle w:val="Heading3-Appendices"/>
      </w:pPr>
      <w:bookmarkStart w:id="305" w:name="_Toc72488591"/>
      <w:r>
        <w:t xml:space="preserve">Pregnancy </w:t>
      </w:r>
      <w:r w:rsidR="00EB43A9">
        <w:t>41 weeks</w:t>
      </w:r>
      <w:r w:rsidR="00B0606D">
        <w:t>’</w:t>
      </w:r>
      <w:r>
        <w:t xml:space="preserve"> </w:t>
      </w:r>
      <w:r w:rsidRPr="00FA6312">
        <w:t>gestation</w:t>
      </w:r>
      <w:r>
        <w:t xml:space="preserve"> or</w:t>
      </w:r>
      <w:r>
        <w:rPr>
          <w:spacing w:val="-9"/>
        </w:rPr>
        <w:t xml:space="preserve"> </w:t>
      </w:r>
      <w:r>
        <w:t>more</w:t>
      </w:r>
      <w:bookmarkEnd w:id="305"/>
    </w:p>
    <w:p w14:paraId="42A5C422" w14:textId="77777777" w:rsidR="00AC0F19" w:rsidRDefault="00AC0F19" w:rsidP="00981BEE">
      <w:pPr>
        <w:pStyle w:val="Figure"/>
      </w:pPr>
      <w:bookmarkStart w:id="306" w:name="Figure_1:_Association_of_stillbirth_with"/>
      <w:bookmarkStart w:id="307" w:name="_bookmark137"/>
      <w:bookmarkStart w:id="308" w:name="_Toc72488617"/>
      <w:bookmarkEnd w:id="306"/>
      <w:bookmarkEnd w:id="307"/>
      <w:r>
        <w:t>Figure</w:t>
      </w:r>
      <w:r w:rsidR="00981BEE">
        <w:t> </w:t>
      </w:r>
      <w:r>
        <w:t>C1:</w:t>
      </w:r>
      <w:r w:rsidR="00981BEE">
        <w:t xml:space="preserve"> </w:t>
      </w:r>
      <w:r>
        <w:t>Association of stillbirth with gestational age, United States data</w:t>
      </w:r>
      <w:bookmarkEnd w:id="308"/>
    </w:p>
    <w:p w14:paraId="6C623540" w14:textId="77777777" w:rsidR="00AC0F19" w:rsidRPr="00981BEE" w:rsidRDefault="00AC0F19" w:rsidP="00AC0F19">
      <w:pPr>
        <w:spacing w:before="9"/>
      </w:pPr>
      <w:r>
        <w:rPr>
          <w:noProof/>
          <w:lang w:eastAsia="en-NZ"/>
        </w:rPr>
        <w:drawing>
          <wp:inline distT="0" distB="0" distL="0" distR="0" wp14:anchorId="54FB1CBE" wp14:editId="408A89BA">
            <wp:extent cx="5128953" cy="3043239"/>
            <wp:effectExtent l="0" t="0" r="0" b="5080"/>
            <wp:docPr id="11" name="image5.png" title="Figure C1: Association of stillbirth with gestational age, United Stat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34657" cy="3046623"/>
                    </a:xfrm>
                    <a:prstGeom prst="rect">
                      <a:avLst/>
                    </a:prstGeom>
                  </pic:spPr>
                </pic:pic>
              </a:graphicData>
            </a:graphic>
          </wp:inline>
        </w:drawing>
      </w:r>
    </w:p>
    <w:p w14:paraId="0EA1BD7B" w14:textId="77777777" w:rsidR="00981BEE" w:rsidRDefault="00981BEE" w:rsidP="00981BEE">
      <w:pPr>
        <w:pStyle w:val="Source"/>
      </w:pPr>
      <w:r>
        <w:t xml:space="preserve">Source: </w:t>
      </w:r>
      <w:proofErr w:type="spellStart"/>
      <w:r>
        <w:t>MacDorman</w:t>
      </w:r>
      <w:proofErr w:type="spellEnd"/>
      <w:r>
        <w:t xml:space="preserve"> et al 2015</w:t>
      </w:r>
    </w:p>
    <w:p w14:paraId="6DEEDA71" w14:textId="77777777" w:rsidR="00981BEE" w:rsidRPr="00981BEE" w:rsidRDefault="00981BEE" w:rsidP="00981BEE"/>
    <w:p w14:paraId="7F3F1B2E" w14:textId="77777777" w:rsidR="00AC0F19" w:rsidRDefault="00AC0F19" w:rsidP="00554F0A">
      <w:pPr>
        <w:pStyle w:val="Heading3-Appendices"/>
      </w:pPr>
      <w:bookmarkStart w:id="309" w:name="C.3_Obesity_in_Pregnancy"/>
      <w:bookmarkStart w:id="310" w:name="_bookmark138"/>
      <w:bookmarkStart w:id="311" w:name="_Toc72488592"/>
      <w:bookmarkEnd w:id="309"/>
      <w:bookmarkEnd w:id="310"/>
      <w:r>
        <w:lastRenderedPageBreak/>
        <w:t>Obesity in</w:t>
      </w:r>
      <w:r>
        <w:rPr>
          <w:spacing w:val="-3"/>
        </w:rPr>
        <w:t xml:space="preserve"> </w:t>
      </w:r>
      <w:r>
        <w:t>p</w:t>
      </w:r>
      <w:r w:rsidRPr="00FA6312">
        <w:t>regnancy</w:t>
      </w:r>
      <w:bookmarkEnd w:id="311"/>
    </w:p>
    <w:p w14:paraId="3302B6E9" w14:textId="77777777" w:rsidR="00AC0F19" w:rsidRDefault="00AC0F19" w:rsidP="00981BEE">
      <w:pPr>
        <w:pStyle w:val="Figure"/>
      </w:pPr>
      <w:bookmarkStart w:id="312" w:name="Figure_2:_Association_of_BMI_and_fetal_d"/>
      <w:bookmarkStart w:id="313" w:name="_bookmark139"/>
      <w:bookmarkStart w:id="314" w:name="_Toc72488618"/>
      <w:bookmarkEnd w:id="312"/>
      <w:bookmarkEnd w:id="313"/>
      <w:r>
        <w:t>Figure</w:t>
      </w:r>
      <w:r w:rsidR="00981BEE">
        <w:t> </w:t>
      </w:r>
      <w:r>
        <w:t>C2:</w:t>
      </w:r>
      <w:r w:rsidR="00981BEE">
        <w:t xml:space="preserve"> </w:t>
      </w:r>
      <w:r>
        <w:t>Association of BMI and fetal death</w:t>
      </w:r>
      <w:bookmarkEnd w:id="314"/>
    </w:p>
    <w:p w14:paraId="0A2FE496" w14:textId="77777777" w:rsidR="00AC0F19" w:rsidRDefault="00981BEE" w:rsidP="00981BEE">
      <w:r>
        <w:rPr>
          <w:noProof/>
          <w:lang w:eastAsia="en-NZ"/>
        </w:rPr>
        <w:drawing>
          <wp:inline distT="0" distB="0" distL="0" distR="0" wp14:anchorId="1DD28335" wp14:editId="30004B8A">
            <wp:extent cx="4562816" cy="4019550"/>
            <wp:effectExtent l="0" t="0" r="9525" b="0"/>
            <wp:docPr id="12" name="image6.jpeg" title="Figure C2: Association of BMI and fetal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62816" cy="4019550"/>
                    </a:xfrm>
                    <a:prstGeom prst="rect">
                      <a:avLst/>
                    </a:prstGeom>
                  </pic:spPr>
                </pic:pic>
              </a:graphicData>
            </a:graphic>
          </wp:inline>
        </w:drawing>
      </w:r>
    </w:p>
    <w:p w14:paraId="6A60FD18" w14:textId="77777777" w:rsidR="00AC0F19" w:rsidRDefault="00981BEE" w:rsidP="00981BEE">
      <w:pPr>
        <w:pStyle w:val="Source"/>
      </w:pPr>
      <w:r>
        <w:t xml:space="preserve">Source: </w:t>
      </w:r>
      <w:proofErr w:type="spellStart"/>
      <w:r>
        <w:t>Aune</w:t>
      </w:r>
      <w:proofErr w:type="spellEnd"/>
      <w:r>
        <w:t xml:space="preserve"> et al 2014</w:t>
      </w:r>
    </w:p>
    <w:p w14:paraId="25DA812C" w14:textId="77777777" w:rsidR="00981BEE" w:rsidRPr="00981BEE" w:rsidRDefault="00981BEE" w:rsidP="00981BEE"/>
    <w:p w14:paraId="4A9A4DB3" w14:textId="77777777" w:rsidR="00AC0F19" w:rsidRDefault="00AC0F19" w:rsidP="00981BEE">
      <w:pPr>
        <w:pStyle w:val="Figure"/>
      </w:pPr>
      <w:bookmarkStart w:id="315" w:name="Figure_3:_Association_of_obesity_in_preg"/>
      <w:bookmarkStart w:id="316" w:name="_bookmark140"/>
      <w:bookmarkStart w:id="317" w:name="_Toc72488619"/>
      <w:bookmarkEnd w:id="315"/>
      <w:bookmarkEnd w:id="316"/>
      <w:r>
        <w:t>Figure</w:t>
      </w:r>
      <w:r w:rsidR="00981BEE">
        <w:t> </w:t>
      </w:r>
      <w:r>
        <w:t>C3:</w:t>
      </w:r>
      <w:r w:rsidR="00981BEE">
        <w:t xml:space="preserve"> </w:t>
      </w:r>
      <w:r>
        <w:t>Association of obesity in pregnancy and stillbirth in Washington and Texas</w:t>
      </w:r>
      <w:bookmarkEnd w:id="317"/>
    </w:p>
    <w:p w14:paraId="1CA3A844" w14:textId="77777777" w:rsidR="00981BEE" w:rsidRDefault="00981BEE" w:rsidP="00981BEE">
      <w:r>
        <w:rPr>
          <w:noProof/>
          <w:lang w:eastAsia="en-NZ"/>
        </w:rPr>
        <w:drawing>
          <wp:inline distT="0" distB="0" distL="0" distR="0" wp14:anchorId="165ECB52" wp14:editId="4DAAC8A1">
            <wp:extent cx="5130165" cy="3101881"/>
            <wp:effectExtent l="0" t="0" r="0" b="3810"/>
            <wp:docPr id="13" name="image7.jpeg" title="Figure C3: Association of obesity in pregnancy and stillbirth in Washington and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30165" cy="3101881"/>
                    </a:xfrm>
                    <a:prstGeom prst="rect">
                      <a:avLst/>
                    </a:prstGeom>
                  </pic:spPr>
                </pic:pic>
              </a:graphicData>
            </a:graphic>
          </wp:inline>
        </w:drawing>
      </w:r>
    </w:p>
    <w:p w14:paraId="4D7B032E" w14:textId="77777777" w:rsidR="00981BEE" w:rsidRDefault="00981BEE" w:rsidP="00981BEE">
      <w:pPr>
        <w:pStyle w:val="Source"/>
      </w:pPr>
      <w:r>
        <w:t>Source: Yao et al 2014</w:t>
      </w:r>
    </w:p>
    <w:p w14:paraId="0335EAAF" w14:textId="77777777" w:rsidR="00AC0F19" w:rsidRDefault="00AC0F19" w:rsidP="00554F0A">
      <w:pPr>
        <w:pStyle w:val="Heading3-Appendices"/>
      </w:pPr>
      <w:bookmarkStart w:id="318" w:name="C.4_Advanced_Maternal_Age"/>
      <w:bookmarkStart w:id="319" w:name="_bookmark141"/>
      <w:bookmarkStart w:id="320" w:name="_Toc72488593"/>
      <w:bookmarkEnd w:id="318"/>
      <w:bookmarkEnd w:id="319"/>
      <w:r>
        <w:lastRenderedPageBreak/>
        <w:t>Advanced m</w:t>
      </w:r>
      <w:r w:rsidRPr="00FA6312">
        <w:t>aternal</w:t>
      </w:r>
      <w:r>
        <w:rPr>
          <w:spacing w:val="3"/>
        </w:rPr>
        <w:t xml:space="preserve"> </w:t>
      </w:r>
      <w:r>
        <w:t>age</w:t>
      </w:r>
      <w:bookmarkEnd w:id="320"/>
    </w:p>
    <w:p w14:paraId="4678EF6D" w14:textId="77777777" w:rsidR="00AC0F19" w:rsidRDefault="00AC0F19" w:rsidP="00AC0F19">
      <w:pPr>
        <w:pStyle w:val="Figure"/>
      </w:pPr>
      <w:bookmarkStart w:id="321" w:name="Figure_4:_Association_of_maternal_age_an"/>
      <w:bookmarkStart w:id="322" w:name="_bookmark142"/>
      <w:bookmarkStart w:id="323" w:name="_Toc72488620"/>
      <w:bookmarkEnd w:id="321"/>
      <w:bookmarkEnd w:id="322"/>
      <w:r>
        <w:t>Figure</w:t>
      </w:r>
      <w:r w:rsidR="00981BEE">
        <w:t> </w:t>
      </w:r>
      <w:r>
        <w:t>C4:</w:t>
      </w:r>
      <w:r w:rsidR="00981BEE">
        <w:t xml:space="preserve"> </w:t>
      </w:r>
      <w:r>
        <w:t>Association of maternal age and stillbirth in the United States</w:t>
      </w:r>
      <w:bookmarkEnd w:id="323"/>
    </w:p>
    <w:p w14:paraId="2885F6C1" w14:textId="77777777" w:rsidR="00AC0F19" w:rsidRDefault="00981BEE" w:rsidP="00981BEE">
      <w:r>
        <w:rPr>
          <w:noProof/>
          <w:lang w:eastAsia="en-NZ"/>
        </w:rPr>
        <w:drawing>
          <wp:inline distT="0" distB="0" distL="0" distR="0" wp14:anchorId="2BDF990A" wp14:editId="627554BE">
            <wp:extent cx="5212080" cy="3896730"/>
            <wp:effectExtent l="0" t="0" r="7620" b="8890"/>
            <wp:docPr id="15" name="image8.jpeg" descr="Figure C4: Association of maternal age and stillbirth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60" cstate="print">
                      <a:extLst>
                        <a:ext uri="{28A0092B-C50C-407E-A947-70E740481C1C}">
                          <a14:useLocalDpi xmlns:a14="http://schemas.microsoft.com/office/drawing/2010/main" val="0"/>
                        </a:ext>
                      </a:extLst>
                    </a:blip>
                    <a:srcRect l="3003" t="3779" r="1802" b="1949"/>
                    <a:stretch/>
                  </pic:blipFill>
                  <pic:spPr bwMode="auto">
                    <a:xfrm>
                      <a:off x="0" y="0"/>
                      <a:ext cx="5214371" cy="3898443"/>
                    </a:xfrm>
                    <a:prstGeom prst="rect">
                      <a:avLst/>
                    </a:prstGeom>
                    <a:ln>
                      <a:noFill/>
                    </a:ln>
                    <a:extLst>
                      <a:ext uri="{53640926-AAD7-44D8-BBD7-CCE9431645EC}">
                        <a14:shadowObscured xmlns:a14="http://schemas.microsoft.com/office/drawing/2010/main"/>
                      </a:ext>
                    </a:extLst>
                  </pic:spPr>
                </pic:pic>
              </a:graphicData>
            </a:graphic>
          </wp:inline>
        </w:drawing>
      </w:r>
    </w:p>
    <w:p w14:paraId="3657FF8A" w14:textId="77777777" w:rsidR="00981BEE" w:rsidRDefault="00981BEE" w:rsidP="00981BEE">
      <w:pPr>
        <w:pStyle w:val="Source"/>
      </w:pPr>
      <w:r>
        <w:t>Source: Reddy and Ko 2006.</w:t>
      </w:r>
    </w:p>
    <w:p w14:paraId="68F3182A" w14:textId="77777777" w:rsidR="00981BEE" w:rsidRPr="00981BEE" w:rsidRDefault="00981BEE" w:rsidP="00981BEE"/>
    <w:p w14:paraId="50F2E497" w14:textId="77777777" w:rsidR="00AC0F19" w:rsidRDefault="00AC0F19" w:rsidP="00554F0A">
      <w:pPr>
        <w:pStyle w:val="Heading3-Appendices"/>
      </w:pPr>
      <w:bookmarkStart w:id="324" w:name="C.5_Antepartum_Haemorrhage_(APH)_of_Unkn"/>
      <w:bookmarkStart w:id="325" w:name="_bookmark143"/>
      <w:bookmarkStart w:id="326" w:name="_Toc72488594"/>
      <w:bookmarkEnd w:id="324"/>
      <w:bookmarkEnd w:id="325"/>
      <w:r>
        <w:t xml:space="preserve">Antepartum </w:t>
      </w:r>
      <w:r w:rsidRPr="00EE5F3A">
        <w:t>haemorrhage</w:t>
      </w:r>
      <w:r>
        <w:t xml:space="preserve"> of unknown</w:t>
      </w:r>
      <w:r>
        <w:rPr>
          <w:spacing w:val="-12"/>
        </w:rPr>
        <w:t xml:space="preserve"> </w:t>
      </w:r>
      <w:r>
        <w:t>origin</w:t>
      </w:r>
      <w:bookmarkEnd w:id="326"/>
    </w:p>
    <w:p w14:paraId="11384CD3" w14:textId="77777777" w:rsidR="00AC0F19" w:rsidRDefault="00AC0F19" w:rsidP="00981BEE">
      <w:r>
        <w:t xml:space="preserve">A retrospective cohort study (Bhandari </w:t>
      </w:r>
      <w:r w:rsidR="000F3C98">
        <w:t>et al</w:t>
      </w:r>
      <w:r>
        <w:t xml:space="preserve"> 2014) reported on all primigravidae giving birth between 1976 and 2010, using the Aberdeen Maternity and Neonatal Databank (University of Aberdeen, Scotland). There were 7,517 women with APH of unknown origin and 68,423 without. Social class, smoking, marital status and a higher BMI were associated with APH of unknown origin. On multivariable analysis, pregnancies affected by APH of unknown origin were not associated with risk of preterm birth or PPH. There was no increase seen in perinatal death after adjusting for preterm birth.</w:t>
      </w:r>
    </w:p>
    <w:p w14:paraId="37E7F792" w14:textId="77777777" w:rsidR="00AC0F19" w:rsidRPr="00EE5F3A" w:rsidRDefault="00AC0F19" w:rsidP="00981BEE"/>
    <w:p w14:paraId="5911695D" w14:textId="77777777" w:rsidR="00AC0F19" w:rsidRDefault="00AC0F19" w:rsidP="00554F0A">
      <w:pPr>
        <w:pStyle w:val="Heading3-Appendices"/>
      </w:pPr>
      <w:bookmarkStart w:id="327" w:name="C.6_Pregnancy_Following_Assisted_Reprodu"/>
      <w:bookmarkStart w:id="328" w:name="_bookmark144"/>
      <w:bookmarkStart w:id="329" w:name="_Toc72488595"/>
      <w:bookmarkEnd w:id="327"/>
      <w:bookmarkEnd w:id="328"/>
      <w:r>
        <w:lastRenderedPageBreak/>
        <w:t>Pregnancy f</w:t>
      </w:r>
      <w:r w:rsidRPr="00C73FAA">
        <w:t>ollowing</w:t>
      </w:r>
      <w:r>
        <w:t xml:space="preserve"> assisted reproductive</w:t>
      </w:r>
      <w:r>
        <w:rPr>
          <w:spacing w:val="-7"/>
        </w:rPr>
        <w:t xml:space="preserve"> </w:t>
      </w:r>
      <w:r>
        <w:t>technology</w:t>
      </w:r>
      <w:bookmarkEnd w:id="329"/>
    </w:p>
    <w:p w14:paraId="0C040003" w14:textId="77777777" w:rsidR="00AC0F19" w:rsidRDefault="00AC0F19" w:rsidP="00554F0A">
      <w:pPr>
        <w:keepLines/>
      </w:pPr>
      <w:r>
        <w:t xml:space="preserve">A systematic review of 30 observational studies compared obstetric and perinatal outcomes for singletons born after in vitro fertilisation (IVF) or intracytoplasmic sperm injection (ICSI) compared with those of spontaneous conceptions (Pandey </w:t>
      </w:r>
      <w:r w:rsidR="000F3C98">
        <w:t>et al</w:t>
      </w:r>
      <w:r>
        <w:t xml:space="preserve"> 2012). IVF/ICSI singleton pregnancies were associated with a higher risk for caesarean section (</w:t>
      </w:r>
      <w:r w:rsidR="00230FF7">
        <w:t>RR </w:t>
      </w:r>
      <w:r>
        <w:t>1.56, 95% CI 1.51–1.60), admission to NICU (</w:t>
      </w:r>
      <w:r w:rsidR="00230FF7">
        <w:t>RR </w:t>
      </w:r>
      <w:r>
        <w:t>1.58, 95% CI 1.42–1.77) and perinatal death (</w:t>
      </w:r>
      <w:r w:rsidR="00230FF7">
        <w:t>RR </w:t>
      </w:r>
      <w:r>
        <w:t>1.87, 95% CI 1.48–2.37). Observational studies were of moderate quality but of high risk of bias due to non-randomised evidence.</w:t>
      </w:r>
    </w:p>
    <w:p w14:paraId="108123CC" w14:textId="77777777" w:rsidR="00AC0F19" w:rsidRDefault="00AC0F19" w:rsidP="00981BEE">
      <w:bookmarkStart w:id="330" w:name="C.7_Multiple_pregnancy"/>
      <w:bookmarkStart w:id="331" w:name="_bookmark145"/>
      <w:bookmarkEnd w:id="330"/>
      <w:bookmarkEnd w:id="331"/>
    </w:p>
    <w:p w14:paraId="4546FF22" w14:textId="77777777" w:rsidR="00AC0F19" w:rsidRDefault="00AC0F19" w:rsidP="00554F0A">
      <w:pPr>
        <w:pStyle w:val="Heading3-Appendices"/>
      </w:pPr>
      <w:bookmarkStart w:id="332" w:name="_Toc72488596"/>
      <w:r>
        <w:t xml:space="preserve">Multiple </w:t>
      </w:r>
      <w:r w:rsidRPr="00EE5F3A">
        <w:t>pregnancy</w:t>
      </w:r>
      <w:bookmarkEnd w:id="332"/>
    </w:p>
    <w:p w14:paraId="4FB693C4" w14:textId="77777777" w:rsidR="00AC0F19" w:rsidRDefault="00AC0F19" w:rsidP="00981BEE">
      <w:pPr>
        <w:pStyle w:val="Figure"/>
      </w:pPr>
      <w:bookmarkStart w:id="333" w:name="Figure_5:_Risk_of_stillbirth_and_neonata"/>
      <w:bookmarkStart w:id="334" w:name="_bookmark146"/>
      <w:bookmarkStart w:id="335" w:name="_Toc72488621"/>
      <w:bookmarkEnd w:id="333"/>
      <w:bookmarkEnd w:id="334"/>
      <w:r>
        <w:t>Figure</w:t>
      </w:r>
      <w:r w:rsidR="00981BEE">
        <w:t> </w:t>
      </w:r>
      <w:r>
        <w:t>C5:</w:t>
      </w:r>
      <w:r w:rsidR="00981BEE">
        <w:t xml:space="preserve"> </w:t>
      </w:r>
      <w:r>
        <w:t>Risk of stillbirth and neonatal complications in twin pregnancies</w:t>
      </w:r>
      <w:bookmarkEnd w:id="335"/>
    </w:p>
    <w:p w14:paraId="2A4FACEE" w14:textId="77777777" w:rsidR="00AC0F19" w:rsidRPr="00EE5F3A" w:rsidRDefault="00AC0F19" w:rsidP="00AC0F19">
      <w:r>
        <w:rPr>
          <w:noProof/>
          <w:lang w:eastAsia="en-NZ"/>
        </w:rPr>
        <w:drawing>
          <wp:inline distT="0" distB="0" distL="0" distR="0" wp14:anchorId="39D3BA63" wp14:editId="0AA22E1A">
            <wp:extent cx="3479091" cy="5278582"/>
            <wp:effectExtent l="0" t="0" r="7620" b="0"/>
            <wp:docPr id="17" name="image9.jpeg" title="Figure C5: Risk of stillbirth and neonatal complications in twin pre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80924" cy="5281364"/>
                    </a:xfrm>
                    <a:prstGeom prst="rect">
                      <a:avLst/>
                    </a:prstGeom>
                  </pic:spPr>
                </pic:pic>
              </a:graphicData>
            </a:graphic>
          </wp:inline>
        </w:drawing>
      </w:r>
    </w:p>
    <w:p w14:paraId="4DAA016C" w14:textId="77777777" w:rsidR="00981BEE" w:rsidRDefault="00981BEE" w:rsidP="00981BEE">
      <w:pPr>
        <w:pStyle w:val="Source"/>
      </w:pPr>
      <w:bookmarkStart w:id="336" w:name="C.8_Oligohydramnios"/>
      <w:bookmarkStart w:id="337" w:name="_bookmark147"/>
      <w:bookmarkEnd w:id="336"/>
      <w:bookmarkEnd w:id="337"/>
      <w:r>
        <w:t>Source: Cheong-See et al 2016</w:t>
      </w:r>
    </w:p>
    <w:p w14:paraId="0E0579B5" w14:textId="77777777" w:rsidR="00554F0A" w:rsidRPr="00554F0A" w:rsidRDefault="00554F0A" w:rsidP="00554F0A"/>
    <w:p w14:paraId="031AD6B2" w14:textId="77777777" w:rsidR="00AC0F19" w:rsidRDefault="00AC0F19" w:rsidP="00554F0A">
      <w:pPr>
        <w:pStyle w:val="Heading3-Appendices"/>
      </w:pPr>
      <w:bookmarkStart w:id="338" w:name="_Toc72488597"/>
      <w:r w:rsidRPr="00C73FAA">
        <w:lastRenderedPageBreak/>
        <w:t>Oligohydramnios</w:t>
      </w:r>
      <w:bookmarkEnd w:id="338"/>
    </w:p>
    <w:p w14:paraId="37AB1825" w14:textId="77777777" w:rsidR="00AC0F19" w:rsidRPr="00EE5F3A" w:rsidRDefault="00AC0F19" w:rsidP="00981BEE">
      <w:r>
        <w:t xml:space="preserve">A systematic review of 15 observational studies (n=35,593 women) reported on adverse pregnancy outcomes in singleton pregnancies diagnosed with oligohydramnios (defined as amniotic fluid index (AFI) </w:t>
      </w:r>
      <w:r w:rsidR="00436939">
        <w:t>&lt;</w:t>
      </w:r>
      <w:r>
        <w:t>5</w:t>
      </w:r>
      <w:r w:rsidR="00981BEE">
        <w:t> </w:t>
      </w:r>
      <w:r>
        <w:t xml:space="preserve">cm) (Rabie 2017). For the six low risk of bias studies, women with isolated </w:t>
      </w:r>
      <w:r w:rsidRPr="00EE5F3A">
        <w:t>oligohydramnios</w:t>
      </w:r>
      <w:r>
        <w:t xml:space="preserve"> had higher risk of caesarean section for fetal distress (</w:t>
      </w:r>
      <w:r w:rsidR="00230FF7">
        <w:t>RR </w:t>
      </w:r>
      <w:r>
        <w:t>2.16; 95% CI 1.64</w:t>
      </w:r>
      <w:r w:rsidR="00981BEE">
        <w:t>–</w:t>
      </w:r>
      <w:r>
        <w:t>2.85) and higher NICU admission (</w:t>
      </w:r>
      <w:r w:rsidR="00230FF7">
        <w:t>RR </w:t>
      </w:r>
      <w:r>
        <w:t>1.71; 95% CI, 1.20</w:t>
      </w:r>
      <w:r w:rsidR="00981BEE">
        <w:t>–</w:t>
      </w:r>
      <w:r>
        <w:t>2.42) compared to normal AFI. In women with oligohydramnios in the setting of co-morbidities, there was no difference in 5</w:t>
      </w:r>
      <w:r w:rsidR="00981BEE">
        <w:noBreakHyphen/>
      </w:r>
      <w:r>
        <w:t>min</w:t>
      </w:r>
      <w:r w:rsidR="00981BEE">
        <w:t>ute</w:t>
      </w:r>
      <w:r>
        <w:t xml:space="preserve"> Apgar score &lt;7 (</w:t>
      </w:r>
      <w:r w:rsidR="00230FF7">
        <w:t>RR </w:t>
      </w:r>
      <w:r>
        <w:t>1.85; 95% CI, 0.69</w:t>
      </w:r>
      <w:r w:rsidR="00981BEE">
        <w:t>–</w:t>
      </w:r>
      <w:r>
        <w:t xml:space="preserve">4.96), admission to NICU </w:t>
      </w:r>
      <w:r w:rsidRPr="00EE5F3A">
        <w:t>(RR, 2.09; 95% CI</w:t>
      </w:r>
      <w:r w:rsidR="00981BEE">
        <w:br/>
      </w:r>
      <w:r w:rsidRPr="00EE5F3A">
        <w:t>0.80</w:t>
      </w:r>
      <w:r w:rsidR="00981BEE">
        <w:t>–</w:t>
      </w:r>
      <w:r w:rsidRPr="00EE5F3A">
        <w:t>5.45) or caesarean section for fetal distress (</w:t>
      </w:r>
      <w:r w:rsidR="00230FF7">
        <w:t>RR </w:t>
      </w:r>
      <w:r w:rsidRPr="00EE5F3A">
        <w:t>1.65; 95% CI 0.81</w:t>
      </w:r>
      <w:r w:rsidR="00981BEE">
        <w:t>–</w:t>
      </w:r>
      <w:r w:rsidRPr="00EE5F3A">
        <w:t>3.36). Stillbirth rates were too low to analyse. The review provided insufficient data to determine the optimal timing of birth in low-risk cases with oligohydramnios. In a high-risk pregnancy, management of timing of birth should be based on the co-morbid condition and not the presence of oligohydramnios.</w:t>
      </w:r>
    </w:p>
    <w:p w14:paraId="39CA2719" w14:textId="77777777" w:rsidR="00AC0F19" w:rsidRPr="00EE5F3A" w:rsidRDefault="00AC0F19" w:rsidP="00981BEE"/>
    <w:p w14:paraId="1B4ACAE4" w14:textId="77777777" w:rsidR="00AC0F19" w:rsidRDefault="00AC0F19" w:rsidP="00981BEE">
      <w:r w:rsidRPr="00EE5F3A">
        <w:t>A systematic review of 43 observational studies (n=244,493) evaluated the association and</w:t>
      </w:r>
      <w:r>
        <w:t xml:space="preserve"> predictive value of ultrasound measurements of amniotic fluid volume for adverse pregnancy outcome (Morris 2014). The review found a strong association between oligohydramnios (varying definitions) and neonatal death (OR 8.72, 95% CI 2.43</w:t>
      </w:r>
      <w:r w:rsidR="00981BEE">
        <w:t>–</w:t>
      </w:r>
      <w:r>
        <w:t>31.26); and in a subset of high-risk women, an association between oligohydramnios and perinatal death (OR 11.54, 95% CI 4.05</w:t>
      </w:r>
      <w:r w:rsidR="00981BEE">
        <w:t>–</w:t>
      </w:r>
      <w:r>
        <w:t>32.9). The authors of the review noted that despite increased risk for poor outcomes, oligohydramnios was not a predictor for individual risk.</w:t>
      </w:r>
    </w:p>
    <w:p w14:paraId="1F565A62" w14:textId="77777777" w:rsidR="00AC0F19" w:rsidRDefault="00AC0F19" w:rsidP="00981BEE"/>
    <w:p w14:paraId="4ED61500" w14:textId="77777777" w:rsidR="00AC0F19" w:rsidRDefault="00AC0F19" w:rsidP="00554F0A">
      <w:pPr>
        <w:pStyle w:val="Heading3-Appendices"/>
      </w:pPr>
      <w:bookmarkStart w:id="339" w:name="C.9_Obstetric_Cholestasis"/>
      <w:bookmarkStart w:id="340" w:name="_bookmark148"/>
      <w:bookmarkStart w:id="341" w:name="_Toc72488598"/>
      <w:bookmarkEnd w:id="339"/>
      <w:bookmarkEnd w:id="340"/>
      <w:r>
        <w:t>Obstetric</w:t>
      </w:r>
      <w:r>
        <w:rPr>
          <w:spacing w:val="-3"/>
        </w:rPr>
        <w:t xml:space="preserve"> </w:t>
      </w:r>
      <w:r>
        <w:t>c</w:t>
      </w:r>
      <w:r w:rsidRPr="00C73FAA">
        <w:t>holestasis</w:t>
      </w:r>
      <w:bookmarkEnd w:id="341"/>
    </w:p>
    <w:p w14:paraId="05F09212" w14:textId="77777777" w:rsidR="00AC0F19" w:rsidRDefault="00AC0F19" w:rsidP="00981BEE">
      <w:r w:rsidRPr="00EE5F3A">
        <w:t xml:space="preserve">Ovadia </w:t>
      </w:r>
      <w:r w:rsidR="000F3C98">
        <w:t>et al</w:t>
      </w:r>
      <w:r w:rsidRPr="00EE5F3A">
        <w:t xml:space="preserve"> (2019) published a systematic review and individual patient data meta-analysis of 23 studies (5</w:t>
      </w:r>
      <w:r>
        <w:t>,</w:t>
      </w:r>
      <w:r w:rsidRPr="00EE5F3A">
        <w:t>557 intrahepatic cholestasis of pregnancy cases</w:t>
      </w:r>
      <w:r>
        <w:t>;</w:t>
      </w:r>
      <w:r w:rsidRPr="00EE5F3A">
        <w:t xml:space="preserve"> 165</w:t>
      </w:r>
      <w:r>
        <w:t>,</w:t>
      </w:r>
      <w:r w:rsidRPr="00EE5F3A">
        <w:t xml:space="preserve">136 controls; 27 studies of 269 women provided data for the </w:t>
      </w:r>
      <w:r>
        <w:t>individual patient data</w:t>
      </w:r>
      <w:r w:rsidRPr="00EE5F3A">
        <w:t>)</w:t>
      </w:r>
      <w:r>
        <w:t>,</w:t>
      </w:r>
      <w:r w:rsidRPr="00EE5F3A">
        <w:t xml:space="preserve"> which focused on reporting perinatal outcomes for women with intrahepatic cholestasis of pregnancy where serum bile acids were available.</w:t>
      </w:r>
    </w:p>
    <w:p w14:paraId="792073AF" w14:textId="77777777" w:rsidR="00AC0F19" w:rsidRPr="00EE5F3A" w:rsidRDefault="00AC0F19" w:rsidP="00981BEE"/>
    <w:p w14:paraId="6D02F4C9" w14:textId="77777777" w:rsidR="00AC0F19" w:rsidRDefault="00AC0F19" w:rsidP="00981BEE">
      <w:r w:rsidRPr="00EE5F3A">
        <w:t>Stillbirth occurred in 45 of 4 936 (0.9%) obstetric cholestasis cases vs 519 of 163</w:t>
      </w:r>
      <w:r>
        <w:t>,</w:t>
      </w:r>
      <w:r w:rsidRPr="00EE5F3A">
        <w:t>947 (0.3%) control cases (OR 1.46 CI 0.73</w:t>
      </w:r>
      <w:r>
        <w:t>–</w:t>
      </w:r>
      <w:r w:rsidRPr="00EE5F3A">
        <w:t xml:space="preserve">2.89) (no difference). Obstetric cholestasis was associated with spontaneous preterm birth and with meconium stained liquor. Stratified by bile acid level, they found an association with stillbirth with bile acids </w:t>
      </w:r>
      <w:r w:rsidR="002E5969">
        <w:t>≥</w:t>
      </w:r>
      <w:r w:rsidRPr="00EE5F3A">
        <w:t>100 but no association if</w:t>
      </w:r>
      <w:r>
        <w:t xml:space="preserve"> </w:t>
      </w:r>
      <w:r w:rsidR="00436939">
        <w:t>&lt;</w:t>
      </w:r>
      <w:r w:rsidRPr="00EE5F3A">
        <w:t xml:space="preserve">100. This risk of stillbirth increased as gestational age progressed. They did not see associations between stillbirth and level of </w:t>
      </w:r>
      <w:r>
        <w:t>aspartate transaminase (</w:t>
      </w:r>
      <w:r w:rsidRPr="00EE5F3A">
        <w:t>AST</w:t>
      </w:r>
      <w:r>
        <w:t>)</w:t>
      </w:r>
      <w:r w:rsidRPr="00EE5F3A">
        <w:t xml:space="preserve">, </w:t>
      </w:r>
      <w:r>
        <w:t>alanine transaminase (</w:t>
      </w:r>
      <w:r w:rsidRPr="00EE5F3A">
        <w:t>ALT</w:t>
      </w:r>
      <w:r>
        <w:t>)</w:t>
      </w:r>
      <w:r w:rsidRPr="00EE5F3A">
        <w:t xml:space="preserve"> or bilirubin.</w:t>
      </w:r>
    </w:p>
    <w:p w14:paraId="2575B8BC" w14:textId="77777777" w:rsidR="00AC0F19" w:rsidRPr="00EE5F3A" w:rsidRDefault="00AC0F19" w:rsidP="00981BEE"/>
    <w:p w14:paraId="303CC590" w14:textId="77777777" w:rsidR="00AC0F19" w:rsidRDefault="00AC0F19" w:rsidP="00981BEE">
      <w:pPr>
        <w:pStyle w:val="Figure"/>
      </w:pPr>
      <w:bookmarkStart w:id="342" w:name="Figure_6:_Risk_of_perinatal_death_by_ges"/>
      <w:bookmarkStart w:id="343" w:name="_bookmark149"/>
      <w:bookmarkStart w:id="344" w:name="_Toc72488622"/>
      <w:bookmarkEnd w:id="342"/>
      <w:bookmarkEnd w:id="343"/>
      <w:r>
        <w:lastRenderedPageBreak/>
        <w:t>Figure</w:t>
      </w:r>
      <w:r w:rsidR="00981BEE">
        <w:t> </w:t>
      </w:r>
      <w:r>
        <w:t>C6:</w:t>
      </w:r>
      <w:r w:rsidR="00981BEE">
        <w:t xml:space="preserve"> </w:t>
      </w:r>
      <w:r>
        <w:t>Risk of perinatal death by gestational age and bile salt concentration in women with obstetric cholestasis</w:t>
      </w:r>
      <w:bookmarkEnd w:id="344"/>
    </w:p>
    <w:p w14:paraId="2673E0CF" w14:textId="77777777" w:rsidR="00981BEE" w:rsidRPr="00981BEE" w:rsidRDefault="00981BEE" w:rsidP="00981BEE">
      <w:r>
        <w:rPr>
          <w:noProof/>
          <w:lang w:eastAsia="en-NZ"/>
        </w:rPr>
        <w:drawing>
          <wp:inline distT="0" distB="0" distL="0" distR="0" wp14:anchorId="0ACF4F86" wp14:editId="77F4DAB5">
            <wp:extent cx="3006848" cy="4567237"/>
            <wp:effectExtent l="0" t="0" r="3175" b="5080"/>
            <wp:docPr id="19" name="image10.jpeg" descr="Figure C6: Risk of perinatal death by gestational age and bile salt concentration in women with obstetric chole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06848" cy="4567237"/>
                    </a:xfrm>
                    <a:prstGeom prst="rect">
                      <a:avLst/>
                    </a:prstGeom>
                  </pic:spPr>
                </pic:pic>
              </a:graphicData>
            </a:graphic>
          </wp:inline>
        </w:drawing>
      </w:r>
    </w:p>
    <w:p w14:paraId="46842137" w14:textId="77777777" w:rsidR="00981BEE" w:rsidRDefault="00981BEE" w:rsidP="00981BEE">
      <w:pPr>
        <w:pStyle w:val="Source"/>
      </w:pPr>
      <w:r>
        <w:t>Source: Ovadia et al 2019</w:t>
      </w:r>
    </w:p>
    <w:p w14:paraId="55FB27C6" w14:textId="77777777" w:rsidR="00981BEE" w:rsidRPr="00981BEE" w:rsidRDefault="00981BEE" w:rsidP="00981BEE"/>
    <w:p w14:paraId="1F31CD3E" w14:textId="77777777" w:rsidR="00AC0F19" w:rsidRDefault="00AC0F19" w:rsidP="00554F0A">
      <w:pPr>
        <w:pStyle w:val="Heading3-Appendices"/>
      </w:pPr>
      <w:bookmarkStart w:id="345" w:name="C.10_Previous_Stillbirth"/>
      <w:bookmarkStart w:id="346" w:name="_bookmark150"/>
      <w:bookmarkStart w:id="347" w:name="_Toc72488599"/>
      <w:bookmarkEnd w:id="345"/>
      <w:bookmarkEnd w:id="346"/>
      <w:r>
        <w:t>Previous s</w:t>
      </w:r>
      <w:r w:rsidRPr="00C73FAA">
        <w:t>tillbirth</w:t>
      </w:r>
      <w:bookmarkEnd w:id="347"/>
    </w:p>
    <w:p w14:paraId="549B9618" w14:textId="77777777" w:rsidR="00AC0F19" w:rsidRDefault="00AC0F19" w:rsidP="00981BEE">
      <w:r w:rsidRPr="00EE5F3A">
        <w:t>A systematic review and meta-analysis of cohort (n</w:t>
      </w:r>
      <w:r>
        <w:t xml:space="preserve"> </w:t>
      </w:r>
      <w:r w:rsidRPr="00EE5F3A">
        <w:t>=</w:t>
      </w:r>
      <w:r>
        <w:t xml:space="preserve"> </w:t>
      </w:r>
      <w:r w:rsidRPr="00EE5F3A">
        <w:t>13) and case control (n</w:t>
      </w:r>
      <w:r>
        <w:t xml:space="preserve"> </w:t>
      </w:r>
      <w:r w:rsidRPr="00EE5F3A">
        <w:t>=</w:t>
      </w:r>
      <w:r>
        <w:t xml:space="preserve"> </w:t>
      </w:r>
      <w:r w:rsidRPr="00EE5F3A">
        <w:t>3) studies from high</w:t>
      </w:r>
      <w:r>
        <w:t>-</w:t>
      </w:r>
      <w:r w:rsidRPr="00EE5F3A">
        <w:t xml:space="preserve">income countries investigated the association between stillbirth in the initial pregnancy and risk of stillbirth in subsequent pregnancies (Lamont </w:t>
      </w:r>
      <w:r w:rsidR="000F3C98">
        <w:t>et al</w:t>
      </w:r>
      <w:r>
        <w:t xml:space="preserve"> </w:t>
      </w:r>
      <w:r w:rsidRPr="00EE5F3A">
        <w:t>2015). Data were available on 3,412,079 women, where in an initial pregnancy (</w:t>
      </w:r>
      <w:r w:rsidR="00436939">
        <w:t>&gt;</w:t>
      </w:r>
      <w:r w:rsidR="003A4BD4">
        <w:t>20 weeks</w:t>
      </w:r>
      <w:r w:rsidR="00B0606D">
        <w:t>’</w:t>
      </w:r>
      <w:r w:rsidRPr="00EE5F3A">
        <w:t xml:space="preserve"> gestation), 3,387,538 (99.3%) had a live birth and 24,541 (0.7%) had a stillbirth. A total of 14,283 stillbirths occurred in the subsequent pregnancy, 606 (2.5%) in women with a history of stillbirth and 13,677 (0.4%) in women with no such history (pooled OR 4.83, 95% CI 3.77</w:t>
      </w:r>
      <w:r>
        <w:t>–</w:t>
      </w:r>
      <w:r w:rsidRPr="00EE5F3A">
        <w:t xml:space="preserve">6.18). Twelve studies specifically assessed the risk of stillbirth in second pregnancies. Compared with women who had a live birth in their first pregnancy, those who experienced a stillbirth </w:t>
      </w:r>
      <w:r>
        <w:t xml:space="preserve">in the first pregnancy </w:t>
      </w:r>
      <w:r w:rsidRPr="00EE5F3A">
        <w:t>were at an increased risk of a stillbirth in their second pregnancy (OR 4.77, 95% CI 3.70</w:t>
      </w:r>
      <w:r>
        <w:t>–</w:t>
      </w:r>
      <w:r w:rsidRPr="00EE5F3A">
        <w:t>6.15). The pooled odds ratio using the adjusted effect measures from the primary studies was 3.38 (95% CI 2.61</w:t>
      </w:r>
      <w:r>
        <w:t>–</w:t>
      </w:r>
      <w:r w:rsidRPr="00EE5F3A">
        <w:t>4.38).</w:t>
      </w:r>
    </w:p>
    <w:p w14:paraId="6FD9F700" w14:textId="77777777" w:rsidR="00AC0F19" w:rsidRPr="00EE5F3A" w:rsidRDefault="00AC0F19" w:rsidP="00981BEE"/>
    <w:p w14:paraId="17E5A480" w14:textId="77777777" w:rsidR="00AC0F19" w:rsidRDefault="00AC0F19" w:rsidP="00981BEE">
      <w:pPr>
        <w:keepLines/>
      </w:pPr>
      <w:r w:rsidRPr="00EE5F3A">
        <w:lastRenderedPageBreak/>
        <w:t xml:space="preserve">Four studies examined the risk of recurrent unexplained stillbirth. Methodological differences between these studies precluded pooling the results. Two of the studies conducted prospective analyses looking at explained and unexplained stillbirth recurrence after a previous unexplained stillbirth. The reported risk for stillbirth in a subsequent pregnancy after a previously unexplained stillbirth </w:t>
      </w:r>
      <w:r>
        <w:t>was</w:t>
      </w:r>
      <w:r w:rsidRPr="00EE5F3A">
        <w:t xml:space="preserve"> OR 3.10 (95%</w:t>
      </w:r>
      <w:r w:rsidR="00981BEE">
        <w:br/>
      </w:r>
      <w:r w:rsidRPr="00EE5F3A">
        <w:t>0.98</w:t>
      </w:r>
      <w:r>
        <w:t>–</w:t>
      </w:r>
      <w:r w:rsidRPr="00EE5F3A">
        <w:t xml:space="preserve">9.76) and </w:t>
      </w:r>
      <w:proofErr w:type="spellStart"/>
      <w:r w:rsidRPr="00EE5F3A">
        <w:t>aOR</w:t>
      </w:r>
      <w:proofErr w:type="spellEnd"/>
      <w:r w:rsidRPr="00EE5F3A">
        <w:t xml:space="preserve"> 1.0 (95% CI</w:t>
      </w:r>
      <w:r>
        <w:t xml:space="preserve"> </w:t>
      </w:r>
      <w:r w:rsidRPr="00EE5F3A">
        <w:t>0.23</w:t>
      </w:r>
      <w:r>
        <w:t>–</w:t>
      </w:r>
      <w:r w:rsidRPr="00EE5F3A">
        <w:t xml:space="preserve">4.30). A retrospective analysis looked at the risk of unexplained stillbirth after any previous stillbirth; the reported risk was </w:t>
      </w:r>
      <w:proofErr w:type="spellStart"/>
      <w:r w:rsidRPr="00EE5F3A">
        <w:t>aOR</w:t>
      </w:r>
      <w:proofErr w:type="spellEnd"/>
      <w:r w:rsidRPr="00EE5F3A">
        <w:t xml:space="preserve"> 4.18 (95% </w:t>
      </w:r>
      <w:r>
        <w:t xml:space="preserve">CI </w:t>
      </w:r>
      <w:r w:rsidRPr="00EE5F3A">
        <w:t>1.36</w:t>
      </w:r>
      <w:r>
        <w:t>–</w:t>
      </w:r>
      <w:r w:rsidRPr="00EE5F3A">
        <w:t xml:space="preserve">12.89). The final study reported the adjusted risk for unexplained stillbirth after any stillbirth as </w:t>
      </w:r>
      <w:proofErr w:type="spellStart"/>
      <w:r w:rsidRPr="00EE5F3A">
        <w:t>aOR</w:t>
      </w:r>
      <w:proofErr w:type="spellEnd"/>
      <w:r w:rsidRPr="00EE5F3A">
        <w:t xml:space="preserve"> 3.20 (95% CI 1.59</w:t>
      </w:r>
      <w:r>
        <w:t>–</w:t>
      </w:r>
      <w:r w:rsidRPr="00EE5F3A">
        <w:t>6.45).</w:t>
      </w:r>
    </w:p>
    <w:p w14:paraId="5FE492BF" w14:textId="77777777" w:rsidR="00AC0F19" w:rsidRPr="00EE5F3A" w:rsidRDefault="00AC0F19" w:rsidP="00981BEE"/>
    <w:p w14:paraId="5EDE97D4" w14:textId="77777777" w:rsidR="00AC0F19" w:rsidRDefault="00AC0F19" w:rsidP="00981BEE">
      <w:r w:rsidRPr="00EE5F3A">
        <w:t>The review authors concluded that the risk of stillbirth in subsequent pregnancies is higher in women who experience a stillbirth in their first pregnancy. This increased risk remained after adjusted analysis. Evidence surrounding the recurrence risk of unexplained stillbirth remains controversial due to limitations of observational data</w:t>
      </w:r>
      <w:r>
        <w:t>,</w:t>
      </w:r>
      <w:r w:rsidRPr="00EE5F3A">
        <w:t xml:space="preserve"> and the studies included in the review were low quality due to study design and heterogeneity.</w:t>
      </w:r>
    </w:p>
    <w:p w14:paraId="1C73962E" w14:textId="77777777" w:rsidR="00AC0F19" w:rsidRPr="00EE5F3A" w:rsidRDefault="00AC0F19" w:rsidP="00981BEE"/>
    <w:p w14:paraId="19552759" w14:textId="77777777" w:rsidR="00AC0F19" w:rsidRPr="00EE5F3A" w:rsidRDefault="00AC0F19" w:rsidP="00981BEE">
      <w:r w:rsidRPr="00EE5F3A">
        <w:t>Another systematic review (</w:t>
      </w:r>
      <w:proofErr w:type="spellStart"/>
      <w:r w:rsidRPr="00EE5F3A">
        <w:t>Malacova</w:t>
      </w:r>
      <w:proofErr w:type="spellEnd"/>
      <w:r w:rsidRPr="00EE5F3A">
        <w:t xml:space="preserve"> </w:t>
      </w:r>
      <w:r w:rsidR="000F3C98">
        <w:t>et al</w:t>
      </w:r>
      <w:r>
        <w:t xml:space="preserve"> </w:t>
      </w:r>
      <w:r w:rsidRPr="00EE5F3A">
        <w:t>2018) evaluated the risk of stillbirth, preterm birth and SGA following exposure to one or more of these factors in a previous birth. The risk of stillbirth, preterm birth or SGA was moderately elevated in women who</w:t>
      </w:r>
      <w:r>
        <w:t xml:space="preserve"> had</w:t>
      </w:r>
      <w:r w:rsidRPr="00EE5F3A">
        <w:t xml:space="preserve"> previously experienced a single exposure but increased when two </w:t>
      </w:r>
      <w:r>
        <w:t>previous</w:t>
      </w:r>
      <w:r w:rsidRPr="00EE5F3A">
        <w:t xml:space="preserve"> adverse outcomes were combined. The risk of stillbirth varied with prematurity, increasing threefold following preterm birth </w:t>
      </w:r>
      <w:r w:rsidR="00436939">
        <w:t>&lt;</w:t>
      </w:r>
      <w:r w:rsidR="003A4BD4">
        <w:t>34 weeks</w:t>
      </w:r>
      <w:r w:rsidR="00B0606D">
        <w:t>’</w:t>
      </w:r>
      <w:r w:rsidRPr="00EE5F3A">
        <w:t xml:space="preserve"> gestation (pooled OR 2.98; 95% CI</w:t>
      </w:r>
      <w:r w:rsidR="00981BEE">
        <w:br/>
      </w:r>
      <w:r w:rsidRPr="00EE5F3A">
        <w:t>2.05</w:t>
      </w:r>
      <w:r>
        <w:t>–</w:t>
      </w:r>
      <w:r w:rsidRPr="00EE5F3A">
        <w:t xml:space="preserve">4.34) and </w:t>
      </w:r>
      <w:proofErr w:type="spellStart"/>
      <w:r w:rsidRPr="00EE5F3A">
        <w:t>sixfold</w:t>
      </w:r>
      <w:proofErr w:type="spellEnd"/>
      <w:r>
        <w:t xml:space="preserve"> </w:t>
      </w:r>
      <w:r w:rsidRPr="00EE5F3A">
        <w:t xml:space="preserve">following preterm SGA </w:t>
      </w:r>
      <w:r w:rsidR="00436939">
        <w:t>&lt;</w:t>
      </w:r>
      <w:r w:rsidR="003A4BD4">
        <w:t>34 weeks</w:t>
      </w:r>
      <w:r w:rsidR="00B0606D">
        <w:t>’</w:t>
      </w:r>
      <w:r w:rsidRPr="00EE5F3A">
        <w:t xml:space="preserve"> gestation (pooled OR 6.00; 95% CI 3.43</w:t>
      </w:r>
      <w:r>
        <w:t>–</w:t>
      </w:r>
      <w:r w:rsidRPr="00EE5F3A">
        <w:t>10.49). The authors concluded that the risk of adverse birth outcomes in a subsequent pregnancy increases with the combined number of previous adverse events.</w:t>
      </w:r>
    </w:p>
    <w:p w14:paraId="72D3437E" w14:textId="77777777" w:rsidR="00AC0F19" w:rsidRDefault="00AC0F19" w:rsidP="00981BEE">
      <w:bookmarkStart w:id="348" w:name="APPENDIX_D_-_Comparisons_of_cervical_rip"/>
      <w:bookmarkStart w:id="349" w:name="_bookmark151"/>
      <w:bookmarkEnd w:id="348"/>
      <w:bookmarkEnd w:id="349"/>
    </w:p>
    <w:p w14:paraId="2DD12186" w14:textId="77777777" w:rsidR="00AC0F19" w:rsidRDefault="000D51DC" w:rsidP="00E71F41">
      <w:pPr>
        <w:pStyle w:val="Heading2-Appendices"/>
      </w:pPr>
      <w:bookmarkStart w:id="350" w:name="_Toc75788014"/>
      <w:r>
        <w:lastRenderedPageBreak/>
        <w:t>Appendix D</w:t>
      </w:r>
      <w:r w:rsidR="00AC0F19">
        <w:t>:</w:t>
      </w:r>
      <w:r w:rsidR="002452D5">
        <w:t xml:space="preserve"> </w:t>
      </w:r>
      <w:r w:rsidR="00AC0F19">
        <w:t>Comparisons of cervical ripening and methods of induction of labour</w:t>
      </w:r>
      <w:bookmarkEnd w:id="350"/>
    </w:p>
    <w:p w14:paraId="4AFFE91F" w14:textId="77777777" w:rsidR="00AC0F19" w:rsidRDefault="00AC0F19" w:rsidP="00554F0A">
      <w:pPr>
        <w:pStyle w:val="Heading3-Appendices"/>
      </w:pPr>
      <w:bookmarkStart w:id="351" w:name="D.1_Comparing_all_cervical_ripening_meth"/>
      <w:bookmarkStart w:id="352" w:name="_bookmark152"/>
      <w:bookmarkStart w:id="353" w:name="_Toc72488601"/>
      <w:bookmarkEnd w:id="351"/>
      <w:bookmarkEnd w:id="352"/>
      <w:r w:rsidRPr="00DA3B83">
        <w:t>Comparing</w:t>
      </w:r>
      <w:r>
        <w:t xml:space="preserve"> all cervical ripening methods to each</w:t>
      </w:r>
      <w:r>
        <w:rPr>
          <w:spacing w:val="-12"/>
        </w:rPr>
        <w:t xml:space="preserve"> </w:t>
      </w:r>
      <w:r>
        <w:t>other</w:t>
      </w:r>
      <w:bookmarkEnd w:id="353"/>
    </w:p>
    <w:p w14:paraId="569F2320" w14:textId="77777777" w:rsidR="00AC0F19" w:rsidRDefault="00AC0F19" w:rsidP="00457C3A">
      <w:r>
        <w:t xml:space="preserve">A systematic review and meta-analysis included 96 RCTs of 17,387 women, evaluating different cervical ripening methods during IOL (Chen </w:t>
      </w:r>
      <w:r w:rsidR="000F3C98">
        <w:t>et al</w:t>
      </w:r>
      <w:r>
        <w:t xml:space="preserve"> 2016). In women with intact membranes </w:t>
      </w:r>
      <w:r w:rsidR="00436939">
        <w:t>&gt;</w:t>
      </w:r>
      <w:r w:rsidR="003A4BD4">
        <w:t>28 weeks</w:t>
      </w:r>
      <w:r w:rsidR="00B0606D">
        <w:t>’</w:t>
      </w:r>
      <w:r>
        <w:t xml:space="preserve"> gestation, vaginal misoprostol was the most effective method to achieve birth within </w:t>
      </w:r>
      <w:r w:rsidR="00EB43A9">
        <w:t>24 hours</w:t>
      </w:r>
      <w:r>
        <w:t>, followed by vaginal PGE2. However, vaginal misoprostol was associated with higher rates of uterine hyperstimulation with FHR changes. In contrast, mechanical IOL using single-balloon catheter was the least effective method, along with oral misoprostol, but had the lowest incidence of uterine hyperstimulation with FHR changes.</w:t>
      </w:r>
    </w:p>
    <w:p w14:paraId="32136CCD" w14:textId="77777777" w:rsidR="00AC0F19" w:rsidRDefault="00AC0F19" w:rsidP="00457C3A"/>
    <w:p w14:paraId="2E41B6B6" w14:textId="77777777" w:rsidR="00AC0F19" w:rsidRDefault="00AC0F19" w:rsidP="00457C3A">
      <w:r>
        <w:t>Oral misoprostol was the best method of IOL in terms of reducing the likelihood of delivery by caesarean section, and it caused less uterine hyperstimulation with FHR changes compared with vaginal misoprostol.</w:t>
      </w:r>
    </w:p>
    <w:p w14:paraId="2A0B2D79" w14:textId="77777777" w:rsidR="00AC0F19" w:rsidRDefault="00AC0F19" w:rsidP="00457C3A"/>
    <w:p w14:paraId="09DC4E22" w14:textId="77777777" w:rsidR="00AC0F19" w:rsidRDefault="00AC0F19" w:rsidP="00554F0A">
      <w:pPr>
        <w:pStyle w:val="Heading3-Appendices"/>
      </w:pPr>
      <w:bookmarkStart w:id="354" w:name="D.2_All_methods_of_IOL"/>
      <w:bookmarkStart w:id="355" w:name="_bookmark153"/>
      <w:bookmarkStart w:id="356" w:name="_Toc72488602"/>
      <w:bookmarkEnd w:id="354"/>
      <w:bookmarkEnd w:id="355"/>
      <w:r>
        <w:t xml:space="preserve">All </w:t>
      </w:r>
      <w:r w:rsidRPr="00DA3B83">
        <w:t>methods</w:t>
      </w:r>
      <w:r>
        <w:t xml:space="preserve"> of</w:t>
      </w:r>
      <w:r>
        <w:rPr>
          <w:spacing w:val="-6"/>
        </w:rPr>
        <w:t xml:space="preserve"> </w:t>
      </w:r>
      <w:r>
        <w:t>IOL</w:t>
      </w:r>
      <w:bookmarkEnd w:id="356"/>
    </w:p>
    <w:p w14:paraId="63AE134A" w14:textId="77777777" w:rsidR="00457C3A" w:rsidRDefault="00AC0F19" w:rsidP="00457C3A">
      <w:r w:rsidRPr="00DA3B83">
        <w:t>A systematic review and network meta-analysis included 611 RCTs of 103</w:t>
      </w:r>
      <w:r>
        <w:t>,</w:t>
      </w:r>
      <w:r w:rsidRPr="00DA3B83">
        <w:t>041 women (</w:t>
      </w:r>
      <w:proofErr w:type="spellStart"/>
      <w:r w:rsidRPr="00DA3B83">
        <w:t>Alfirevic</w:t>
      </w:r>
      <w:proofErr w:type="spellEnd"/>
      <w:r w:rsidRPr="00DA3B83">
        <w:t xml:space="preserve"> 2016). Of these 611 RCTs, 77 were post-term, 333 were </w:t>
      </w:r>
      <w:r w:rsidR="00436939">
        <w:t>&gt;</w:t>
      </w:r>
      <w:r w:rsidR="00EB43A9">
        <w:t>37 weeks</w:t>
      </w:r>
      <w:r w:rsidR="00B0606D">
        <w:t>’</w:t>
      </w:r>
      <w:r w:rsidRPr="00DA3B83">
        <w:t xml:space="preserve"> gestation and 149 were mixed (some preterm). The interventions most likely to achieve vaginal birth within </w:t>
      </w:r>
      <w:r w:rsidR="00EB43A9">
        <w:t>24 hours</w:t>
      </w:r>
      <w:r w:rsidRPr="00DA3B83">
        <w:t xml:space="preserve"> were intravenous oxytocin with ARM (for women with favourable cervix) and higher-dose (</w:t>
      </w:r>
      <w:r w:rsidR="002E5969">
        <w:t>≥</w:t>
      </w:r>
      <w:r w:rsidRPr="00DA3B83">
        <w:t>50 m</w:t>
      </w:r>
      <w:r>
        <w:t>g</w:t>
      </w:r>
      <w:r w:rsidRPr="00DA3B83">
        <w:t>) vaginal misoprostol. The ranking according to safety of different methods was less clear. For uterine hyperstimulation, double-balloon catheter compared with placebo had the highest probability of being among the safest three treatments, whereas vaginal misoprostol (</w:t>
      </w:r>
      <w:r w:rsidR="002E5969">
        <w:t>≥</w:t>
      </w:r>
      <w:r w:rsidRPr="00DA3B83">
        <w:t xml:space="preserve">50 </w:t>
      </w:r>
      <w:r>
        <w:t>mg</w:t>
      </w:r>
      <w:r w:rsidRPr="00DA3B83">
        <w:t>) compared with placebo was most likely to increase the odds of uterine hyperstimulation. For other safety outcomes</w:t>
      </w:r>
      <w:r>
        <w:t>,</w:t>
      </w:r>
      <w:r w:rsidRPr="00DA3B83">
        <w:t xml:space="preserve"> there were insufficient data</w:t>
      </w:r>
      <w:r>
        <w:t>,</w:t>
      </w:r>
      <w:r w:rsidRPr="00DA3B83">
        <w:t xml:space="preserve"> or too much uncertainty, to identify which treatments performed </w:t>
      </w:r>
      <w:r w:rsidR="00B0606D">
        <w:t>‘</w:t>
      </w:r>
      <w:r w:rsidRPr="00DA3B83">
        <w:t>best</w:t>
      </w:r>
      <w:r w:rsidR="00B0606D">
        <w:t>’</w:t>
      </w:r>
      <w:r w:rsidRPr="00DA3B83">
        <w:t xml:space="preserve">. Data </w:t>
      </w:r>
      <w:r>
        <w:t>on</w:t>
      </w:r>
      <w:r w:rsidRPr="00DA3B83">
        <w:t xml:space="preserve"> women</w:t>
      </w:r>
      <w:r w:rsidR="00B0606D">
        <w:t>’</w:t>
      </w:r>
      <w:r w:rsidRPr="00DA3B83">
        <w:t>s perspectives were poorly reported in the included studies.</w:t>
      </w:r>
    </w:p>
    <w:p w14:paraId="2826ECC7" w14:textId="77777777" w:rsidR="00AC0F19" w:rsidRDefault="000D51DC" w:rsidP="00E71F41">
      <w:pPr>
        <w:pStyle w:val="Heading2-Appendices"/>
      </w:pPr>
      <w:bookmarkStart w:id="357" w:name="APPENDIX_E_-_Examples_of_preparation_of_"/>
      <w:bookmarkStart w:id="358" w:name="_bookmark154"/>
      <w:bookmarkStart w:id="359" w:name="_Ref72417724"/>
      <w:bookmarkStart w:id="360" w:name="_Ref72417725"/>
      <w:bookmarkStart w:id="361" w:name="_Toc75788015"/>
      <w:bookmarkEnd w:id="357"/>
      <w:bookmarkEnd w:id="358"/>
      <w:r>
        <w:lastRenderedPageBreak/>
        <w:t>Appendix E</w:t>
      </w:r>
      <w:r w:rsidR="00AC0F19">
        <w:t>:</w:t>
      </w:r>
      <w:r w:rsidR="002452D5">
        <w:t xml:space="preserve"> </w:t>
      </w:r>
      <w:r w:rsidR="00AC0F19" w:rsidRPr="00DA3B83">
        <w:t>Examples</w:t>
      </w:r>
      <w:r w:rsidR="00AC0F19">
        <w:t xml:space="preserve"> of preparation of oral misoprostol for cervical ripening</w:t>
      </w:r>
      <w:bookmarkEnd w:id="359"/>
      <w:bookmarkEnd w:id="360"/>
      <w:bookmarkEnd w:id="361"/>
    </w:p>
    <w:p w14:paraId="78566189" w14:textId="77777777" w:rsidR="00AC0F19" w:rsidRDefault="00AC0F19" w:rsidP="00457C3A">
      <w:r>
        <w:t xml:space="preserve">A standardised strength of misoprostol oral suspension is recommended to ensure that consistent and best evidence-based information is available for staff making this preparation. Using a standardised </w:t>
      </w:r>
      <w:r w:rsidRPr="00DA3B83">
        <w:t>suspension</w:t>
      </w:r>
      <w:r>
        <w:t xml:space="preserve"> strength across all health organisations will reduce the risk of dosing error due to strength mix-ups, particularly when staff work across different organisations.</w:t>
      </w:r>
    </w:p>
    <w:p w14:paraId="24E8BD68" w14:textId="77777777" w:rsidR="00AC0F19" w:rsidRDefault="00AC0F19" w:rsidP="00457C3A"/>
    <w:p w14:paraId="0FB70358" w14:textId="77777777" w:rsidR="00AC0F19" w:rsidRDefault="00AC0F19" w:rsidP="00457C3A">
      <w:r>
        <w:t>Two example methods are provided for preparation outside a pharmacy. It is anticipated that misoprostol suspension will be required out of hours when pharmacy-based preparations are not available.</w:t>
      </w:r>
    </w:p>
    <w:p w14:paraId="7B080229" w14:textId="77777777" w:rsidR="00AC0F19" w:rsidRDefault="00AC0F19" w:rsidP="00457C3A"/>
    <w:p w14:paraId="7D47CBC3" w14:textId="77777777" w:rsidR="00AC0F19" w:rsidRPr="00457C3A" w:rsidRDefault="00AC0F19" w:rsidP="00554F0A">
      <w:pPr>
        <w:pStyle w:val="Heading3-Appendices"/>
      </w:pPr>
      <w:bookmarkStart w:id="362" w:name="_Toc72488604"/>
      <w:r w:rsidRPr="00DA3B83">
        <w:lastRenderedPageBreak/>
        <w:t>Method</w:t>
      </w:r>
      <w:r>
        <w:t xml:space="preserve"> A</w:t>
      </w:r>
      <w:r w:rsidRPr="00457C3A">
        <w:rPr>
          <w:rStyle w:val="FootnoteReference"/>
        </w:rPr>
        <w:footnoteReference w:id="6"/>
      </w:r>
      <w:bookmarkEnd w:id="36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7088"/>
        <w:gridCol w:w="992"/>
      </w:tblGrid>
      <w:tr w:rsidR="00AC0F19" w:rsidRPr="00457C3A" w14:paraId="17DB948A" w14:textId="77777777" w:rsidTr="00457C3A">
        <w:trPr>
          <w:cantSplit/>
        </w:trPr>
        <w:tc>
          <w:tcPr>
            <w:tcW w:w="7088" w:type="dxa"/>
            <w:tcBorders>
              <w:top w:val="nil"/>
              <w:bottom w:val="nil"/>
            </w:tcBorders>
            <w:shd w:val="clear" w:color="auto" w:fill="D9D9D9" w:themeFill="background1" w:themeFillShade="D9"/>
          </w:tcPr>
          <w:p w14:paraId="4660F532" w14:textId="77777777" w:rsidR="00AC0F19" w:rsidRPr="00457C3A" w:rsidRDefault="00AC0F19" w:rsidP="00457C3A">
            <w:pPr>
              <w:pStyle w:val="TableText"/>
              <w:keepNext/>
              <w:rPr>
                <w:b/>
              </w:rPr>
            </w:pPr>
            <w:r w:rsidRPr="00457C3A">
              <w:rPr>
                <w:b/>
              </w:rPr>
              <w:t>Ingredient</w:t>
            </w:r>
          </w:p>
        </w:tc>
        <w:tc>
          <w:tcPr>
            <w:tcW w:w="992" w:type="dxa"/>
            <w:tcBorders>
              <w:top w:val="nil"/>
              <w:bottom w:val="nil"/>
            </w:tcBorders>
            <w:shd w:val="clear" w:color="auto" w:fill="D9D9D9" w:themeFill="background1" w:themeFillShade="D9"/>
          </w:tcPr>
          <w:p w14:paraId="10AB54A9" w14:textId="77777777" w:rsidR="00AC0F19" w:rsidRPr="00457C3A" w:rsidRDefault="00AC0F19" w:rsidP="00457C3A">
            <w:pPr>
              <w:pStyle w:val="TableText"/>
              <w:jc w:val="center"/>
              <w:rPr>
                <w:b/>
              </w:rPr>
            </w:pPr>
            <w:r w:rsidRPr="00457C3A">
              <w:rPr>
                <w:b/>
              </w:rPr>
              <w:t>Quantity</w:t>
            </w:r>
          </w:p>
        </w:tc>
      </w:tr>
      <w:tr w:rsidR="00AC0F19" w14:paraId="6536941C" w14:textId="77777777" w:rsidTr="00457C3A">
        <w:trPr>
          <w:cantSplit/>
        </w:trPr>
        <w:tc>
          <w:tcPr>
            <w:tcW w:w="7088" w:type="dxa"/>
            <w:tcBorders>
              <w:top w:val="nil"/>
            </w:tcBorders>
            <w:shd w:val="clear" w:color="auto" w:fill="auto"/>
          </w:tcPr>
          <w:p w14:paraId="5DDE2E00" w14:textId="77777777" w:rsidR="00AC0F19" w:rsidRDefault="00AC0F19" w:rsidP="00457C3A">
            <w:pPr>
              <w:pStyle w:val="TableText"/>
              <w:keepNext/>
            </w:pPr>
            <w:r>
              <w:t>Pair of non-sterile examination gloves</w:t>
            </w:r>
          </w:p>
        </w:tc>
        <w:tc>
          <w:tcPr>
            <w:tcW w:w="992" w:type="dxa"/>
            <w:tcBorders>
              <w:top w:val="nil"/>
            </w:tcBorders>
            <w:shd w:val="clear" w:color="auto" w:fill="auto"/>
          </w:tcPr>
          <w:p w14:paraId="2F9794DC" w14:textId="77777777" w:rsidR="00AC0F19" w:rsidRDefault="00AC0F19" w:rsidP="00457C3A">
            <w:pPr>
              <w:pStyle w:val="TableText"/>
              <w:jc w:val="center"/>
            </w:pPr>
            <w:r>
              <w:t>1</w:t>
            </w:r>
          </w:p>
        </w:tc>
      </w:tr>
      <w:tr w:rsidR="00AC0F19" w14:paraId="40689C06" w14:textId="77777777" w:rsidTr="00457C3A">
        <w:trPr>
          <w:cantSplit/>
        </w:trPr>
        <w:tc>
          <w:tcPr>
            <w:tcW w:w="7088" w:type="dxa"/>
            <w:shd w:val="clear" w:color="auto" w:fill="auto"/>
          </w:tcPr>
          <w:p w14:paraId="79DCEE5B" w14:textId="77777777" w:rsidR="00AC0F19" w:rsidRDefault="00AC0F19" w:rsidP="00457C3A">
            <w:pPr>
              <w:pStyle w:val="TableText"/>
              <w:keepNext/>
            </w:pPr>
            <w:r>
              <w:t>20 mL oral syringe</w:t>
            </w:r>
          </w:p>
        </w:tc>
        <w:tc>
          <w:tcPr>
            <w:tcW w:w="992" w:type="dxa"/>
            <w:shd w:val="clear" w:color="auto" w:fill="auto"/>
          </w:tcPr>
          <w:p w14:paraId="2BB10063" w14:textId="77777777" w:rsidR="00AC0F19" w:rsidRDefault="00AC0F19" w:rsidP="00457C3A">
            <w:pPr>
              <w:pStyle w:val="TableText"/>
              <w:jc w:val="center"/>
            </w:pPr>
            <w:r>
              <w:t>1</w:t>
            </w:r>
          </w:p>
        </w:tc>
      </w:tr>
      <w:tr w:rsidR="00AC0F19" w14:paraId="09A8E519" w14:textId="77777777" w:rsidTr="00457C3A">
        <w:trPr>
          <w:cantSplit/>
        </w:trPr>
        <w:tc>
          <w:tcPr>
            <w:tcW w:w="7088" w:type="dxa"/>
            <w:shd w:val="clear" w:color="auto" w:fill="auto"/>
          </w:tcPr>
          <w:p w14:paraId="083665A7" w14:textId="77777777" w:rsidR="00AC0F19" w:rsidRDefault="00AC0F19" w:rsidP="00457C3A">
            <w:pPr>
              <w:pStyle w:val="TableText"/>
              <w:keepNext/>
            </w:pPr>
            <w:r>
              <w:t>3 mL oral syringe</w:t>
            </w:r>
          </w:p>
        </w:tc>
        <w:tc>
          <w:tcPr>
            <w:tcW w:w="992" w:type="dxa"/>
            <w:shd w:val="clear" w:color="auto" w:fill="auto"/>
          </w:tcPr>
          <w:p w14:paraId="29E6787C" w14:textId="77777777" w:rsidR="00AC0F19" w:rsidRDefault="00AC0F19" w:rsidP="00457C3A">
            <w:pPr>
              <w:pStyle w:val="TableText"/>
              <w:jc w:val="center"/>
            </w:pPr>
            <w:r>
              <w:t>1</w:t>
            </w:r>
          </w:p>
        </w:tc>
      </w:tr>
      <w:tr w:rsidR="00AC0F19" w14:paraId="15836A97" w14:textId="77777777" w:rsidTr="00457C3A">
        <w:trPr>
          <w:cantSplit/>
        </w:trPr>
        <w:tc>
          <w:tcPr>
            <w:tcW w:w="7088" w:type="dxa"/>
            <w:shd w:val="clear" w:color="auto" w:fill="auto"/>
          </w:tcPr>
          <w:p w14:paraId="2F699E77" w14:textId="77777777" w:rsidR="00AC0F19" w:rsidRDefault="00AC0F19" w:rsidP="00457C3A">
            <w:pPr>
              <w:pStyle w:val="TableText"/>
              <w:keepNext/>
            </w:pPr>
            <w:r>
              <w:t>Mixing cannula</w:t>
            </w:r>
          </w:p>
        </w:tc>
        <w:tc>
          <w:tcPr>
            <w:tcW w:w="992" w:type="dxa"/>
            <w:shd w:val="clear" w:color="auto" w:fill="auto"/>
          </w:tcPr>
          <w:p w14:paraId="01F0FF6B" w14:textId="77777777" w:rsidR="00AC0F19" w:rsidRDefault="00AC0F19" w:rsidP="00457C3A">
            <w:pPr>
              <w:pStyle w:val="TableText"/>
              <w:jc w:val="center"/>
            </w:pPr>
            <w:r>
              <w:t>1</w:t>
            </w:r>
          </w:p>
        </w:tc>
      </w:tr>
      <w:tr w:rsidR="00AC0F19" w14:paraId="18C01734" w14:textId="77777777" w:rsidTr="00457C3A">
        <w:trPr>
          <w:cantSplit/>
        </w:trPr>
        <w:tc>
          <w:tcPr>
            <w:tcW w:w="7088" w:type="dxa"/>
            <w:shd w:val="clear" w:color="auto" w:fill="auto"/>
          </w:tcPr>
          <w:p w14:paraId="6D9CD79B" w14:textId="77777777" w:rsidR="00AC0F19" w:rsidRDefault="00AC0F19" w:rsidP="00457C3A">
            <w:pPr>
              <w:pStyle w:val="TableText"/>
              <w:keepNext/>
            </w:pPr>
            <w:r>
              <w:t>Oral medicine measure (eg, a 40 mL conical medicine measure or plastic medicine pot)</w:t>
            </w:r>
          </w:p>
        </w:tc>
        <w:tc>
          <w:tcPr>
            <w:tcW w:w="992" w:type="dxa"/>
            <w:shd w:val="clear" w:color="auto" w:fill="auto"/>
          </w:tcPr>
          <w:p w14:paraId="3508415B" w14:textId="77777777" w:rsidR="00AC0F19" w:rsidRDefault="00AC0F19" w:rsidP="00457C3A">
            <w:pPr>
              <w:pStyle w:val="TableText"/>
              <w:jc w:val="center"/>
            </w:pPr>
            <w:r>
              <w:t>1</w:t>
            </w:r>
          </w:p>
        </w:tc>
      </w:tr>
      <w:tr w:rsidR="00AC0F19" w14:paraId="100025CC" w14:textId="77777777" w:rsidTr="00457C3A">
        <w:trPr>
          <w:cantSplit/>
        </w:trPr>
        <w:tc>
          <w:tcPr>
            <w:tcW w:w="7088" w:type="dxa"/>
            <w:shd w:val="clear" w:color="auto" w:fill="auto"/>
          </w:tcPr>
          <w:p w14:paraId="1C46E2E2" w14:textId="77777777" w:rsidR="00AC0F19" w:rsidRDefault="00AC0F19" w:rsidP="00457C3A">
            <w:pPr>
              <w:pStyle w:val="TableText"/>
              <w:keepNext/>
            </w:pPr>
            <w:r>
              <w:t>Water for injection 20 mL ampoule</w:t>
            </w:r>
          </w:p>
        </w:tc>
        <w:tc>
          <w:tcPr>
            <w:tcW w:w="992" w:type="dxa"/>
            <w:shd w:val="clear" w:color="auto" w:fill="auto"/>
          </w:tcPr>
          <w:p w14:paraId="667ACC65" w14:textId="77777777" w:rsidR="00AC0F19" w:rsidRDefault="00AC0F19" w:rsidP="00457C3A">
            <w:pPr>
              <w:pStyle w:val="TableText"/>
              <w:jc w:val="center"/>
            </w:pPr>
            <w:r>
              <w:t>1</w:t>
            </w:r>
          </w:p>
        </w:tc>
      </w:tr>
      <w:tr w:rsidR="00AC0F19" w14:paraId="19336A4C" w14:textId="77777777" w:rsidTr="00457C3A">
        <w:trPr>
          <w:cantSplit/>
        </w:trPr>
        <w:tc>
          <w:tcPr>
            <w:tcW w:w="7088" w:type="dxa"/>
            <w:tcBorders>
              <w:bottom w:val="single" w:sz="4" w:space="0" w:color="A6A6A6" w:themeColor="background1" w:themeShade="A6"/>
            </w:tcBorders>
            <w:shd w:val="clear" w:color="auto" w:fill="auto"/>
          </w:tcPr>
          <w:p w14:paraId="70B6B42F" w14:textId="77777777" w:rsidR="00AC0F19" w:rsidRDefault="00AC0F19" w:rsidP="00457C3A">
            <w:pPr>
              <w:pStyle w:val="TableText"/>
              <w:keepNext/>
            </w:pPr>
            <w:r>
              <w:t>Misoprostol 200 microgram</w:t>
            </w:r>
            <w:r w:rsidR="00B0606D">
              <w:t xml:space="preserve"> </w:t>
            </w:r>
            <w:r>
              <w:t>tablet</w:t>
            </w:r>
          </w:p>
        </w:tc>
        <w:tc>
          <w:tcPr>
            <w:tcW w:w="992" w:type="dxa"/>
            <w:tcBorders>
              <w:bottom w:val="single" w:sz="4" w:space="0" w:color="A6A6A6" w:themeColor="background1" w:themeShade="A6"/>
            </w:tcBorders>
            <w:shd w:val="clear" w:color="auto" w:fill="auto"/>
          </w:tcPr>
          <w:p w14:paraId="2C2B6E4E" w14:textId="77777777" w:rsidR="00AC0F19" w:rsidRDefault="00AC0F19" w:rsidP="00457C3A">
            <w:pPr>
              <w:pStyle w:val="TableText"/>
              <w:jc w:val="center"/>
            </w:pPr>
            <w:r>
              <w:t>1</w:t>
            </w:r>
          </w:p>
        </w:tc>
      </w:tr>
      <w:tr w:rsidR="00457C3A" w14:paraId="5F27A121" w14:textId="77777777" w:rsidTr="00457C3A">
        <w:trPr>
          <w:cantSplit/>
        </w:trPr>
        <w:tc>
          <w:tcPr>
            <w:tcW w:w="8080" w:type="dxa"/>
            <w:gridSpan w:val="2"/>
            <w:tcBorders>
              <w:top w:val="single" w:sz="4" w:space="0" w:color="A6A6A6" w:themeColor="background1" w:themeShade="A6"/>
              <w:bottom w:val="nil"/>
            </w:tcBorders>
            <w:shd w:val="clear" w:color="auto" w:fill="auto"/>
          </w:tcPr>
          <w:p w14:paraId="6481B5C8" w14:textId="77777777" w:rsidR="00457C3A" w:rsidRPr="00457C3A" w:rsidRDefault="00457C3A" w:rsidP="00457C3A">
            <w:pPr>
              <w:pStyle w:val="TableText"/>
              <w:keepNext/>
              <w:rPr>
                <w:b/>
              </w:rPr>
            </w:pPr>
            <w:r w:rsidRPr="00457C3A">
              <w:rPr>
                <w:b/>
              </w:rPr>
              <w:t>Preparation instructions</w:t>
            </w:r>
          </w:p>
        </w:tc>
      </w:tr>
      <w:tr w:rsidR="00457C3A" w14:paraId="6F54D507" w14:textId="77777777" w:rsidTr="00457C3A">
        <w:trPr>
          <w:cantSplit/>
        </w:trPr>
        <w:tc>
          <w:tcPr>
            <w:tcW w:w="8080" w:type="dxa"/>
            <w:gridSpan w:val="2"/>
            <w:tcBorders>
              <w:top w:val="nil"/>
            </w:tcBorders>
            <w:shd w:val="clear" w:color="auto" w:fill="auto"/>
          </w:tcPr>
          <w:p w14:paraId="0E5D6946" w14:textId="77777777" w:rsidR="00457C3A" w:rsidRDefault="00457C3A" w:rsidP="00457C3A">
            <w:pPr>
              <w:pStyle w:val="TableBullet"/>
            </w:pPr>
            <w:r>
              <w:t>The solution may be prepared by a midwife, a registered nurse, a doctor or a</w:t>
            </w:r>
            <w:r>
              <w:rPr>
                <w:spacing w:val="-18"/>
              </w:rPr>
              <w:t xml:space="preserve"> </w:t>
            </w:r>
            <w:r>
              <w:t>pharmacist.</w:t>
            </w:r>
          </w:p>
          <w:p w14:paraId="309C66B1" w14:textId="77777777" w:rsidR="00457C3A" w:rsidRDefault="00457C3A" w:rsidP="00457C3A">
            <w:pPr>
              <w:pStyle w:val="TableBullet"/>
            </w:pPr>
            <w:r>
              <w:t>Prepare in a clean area on the ward (eg, in the same area where intravenous medicines are</w:t>
            </w:r>
            <w:r>
              <w:rPr>
                <w:spacing w:val="-22"/>
              </w:rPr>
              <w:t xml:space="preserve"> </w:t>
            </w:r>
            <w:r>
              <w:t>prepared).</w:t>
            </w:r>
          </w:p>
          <w:p w14:paraId="7B1C59FB" w14:textId="77777777" w:rsidR="00457C3A" w:rsidRDefault="00457C3A" w:rsidP="00457C3A">
            <w:pPr>
              <w:pStyle w:val="TableBullet"/>
            </w:pPr>
            <w:r>
              <w:t>A new suspension must be prepared for every</w:t>
            </w:r>
            <w:r>
              <w:rPr>
                <w:spacing w:val="-11"/>
              </w:rPr>
              <w:t xml:space="preserve"> </w:t>
            </w:r>
            <w:r>
              <w:t>dose.</w:t>
            </w:r>
          </w:p>
          <w:p w14:paraId="09B4EF8B" w14:textId="77777777" w:rsidR="00457C3A" w:rsidRDefault="00457C3A" w:rsidP="00457C3A">
            <w:pPr>
              <w:pStyle w:val="TableBullet"/>
            </w:pPr>
            <w:r>
              <w:t>Administer the dose of misoprostol immediately after</w:t>
            </w:r>
            <w:r>
              <w:rPr>
                <w:spacing w:val="-11"/>
              </w:rPr>
              <w:t xml:space="preserve"> </w:t>
            </w:r>
            <w:r>
              <w:t>preparation.</w:t>
            </w:r>
          </w:p>
          <w:p w14:paraId="7D56569F" w14:textId="2195B1D2" w:rsidR="00457C3A" w:rsidRDefault="00457C3A" w:rsidP="00457C3A">
            <w:pPr>
              <w:pStyle w:val="TableBullet"/>
            </w:pPr>
            <w:r>
              <w:t>To prepare a dose of misoprostol 25</w:t>
            </w:r>
            <w:r>
              <w:rPr>
                <w:spacing w:val="-8"/>
              </w:rPr>
              <w:t xml:space="preserve"> </w:t>
            </w:r>
            <w:r w:rsidR="007E350C">
              <w:t>microgram</w:t>
            </w:r>
            <w:r>
              <w:t>:</w:t>
            </w:r>
          </w:p>
          <w:p w14:paraId="74461BA0" w14:textId="77777777" w:rsidR="00457C3A" w:rsidRDefault="00457C3A" w:rsidP="00457C3A">
            <w:pPr>
              <w:pStyle w:val="TableText"/>
              <w:numPr>
                <w:ilvl w:val="0"/>
                <w:numId w:val="15"/>
              </w:numPr>
              <w:ind w:left="709" w:hanging="425"/>
            </w:pPr>
            <w:r>
              <w:t>Put on the</w:t>
            </w:r>
            <w:r>
              <w:rPr>
                <w:spacing w:val="-1"/>
              </w:rPr>
              <w:t xml:space="preserve"> </w:t>
            </w:r>
            <w:r>
              <w:t>gloves.</w:t>
            </w:r>
          </w:p>
          <w:p w14:paraId="409ED1B8" w14:textId="77777777" w:rsidR="00457C3A" w:rsidRDefault="00457C3A" w:rsidP="00457C3A">
            <w:pPr>
              <w:pStyle w:val="TableText"/>
              <w:numPr>
                <w:ilvl w:val="0"/>
                <w:numId w:val="15"/>
              </w:numPr>
              <w:ind w:left="709" w:hanging="425"/>
            </w:pPr>
            <w:r>
              <w:t>Empty</w:t>
            </w:r>
            <w:r>
              <w:rPr>
                <w:spacing w:val="-2"/>
              </w:rPr>
              <w:t xml:space="preserve"> </w:t>
            </w:r>
            <w:r>
              <w:t>the</w:t>
            </w:r>
            <w:r>
              <w:rPr>
                <w:spacing w:val="-3"/>
              </w:rPr>
              <w:t xml:space="preserve"> </w:t>
            </w:r>
            <w:r>
              <w:t>contents</w:t>
            </w:r>
            <w:r>
              <w:rPr>
                <w:spacing w:val="-4"/>
              </w:rPr>
              <w:t xml:space="preserve"> </w:t>
            </w:r>
            <w:r>
              <w:t>of</w:t>
            </w:r>
            <w:r>
              <w:rPr>
                <w:spacing w:val="-5"/>
              </w:rPr>
              <w:t xml:space="preserve"> </w:t>
            </w:r>
            <w:r>
              <w:t>the</w:t>
            </w:r>
            <w:r>
              <w:rPr>
                <w:spacing w:val="-2"/>
              </w:rPr>
              <w:t xml:space="preserve"> </w:t>
            </w:r>
            <w:r>
              <w:t>20</w:t>
            </w:r>
            <w:r>
              <w:rPr>
                <w:spacing w:val="-4"/>
              </w:rPr>
              <w:t xml:space="preserve"> </w:t>
            </w:r>
            <w:r>
              <w:t>mL water</w:t>
            </w:r>
            <w:r>
              <w:rPr>
                <w:spacing w:val="-4"/>
              </w:rPr>
              <w:t xml:space="preserve"> </w:t>
            </w:r>
            <w:r>
              <w:t>for</w:t>
            </w:r>
            <w:r>
              <w:rPr>
                <w:spacing w:val="-3"/>
              </w:rPr>
              <w:t xml:space="preserve"> </w:t>
            </w:r>
            <w:r>
              <w:t>injection</w:t>
            </w:r>
            <w:r>
              <w:rPr>
                <w:spacing w:val="-3"/>
              </w:rPr>
              <w:t xml:space="preserve"> </w:t>
            </w:r>
            <w:r>
              <w:t>ampoule</w:t>
            </w:r>
            <w:r>
              <w:rPr>
                <w:spacing w:val="-2"/>
              </w:rPr>
              <w:t xml:space="preserve"> </w:t>
            </w:r>
            <w:r>
              <w:t>into</w:t>
            </w:r>
            <w:r>
              <w:rPr>
                <w:spacing w:val="-3"/>
              </w:rPr>
              <w:t xml:space="preserve"> </w:t>
            </w:r>
            <w:r>
              <w:t>the</w:t>
            </w:r>
            <w:r>
              <w:rPr>
                <w:spacing w:val="-3"/>
              </w:rPr>
              <w:t xml:space="preserve"> </w:t>
            </w:r>
            <w:r>
              <w:t>oral</w:t>
            </w:r>
            <w:r>
              <w:rPr>
                <w:spacing w:val="-2"/>
              </w:rPr>
              <w:t xml:space="preserve"> </w:t>
            </w:r>
            <w:r>
              <w:t>medicine</w:t>
            </w:r>
            <w:r>
              <w:rPr>
                <w:spacing w:val="-2"/>
              </w:rPr>
              <w:t xml:space="preserve"> </w:t>
            </w:r>
            <w:r>
              <w:t>measure</w:t>
            </w:r>
            <w:r>
              <w:rPr>
                <w:spacing w:val="3"/>
              </w:rPr>
              <w:t xml:space="preserve"> </w:t>
            </w:r>
            <w:r>
              <w:t>(this should be slightly more than 20 mL).</w:t>
            </w:r>
          </w:p>
          <w:p w14:paraId="27E05EC8" w14:textId="77777777" w:rsidR="00457C3A" w:rsidRDefault="00457C3A" w:rsidP="00457C3A">
            <w:pPr>
              <w:pStyle w:val="TableText"/>
              <w:numPr>
                <w:ilvl w:val="0"/>
                <w:numId w:val="15"/>
              </w:numPr>
              <w:ind w:left="709" w:hanging="425"/>
            </w:pPr>
            <w:r>
              <w:t>Using the 20 mL oral syringe, draw up 20 mL water for</w:t>
            </w:r>
            <w:r>
              <w:rPr>
                <w:spacing w:val="-11"/>
              </w:rPr>
              <w:t xml:space="preserve"> </w:t>
            </w:r>
            <w:r>
              <w:t>injection.</w:t>
            </w:r>
          </w:p>
          <w:p w14:paraId="65A0D773" w14:textId="77777777" w:rsidR="00457C3A" w:rsidRDefault="00457C3A" w:rsidP="00457C3A">
            <w:pPr>
              <w:pStyle w:val="TableText"/>
              <w:numPr>
                <w:ilvl w:val="0"/>
                <w:numId w:val="15"/>
              </w:numPr>
              <w:ind w:left="709" w:hanging="425"/>
            </w:pPr>
            <w:r>
              <w:t>Discard any remaining water in the medicine measure (but keep the measure for the next</w:t>
            </w:r>
            <w:r>
              <w:rPr>
                <w:spacing w:val="-24"/>
              </w:rPr>
              <w:t xml:space="preserve"> </w:t>
            </w:r>
            <w:r>
              <w:t>step).</w:t>
            </w:r>
          </w:p>
          <w:p w14:paraId="66764AD7" w14:textId="7B98B42E" w:rsidR="00457C3A" w:rsidRDefault="00457C3A" w:rsidP="00457C3A">
            <w:pPr>
              <w:pStyle w:val="TableText"/>
              <w:numPr>
                <w:ilvl w:val="0"/>
                <w:numId w:val="15"/>
              </w:numPr>
              <w:ind w:left="709" w:hanging="425"/>
            </w:pPr>
            <w:r>
              <w:t xml:space="preserve">Place the misoprostol 200 </w:t>
            </w:r>
            <w:r w:rsidR="007E350C">
              <w:t>microgram</w:t>
            </w:r>
            <w:r>
              <w:t xml:space="preserve"> tablet in the empty medicine</w:t>
            </w:r>
            <w:r>
              <w:rPr>
                <w:spacing w:val="-8"/>
              </w:rPr>
              <w:t xml:space="preserve"> </w:t>
            </w:r>
            <w:r>
              <w:t>measure.</w:t>
            </w:r>
          </w:p>
          <w:p w14:paraId="632201CE" w14:textId="77777777" w:rsidR="00457C3A" w:rsidRDefault="00457C3A" w:rsidP="00457C3A">
            <w:pPr>
              <w:pStyle w:val="TableText"/>
              <w:numPr>
                <w:ilvl w:val="0"/>
                <w:numId w:val="15"/>
              </w:numPr>
              <w:ind w:left="709" w:hanging="425"/>
            </w:pPr>
            <w:r>
              <w:t>Add the 20 mL water for injection from the oral syringe into the medicine measure with</w:t>
            </w:r>
            <w:r>
              <w:rPr>
                <w:spacing w:val="-36"/>
              </w:rPr>
              <w:t xml:space="preserve"> </w:t>
            </w:r>
            <w:r>
              <w:t>the misoprostol</w:t>
            </w:r>
            <w:r>
              <w:rPr>
                <w:spacing w:val="-1"/>
              </w:rPr>
              <w:t xml:space="preserve"> </w:t>
            </w:r>
            <w:r>
              <w:t>tablet.</w:t>
            </w:r>
          </w:p>
          <w:p w14:paraId="2AAC24AA" w14:textId="033AED62" w:rsidR="00457C3A" w:rsidRDefault="00457C3A" w:rsidP="00457C3A">
            <w:pPr>
              <w:pStyle w:val="TableText"/>
              <w:numPr>
                <w:ilvl w:val="0"/>
                <w:numId w:val="15"/>
              </w:numPr>
              <w:ind w:left="709" w:hanging="425"/>
            </w:pPr>
            <w:r>
              <w:t>Use</w:t>
            </w:r>
            <w:r>
              <w:rPr>
                <w:spacing w:val="-2"/>
              </w:rPr>
              <w:t xml:space="preserve"> </w:t>
            </w:r>
            <w:r>
              <w:t>the</w:t>
            </w:r>
            <w:r>
              <w:rPr>
                <w:spacing w:val="-3"/>
              </w:rPr>
              <w:t xml:space="preserve"> </w:t>
            </w:r>
            <w:r>
              <w:t>mixing</w:t>
            </w:r>
            <w:r>
              <w:rPr>
                <w:spacing w:val="-2"/>
              </w:rPr>
              <w:t xml:space="preserve"> </w:t>
            </w:r>
            <w:r>
              <w:t>cannula,</w:t>
            </w:r>
            <w:r>
              <w:rPr>
                <w:spacing w:val="-2"/>
              </w:rPr>
              <w:t xml:space="preserve"> </w:t>
            </w:r>
            <w:r>
              <w:t>mix</w:t>
            </w:r>
            <w:r>
              <w:rPr>
                <w:spacing w:val="-3"/>
              </w:rPr>
              <w:t xml:space="preserve"> </w:t>
            </w:r>
            <w:r>
              <w:t>until</w:t>
            </w:r>
            <w:r>
              <w:rPr>
                <w:spacing w:val="-3"/>
              </w:rPr>
              <w:t xml:space="preserve"> </w:t>
            </w:r>
            <w:r>
              <w:t>the</w:t>
            </w:r>
            <w:r>
              <w:rPr>
                <w:spacing w:val="-3"/>
              </w:rPr>
              <w:t xml:space="preserve"> </w:t>
            </w:r>
            <w:r>
              <w:t>tablet</w:t>
            </w:r>
            <w:r>
              <w:rPr>
                <w:spacing w:val="-2"/>
              </w:rPr>
              <w:t xml:space="preserve"> </w:t>
            </w:r>
            <w:r>
              <w:t>is</w:t>
            </w:r>
            <w:r>
              <w:rPr>
                <w:spacing w:val="-4"/>
              </w:rPr>
              <w:t xml:space="preserve"> </w:t>
            </w:r>
            <w:r>
              <w:t>fully</w:t>
            </w:r>
            <w:r>
              <w:rPr>
                <w:spacing w:val="-2"/>
              </w:rPr>
              <w:t xml:space="preserve"> </w:t>
            </w:r>
            <w:r>
              <w:t>dispersed.</w:t>
            </w:r>
            <w:r>
              <w:rPr>
                <w:spacing w:val="-1"/>
              </w:rPr>
              <w:t xml:space="preserve"> </w:t>
            </w:r>
            <w:r>
              <w:t>This</w:t>
            </w:r>
            <w:r>
              <w:rPr>
                <w:spacing w:val="-4"/>
              </w:rPr>
              <w:t xml:space="preserve"> </w:t>
            </w:r>
            <w:r>
              <w:t>gives</w:t>
            </w:r>
            <w:r>
              <w:rPr>
                <w:spacing w:val="-2"/>
              </w:rPr>
              <w:t xml:space="preserve"> </w:t>
            </w:r>
            <w:r>
              <w:t>a</w:t>
            </w:r>
            <w:r>
              <w:rPr>
                <w:spacing w:val="-3"/>
              </w:rPr>
              <w:t xml:space="preserve"> </w:t>
            </w:r>
            <w:r>
              <w:t>suspension</w:t>
            </w:r>
            <w:r>
              <w:rPr>
                <w:spacing w:val="-3"/>
              </w:rPr>
              <w:t xml:space="preserve"> </w:t>
            </w:r>
            <w:r>
              <w:t>of</w:t>
            </w:r>
            <w:r>
              <w:rPr>
                <w:spacing w:val="-5"/>
              </w:rPr>
              <w:t xml:space="preserve"> </w:t>
            </w:r>
            <w:r>
              <w:t xml:space="preserve">misoprostol 200 </w:t>
            </w:r>
            <w:r w:rsidR="007E350C">
              <w:t>microgram</w:t>
            </w:r>
            <w:r>
              <w:t xml:space="preserve"> in 20 mL (10</w:t>
            </w:r>
            <w:r>
              <w:rPr>
                <w:spacing w:val="-7"/>
              </w:rPr>
              <w:t xml:space="preserve"> </w:t>
            </w:r>
            <w:r w:rsidR="007E350C">
              <w:t>microgram</w:t>
            </w:r>
            <w:r>
              <w:t>/mL).</w:t>
            </w:r>
          </w:p>
          <w:p w14:paraId="290745A8" w14:textId="77777777" w:rsidR="00457C3A" w:rsidRDefault="00457C3A" w:rsidP="00457C3A">
            <w:pPr>
              <w:pStyle w:val="TableText"/>
              <w:numPr>
                <w:ilvl w:val="0"/>
                <w:numId w:val="15"/>
              </w:numPr>
              <w:ind w:left="709" w:hanging="425"/>
            </w:pPr>
            <w:r>
              <w:t>Using the 3 mL oral syringe, draw up 2.5 mL of the suspension. Make sure the suspension is fully dispersed by mixing vigorously with the mixing cannula and drawing up the 2.5 mL immediately, before the suspension</w:t>
            </w:r>
            <w:r>
              <w:rPr>
                <w:spacing w:val="-3"/>
              </w:rPr>
              <w:t xml:space="preserve"> </w:t>
            </w:r>
            <w:r>
              <w:t>settles.</w:t>
            </w:r>
          </w:p>
          <w:p w14:paraId="170804D7" w14:textId="77777777" w:rsidR="00457C3A" w:rsidRDefault="00457C3A" w:rsidP="00457C3A">
            <w:pPr>
              <w:pStyle w:val="TableText"/>
              <w:numPr>
                <w:ilvl w:val="0"/>
                <w:numId w:val="15"/>
              </w:numPr>
              <w:ind w:left="709" w:hanging="425"/>
            </w:pPr>
            <w:r>
              <w:t>Label the oral syringe as per local requirements (eg, drug name, dose, patient’s name,</w:t>
            </w:r>
            <w:r>
              <w:rPr>
                <w:spacing w:val="-19"/>
              </w:rPr>
              <w:t xml:space="preserve"> </w:t>
            </w:r>
            <w:r>
              <w:t>etc).</w:t>
            </w:r>
          </w:p>
          <w:p w14:paraId="29AE7889" w14:textId="77777777" w:rsidR="00457C3A" w:rsidRDefault="00457C3A" w:rsidP="00457C3A">
            <w:pPr>
              <w:pStyle w:val="TableText"/>
              <w:numPr>
                <w:ilvl w:val="0"/>
                <w:numId w:val="15"/>
              </w:numPr>
              <w:ind w:left="709" w:hanging="425"/>
            </w:pPr>
            <w:r>
              <w:t>Shake the oral syringe well immediately before administering the</w:t>
            </w:r>
            <w:r>
              <w:rPr>
                <w:spacing w:val="-5"/>
              </w:rPr>
              <w:t xml:space="preserve"> </w:t>
            </w:r>
            <w:r>
              <w:t>dose.</w:t>
            </w:r>
          </w:p>
          <w:p w14:paraId="2552DDBD" w14:textId="77777777" w:rsidR="00457C3A" w:rsidRDefault="00457C3A" w:rsidP="00457C3A">
            <w:pPr>
              <w:pStyle w:val="TableText"/>
              <w:numPr>
                <w:ilvl w:val="0"/>
                <w:numId w:val="15"/>
              </w:numPr>
              <w:ind w:left="709" w:hanging="425"/>
            </w:pPr>
            <w:r>
              <w:t>Discard the remaining suspension in the medicine</w:t>
            </w:r>
            <w:r>
              <w:rPr>
                <w:spacing w:val="-6"/>
              </w:rPr>
              <w:t xml:space="preserve"> </w:t>
            </w:r>
            <w:r>
              <w:t>measure.</w:t>
            </w:r>
          </w:p>
          <w:p w14:paraId="77115773" w14:textId="77777777" w:rsidR="00457C3A" w:rsidRDefault="00457C3A" w:rsidP="00457C3A">
            <w:pPr>
              <w:pStyle w:val="TableText"/>
              <w:numPr>
                <w:ilvl w:val="0"/>
                <w:numId w:val="15"/>
              </w:numPr>
              <w:ind w:left="709" w:hanging="425"/>
            </w:pPr>
            <w:r>
              <w:t>Keep the medicine measure, 20 mL oral syringe and mixing cannula in case another dose is</w:t>
            </w:r>
            <w:r>
              <w:rPr>
                <w:spacing w:val="-33"/>
              </w:rPr>
              <w:t xml:space="preserve"> </w:t>
            </w:r>
            <w:r>
              <w:t>required. If a further dose is not required, discard the oral syringe and mixing</w:t>
            </w:r>
            <w:r>
              <w:rPr>
                <w:spacing w:val="-15"/>
              </w:rPr>
              <w:t xml:space="preserve"> </w:t>
            </w:r>
            <w:r>
              <w:t>cannula.</w:t>
            </w:r>
          </w:p>
        </w:tc>
      </w:tr>
    </w:tbl>
    <w:p w14:paraId="247D704B" w14:textId="77777777" w:rsidR="00457C3A" w:rsidRDefault="00457C3A"/>
    <w:p w14:paraId="7B49C5BC" w14:textId="77777777" w:rsidR="00AC0F19" w:rsidRPr="00457C3A" w:rsidRDefault="00AC0F19" w:rsidP="00554F0A">
      <w:pPr>
        <w:pStyle w:val="Heading3-Appendices"/>
      </w:pPr>
      <w:bookmarkStart w:id="363" w:name="_Toc72488605"/>
      <w:r>
        <w:lastRenderedPageBreak/>
        <w:t>Method B</w:t>
      </w:r>
      <w:r w:rsidRPr="00457C3A">
        <w:rPr>
          <w:rStyle w:val="FootnoteReference"/>
        </w:rPr>
        <w:footnoteReference w:id="7"/>
      </w:r>
      <w:bookmarkEnd w:id="36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7088"/>
        <w:gridCol w:w="992"/>
      </w:tblGrid>
      <w:tr w:rsidR="00AC0F19" w:rsidRPr="00457C3A" w14:paraId="45EBAB61" w14:textId="77777777" w:rsidTr="00457C3A">
        <w:trPr>
          <w:cantSplit/>
          <w:tblHeader/>
        </w:trPr>
        <w:tc>
          <w:tcPr>
            <w:tcW w:w="7088" w:type="dxa"/>
            <w:tcBorders>
              <w:top w:val="nil"/>
              <w:bottom w:val="nil"/>
            </w:tcBorders>
            <w:shd w:val="clear" w:color="auto" w:fill="D9D9D9" w:themeFill="background1" w:themeFillShade="D9"/>
          </w:tcPr>
          <w:p w14:paraId="5833AAFE" w14:textId="77777777" w:rsidR="00AC0F19" w:rsidRPr="00457C3A" w:rsidRDefault="00AC0F19" w:rsidP="00457C3A">
            <w:pPr>
              <w:pStyle w:val="TableText"/>
              <w:keepNext/>
              <w:rPr>
                <w:b/>
              </w:rPr>
            </w:pPr>
            <w:r w:rsidRPr="00457C3A">
              <w:rPr>
                <w:b/>
              </w:rPr>
              <w:t>Ingredient</w:t>
            </w:r>
          </w:p>
        </w:tc>
        <w:tc>
          <w:tcPr>
            <w:tcW w:w="992" w:type="dxa"/>
            <w:tcBorders>
              <w:top w:val="nil"/>
              <w:bottom w:val="nil"/>
            </w:tcBorders>
            <w:shd w:val="clear" w:color="auto" w:fill="D9D9D9" w:themeFill="background1" w:themeFillShade="D9"/>
          </w:tcPr>
          <w:p w14:paraId="5133A91D" w14:textId="77777777" w:rsidR="00AC0F19" w:rsidRPr="00457C3A" w:rsidRDefault="00AC0F19" w:rsidP="00457C3A">
            <w:pPr>
              <w:pStyle w:val="TableText"/>
              <w:jc w:val="center"/>
              <w:rPr>
                <w:b/>
              </w:rPr>
            </w:pPr>
            <w:r w:rsidRPr="00457C3A">
              <w:rPr>
                <w:b/>
              </w:rPr>
              <w:t>Quantity</w:t>
            </w:r>
          </w:p>
        </w:tc>
      </w:tr>
      <w:tr w:rsidR="00AC0F19" w14:paraId="76C1D69C" w14:textId="77777777" w:rsidTr="00457C3A">
        <w:trPr>
          <w:cantSplit/>
        </w:trPr>
        <w:tc>
          <w:tcPr>
            <w:tcW w:w="7088" w:type="dxa"/>
            <w:tcBorders>
              <w:top w:val="nil"/>
            </w:tcBorders>
            <w:shd w:val="clear" w:color="auto" w:fill="auto"/>
          </w:tcPr>
          <w:p w14:paraId="7D1A8D03" w14:textId="77777777" w:rsidR="00AC0F19" w:rsidRDefault="00AC0F19" w:rsidP="00457C3A">
            <w:pPr>
              <w:pStyle w:val="TableText"/>
              <w:keepNext/>
            </w:pPr>
            <w:r>
              <w:t>Pair of non-sterile examination gloves</w:t>
            </w:r>
          </w:p>
        </w:tc>
        <w:tc>
          <w:tcPr>
            <w:tcW w:w="992" w:type="dxa"/>
            <w:tcBorders>
              <w:top w:val="nil"/>
            </w:tcBorders>
            <w:shd w:val="clear" w:color="auto" w:fill="auto"/>
          </w:tcPr>
          <w:p w14:paraId="7EA0B80D" w14:textId="77777777" w:rsidR="00AC0F19" w:rsidRDefault="00AC0F19" w:rsidP="00457C3A">
            <w:pPr>
              <w:pStyle w:val="TableText"/>
              <w:jc w:val="center"/>
            </w:pPr>
            <w:r>
              <w:t>1</w:t>
            </w:r>
          </w:p>
        </w:tc>
      </w:tr>
      <w:tr w:rsidR="00AC0F19" w14:paraId="5CA0839F" w14:textId="77777777" w:rsidTr="00457C3A">
        <w:trPr>
          <w:cantSplit/>
        </w:trPr>
        <w:tc>
          <w:tcPr>
            <w:tcW w:w="7088" w:type="dxa"/>
            <w:shd w:val="clear" w:color="auto" w:fill="auto"/>
          </w:tcPr>
          <w:p w14:paraId="055323AC" w14:textId="77777777" w:rsidR="00AC0F19" w:rsidRDefault="00AC0F19" w:rsidP="00457C3A">
            <w:pPr>
              <w:pStyle w:val="TableText"/>
            </w:pPr>
            <w:r>
              <w:t>20 mL oral syringe with syringe cap</w:t>
            </w:r>
          </w:p>
        </w:tc>
        <w:tc>
          <w:tcPr>
            <w:tcW w:w="992" w:type="dxa"/>
            <w:shd w:val="clear" w:color="auto" w:fill="auto"/>
          </w:tcPr>
          <w:p w14:paraId="618C40D8" w14:textId="77777777" w:rsidR="00AC0F19" w:rsidRDefault="00AC0F19" w:rsidP="00457C3A">
            <w:pPr>
              <w:pStyle w:val="TableText"/>
              <w:jc w:val="center"/>
            </w:pPr>
            <w:r>
              <w:t>1</w:t>
            </w:r>
          </w:p>
        </w:tc>
      </w:tr>
      <w:tr w:rsidR="00AC0F19" w14:paraId="526D9BC3" w14:textId="77777777" w:rsidTr="00457C3A">
        <w:trPr>
          <w:cantSplit/>
        </w:trPr>
        <w:tc>
          <w:tcPr>
            <w:tcW w:w="7088" w:type="dxa"/>
            <w:shd w:val="clear" w:color="auto" w:fill="auto"/>
          </w:tcPr>
          <w:p w14:paraId="14E64CD9" w14:textId="77777777" w:rsidR="00AC0F19" w:rsidRDefault="00AC0F19" w:rsidP="00457C3A">
            <w:pPr>
              <w:pStyle w:val="TableText"/>
            </w:pPr>
            <w:r>
              <w:t>Water for injection 20 mL ampoule</w:t>
            </w:r>
          </w:p>
        </w:tc>
        <w:tc>
          <w:tcPr>
            <w:tcW w:w="992" w:type="dxa"/>
            <w:shd w:val="clear" w:color="auto" w:fill="auto"/>
          </w:tcPr>
          <w:p w14:paraId="621ECB64" w14:textId="77777777" w:rsidR="00AC0F19" w:rsidRDefault="00AC0F19" w:rsidP="00457C3A">
            <w:pPr>
              <w:pStyle w:val="TableText"/>
              <w:jc w:val="center"/>
            </w:pPr>
            <w:r>
              <w:t>1</w:t>
            </w:r>
          </w:p>
        </w:tc>
      </w:tr>
      <w:tr w:rsidR="00AC0F19" w14:paraId="27874F49" w14:textId="77777777" w:rsidTr="00457C3A">
        <w:trPr>
          <w:cantSplit/>
        </w:trPr>
        <w:tc>
          <w:tcPr>
            <w:tcW w:w="7088" w:type="dxa"/>
            <w:shd w:val="clear" w:color="auto" w:fill="auto"/>
          </w:tcPr>
          <w:p w14:paraId="51FD58E9" w14:textId="61FA7C8D" w:rsidR="00AC0F19" w:rsidRDefault="00AC0F19" w:rsidP="00457C3A">
            <w:pPr>
              <w:pStyle w:val="TableText"/>
            </w:pPr>
            <w:r>
              <w:t xml:space="preserve">Misoprostol 200 </w:t>
            </w:r>
            <w:r w:rsidR="007E350C">
              <w:t>microgram</w:t>
            </w:r>
            <w:r>
              <w:t xml:space="preserve"> tablet</w:t>
            </w:r>
          </w:p>
        </w:tc>
        <w:tc>
          <w:tcPr>
            <w:tcW w:w="992" w:type="dxa"/>
            <w:shd w:val="clear" w:color="auto" w:fill="auto"/>
          </w:tcPr>
          <w:p w14:paraId="7F48D103" w14:textId="77777777" w:rsidR="00AC0F19" w:rsidRDefault="00AC0F19" w:rsidP="00457C3A">
            <w:pPr>
              <w:pStyle w:val="TableText"/>
              <w:jc w:val="center"/>
            </w:pPr>
            <w:r>
              <w:t>1</w:t>
            </w:r>
          </w:p>
        </w:tc>
      </w:tr>
      <w:tr w:rsidR="005E153F" w:rsidRPr="005E153F" w14:paraId="57BBA194" w14:textId="77777777" w:rsidTr="005E153F">
        <w:trPr>
          <w:cantSplit/>
        </w:trPr>
        <w:tc>
          <w:tcPr>
            <w:tcW w:w="8080" w:type="dxa"/>
            <w:gridSpan w:val="2"/>
            <w:tcBorders>
              <w:bottom w:val="nil"/>
            </w:tcBorders>
            <w:shd w:val="clear" w:color="auto" w:fill="auto"/>
          </w:tcPr>
          <w:p w14:paraId="0CF96C47" w14:textId="77777777" w:rsidR="005E153F" w:rsidRPr="005E153F" w:rsidRDefault="005E153F" w:rsidP="005E153F">
            <w:pPr>
              <w:pStyle w:val="TableText"/>
              <w:rPr>
                <w:b/>
              </w:rPr>
            </w:pPr>
            <w:r w:rsidRPr="005E153F">
              <w:rPr>
                <w:b/>
              </w:rPr>
              <w:t>Preparation instructions</w:t>
            </w:r>
          </w:p>
        </w:tc>
      </w:tr>
      <w:tr w:rsidR="005E153F" w14:paraId="14644B91" w14:textId="77777777" w:rsidTr="005E153F">
        <w:trPr>
          <w:cantSplit/>
        </w:trPr>
        <w:tc>
          <w:tcPr>
            <w:tcW w:w="8080" w:type="dxa"/>
            <w:gridSpan w:val="2"/>
            <w:tcBorders>
              <w:top w:val="nil"/>
            </w:tcBorders>
            <w:shd w:val="clear" w:color="auto" w:fill="auto"/>
          </w:tcPr>
          <w:p w14:paraId="54329709" w14:textId="77777777" w:rsidR="005E153F" w:rsidRDefault="005E153F" w:rsidP="005E153F">
            <w:pPr>
              <w:pStyle w:val="TableBullet"/>
            </w:pPr>
            <w:r>
              <w:t>The solution may be prepared by a midwife, a registered nurse, a doctor or a</w:t>
            </w:r>
            <w:r>
              <w:rPr>
                <w:spacing w:val="-15"/>
              </w:rPr>
              <w:t xml:space="preserve"> </w:t>
            </w:r>
            <w:r>
              <w:t>pharmacist.</w:t>
            </w:r>
          </w:p>
          <w:p w14:paraId="33D9202B" w14:textId="77777777" w:rsidR="005E153F" w:rsidRDefault="005E153F" w:rsidP="005E153F">
            <w:pPr>
              <w:pStyle w:val="TableBullet"/>
            </w:pPr>
            <w:r>
              <w:t>Prepare in a clean area on the ward (eg, in the same area where intravenous medicines are</w:t>
            </w:r>
            <w:r>
              <w:rPr>
                <w:spacing w:val="-23"/>
              </w:rPr>
              <w:t xml:space="preserve"> </w:t>
            </w:r>
            <w:r>
              <w:t>prepared).</w:t>
            </w:r>
          </w:p>
          <w:p w14:paraId="2BB3DAAE" w14:textId="77777777" w:rsidR="005E153F" w:rsidRDefault="005E153F" w:rsidP="005E153F">
            <w:pPr>
              <w:pStyle w:val="TableBullet"/>
            </w:pPr>
            <w:r>
              <w:t>A new suspension must be prepared for every</w:t>
            </w:r>
            <w:r>
              <w:rPr>
                <w:spacing w:val="-11"/>
              </w:rPr>
              <w:t xml:space="preserve"> </w:t>
            </w:r>
            <w:r>
              <w:t>dose.</w:t>
            </w:r>
          </w:p>
          <w:p w14:paraId="2DD8FC82" w14:textId="77777777" w:rsidR="005E153F" w:rsidRDefault="005E153F" w:rsidP="005E153F">
            <w:pPr>
              <w:pStyle w:val="TableBullet"/>
            </w:pPr>
            <w:r>
              <w:t>Administer the dose of misoprostol immediately after</w:t>
            </w:r>
            <w:r>
              <w:rPr>
                <w:spacing w:val="-6"/>
              </w:rPr>
              <w:t xml:space="preserve"> </w:t>
            </w:r>
            <w:r>
              <w:t>preparation.</w:t>
            </w:r>
          </w:p>
          <w:p w14:paraId="785BE303" w14:textId="626754E2" w:rsidR="005E153F" w:rsidRDefault="005E153F" w:rsidP="005E153F">
            <w:pPr>
              <w:pStyle w:val="TableBullet"/>
            </w:pPr>
            <w:r>
              <w:t>To prepare a dose of misoprostol 25</w:t>
            </w:r>
            <w:r>
              <w:rPr>
                <w:spacing w:val="-8"/>
              </w:rPr>
              <w:t xml:space="preserve"> </w:t>
            </w:r>
            <w:r w:rsidR="007E350C">
              <w:t>microgram</w:t>
            </w:r>
            <w:r>
              <w:t>:</w:t>
            </w:r>
          </w:p>
          <w:p w14:paraId="7820D77B" w14:textId="77777777" w:rsidR="005E153F" w:rsidRDefault="005E153F" w:rsidP="005E153F">
            <w:pPr>
              <w:pStyle w:val="TableText"/>
              <w:numPr>
                <w:ilvl w:val="0"/>
                <w:numId w:val="16"/>
              </w:numPr>
              <w:ind w:left="709" w:hanging="425"/>
            </w:pPr>
            <w:r>
              <w:t>Put on the</w:t>
            </w:r>
            <w:r>
              <w:rPr>
                <w:spacing w:val="-3"/>
              </w:rPr>
              <w:t xml:space="preserve"> </w:t>
            </w:r>
            <w:r>
              <w:t>gloves.</w:t>
            </w:r>
          </w:p>
          <w:p w14:paraId="1EF79162" w14:textId="77777777" w:rsidR="005E153F" w:rsidRDefault="005E153F" w:rsidP="005E153F">
            <w:pPr>
              <w:pStyle w:val="TableText"/>
              <w:numPr>
                <w:ilvl w:val="0"/>
                <w:numId w:val="16"/>
              </w:numPr>
              <w:ind w:left="709" w:hanging="425"/>
            </w:pPr>
            <w:r>
              <w:t>Remove the plunger from the oral</w:t>
            </w:r>
            <w:r>
              <w:rPr>
                <w:spacing w:val="-2"/>
              </w:rPr>
              <w:t xml:space="preserve"> </w:t>
            </w:r>
            <w:r>
              <w:t>syringe.</w:t>
            </w:r>
          </w:p>
          <w:p w14:paraId="1A910E48" w14:textId="77777777" w:rsidR="005E153F" w:rsidRDefault="005E153F" w:rsidP="005E153F">
            <w:pPr>
              <w:pStyle w:val="TableText"/>
              <w:numPr>
                <w:ilvl w:val="0"/>
                <w:numId w:val="16"/>
              </w:numPr>
              <w:ind w:left="709" w:hanging="425"/>
            </w:pPr>
            <w:r>
              <w:t>Ensure the tip of the oral syringe is</w:t>
            </w:r>
            <w:r>
              <w:rPr>
                <w:spacing w:val="-10"/>
              </w:rPr>
              <w:t xml:space="preserve"> </w:t>
            </w:r>
            <w:r>
              <w:t>capped.</w:t>
            </w:r>
          </w:p>
          <w:p w14:paraId="49DDA40A" w14:textId="77777777" w:rsidR="005E153F" w:rsidRDefault="005E153F" w:rsidP="005E153F">
            <w:pPr>
              <w:pStyle w:val="TableText"/>
              <w:numPr>
                <w:ilvl w:val="0"/>
                <w:numId w:val="16"/>
              </w:numPr>
              <w:ind w:left="709" w:hanging="425"/>
            </w:pPr>
            <w:r>
              <w:t>Drop the misoprostol tablet directly into the syringe. Do not crush</w:t>
            </w:r>
            <w:r>
              <w:rPr>
                <w:spacing w:val="-4"/>
              </w:rPr>
              <w:t xml:space="preserve"> </w:t>
            </w:r>
            <w:r>
              <w:t>it.</w:t>
            </w:r>
          </w:p>
          <w:p w14:paraId="56EB0333" w14:textId="77777777" w:rsidR="005E153F" w:rsidRDefault="005E153F" w:rsidP="005E153F">
            <w:pPr>
              <w:pStyle w:val="TableText"/>
              <w:numPr>
                <w:ilvl w:val="0"/>
                <w:numId w:val="16"/>
              </w:numPr>
              <w:ind w:left="709" w:hanging="425"/>
            </w:pPr>
            <w:r>
              <w:t>Reinsert the plunger in the syringe</w:t>
            </w:r>
            <w:r w:rsidRPr="005E153F">
              <w:rPr>
                <w:spacing w:val="-5"/>
              </w:rPr>
              <w:t xml:space="preserve"> </w:t>
            </w:r>
            <w:r>
              <w:t>barrel. Note: You may need to loosen the cap to allow air to exit the oral syringe.</w:t>
            </w:r>
          </w:p>
          <w:p w14:paraId="10E6A721" w14:textId="77777777" w:rsidR="005E153F" w:rsidRDefault="005E153F" w:rsidP="005E153F">
            <w:pPr>
              <w:pStyle w:val="TableText"/>
              <w:numPr>
                <w:ilvl w:val="0"/>
                <w:numId w:val="16"/>
              </w:numPr>
              <w:ind w:left="709" w:hanging="425"/>
            </w:pPr>
            <w:r>
              <w:t>Remove the syringe cap and draw up exactly 20 mL of water into the oral</w:t>
            </w:r>
            <w:r>
              <w:rPr>
                <w:spacing w:val="-21"/>
              </w:rPr>
              <w:t xml:space="preserve"> </w:t>
            </w:r>
            <w:r>
              <w:t>syringe.</w:t>
            </w:r>
          </w:p>
          <w:p w14:paraId="7BA64A2B" w14:textId="77777777" w:rsidR="005E153F" w:rsidRDefault="005E153F" w:rsidP="005E153F">
            <w:pPr>
              <w:pStyle w:val="TableText"/>
              <w:numPr>
                <w:ilvl w:val="0"/>
                <w:numId w:val="16"/>
              </w:numPr>
              <w:ind w:left="709" w:hanging="425"/>
            </w:pPr>
            <w:r>
              <w:t>Draw up extra air into the oral</w:t>
            </w:r>
            <w:r>
              <w:rPr>
                <w:spacing w:val="-11"/>
              </w:rPr>
              <w:t xml:space="preserve"> </w:t>
            </w:r>
            <w:r>
              <w:t>syringe.</w:t>
            </w:r>
          </w:p>
          <w:p w14:paraId="357841C4" w14:textId="77777777" w:rsidR="005E153F" w:rsidRDefault="005E153F" w:rsidP="005E153F">
            <w:pPr>
              <w:pStyle w:val="TableText"/>
              <w:numPr>
                <w:ilvl w:val="0"/>
                <w:numId w:val="16"/>
              </w:numPr>
              <w:ind w:left="709" w:hanging="425"/>
            </w:pPr>
            <w:r>
              <w:t>Cap the syringe and allow the misoprostol tablet to disintegrate over 3–5 minutes. Shake the syringe a few times during this period until no large particles of medication remain in the syringe. Note: The medication may not completely dissolve, and a fine powder may be present in the syringe, but you may still give the</w:t>
            </w:r>
            <w:r>
              <w:rPr>
                <w:spacing w:val="-3"/>
              </w:rPr>
              <w:t xml:space="preserve"> </w:t>
            </w:r>
            <w:r>
              <w:t>medicine.</w:t>
            </w:r>
          </w:p>
          <w:p w14:paraId="617FD6A4" w14:textId="77777777" w:rsidR="005E153F" w:rsidRDefault="005E153F" w:rsidP="005E153F">
            <w:pPr>
              <w:pStyle w:val="TableText"/>
              <w:numPr>
                <w:ilvl w:val="0"/>
                <w:numId w:val="16"/>
              </w:numPr>
              <w:ind w:left="709" w:hanging="425"/>
            </w:pPr>
            <w:r>
              <w:t>Shake the syringe and remove the</w:t>
            </w:r>
            <w:r>
              <w:rPr>
                <w:spacing w:val="-4"/>
              </w:rPr>
              <w:t xml:space="preserve"> </w:t>
            </w:r>
            <w:r>
              <w:t>cap.</w:t>
            </w:r>
          </w:p>
          <w:p w14:paraId="005A34A3" w14:textId="77777777" w:rsidR="005E153F" w:rsidRDefault="005E153F" w:rsidP="005E153F">
            <w:pPr>
              <w:pStyle w:val="TableText"/>
              <w:numPr>
                <w:ilvl w:val="0"/>
                <w:numId w:val="16"/>
              </w:numPr>
              <w:ind w:left="709" w:hanging="425"/>
            </w:pPr>
            <w:r>
              <w:t>Discard</w:t>
            </w:r>
            <w:r>
              <w:rPr>
                <w:spacing w:val="-4"/>
              </w:rPr>
              <w:t xml:space="preserve"> </w:t>
            </w:r>
            <w:r>
              <w:t>the</w:t>
            </w:r>
            <w:r>
              <w:rPr>
                <w:spacing w:val="-4"/>
              </w:rPr>
              <w:t xml:space="preserve"> </w:t>
            </w:r>
            <w:r>
              <w:t>unneeded</w:t>
            </w:r>
            <w:r>
              <w:rPr>
                <w:spacing w:val="-4"/>
              </w:rPr>
              <w:t xml:space="preserve"> </w:t>
            </w:r>
            <w:r>
              <w:t>misoprostol</w:t>
            </w:r>
            <w:r>
              <w:rPr>
                <w:spacing w:val="-3"/>
              </w:rPr>
              <w:t xml:space="preserve"> </w:t>
            </w:r>
            <w:r>
              <w:t>suspension</w:t>
            </w:r>
            <w:r>
              <w:rPr>
                <w:spacing w:val="-3"/>
              </w:rPr>
              <w:t xml:space="preserve"> </w:t>
            </w:r>
            <w:r>
              <w:t>until</w:t>
            </w:r>
            <w:r>
              <w:rPr>
                <w:spacing w:val="-4"/>
              </w:rPr>
              <w:t xml:space="preserve"> </w:t>
            </w:r>
            <w:r>
              <w:t>only</w:t>
            </w:r>
            <w:r>
              <w:rPr>
                <w:spacing w:val="2"/>
              </w:rPr>
              <w:t xml:space="preserve"> </w:t>
            </w:r>
            <w:r>
              <w:t>2.5</w:t>
            </w:r>
            <w:r>
              <w:rPr>
                <w:spacing w:val="-6"/>
              </w:rPr>
              <w:t xml:space="preserve"> </w:t>
            </w:r>
            <w:r>
              <w:t>mL</w:t>
            </w:r>
            <w:r>
              <w:rPr>
                <w:spacing w:val="-1"/>
              </w:rPr>
              <w:t xml:space="preserve"> </w:t>
            </w:r>
            <w:r>
              <w:t>of</w:t>
            </w:r>
            <w:r>
              <w:rPr>
                <w:spacing w:val="-6"/>
              </w:rPr>
              <w:t xml:space="preserve"> </w:t>
            </w:r>
            <w:r>
              <w:t>suspension</w:t>
            </w:r>
            <w:r>
              <w:rPr>
                <w:spacing w:val="-3"/>
              </w:rPr>
              <w:t xml:space="preserve"> </w:t>
            </w:r>
            <w:r>
              <w:t>remains</w:t>
            </w:r>
            <w:r>
              <w:rPr>
                <w:spacing w:val="-5"/>
              </w:rPr>
              <w:t xml:space="preserve"> </w:t>
            </w:r>
            <w:r>
              <w:t>in</w:t>
            </w:r>
            <w:r>
              <w:rPr>
                <w:spacing w:val="-4"/>
              </w:rPr>
              <w:t xml:space="preserve"> </w:t>
            </w:r>
            <w:r>
              <w:t>the syringe.</w:t>
            </w:r>
          </w:p>
          <w:p w14:paraId="1FA209A3" w14:textId="77777777" w:rsidR="005E153F" w:rsidRDefault="005E153F" w:rsidP="005E153F">
            <w:pPr>
              <w:pStyle w:val="TableText"/>
              <w:numPr>
                <w:ilvl w:val="0"/>
                <w:numId w:val="16"/>
              </w:numPr>
              <w:ind w:left="709" w:hanging="425"/>
            </w:pPr>
            <w:r>
              <w:t>Recap the</w:t>
            </w:r>
            <w:r>
              <w:rPr>
                <w:spacing w:val="-3"/>
              </w:rPr>
              <w:t xml:space="preserve"> </w:t>
            </w:r>
            <w:r>
              <w:t>syringe.</w:t>
            </w:r>
          </w:p>
          <w:p w14:paraId="26588371" w14:textId="77777777" w:rsidR="005E153F" w:rsidRDefault="005E153F" w:rsidP="005E153F">
            <w:pPr>
              <w:pStyle w:val="TableText"/>
              <w:numPr>
                <w:ilvl w:val="0"/>
                <w:numId w:val="16"/>
              </w:numPr>
              <w:ind w:left="709" w:hanging="425"/>
            </w:pPr>
            <w:r>
              <w:t>Label the syringe as per local requirements (eg, drug name, dose, patient’s name,</w:t>
            </w:r>
            <w:r>
              <w:rPr>
                <w:spacing w:val="-14"/>
              </w:rPr>
              <w:t xml:space="preserve"> </w:t>
            </w:r>
            <w:r>
              <w:t>etc).</w:t>
            </w:r>
          </w:p>
          <w:p w14:paraId="2CB74405" w14:textId="77777777" w:rsidR="005E153F" w:rsidRDefault="005E153F" w:rsidP="005E153F">
            <w:pPr>
              <w:pStyle w:val="TableText"/>
              <w:numPr>
                <w:ilvl w:val="0"/>
                <w:numId w:val="16"/>
              </w:numPr>
              <w:ind w:left="709" w:hanging="425"/>
            </w:pPr>
            <w:r>
              <w:t>Shake the syringe well immediately before administering the</w:t>
            </w:r>
            <w:r>
              <w:rPr>
                <w:spacing w:val="-7"/>
              </w:rPr>
              <w:t xml:space="preserve"> </w:t>
            </w:r>
            <w:r>
              <w:t>dose.</w:t>
            </w:r>
          </w:p>
          <w:p w14:paraId="0DB92F9D" w14:textId="77777777" w:rsidR="005E153F" w:rsidRDefault="005E153F" w:rsidP="005E153F">
            <w:pPr>
              <w:pStyle w:val="TableText"/>
              <w:numPr>
                <w:ilvl w:val="0"/>
                <w:numId w:val="16"/>
              </w:numPr>
              <w:ind w:left="709" w:hanging="425"/>
            </w:pPr>
            <w:r>
              <w:t>Discard</w:t>
            </w:r>
            <w:r>
              <w:rPr>
                <w:spacing w:val="-4"/>
              </w:rPr>
              <w:t xml:space="preserve"> </w:t>
            </w:r>
            <w:r>
              <w:t>the</w:t>
            </w:r>
            <w:r>
              <w:rPr>
                <w:spacing w:val="-4"/>
              </w:rPr>
              <w:t xml:space="preserve"> </w:t>
            </w:r>
            <w:r>
              <w:t>unneeded</w:t>
            </w:r>
            <w:r>
              <w:rPr>
                <w:spacing w:val="-4"/>
              </w:rPr>
              <w:t xml:space="preserve"> </w:t>
            </w:r>
            <w:r>
              <w:t>misoprostol</w:t>
            </w:r>
            <w:r>
              <w:rPr>
                <w:spacing w:val="-4"/>
              </w:rPr>
              <w:t xml:space="preserve"> </w:t>
            </w:r>
            <w:r>
              <w:t>suspension</w:t>
            </w:r>
            <w:r>
              <w:rPr>
                <w:spacing w:val="-4"/>
              </w:rPr>
              <w:t xml:space="preserve"> </w:t>
            </w:r>
            <w:r>
              <w:t>remaining</w:t>
            </w:r>
            <w:r>
              <w:rPr>
                <w:spacing w:val="2"/>
              </w:rPr>
              <w:t xml:space="preserve"> </w:t>
            </w:r>
            <w:r>
              <w:t>in</w:t>
            </w:r>
            <w:r>
              <w:rPr>
                <w:spacing w:val="-4"/>
              </w:rPr>
              <w:t xml:space="preserve"> </w:t>
            </w:r>
            <w:r>
              <w:t>the</w:t>
            </w:r>
            <w:r>
              <w:rPr>
                <w:spacing w:val="-4"/>
              </w:rPr>
              <w:t xml:space="preserve"> </w:t>
            </w:r>
            <w:r>
              <w:t>medicine</w:t>
            </w:r>
            <w:r>
              <w:rPr>
                <w:spacing w:val="-3"/>
              </w:rPr>
              <w:t xml:space="preserve"> </w:t>
            </w:r>
            <w:r>
              <w:t>measure</w:t>
            </w:r>
            <w:r>
              <w:rPr>
                <w:spacing w:val="-3"/>
              </w:rPr>
              <w:t xml:space="preserve"> </w:t>
            </w:r>
            <w:r>
              <w:t>and</w:t>
            </w:r>
            <w:r>
              <w:rPr>
                <w:spacing w:val="-4"/>
              </w:rPr>
              <w:t xml:space="preserve"> </w:t>
            </w:r>
            <w:r>
              <w:t>the</w:t>
            </w:r>
            <w:r>
              <w:rPr>
                <w:spacing w:val="-4"/>
              </w:rPr>
              <w:t xml:space="preserve"> </w:t>
            </w:r>
            <w:r>
              <w:t>20 mL oral syringe. Discard the</w:t>
            </w:r>
            <w:r>
              <w:rPr>
                <w:spacing w:val="-4"/>
              </w:rPr>
              <w:t xml:space="preserve"> </w:t>
            </w:r>
            <w:r>
              <w:t>gloves.</w:t>
            </w:r>
          </w:p>
        </w:tc>
      </w:tr>
    </w:tbl>
    <w:p w14:paraId="66B3AF9F" w14:textId="77777777" w:rsidR="00457C3A" w:rsidRDefault="00457C3A" w:rsidP="005E153F"/>
    <w:p w14:paraId="16655E93" w14:textId="77777777" w:rsidR="00B0606D" w:rsidRDefault="00AC0F19" w:rsidP="002452D5">
      <w:pPr>
        <w:pStyle w:val="Heading1-notnumbered"/>
      </w:pPr>
      <w:bookmarkStart w:id="364" w:name="REFERENCES"/>
      <w:bookmarkStart w:id="365" w:name="_bookmark155"/>
      <w:bookmarkStart w:id="366" w:name="_Toc75788016"/>
      <w:bookmarkEnd w:id="364"/>
      <w:bookmarkEnd w:id="365"/>
      <w:r w:rsidRPr="00F01BDB">
        <w:lastRenderedPageBreak/>
        <w:t>References</w:t>
      </w:r>
      <w:bookmarkEnd w:id="366"/>
    </w:p>
    <w:p w14:paraId="49E9F1E3" w14:textId="77777777" w:rsidR="00AC0F19" w:rsidRDefault="00AC0F19" w:rsidP="00B075E9">
      <w:pPr>
        <w:pStyle w:val="References"/>
      </w:pPr>
      <w:r>
        <w:t>ACOG</w:t>
      </w:r>
      <w:r>
        <w:rPr>
          <w:spacing w:val="-6"/>
        </w:rPr>
        <w:t xml:space="preserve"> </w:t>
      </w:r>
      <w:r>
        <w:t>Practice</w:t>
      </w:r>
      <w:r>
        <w:rPr>
          <w:spacing w:val="-1"/>
        </w:rPr>
        <w:t xml:space="preserve"> </w:t>
      </w:r>
      <w:r>
        <w:t>Bulletin</w:t>
      </w:r>
      <w:r>
        <w:rPr>
          <w:spacing w:val="-2"/>
        </w:rPr>
        <w:t xml:space="preserve"> </w:t>
      </w:r>
      <w:r>
        <w:t>No.</w:t>
      </w:r>
      <w:r>
        <w:rPr>
          <w:spacing w:val="-7"/>
        </w:rPr>
        <w:t xml:space="preserve"> </w:t>
      </w:r>
      <w:r>
        <w:t>201:</w:t>
      </w:r>
      <w:r>
        <w:rPr>
          <w:spacing w:val="-4"/>
        </w:rPr>
        <w:t xml:space="preserve"> </w:t>
      </w:r>
      <w:r>
        <w:t>Pre-gestational</w:t>
      </w:r>
      <w:r>
        <w:rPr>
          <w:spacing w:val="-4"/>
        </w:rPr>
        <w:t xml:space="preserve"> </w:t>
      </w:r>
      <w:r>
        <w:t>diabetes</w:t>
      </w:r>
      <w:r>
        <w:rPr>
          <w:spacing w:val="-2"/>
        </w:rPr>
        <w:t xml:space="preserve"> </w:t>
      </w:r>
      <w:r>
        <w:t>mellitus.</w:t>
      </w:r>
      <w:r>
        <w:rPr>
          <w:spacing w:val="-2"/>
        </w:rPr>
        <w:t xml:space="preserve"> </w:t>
      </w:r>
      <w:r>
        <w:t xml:space="preserve">2018. </w:t>
      </w:r>
      <w:proofErr w:type="spellStart"/>
      <w:r>
        <w:rPr>
          <w:i/>
        </w:rPr>
        <w:t>Obstet</w:t>
      </w:r>
      <w:proofErr w:type="spellEnd"/>
      <w:r>
        <w:rPr>
          <w:i/>
          <w:spacing w:val="-4"/>
        </w:rPr>
        <w:t xml:space="preserve"> </w:t>
      </w:r>
      <w:proofErr w:type="spellStart"/>
      <w:r>
        <w:rPr>
          <w:i/>
        </w:rPr>
        <w:t>Gynecol</w:t>
      </w:r>
      <w:proofErr w:type="spellEnd"/>
      <w:r>
        <w:rPr>
          <w:spacing w:val="-4"/>
        </w:rPr>
        <w:t xml:space="preserve"> </w:t>
      </w:r>
      <w:r>
        <w:t>132:</w:t>
      </w:r>
      <w:r>
        <w:rPr>
          <w:spacing w:val="-8"/>
        </w:rPr>
        <w:t xml:space="preserve"> </w:t>
      </w:r>
      <w:r>
        <w:t>e228–e248.</w:t>
      </w:r>
    </w:p>
    <w:p w14:paraId="2EF16C0E" w14:textId="77777777" w:rsidR="00AC0F19" w:rsidRDefault="00AC0F19" w:rsidP="00B075E9">
      <w:pPr>
        <w:pStyle w:val="References"/>
      </w:pPr>
      <w:proofErr w:type="spellStart"/>
      <w:r>
        <w:t>Alberico</w:t>
      </w:r>
      <w:proofErr w:type="spellEnd"/>
      <w:r>
        <w:t xml:space="preserve"> S, </w:t>
      </w:r>
      <w:proofErr w:type="spellStart"/>
      <w:r>
        <w:t>Erenbourg</w:t>
      </w:r>
      <w:proofErr w:type="spellEnd"/>
      <w:r>
        <w:t xml:space="preserve"> A, </w:t>
      </w:r>
      <w:proofErr w:type="spellStart"/>
      <w:r>
        <w:t>Hod</w:t>
      </w:r>
      <w:proofErr w:type="spellEnd"/>
      <w:r>
        <w:t xml:space="preserve"> M, </w:t>
      </w:r>
      <w:r w:rsidR="000F3C98">
        <w:t>et al</w:t>
      </w:r>
      <w:r>
        <w:t xml:space="preserve">. 2017. Immediate delivery or expectant management in gestational diabetes at term: the GINEXMAL randomised controlled trial. </w:t>
      </w:r>
      <w:r w:rsidRPr="006D777E">
        <w:rPr>
          <w:i/>
        </w:rPr>
        <w:t>BJOG</w:t>
      </w:r>
      <w:r>
        <w:t xml:space="preserve"> 124: 669–77.</w:t>
      </w:r>
    </w:p>
    <w:p w14:paraId="7ECB1FB6" w14:textId="77777777" w:rsidR="00AC0F19" w:rsidRDefault="00AC0F19" w:rsidP="00B075E9">
      <w:pPr>
        <w:pStyle w:val="References"/>
      </w:pPr>
      <w:proofErr w:type="spellStart"/>
      <w:r>
        <w:t>Alfirevic</w:t>
      </w:r>
      <w:proofErr w:type="spellEnd"/>
      <w:r>
        <w:t xml:space="preserve"> Z, </w:t>
      </w:r>
      <w:proofErr w:type="spellStart"/>
      <w:r>
        <w:t>Aflaifel</w:t>
      </w:r>
      <w:proofErr w:type="spellEnd"/>
      <w:r>
        <w:t xml:space="preserve"> N, Weeks A. 2014. Oral misoprostol for induction of labour. </w:t>
      </w:r>
      <w:r w:rsidRPr="006D777E">
        <w:rPr>
          <w:i/>
        </w:rPr>
        <w:t>Cochrane Database of Systematic Reviews</w:t>
      </w:r>
      <w:r>
        <w:t>, issue 6. Art. No.: CD001338. DOI: 10.1002/14651858.CD001338.pub3.</w:t>
      </w:r>
    </w:p>
    <w:p w14:paraId="518C8606" w14:textId="77777777" w:rsidR="00AC0F19" w:rsidRDefault="00AC0F19" w:rsidP="00B075E9">
      <w:pPr>
        <w:pStyle w:val="References"/>
      </w:pPr>
      <w:proofErr w:type="spellStart"/>
      <w:r>
        <w:t>Alfirevic</w:t>
      </w:r>
      <w:proofErr w:type="spellEnd"/>
      <w:r>
        <w:t xml:space="preserve"> Z, Keeney E, Caldwell D, </w:t>
      </w:r>
      <w:r w:rsidR="000F3C98">
        <w:t>et al</w:t>
      </w:r>
      <w:r>
        <w:t xml:space="preserve">. 2016. Which method is best for induction of labour? A systematic review, network meta-analysis and cost-effectiveness analysis. </w:t>
      </w:r>
      <w:r>
        <w:rPr>
          <w:i/>
        </w:rPr>
        <w:t xml:space="preserve">Health </w:t>
      </w:r>
      <w:proofErr w:type="spellStart"/>
      <w:r>
        <w:rPr>
          <w:i/>
        </w:rPr>
        <w:t>Technol</w:t>
      </w:r>
      <w:proofErr w:type="spellEnd"/>
      <w:r>
        <w:rPr>
          <w:i/>
        </w:rPr>
        <w:t xml:space="preserve"> Assess</w:t>
      </w:r>
      <w:r>
        <w:t xml:space="preserve"> 20(65).</w:t>
      </w:r>
    </w:p>
    <w:p w14:paraId="16FE663B" w14:textId="77777777" w:rsidR="00AC0F19" w:rsidRDefault="00AC0F19" w:rsidP="00B075E9">
      <w:pPr>
        <w:pStyle w:val="References"/>
      </w:pPr>
      <w:proofErr w:type="spellStart"/>
      <w:r>
        <w:t>Alfirevic</w:t>
      </w:r>
      <w:proofErr w:type="spellEnd"/>
      <w:r>
        <w:t xml:space="preserve"> Z, Keeney E, </w:t>
      </w:r>
      <w:proofErr w:type="spellStart"/>
      <w:r>
        <w:t>Dowswell</w:t>
      </w:r>
      <w:proofErr w:type="spellEnd"/>
      <w:r>
        <w:t xml:space="preserve"> T, </w:t>
      </w:r>
      <w:r w:rsidR="000F3C98">
        <w:t>et al</w:t>
      </w:r>
      <w:r>
        <w:t xml:space="preserve">. 2015. Labour induction with prostaglandins: a systematic review and network meta-analysis. </w:t>
      </w:r>
      <w:r w:rsidRPr="006D777E">
        <w:rPr>
          <w:i/>
        </w:rPr>
        <w:t>BMJ</w:t>
      </w:r>
      <w:r>
        <w:t xml:space="preserve"> 350: h217.</w:t>
      </w:r>
    </w:p>
    <w:p w14:paraId="38A494F0" w14:textId="77777777" w:rsidR="00AC0F19" w:rsidRDefault="00AC0F19" w:rsidP="00B075E9">
      <w:pPr>
        <w:pStyle w:val="References"/>
      </w:pPr>
      <w:proofErr w:type="spellStart"/>
      <w:r>
        <w:t>Alfirevic</w:t>
      </w:r>
      <w:proofErr w:type="spellEnd"/>
      <w:r>
        <w:t xml:space="preserve"> Z, Kelly A, </w:t>
      </w:r>
      <w:proofErr w:type="spellStart"/>
      <w:r>
        <w:t>Dowswell</w:t>
      </w:r>
      <w:proofErr w:type="spellEnd"/>
      <w:r>
        <w:t xml:space="preserve"> T. 2009. Intravenous oxytocin alone for cervical ripening and induction of labour. </w:t>
      </w:r>
      <w:r>
        <w:rPr>
          <w:i/>
        </w:rPr>
        <w:t>Cochrane Database of Systematic Reviews</w:t>
      </w:r>
      <w:r>
        <w:t xml:space="preserve">, issue 4, </w:t>
      </w:r>
      <w:proofErr w:type="spellStart"/>
      <w:r>
        <w:t>Art.No</w:t>
      </w:r>
      <w:proofErr w:type="spellEnd"/>
      <w:r>
        <w:t>.: CD003246.</w:t>
      </w:r>
    </w:p>
    <w:p w14:paraId="1CF29B2C" w14:textId="77777777" w:rsidR="00AC0F19" w:rsidRDefault="00AC0F19" w:rsidP="00B075E9">
      <w:pPr>
        <w:pStyle w:val="References"/>
      </w:pPr>
      <w:r>
        <w:t xml:space="preserve">Auckland DHB. 2017. </w:t>
      </w:r>
      <w:r w:rsidRPr="006D777E">
        <w:rPr>
          <w:i/>
        </w:rPr>
        <w:t>National Women</w:t>
      </w:r>
      <w:r w:rsidR="00B0606D">
        <w:rPr>
          <w:i/>
        </w:rPr>
        <w:t>’</w:t>
      </w:r>
      <w:r w:rsidRPr="006D777E">
        <w:rPr>
          <w:i/>
        </w:rPr>
        <w:t>s Annual Clinical Report 2016</w:t>
      </w:r>
      <w:r>
        <w:t>. Auckland: Auckland District Health Board (DHB).</w:t>
      </w:r>
    </w:p>
    <w:p w14:paraId="2237B49D" w14:textId="77777777" w:rsidR="00AC0F19" w:rsidRDefault="00AC0F19" w:rsidP="00B075E9">
      <w:pPr>
        <w:pStyle w:val="References"/>
      </w:pPr>
      <w:proofErr w:type="spellStart"/>
      <w:r>
        <w:t>Aune</w:t>
      </w:r>
      <w:proofErr w:type="spellEnd"/>
      <w:r>
        <w:rPr>
          <w:spacing w:val="-10"/>
        </w:rPr>
        <w:t xml:space="preserve"> </w:t>
      </w:r>
      <w:r>
        <w:t>D,</w:t>
      </w:r>
      <w:r>
        <w:rPr>
          <w:spacing w:val="-16"/>
        </w:rPr>
        <w:t xml:space="preserve"> </w:t>
      </w:r>
      <w:r>
        <w:t>Saugstad</w:t>
      </w:r>
      <w:r>
        <w:rPr>
          <w:spacing w:val="-11"/>
        </w:rPr>
        <w:t xml:space="preserve"> </w:t>
      </w:r>
      <w:r>
        <w:t>OD,</w:t>
      </w:r>
      <w:r>
        <w:rPr>
          <w:spacing w:val="-11"/>
        </w:rPr>
        <w:t xml:space="preserve"> </w:t>
      </w:r>
      <w:r>
        <w:t>Henriksen</w:t>
      </w:r>
      <w:r>
        <w:rPr>
          <w:spacing w:val="-11"/>
        </w:rPr>
        <w:t xml:space="preserve"> </w:t>
      </w:r>
      <w:r>
        <w:t>T,</w:t>
      </w:r>
      <w:r>
        <w:rPr>
          <w:spacing w:val="-11"/>
        </w:rPr>
        <w:t xml:space="preserve"> </w:t>
      </w:r>
      <w:r w:rsidR="000F3C98">
        <w:t>et al</w:t>
      </w:r>
      <w:r>
        <w:t>.</w:t>
      </w:r>
      <w:r>
        <w:rPr>
          <w:spacing w:val="-12"/>
        </w:rPr>
        <w:t xml:space="preserve"> 2014. </w:t>
      </w:r>
      <w:r>
        <w:t>Maternal</w:t>
      </w:r>
      <w:r>
        <w:rPr>
          <w:spacing w:val="-12"/>
        </w:rPr>
        <w:t xml:space="preserve"> </w:t>
      </w:r>
      <w:r w:rsidR="00460E03">
        <w:rPr>
          <w:spacing w:val="-12"/>
        </w:rPr>
        <w:t>b</w:t>
      </w:r>
      <w:r>
        <w:t>ody</w:t>
      </w:r>
      <w:r>
        <w:rPr>
          <w:spacing w:val="-11"/>
        </w:rPr>
        <w:t xml:space="preserve"> </w:t>
      </w:r>
      <w:r w:rsidR="00460E03">
        <w:rPr>
          <w:spacing w:val="-11"/>
        </w:rPr>
        <w:t>m</w:t>
      </w:r>
      <w:r>
        <w:t>ass</w:t>
      </w:r>
      <w:r>
        <w:rPr>
          <w:spacing w:val="-12"/>
        </w:rPr>
        <w:t xml:space="preserve"> </w:t>
      </w:r>
      <w:r w:rsidR="00460E03">
        <w:rPr>
          <w:spacing w:val="-12"/>
        </w:rPr>
        <w:t>i</w:t>
      </w:r>
      <w:r>
        <w:t>ndex</w:t>
      </w:r>
      <w:r>
        <w:rPr>
          <w:spacing w:val="-11"/>
        </w:rPr>
        <w:t xml:space="preserve"> </w:t>
      </w:r>
      <w:r>
        <w:t>and</w:t>
      </w:r>
      <w:r>
        <w:rPr>
          <w:spacing w:val="-11"/>
        </w:rPr>
        <w:t xml:space="preserve"> </w:t>
      </w:r>
      <w:r>
        <w:t>the</w:t>
      </w:r>
      <w:r>
        <w:rPr>
          <w:spacing w:val="-10"/>
        </w:rPr>
        <w:t xml:space="preserve"> </w:t>
      </w:r>
      <w:r w:rsidR="00460E03">
        <w:rPr>
          <w:spacing w:val="-10"/>
        </w:rPr>
        <w:t>r</w:t>
      </w:r>
      <w:r>
        <w:t>isk</w:t>
      </w:r>
      <w:r>
        <w:rPr>
          <w:spacing w:val="-12"/>
        </w:rPr>
        <w:t xml:space="preserve"> </w:t>
      </w:r>
      <w:r>
        <w:t>of</w:t>
      </w:r>
      <w:r>
        <w:rPr>
          <w:spacing w:val="-10"/>
        </w:rPr>
        <w:t xml:space="preserve"> </w:t>
      </w:r>
      <w:r w:rsidR="00460E03">
        <w:rPr>
          <w:spacing w:val="-10"/>
        </w:rPr>
        <w:t>f</w:t>
      </w:r>
      <w:r>
        <w:t>etal</w:t>
      </w:r>
      <w:r>
        <w:rPr>
          <w:spacing w:val="-12"/>
        </w:rPr>
        <w:t xml:space="preserve"> </w:t>
      </w:r>
      <w:r w:rsidR="00460E03">
        <w:rPr>
          <w:spacing w:val="-12"/>
        </w:rPr>
        <w:t>d</w:t>
      </w:r>
      <w:r>
        <w:t xml:space="preserve">eath, </w:t>
      </w:r>
      <w:r w:rsidR="00460E03">
        <w:t>s</w:t>
      </w:r>
      <w:r>
        <w:t>tillbirth,</w:t>
      </w:r>
      <w:r>
        <w:rPr>
          <w:spacing w:val="-8"/>
        </w:rPr>
        <w:t xml:space="preserve"> </w:t>
      </w:r>
      <w:r>
        <w:t>and</w:t>
      </w:r>
      <w:r>
        <w:rPr>
          <w:spacing w:val="-8"/>
        </w:rPr>
        <w:t xml:space="preserve"> </w:t>
      </w:r>
      <w:r w:rsidR="00460E03">
        <w:rPr>
          <w:spacing w:val="-8"/>
        </w:rPr>
        <w:t>i</w:t>
      </w:r>
      <w:r>
        <w:t>nfant</w:t>
      </w:r>
      <w:r>
        <w:rPr>
          <w:spacing w:val="-8"/>
        </w:rPr>
        <w:t xml:space="preserve"> </w:t>
      </w:r>
      <w:r w:rsidR="00460E03">
        <w:rPr>
          <w:spacing w:val="-8"/>
        </w:rPr>
        <w:t>d</w:t>
      </w:r>
      <w:r>
        <w:t>eath</w:t>
      </w:r>
      <w:r w:rsidR="00460E03">
        <w:t>: a</w:t>
      </w:r>
      <w:r>
        <w:rPr>
          <w:spacing w:val="-7"/>
        </w:rPr>
        <w:t xml:space="preserve"> </w:t>
      </w:r>
      <w:r w:rsidR="00460E03">
        <w:rPr>
          <w:spacing w:val="-7"/>
        </w:rPr>
        <w:t>s</w:t>
      </w:r>
      <w:r>
        <w:t>ystematic</w:t>
      </w:r>
      <w:r>
        <w:rPr>
          <w:spacing w:val="-4"/>
        </w:rPr>
        <w:t xml:space="preserve"> </w:t>
      </w:r>
      <w:r w:rsidR="00460E03">
        <w:rPr>
          <w:spacing w:val="-4"/>
        </w:rPr>
        <w:t>r</w:t>
      </w:r>
      <w:r>
        <w:t>eview</w:t>
      </w:r>
      <w:r>
        <w:rPr>
          <w:spacing w:val="-7"/>
        </w:rPr>
        <w:t xml:space="preserve"> </w:t>
      </w:r>
      <w:r>
        <w:t>and</w:t>
      </w:r>
      <w:r>
        <w:rPr>
          <w:spacing w:val="-8"/>
        </w:rPr>
        <w:t xml:space="preserve"> </w:t>
      </w:r>
      <w:r w:rsidR="00460E03">
        <w:rPr>
          <w:spacing w:val="-8"/>
        </w:rPr>
        <w:t>m</w:t>
      </w:r>
      <w:r>
        <w:t>eta-analysis.</w:t>
      </w:r>
      <w:r>
        <w:rPr>
          <w:spacing w:val="-7"/>
        </w:rPr>
        <w:t xml:space="preserve"> </w:t>
      </w:r>
      <w:r w:rsidRPr="005E4B30">
        <w:rPr>
          <w:i/>
        </w:rPr>
        <w:t>JAMA</w:t>
      </w:r>
      <w:r>
        <w:t xml:space="preserve"> 311(15): 1,536–46. DOI: 10.1001/jama.2014.2269.</w:t>
      </w:r>
    </w:p>
    <w:p w14:paraId="4E18A567" w14:textId="77777777" w:rsidR="00AC0F19" w:rsidRDefault="00AC0F19" w:rsidP="00B075E9">
      <w:pPr>
        <w:pStyle w:val="References"/>
      </w:pPr>
      <w:proofErr w:type="spellStart"/>
      <w:r>
        <w:t>Berndl</w:t>
      </w:r>
      <w:proofErr w:type="spellEnd"/>
      <w:r>
        <w:t xml:space="preserve"> A, El-</w:t>
      </w:r>
      <w:proofErr w:type="spellStart"/>
      <w:r>
        <w:t>Chaar</w:t>
      </w:r>
      <w:proofErr w:type="spellEnd"/>
      <w:r>
        <w:t xml:space="preserve"> D, Murphy K, </w:t>
      </w:r>
      <w:r w:rsidR="000F3C98">
        <w:t>et al</w:t>
      </w:r>
      <w:r>
        <w:t xml:space="preserve">. 2014. Does cervical ripening at term using a high volume foley catheter result in a lower caesarean section rate than a low volume foley catheter? A systematic review and meta-analysis. </w:t>
      </w:r>
      <w:r>
        <w:rPr>
          <w:i/>
        </w:rPr>
        <w:t xml:space="preserve">J </w:t>
      </w:r>
      <w:proofErr w:type="spellStart"/>
      <w:r>
        <w:rPr>
          <w:i/>
        </w:rPr>
        <w:t>Obstet</w:t>
      </w:r>
      <w:proofErr w:type="spellEnd"/>
      <w:r>
        <w:rPr>
          <w:i/>
        </w:rPr>
        <w:t xml:space="preserve"> </w:t>
      </w:r>
      <w:proofErr w:type="spellStart"/>
      <w:r>
        <w:rPr>
          <w:i/>
        </w:rPr>
        <w:t>Gynaecol</w:t>
      </w:r>
      <w:proofErr w:type="spellEnd"/>
      <w:r>
        <w:rPr>
          <w:i/>
        </w:rPr>
        <w:t xml:space="preserve"> Can</w:t>
      </w:r>
      <w:r>
        <w:t xml:space="preserve"> 36(8): 678–87.</w:t>
      </w:r>
    </w:p>
    <w:p w14:paraId="228E4D5E" w14:textId="77777777" w:rsidR="00AC0F19" w:rsidRDefault="00AC0F19" w:rsidP="00B075E9">
      <w:pPr>
        <w:pStyle w:val="References"/>
      </w:pPr>
      <w:r>
        <w:t xml:space="preserve">Berry M, Foster T, Rowe K, </w:t>
      </w:r>
      <w:r w:rsidR="000F3C98">
        <w:t>et al</w:t>
      </w:r>
      <w:r>
        <w:t>. 2018. Gestational age, health and educational outcomes in adolescents.</w:t>
      </w:r>
      <w:r>
        <w:rPr>
          <w:i/>
        </w:rPr>
        <w:t xml:space="preserve"> Pediatrics</w:t>
      </w:r>
      <w:r>
        <w:t xml:space="preserve"> 142(5): e20181016.</w:t>
      </w:r>
    </w:p>
    <w:p w14:paraId="483AC6AC" w14:textId="77777777" w:rsidR="00AC0F19" w:rsidRDefault="00AC0F19" w:rsidP="00B075E9">
      <w:pPr>
        <w:pStyle w:val="References"/>
      </w:pPr>
      <w:r>
        <w:t xml:space="preserve">Bhandari S, Raja EA, Shetty A, </w:t>
      </w:r>
      <w:r w:rsidR="000F3C98">
        <w:t>et al</w:t>
      </w:r>
      <w:r>
        <w:t xml:space="preserve">. 2014. Maternal and perinatal consequences of antepartum haemorrhage of unknown origin. </w:t>
      </w:r>
      <w:r w:rsidRPr="005E4B30">
        <w:rPr>
          <w:i/>
        </w:rPr>
        <w:t>BJOG</w:t>
      </w:r>
      <w:r>
        <w:t xml:space="preserve"> 121: 44–52.</w:t>
      </w:r>
    </w:p>
    <w:p w14:paraId="11E47ED1" w14:textId="77777777" w:rsidR="00AC0F19" w:rsidRDefault="00AC0F19" w:rsidP="00B075E9">
      <w:pPr>
        <w:pStyle w:val="References"/>
      </w:pPr>
      <w:proofErr w:type="spellStart"/>
      <w:r>
        <w:t>Biem</w:t>
      </w:r>
      <w:proofErr w:type="spellEnd"/>
      <w:r>
        <w:rPr>
          <w:spacing w:val="-12"/>
        </w:rPr>
        <w:t xml:space="preserve"> </w:t>
      </w:r>
      <w:r>
        <w:t>SRD,</w:t>
      </w:r>
      <w:r>
        <w:rPr>
          <w:spacing w:val="-11"/>
        </w:rPr>
        <w:t xml:space="preserve"> </w:t>
      </w:r>
      <w:proofErr w:type="spellStart"/>
      <w:r>
        <w:t>Turnell</w:t>
      </w:r>
      <w:proofErr w:type="spellEnd"/>
      <w:r>
        <w:rPr>
          <w:spacing w:val="-11"/>
        </w:rPr>
        <w:t xml:space="preserve"> </w:t>
      </w:r>
      <w:r>
        <w:t>RW,</w:t>
      </w:r>
      <w:r>
        <w:rPr>
          <w:spacing w:val="-11"/>
        </w:rPr>
        <w:t xml:space="preserve"> </w:t>
      </w:r>
      <w:proofErr w:type="spellStart"/>
      <w:r>
        <w:t>Olatunbosun</w:t>
      </w:r>
      <w:proofErr w:type="spellEnd"/>
      <w:r>
        <w:rPr>
          <w:spacing w:val="-11"/>
        </w:rPr>
        <w:t xml:space="preserve"> </w:t>
      </w:r>
      <w:r>
        <w:t>O,</w:t>
      </w:r>
      <w:r>
        <w:rPr>
          <w:spacing w:val="-11"/>
        </w:rPr>
        <w:t xml:space="preserve"> </w:t>
      </w:r>
      <w:r w:rsidR="000F3C98">
        <w:t>et al</w:t>
      </w:r>
      <w:r>
        <w:t>. 2003.</w:t>
      </w:r>
      <w:r>
        <w:rPr>
          <w:spacing w:val="-12"/>
        </w:rPr>
        <w:t xml:space="preserve"> </w:t>
      </w:r>
      <w:r>
        <w:t>A</w:t>
      </w:r>
      <w:r>
        <w:rPr>
          <w:spacing w:val="-10"/>
        </w:rPr>
        <w:t xml:space="preserve"> </w:t>
      </w:r>
      <w:r>
        <w:t>randomized</w:t>
      </w:r>
      <w:r>
        <w:rPr>
          <w:spacing w:val="-11"/>
        </w:rPr>
        <w:t xml:space="preserve"> </w:t>
      </w:r>
      <w:r>
        <w:t>controlled</w:t>
      </w:r>
      <w:r>
        <w:rPr>
          <w:spacing w:val="-10"/>
        </w:rPr>
        <w:t xml:space="preserve"> </w:t>
      </w:r>
      <w:r>
        <w:t>trial</w:t>
      </w:r>
      <w:r>
        <w:rPr>
          <w:spacing w:val="-12"/>
        </w:rPr>
        <w:t xml:space="preserve"> </w:t>
      </w:r>
      <w:r>
        <w:t>of</w:t>
      </w:r>
      <w:r>
        <w:rPr>
          <w:spacing w:val="-9"/>
        </w:rPr>
        <w:t xml:space="preserve"> </w:t>
      </w:r>
      <w:r>
        <w:t>outpatient versus inpatient labour induction with vaginal controlled</w:t>
      </w:r>
      <w:r>
        <w:rPr>
          <w:rFonts w:ascii="Cambria Math" w:hAnsi="Cambria Math"/>
        </w:rPr>
        <w:t>‐</w:t>
      </w:r>
      <w:r>
        <w:t>release prostaglandin</w:t>
      </w:r>
      <w:r>
        <w:rPr>
          <w:rFonts w:ascii="Cambria Math" w:hAnsi="Cambria Math"/>
        </w:rPr>
        <w:t>‐</w:t>
      </w:r>
      <w:r>
        <w:t xml:space="preserve">E2: effectiveness and satisfaction. </w:t>
      </w:r>
      <w:r>
        <w:rPr>
          <w:i/>
        </w:rPr>
        <w:t xml:space="preserve">J </w:t>
      </w:r>
      <w:proofErr w:type="spellStart"/>
      <w:r>
        <w:rPr>
          <w:i/>
        </w:rPr>
        <w:t>Obstet</w:t>
      </w:r>
      <w:proofErr w:type="spellEnd"/>
      <w:r>
        <w:rPr>
          <w:i/>
        </w:rPr>
        <w:t xml:space="preserve"> </w:t>
      </w:r>
      <w:proofErr w:type="spellStart"/>
      <w:r>
        <w:rPr>
          <w:i/>
        </w:rPr>
        <w:t>Gynaecol</w:t>
      </w:r>
      <w:proofErr w:type="spellEnd"/>
      <w:r>
        <w:rPr>
          <w:i/>
        </w:rPr>
        <w:t xml:space="preserve"> Can</w:t>
      </w:r>
      <w:r>
        <w:t xml:space="preserve"> 25(1): 23</w:t>
      </w:r>
      <w:r>
        <w:rPr>
          <w:rFonts w:ascii="Cambria Math" w:hAnsi="Cambria Math"/>
        </w:rPr>
        <w:t>–</w:t>
      </w:r>
      <w:r>
        <w:t>31.</w:t>
      </w:r>
    </w:p>
    <w:p w14:paraId="05E1D299" w14:textId="77777777" w:rsidR="00AC0F19" w:rsidRDefault="00AC0F19" w:rsidP="00B075E9">
      <w:pPr>
        <w:pStyle w:val="References"/>
      </w:pPr>
      <w:proofErr w:type="spellStart"/>
      <w:r>
        <w:t>Biesty</w:t>
      </w:r>
      <w:proofErr w:type="spellEnd"/>
      <w:r>
        <w:t xml:space="preserve"> LM, Egan AM, Dunne F, </w:t>
      </w:r>
      <w:r w:rsidR="000F3C98">
        <w:t>et al</w:t>
      </w:r>
      <w:r>
        <w:t xml:space="preserve">. 2018a. Planned birth at or near term for improving health outcomes for pregnant women with gestational diabetes and their infants. </w:t>
      </w:r>
      <w:r>
        <w:rPr>
          <w:i/>
        </w:rPr>
        <w:t>Cochrane Database of Systematic Reviews</w:t>
      </w:r>
      <w:r>
        <w:t>, issue 1. Art. No.: CD012910. DOI: 10.1002/14651858.CD012910.</w:t>
      </w:r>
    </w:p>
    <w:p w14:paraId="4358F3AD" w14:textId="77777777" w:rsidR="00AC0F19" w:rsidRDefault="00AC0F19" w:rsidP="00460E03">
      <w:pPr>
        <w:pStyle w:val="References"/>
        <w:keepNext/>
      </w:pPr>
      <w:proofErr w:type="spellStart"/>
      <w:r>
        <w:lastRenderedPageBreak/>
        <w:t>Biesty</w:t>
      </w:r>
      <w:proofErr w:type="spellEnd"/>
      <w:r>
        <w:rPr>
          <w:spacing w:val="-11"/>
        </w:rPr>
        <w:t xml:space="preserve"> </w:t>
      </w:r>
      <w:r>
        <w:t>LM,</w:t>
      </w:r>
      <w:r>
        <w:rPr>
          <w:spacing w:val="-11"/>
        </w:rPr>
        <w:t xml:space="preserve"> </w:t>
      </w:r>
      <w:r>
        <w:t>Egan</w:t>
      </w:r>
      <w:r>
        <w:rPr>
          <w:spacing w:val="-11"/>
        </w:rPr>
        <w:t xml:space="preserve"> </w:t>
      </w:r>
      <w:r>
        <w:t>EM,</w:t>
      </w:r>
      <w:r>
        <w:rPr>
          <w:spacing w:val="-11"/>
        </w:rPr>
        <w:t xml:space="preserve"> </w:t>
      </w:r>
      <w:r>
        <w:t>Dunne</w:t>
      </w:r>
      <w:r>
        <w:rPr>
          <w:spacing w:val="-4"/>
        </w:rPr>
        <w:t xml:space="preserve"> </w:t>
      </w:r>
      <w:r>
        <w:t>F,</w:t>
      </w:r>
      <w:r>
        <w:rPr>
          <w:spacing w:val="-11"/>
        </w:rPr>
        <w:t xml:space="preserve"> </w:t>
      </w:r>
      <w:r w:rsidR="000F3C98">
        <w:t>et al</w:t>
      </w:r>
      <w:r>
        <w:t>.</w:t>
      </w:r>
      <w:r>
        <w:rPr>
          <w:spacing w:val="-11"/>
        </w:rPr>
        <w:t xml:space="preserve"> </w:t>
      </w:r>
      <w:r>
        <w:t>2018b. Planned birth</w:t>
      </w:r>
      <w:r>
        <w:rPr>
          <w:spacing w:val="-6"/>
        </w:rPr>
        <w:t xml:space="preserve"> </w:t>
      </w:r>
      <w:r>
        <w:t>at</w:t>
      </w:r>
      <w:r>
        <w:rPr>
          <w:spacing w:val="-7"/>
        </w:rPr>
        <w:t xml:space="preserve"> </w:t>
      </w:r>
      <w:r>
        <w:t>or</w:t>
      </w:r>
      <w:r>
        <w:rPr>
          <w:spacing w:val="-3"/>
        </w:rPr>
        <w:t xml:space="preserve"> </w:t>
      </w:r>
      <w:r>
        <w:t>near</w:t>
      </w:r>
      <w:r>
        <w:rPr>
          <w:spacing w:val="-4"/>
        </w:rPr>
        <w:t xml:space="preserve"> </w:t>
      </w:r>
      <w:r>
        <w:t>term</w:t>
      </w:r>
      <w:r>
        <w:rPr>
          <w:spacing w:val="-6"/>
        </w:rPr>
        <w:t xml:space="preserve"> </w:t>
      </w:r>
      <w:r>
        <w:t>for</w:t>
      </w:r>
      <w:r>
        <w:rPr>
          <w:spacing w:val="-4"/>
        </w:rPr>
        <w:t xml:space="preserve"> </w:t>
      </w:r>
      <w:r>
        <w:t>improving</w:t>
      </w:r>
      <w:r>
        <w:rPr>
          <w:spacing w:val="-5"/>
        </w:rPr>
        <w:t xml:space="preserve"> </w:t>
      </w:r>
      <w:r>
        <w:t>health</w:t>
      </w:r>
      <w:r>
        <w:rPr>
          <w:spacing w:val="-6"/>
        </w:rPr>
        <w:t xml:space="preserve"> </w:t>
      </w:r>
      <w:r>
        <w:t>outcomes</w:t>
      </w:r>
      <w:r>
        <w:rPr>
          <w:spacing w:val="-5"/>
        </w:rPr>
        <w:t xml:space="preserve"> </w:t>
      </w:r>
      <w:r>
        <w:t>for</w:t>
      </w:r>
      <w:r>
        <w:rPr>
          <w:spacing w:val="-4"/>
        </w:rPr>
        <w:t xml:space="preserve"> </w:t>
      </w:r>
      <w:r>
        <w:t>pregnant</w:t>
      </w:r>
      <w:r>
        <w:rPr>
          <w:spacing w:val="-6"/>
        </w:rPr>
        <w:t xml:space="preserve"> </w:t>
      </w:r>
      <w:r>
        <w:t>women</w:t>
      </w:r>
      <w:r>
        <w:rPr>
          <w:spacing w:val="-6"/>
        </w:rPr>
        <w:t xml:space="preserve"> </w:t>
      </w:r>
      <w:r>
        <w:t>with</w:t>
      </w:r>
      <w:r>
        <w:rPr>
          <w:spacing w:val="-5"/>
        </w:rPr>
        <w:t xml:space="preserve"> </w:t>
      </w:r>
      <w:r>
        <w:t>pre-existing</w:t>
      </w:r>
      <w:r>
        <w:rPr>
          <w:spacing w:val="-6"/>
        </w:rPr>
        <w:t xml:space="preserve"> </w:t>
      </w:r>
      <w:r>
        <w:t>diabetes</w:t>
      </w:r>
      <w:r>
        <w:rPr>
          <w:spacing w:val="-5"/>
        </w:rPr>
        <w:t xml:space="preserve"> </w:t>
      </w:r>
      <w:r>
        <w:t xml:space="preserve">and their infants. </w:t>
      </w:r>
      <w:r>
        <w:rPr>
          <w:i/>
        </w:rPr>
        <w:t>Cochrane Database of Systematic Reviews,</w:t>
      </w:r>
      <w:r>
        <w:t xml:space="preserve"> issue 2,</w:t>
      </w:r>
      <w:r>
        <w:rPr>
          <w:spacing w:val="-10"/>
        </w:rPr>
        <w:t xml:space="preserve"> </w:t>
      </w:r>
      <w:r>
        <w:t>Art. No.: CD012948.</w:t>
      </w:r>
    </w:p>
    <w:p w14:paraId="46890140" w14:textId="77777777" w:rsidR="00AC0F19" w:rsidRDefault="00AC0F19" w:rsidP="00B075E9">
      <w:pPr>
        <w:pStyle w:val="References"/>
      </w:pPr>
      <w:r>
        <w:t xml:space="preserve">Boers KE, </w:t>
      </w:r>
      <w:proofErr w:type="spellStart"/>
      <w:r>
        <w:t>Vijgen</w:t>
      </w:r>
      <w:proofErr w:type="spellEnd"/>
      <w:r>
        <w:t xml:space="preserve"> SMC, </w:t>
      </w:r>
      <w:proofErr w:type="spellStart"/>
      <w:r>
        <w:t>Bijlenga</w:t>
      </w:r>
      <w:proofErr w:type="spellEnd"/>
      <w:r>
        <w:t xml:space="preserve"> D, </w:t>
      </w:r>
      <w:r w:rsidR="000F3C98">
        <w:t>et al</w:t>
      </w:r>
      <w:r>
        <w:t xml:space="preserve">. 2010. Induction versus expectant monitoring for intrauterine growth restriction at term: randomised equivalence trial (DIGITAT). </w:t>
      </w:r>
      <w:r w:rsidRPr="005E4B30">
        <w:rPr>
          <w:i/>
        </w:rPr>
        <w:t>BMJ</w:t>
      </w:r>
      <w:r>
        <w:t xml:space="preserve"> 341:</w:t>
      </w:r>
      <w:r w:rsidR="00460E03">
        <w:t> </w:t>
      </w:r>
      <w:r>
        <w:t>c7087.</w:t>
      </w:r>
    </w:p>
    <w:p w14:paraId="1101C015" w14:textId="77777777" w:rsidR="00AC0F19" w:rsidRDefault="00AC0F19" w:rsidP="00B075E9">
      <w:pPr>
        <w:pStyle w:val="References"/>
      </w:pPr>
      <w:r>
        <w:t xml:space="preserve">Bond DM, Gordon A, Hyett J, </w:t>
      </w:r>
      <w:r w:rsidR="000F3C98">
        <w:t>et al</w:t>
      </w:r>
      <w:r>
        <w:t xml:space="preserve">. 2015. Planned early delivery versus expectant management of the term suspected compromised baby for improving outcomes. </w:t>
      </w:r>
      <w:r>
        <w:rPr>
          <w:i/>
        </w:rPr>
        <w:t>Cochrane Database of Systematic Reviews</w:t>
      </w:r>
      <w:r>
        <w:t>, issue 11, Art. No.: CD009433. DOI: 10.1002/14651858.CD009433.pub2.</w:t>
      </w:r>
    </w:p>
    <w:p w14:paraId="0B329237" w14:textId="77777777" w:rsidR="00AC0F19" w:rsidRDefault="00AC0F19" w:rsidP="00B075E9">
      <w:pPr>
        <w:pStyle w:val="References"/>
      </w:pPr>
      <w:proofErr w:type="spellStart"/>
      <w:r>
        <w:t>Boulvain</w:t>
      </w:r>
      <w:proofErr w:type="spellEnd"/>
      <w:r>
        <w:t xml:space="preserve"> M, </w:t>
      </w:r>
      <w:proofErr w:type="spellStart"/>
      <w:r>
        <w:t>Irion</w:t>
      </w:r>
      <w:proofErr w:type="spellEnd"/>
      <w:r>
        <w:t xml:space="preserve"> O, </w:t>
      </w:r>
      <w:proofErr w:type="spellStart"/>
      <w:r>
        <w:t>Dowswell</w:t>
      </w:r>
      <w:proofErr w:type="spellEnd"/>
      <w:r>
        <w:t xml:space="preserve"> T, </w:t>
      </w:r>
      <w:r w:rsidR="000F3C98">
        <w:t>et al</w:t>
      </w:r>
      <w:r>
        <w:t xml:space="preserve">. 2016. Induction of labour at </w:t>
      </w:r>
      <w:r>
        <w:rPr>
          <w:spacing w:val="-3"/>
        </w:rPr>
        <w:t xml:space="preserve">or </w:t>
      </w:r>
      <w:r>
        <w:t>near term for suspected</w:t>
      </w:r>
      <w:r>
        <w:rPr>
          <w:spacing w:val="-39"/>
        </w:rPr>
        <w:t xml:space="preserve"> </w:t>
      </w:r>
      <w:r>
        <w:t xml:space="preserve">fetal macrosomia. </w:t>
      </w:r>
      <w:r>
        <w:rPr>
          <w:i/>
        </w:rPr>
        <w:t xml:space="preserve">Cochrane Database of Systematic Reviews </w:t>
      </w:r>
      <w:r>
        <w:t xml:space="preserve">2016, issue 5. </w:t>
      </w:r>
      <w:proofErr w:type="spellStart"/>
      <w:r>
        <w:t>Art.No</w:t>
      </w:r>
      <w:proofErr w:type="spellEnd"/>
      <w:r>
        <w:t>.: CD000938. DOI: 10.1002/14651858.CD000938.pub2.</w:t>
      </w:r>
    </w:p>
    <w:p w14:paraId="2E1FFE61" w14:textId="77777777" w:rsidR="00AC0F19" w:rsidRDefault="00AC0F19" w:rsidP="00B075E9">
      <w:pPr>
        <w:pStyle w:val="References"/>
      </w:pPr>
      <w:proofErr w:type="spellStart"/>
      <w:r>
        <w:t>Boulvain</w:t>
      </w:r>
      <w:proofErr w:type="spellEnd"/>
      <w:r>
        <w:t xml:space="preserve"> M, </w:t>
      </w:r>
      <w:proofErr w:type="spellStart"/>
      <w:r>
        <w:t>Senat</w:t>
      </w:r>
      <w:proofErr w:type="spellEnd"/>
      <w:r>
        <w:t xml:space="preserve"> MV, </w:t>
      </w:r>
      <w:proofErr w:type="spellStart"/>
      <w:r>
        <w:t>Perrotin</w:t>
      </w:r>
      <w:proofErr w:type="spellEnd"/>
      <w:r>
        <w:t xml:space="preserve"> F, </w:t>
      </w:r>
      <w:r w:rsidR="000F3C98">
        <w:t>et al</w:t>
      </w:r>
      <w:r>
        <w:t xml:space="preserve">. 2015. Induction of labour versus expectant management for large-for-date fetuses: a randomised controlled trial. </w:t>
      </w:r>
      <w:r>
        <w:rPr>
          <w:i/>
        </w:rPr>
        <w:t>Lancet</w:t>
      </w:r>
      <w:r>
        <w:t xml:space="preserve"> 385(9987): 2,600–5.</w:t>
      </w:r>
    </w:p>
    <w:p w14:paraId="1C6EA422" w14:textId="77777777" w:rsidR="00AC0F19" w:rsidRDefault="00AC0F19" w:rsidP="00B075E9">
      <w:pPr>
        <w:pStyle w:val="References"/>
      </w:pPr>
      <w:proofErr w:type="spellStart"/>
      <w:r>
        <w:t>Boulvain</w:t>
      </w:r>
      <w:proofErr w:type="spellEnd"/>
      <w:r>
        <w:t xml:space="preserve"> M, Stan CM, </w:t>
      </w:r>
      <w:proofErr w:type="spellStart"/>
      <w:r>
        <w:t>Irion</w:t>
      </w:r>
      <w:proofErr w:type="spellEnd"/>
      <w:r>
        <w:t xml:space="preserve"> O. 2005. Membrane sweeping for induction of labour. </w:t>
      </w:r>
      <w:r>
        <w:rPr>
          <w:i/>
        </w:rPr>
        <w:t>Cochrane Database of Systematic Reviews</w:t>
      </w:r>
      <w:r>
        <w:t>, issue 1. Art. No.: CD000451. DOI: 10.1002/14651858.CD000451.pub2.</w:t>
      </w:r>
    </w:p>
    <w:p w14:paraId="5B9B7E79" w14:textId="77777777" w:rsidR="00AC0F19" w:rsidRDefault="00AC0F19" w:rsidP="00B075E9">
      <w:pPr>
        <w:pStyle w:val="References"/>
      </w:pPr>
      <w:proofErr w:type="spellStart"/>
      <w:r>
        <w:t>Broekhuijsen</w:t>
      </w:r>
      <w:proofErr w:type="spellEnd"/>
      <w:r>
        <w:t xml:space="preserve"> K, van </w:t>
      </w:r>
      <w:proofErr w:type="spellStart"/>
      <w:r>
        <w:t>Baaren</w:t>
      </w:r>
      <w:proofErr w:type="spellEnd"/>
      <w:r>
        <w:t xml:space="preserve"> G-J, van </w:t>
      </w:r>
      <w:proofErr w:type="spellStart"/>
      <w:r>
        <w:t>Pampus</w:t>
      </w:r>
      <w:proofErr w:type="spellEnd"/>
      <w:r>
        <w:t xml:space="preserve"> M-G, </w:t>
      </w:r>
      <w:r w:rsidR="000F3C98">
        <w:t>et al</w:t>
      </w:r>
      <w:r>
        <w:t>. 2015. Immediate delivery versus expectant monitoring</w:t>
      </w:r>
      <w:r>
        <w:rPr>
          <w:spacing w:val="35"/>
        </w:rPr>
        <w:t xml:space="preserve"> </w:t>
      </w:r>
      <w:r>
        <w:t>for</w:t>
      </w:r>
      <w:r>
        <w:rPr>
          <w:spacing w:val="-9"/>
        </w:rPr>
        <w:t xml:space="preserve"> </w:t>
      </w:r>
      <w:r>
        <w:t>hypertensive</w:t>
      </w:r>
      <w:r>
        <w:rPr>
          <w:spacing w:val="-7"/>
        </w:rPr>
        <w:t xml:space="preserve"> </w:t>
      </w:r>
      <w:r>
        <w:t>disorders</w:t>
      </w:r>
      <w:r>
        <w:rPr>
          <w:spacing w:val="-11"/>
        </w:rPr>
        <w:t xml:space="preserve"> </w:t>
      </w:r>
      <w:r>
        <w:t>of</w:t>
      </w:r>
      <w:r>
        <w:rPr>
          <w:spacing w:val="-9"/>
        </w:rPr>
        <w:t xml:space="preserve"> </w:t>
      </w:r>
      <w:r>
        <w:t>pregnancy</w:t>
      </w:r>
      <w:r>
        <w:rPr>
          <w:spacing w:val="-10"/>
        </w:rPr>
        <w:t xml:space="preserve"> </w:t>
      </w:r>
      <w:r>
        <w:t>between</w:t>
      </w:r>
      <w:r>
        <w:rPr>
          <w:spacing w:val="-10"/>
        </w:rPr>
        <w:t xml:space="preserve"> </w:t>
      </w:r>
      <w:r>
        <w:t>34</w:t>
      </w:r>
      <w:r>
        <w:rPr>
          <w:spacing w:val="-9"/>
        </w:rPr>
        <w:t xml:space="preserve"> </w:t>
      </w:r>
      <w:r>
        <w:t>and</w:t>
      </w:r>
      <w:r>
        <w:rPr>
          <w:spacing w:val="-10"/>
        </w:rPr>
        <w:t xml:space="preserve"> </w:t>
      </w:r>
      <w:r w:rsidR="00EB43A9">
        <w:t>37 weeks</w:t>
      </w:r>
      <w:r>
        <w:rPr>
          <w:spacing w:val="-11"/>
        </w:rPr>
        <w:t xml:space="preserve"> </w:t>
      </w:r>
      <w:r>
        <w:t>of</w:t>
      </w:r>
      <w:r>
        <w:rPr>
          <w:spacing w:val="-8"/>
        </w:rPr>
        <w:t xml:space="preserve"> </w:t>
      </w:r>
      <w:r>
        <w:t>gestation</w:t>
      </w:r>
      <w:r>
        <w:rPr>
          <w:spacing w:val="-10"/>
        </w:rPr>
        <w:t xml:space="preserve"> </w:t>
      </w:r>
      <w:r>
        <w:t xml:space="preserve">(HYPITAT-II): an open-label randomised controlled trial. </w:t>
      </w:r>
      <w:r>
        <w:rPr>
          <w:i/>
        </w:rPr>
        <w:t>Lancet</w:t>
      </w:r>
      <w:r>
        <w:t xml:space="preserve"> 385: 2,492–501.</w:t>
      </w:r>
    </w:p>
    <w:p w14:paraId="774FC4CA" w14:textId="77777777" w:rsidR="00AC0F19" w:rsidRPr="00460E03" w:rsidRDefault="00AC0F19" w:rsidP="00B075E9">
      <w:pPr>
        <w:pStyle w:val="References"/>
      </w:pPr>
      <w:r w:rsidRPr="00460E03">
        <w:t xml:space="preserve">Brown HK, </w:t>
      </w:r>
      <w:proofErr w:type="spellStart"/>
      <w:r w:rsidRPr="00460E03">
        <w:t>Speechley</w:t>
      </w:r>
      <w:proofErr w:type="spellEnd"/>
      <w:r w:rsidRPr="00460E03">
        <w:t xml:space="preserve"> KN, Macnab J, et.al. 2013. Neonatal morbidity associated with late preterm and early term birth: the roles of gestational age and biological determinants of preterm birth. </w:t>
      </w:r>
      <w:r w:rsidRPr="00460E03">
        <w:rPr>
          <w:i/>
        </w:rPr>
        <w:t xml:space="preserve">Int J </w:t>
      </w:r>
      <w:proofErr w:type="spellStart"/>
      <w:r w:rsidRPr="00460E03">
        <w:rPr>
          <w:i/>
        </w:rPr>
        <w:t>Epidemiol</w:t>
      </w:r>
      <w:proofErr w:type="spellEnd"/>
      <w:r w:rsidRPr="00460E03">
        <w:t xml:space="preserve"> 43(3): 1–13. DOI: 10.1093/</w:t>
      </w:r>
      <w:proofErr w:type="spellStart"/>
      <w:r w:rsidRPr="00460E03">
        <w:t>ije</w:t>
      </w:r>
      <w:proofErr w:type="spellEnd"/>
      <w:r w:rsidRPr="00460E03">
        <w:t>/dyt251.</w:t>
      </w:r>
    </w:p>
    <w:p w14:paraId="4A3D7B9C" w14:textId="77777777" w:rsidR="00AC0F19" w:rsidRPr="00460E03" w:rsidRDefault="00AC0F19" w:rsidP="00B075E9">
      <w:pPr>
        <w:pStyle w:val="References"/>
      </w:pPr>
      <w:proofErr w:type="spellStart"/>
      <w:r w:rsidRPr="00460E03">
        <w:t>Budden</w:t>
      </w:r>
      <w:proofErr w:type="spellEnd"/>
      <w:r w:rsidRPr="00460E03">
        <w:t xml:space="preserve"> A, Chen LJY, Henry A. 2014. High-dose vs Low-dose oxytocin infusion for induction of labour. </w:t>
      </w:r>
      <w:r w:rsidRPr="00460E03">
        <w:rPr>
          <w:i/>
        </w:rPr>
        <w:t xml:space="preserve">Cochrane Database of Systematic Reviews, </w:t>
      </w:r>
      <w:r w:rsidRPr="00460E03">
        <w:t>issue 10. Art. No.: CD009701. DOI: 10.1002/14651858.CD009701.pub2.</w:t>
      </w:r>
    </w:p>
    <w:p w14:paraId="33BBDDD3" w14:textId="77777777" w:rsidR="00AC0F19" w:rsidRPr="00460E03" w:rsidRDefault="00AC0F19" w:rsidP="00B075E9">
      <w:pPr>
        <w:pStyle w:val="References"/>
      </w:pPr>
      <w:r w:rsidRPr="00460E03">
        <w:t xml:space="preserve">Bujold E, Blackwell C, Gauthier R. 2004. Cervical </w:t>
      </w:r>
      <w:r w:rsidR="00460E03">
        <w:t>r</w:t>
      </w:r>
      <w:r w:rsidRPr="00460E03">
        <w:t>ipening with transcervical foley catheter and the risk of rupture</w:t>
      </w:r>
      <w:r w:rsidR="00460E03">
        <w:t>.</w:t>
      </w:r>
      <w:r w:rsidRPr="00460E03">
        <w:t xml:space="preserve"> </w:t>
      </w:r>
      <w:r w:rsidRPr="00460E03">
        <w:rPr>
          <w:i/>
        </w:rPr>
        <w:t>Obstetrics &amp;</w:t>
      </w:r>
      <w:r w:rsidR="00B0606D" w:rsidRPr="00460E03">
        <w:rPr>
          <w:i/>
        </w:rPr>
        <w:t xml:space="preserve"> </w:t>
      </w:r>
      <w:proofErr w:type="spellStart"/>
      <w:r w:rsidRPr="00460E03">
        <w:rPr>
          <w:i/>
        </w:rPr>
        <w:t>Gynecology</w:t>
      </w:r>
      <w:proofErr w:type="spellEnd"/>
      <w:r w:rsidR="00460E03">
        <w:t xml:space="preserve"> 1</w:t>
      </w:r>
      <w:r w:rsidRPr="00460E03">
        <w:t>03:</w:t>
      </w:r>
      <w:r w:rsidR="00460E03">
        <w:t xml:space="preserve"> </w:t>
      </w:r>
      <w:r w:rsidRPr="00460E03">
        <w:t>18</w:t>
      </w:r>
      <w:r w:rsidR="00460E03">
        <w:t>–</w:t>
      </w:r>
      <w:r w:rsidRPr="00460E03">
        <w:t>23</w:t>
      </w:r>
      <w:r w:rsidR="00460E03">
        <w:t>.</w:t>
      </w:r>
    </w:p>
    <w:p w14:paraId="4939AC70" w14:textId="77777777" w:rsidR="00AC0F19" w:rsidRPr="00460E03" w:rsidRDefault="00AC0F19" w:rsidP="00B075E9">
      <w:pPr>
        <w:pStyle w:val="References"/>
      </w:pPr>
      <w:r w:rsidRPr="00460E03">
        <w:t xml:space="preserve">Chappell LC, Gurung V, Seed PT, </w:t>
      </w:r>
      <w:r w:rsidR="000F3C98" w:rsidRPr="00460E03">
        <w:t>et al</w:t>
      </w:r>
      <w:r w:rsidRPr="00460E03">
        <w:t xml:space="preserve">. 2012. </w:t>
      </w:r>
      <w:proofErr w:type="spellStart"/>
      <w:r w:rsidRPr="00460E03">
        <w:t>Ursodeoxycholic</w:t>
      </w:r>
      <w:proofErr w:type="spellEnd"/>
      <w:r w:rsidRPr="00460E03">
        <w:t xml:space="preserve"> acid versus placebo, and early term delivery versus expectant management, in women with intrahepatic cholestasis of pregnancy: </w:t>
      </w:r>
      <w:proofErr w:type="spellStart"/>
      <w:r w:rsidRPr="00460E03">
        <w:t>semifactorial</w:t>
      </w:r>
      <w:proofErr w:type="spellEnd"/>
      <w:r w:rsidRPr="00460E03">
        <w:t xml:space="preserve"> randomised clinical trial. </w:t>
      </w:r>
      <w:r w:rsidRPr="00460E03">
        <w:rPr>
          <w:i/>
        </w:rPr>
        <w:t>BMJ</w:t>
      </w:r>
      <w:r w:rsidRPr="00460E03">
        <w:t xml:space="preserve"> 344:</w:t>
      </w:r>
      <w:r w:rsidR="00460E03">
        <w:t> </w:t>
      </w:r>
      <w:r w:rsidRPr="00460E03">
        <w:t>e3799.</w:t>
      </w:r>
    </w:p>
    <w:p w14:paraId="449914C9" w14:textId="77777777" w:rsidR="00AC0F19" w:rsidRPr="00460E03" w:rsidRDefault="00AC0F19" w:rsidP="00B075E9">
      <w:pPr>
        <w:pStyle w:val="References"/>
      </w:pPr>
      <w:r w:rsidRPr="00460E03">
        <w:t xml:space="preserve">Chatfield J. 2001. ACOG issues guidelines on fetal macrosomia. American College of Obstetricians and </w:t>
      </w:r>
      <w:proofErr w:type="spellStart"/>
      <w:r w:rsidRPr="00460E03">
        <w:t>Gynecologists</w:t>
      </w:r>
      <w:proofErr w:type="spellEnd"/>
      <w:r w:rsidRPr="00460E03">
        <w:t xml:space="preserve">. </w:t>
      </w:r>
      <w:r w:rsidRPr="00460E03">
        <w:rPr>
          <w:i/>
        </w:rPr>
        <w:t>Amer Fam Phys</w:t>
      </w:r>
      <w:r w:rsidRPr="00460E03">
        <w:t xml:space="preserve"> 64(1): 169</w:t>
      </w:r>
      <w:r w:rsidRPr="00460E03">
        <w:rPr>
          <w:rFonts w:ascii="Cambria Math" w:hAnsi="Cambria Math"/>
        </w:rPr>
        <w:t>–</w:t>
      </w:r>
      <w:r w:rsidRPr="00460E03">
        <w:t>70.</w:t>
      </w:r>
    </w:p>
    <w:p w14:paraId="3FBF4387" w14:textId="77777777" w:rsidR="00B0606D" w:rsidRPr="00460E03" w:rsidRDefault="00AC0F19" w:rsidP="00B075E9">
      <w:pPr>
        <w:pStyle w:val="References"/>
      </w:pPr>
      <w:r w:rsidRPr="00460E03">
        <w:t xml:space="preserve">Centre for Maternal and Child Enquiries (CMACE). </w:t>
      </w:r>
      <w:r w:rsidR="00460E03">
        <w:t xml:space="preserve">2010. </w:t>
      </w:r>
      <w:r w:rsidRPr="00460E03">
        <w:rPr>
          <w:i/>
        </w:rPr>
        <w:t xml:space="preserve">Maternal </w:t>
      </w:r>
      <w:r w:rsidR="00460E03">
        <w:rPr>
          <w:i/>
        </w:rPr>
        <w:t>O</w:t>
      </w:r>
      <w:r w:rsidRPr="00460E03">
        <w:rPr>
          <w:i/>
        </w:rPr>
        <w:t>besity in the UK: Findings from a national project</w:t>
      </w:r>
      <w:r w:rsidRPr="00460E03">
        <w:t>. London</w:t>
      </w:r>
      <w:r w:rsidR="00460E03">
        <w:t>:</w:t>
      </w:r>
      <w:r w:rsidRPr="00460E03">
        <w:t xml:space="preserve"> CMACE</w:t>
      </w:r>
      <w:r w:rsidR="00460E03">
        <w:t>.</w:t>
      </w:r>
    </w:p>
    <w:p w14:paraId="278E6A16" w14:textId="77777777" w:rsidR="00AC0F19" w:rsidRPr="00460E03" w:rsidRDefault="00AC0F19" w:rsidP="00B075E9">
      <w:pPr>
        <w:pStyle w:val="References"/>
      </w:pPr>
      <w:r w:rsidRPr="00460E03">
        <w:t xml:space="preserve">Chen I, Opiyo N, </w:t>
      </w:r>
      <w:proofErr w:type="spellStart"/>
      <w:r w:rsidRPr="00460E03">
        <w:t>Tavender</w:t>
      </w:r>
      <w:proofErr w:type="spellEnd"/>
      <w:r w:rsidRPr="00460E03">
        <w:t xml:space="preserve"> E, </w:t>
      </w:r>
      <w:r w:rsidR="000F3C98" w:rsidRPr="00460E03">
        <w:t>et al</w:t>
      </w:r>
      <w:r w:rsidRPr="00460E03">
        <w:t xml:space="preserve">. 2018. Non-clinical interventions for reducing unnecessary caesarean section. </w:t>
      </w:r>
      <w:r w:rsidRPr="00460E03">
        <w:rPr>
          <w:i/>
        </w:rPr>
        <w:t>Cochrane Database of Systematic Reviews</w:t>
      </w:r>
      <w:r w:rsidRPr="00460E03">
        <w:t>, issue 9. Art. No.: CD005528. DOI: 10.1002/14651858.CD005528.pub3.</w:t>
      </w:r>
    </w:p>
    <w:p w14:paraId="1D8891E1" w14:textId="77777777" w:rsidR="00AC0F19" w:rsidRPr="00460E03" w:rsidRDefault="00AC0F19" w:rsidP="00B075E9">
      <w:pPr>
        <w:pStyle w:val="References"/>
      </w:pPr>
      <w:r w:rsidRPr="00460E03">
        <w:lastRenderedPageBreak/>
        <w:t xml:space="preserve">Chen W, </w:t>
      </w:r>
      <w:proofErr w:type="spellStart"/>
      <w:r w:rsidRPr="00460E03">
        <w:t>Xue</w:t>
      </w:r>
      <w:proofErr w:type="spellEnd"/>
      <w:r w:rsidRPr="00460E03">
        <w:t xml:space="preserve"> J, </w:t>
      </w:r>
      <w:proofErr w:type="spellStart"/>
      <w:r w:rsidRPr="00460E03">
        <w:t>Peprah</w:t>
      </w:r>
      <w:proofErr w:type="spellEnd"/>
      <w:r w:rsidRPr="00460E03">
        <w:t xml:space="preserve"> MK, </w:t>
      </w:r>
      <w:r w:rsidR="000F3C98" w:rsidRPr="00460E03">
        <w:t>et al</w:t>
      </w:r>
      <w:r w:rsidRPr="00460E03">
        <w:t xml:space="preserve">. 2016. A systematic review and network meta-analysis comparing the use of Foley catheters, misoprostol, and </w:t>
      </w:r>
      <w:proofErr w:type="spellStart"/>
      <w:r w:rsidRPr="00460E03">
        <w:t>dinoprostone</w:t>
      </w:r>
      <w:proofErr w:type="spellEnd"/>
      <w:r w:rsidRPr="00460E03">
        <w:t xml:space="preserve"> for cervical ripening in the induction of labour. </w:t>
      </w:r>
      <w:r w:rsidRPr="00460E03">
        <w:rPr>
          <w:i/>
        </w:rPr>
        <w:t>BJOG</w:t>
      </w:r>
      <w:r w:rsidRPr="00460E03">
        <w:t xml:space="preserve"> 123(3): 346–54. DOI: 10.1111/1471-0528.13456.</w:t>
      </w:r>
    </w:p>
    <w:p w14:paraId="1B512DF2" w14:textId="77777777" w:rsidR="00AC0F19" w:rsidRPr="00460E03" w:rsidRDefault="00AC0F19" w:rsidP="00B075E9">
      <w:pPr>
        <w:pStyle w:val="References"/>
      </w:pPr>
      <w:r w:rsidRPr="00460E03">
        <w:t xml:space="preserve">Cheong-See F, </w:t>
      </w:r>
      <w:proofErr w:type="spellStart"/>
      <w:r w:rsidRPr="00460E03">
        <w:t>Schuit</w:t>
      </w:r>
      <w:proofErr w:type="spellEnd"/>
      <w:r w:rsidRPr="00460E03">
        <w:t xml:space="preserve"> E, Arroyo-Manzano D, </w:t>
      </w:r>
      <w:r w:rsidR="000F3C98" w:rsidRPr="00460E03">
        <w:t>et al</w:t>
      </w:r>
      <w:r w:rsidRPr="00460E03">
        <w:t xml:space="preserve">. 2016. Prospective risk of stillbirth and neonatal complications in twin pregnancies: systematic review and meta-analysis. </w:t>
      </w:r>
      <w:r w:rsidRPr="00460E03">
        <w:rPr>
          <w:i/>
        </w:rPr>
        <w:t>BMJ</w:t>
      </w:r>
      <w:r w:rsidRPr="00460E03">
        <w:t xml:space="preserve"> 354: i4353.</w:t>
      </w:r>
    </w:p>
    <w:p w14:paraId="145C6227" w14:textId="77777777" w:rsidR="00AC0F19" w:rsidRPr="00460E03" w:rsidRDefault="00AC0F19" w:rsidP="00B075E9">
      <w:pPr>
        <w:pStyle w:val="References"/>
      </w:pPr>
      <w:proofErr w:type="spellStart"/>
      <w:r w:rsidRPr="00460E03">
        <w:t>Cluver</w:t>
      </w:r>
      <w:proofErr w:type="spellEnd"/>
      <w:r w:rsidRPr="00460E03">
        <w:t xml:space="preserve"> C, </w:t>
      </w:r>
      <w:proofErr w:type="spellStart"/>
      <w:r w:rsidRPr="00460E03">
        <w:t>Novikova</w:t>
      </w:r>
      <w:proofErr w:type="spellEnd"/>
      <w:r w:rsidRPr="00460E03">
        <w:t xml:space="preserve"> N, Koopmans CM, </w:t>
      </w:r>
      <w:r w:rsidR="000F3C98" w:rsidRPr="00460E03">
        <w:t>et al</w:t>
      </w:r>
      <w:r w:rsidRPr="00460E03">
        <w:t xml:space="preserve">. 2017. Planned early delivery versus expectant management for hypertensive disorders from </w:t>
      </w:r>
      <w:r w:rsidR="003A4BD4" w:rsidRPr="00460E03">
        <w:t>34 weeks</w:t>
      </w:r>
      <w:r w:rsidRPr="00460E03">
        <w:t xml:space="preserve"> gestation to term. </w:t>
      </w:r>
      <w:r w:rsidRPr="00460E03">
        <w:rPr>
          <w:i/>
        </w:rPr>
        <w:t>Cochrane Database of Systematic Reviews</w:t>
      </w:r>
      <w:r w:rsidRPr="00460E03">
        <w:t>, issue 1. Art. No.: CD009273. DOI: 10.1002/14651858.CD009273.pub2.</w:t>
      </w:r>
    </w:p>
    <w:p w14:paraId="372E1F5A" w14:textId="77777777" w:rsidR="00AC0F19" w:rsidRPr="00460E03" w:rsidRDefault="00AC0F19" w:rsidP="00B075E9">
      <w:pPr>
        <w:pStyle w:val="References"/>
      </w:pPr>
      <w:r w:rsidRPr="00460E03">
        <w:t xml:space="preserve">Coates R, </w:t>
      </w:r>
      <w:proofErr w:type="spellStart"/>
      <w:r w:rsidRPr="00460E03">
        <w:t>Cupples</w:t>
      </w:r>
      <w:proofErr w:type="spellEnd"/>
      <w:r w:rsidRPr="00460E03">
        <w:t xml:space="preserve"> G, </w:t>
      </w:r>
      <w:proofErr w:type="spellStart"/>
      <w:r w:rsidRPr="00460E03">
        <w:t>Scamell</w:t>
      </w:r>
      <w:proofErr w:type="spellEnd"/>
      <w:r w:rsidRPr="00460E03">
        <w:t xml:space="preserve"> A, </w:t>
      </w:r>
      <w:r w:rsidR="000F3C98" w:rsidRPr="00460E03">
        <w:t>et al</w:t>
      </w:r>
      <w:r w:rsidRPr="00460E03">
        <w:t>. 2019. Women</w:t>
      </w:r>
      <w:r w:rsidR="00B0606D" w:rsidRPr="00460E03">
        <w:t>’</w:t>
      </w:r>
      <w:r w:rsidRPr="00460E03">
        <w:t xml:space="preserve">s experiences of induction of labour: qualitative systematic review and thematic synthesis. </w:t>
      </w:r>
      <w:r w:rsidRPr="00460E03">
        <w:rPr>
          <w:i/>
        </w:rPr>
        <w:t>Midwifery</w:t>
      </w:r>
      <w:r w:rsidRPr="00460E03">
        <w:t xml:space="preserve"> 69</w:t>
      </w:r>
      <w:r w:rsidR="00460E03">
        <w:t>:</w:t>
      </w:r>
      <w:r w:rsidRPr="00460E03">
        <w:t xml:space="preserve"> 17–28. DOI: 10.1016/j.midw.2018.10.013.</w:t>
      </w:r>
    </w:p>
    <w:p w14:paraId="7F758779" w14:textId="77777777" w:rsidR="00AC0F19" w:rsidRPr="00460E03" w:rsidRDefault="00AC0F19" w:rsidP="00B075E9">
      <w:pPr>
        <w:pStyle w:val="References"/>
      </w:pPr>
      <w:proofErr w:type="spellStart"/>
      <w:r w:rsidRPr="00460E03">
        <w:t>Darlow</w:t>
      </w:r>
      <w:proofErr w:type="spellEnd"/>
      <w:r w:rsidRPr="00460E03">
        <w:t xml:space="preserve"> B, Campbell N, Austin N, </w:t>
      </w:r>
      <w:r w:rsidR="000F3C98" w:rsidRPr="00460E03">
        <w:t>et al</w:t>
      </w:r>
      <w:r w:rsidRPr="00460E03">
        <w:t xml:space="preserve">. 2014. The prevention of early-onset neonatal group B streptococcus infection: New Zealand Consensus Guidelines. </w:t>
      </w:r>
      <w:r w:rsidRPr="00460E03">
        <w:rPr>
          <w:i/>
        </w:rPr>
        <w:t>NZ Med J</w:t>
      </w:r>
      <w:r w:rsidRPr="00460E03">
        <w:t xml:space="preserve"> 128:</w:t>
      </w:r>
      <w:r w:rsidR="00460E03">
        <w:t> </w:t>
      </w:r>
      <w:r w:rsidRPr="00460E03">
        <w:t>69–76.</w:t>
      </w:r>
    </w:p>
    <w:p w14:paraId="5ADB2D9C" w14:textId="77777777" w:rsidR="00AC0F19" w:rsidRPr="00460E03" w:rsidRDefault="00AC0F19" w:rsidP="00B075E9">
      <w:pPr>
        <w:pStyle w:val="References"/>
      </w:pPr>
      <w:proofErr w:type="spellStart"/>
      <w:r w:rsidRPr="00460E03">
        <w:t>Dierderen</w:t>
      </w:r>
      <w:proofErr w:type="spellEnd"/>
      <w:r w:rsidRPr="00460E03">
        <w:t xml:space="preserve"> M, </w:t>
      </w:r>
      <w:proofErr w:type="spellStart"/>
      <w:r w:rsidRPr="00460E03">
        <w:t>Gommers</w:t>
      </w:r>
      <w:proofErr w:type="spellEnd"/>
      <w:r w:rsidRPr="00460E03">
        <w:t xml:space="preserve"> JSM, Wilkinson C, </w:t>
      </w:r>
      <w:r w:rsidR="00460E03">
        <w:t>et al</w:t>
      </w:r>
      <w:r w:rsidRPr="00460E03">
        <w:t xml:space="preserve">. 2018. Safety of the balloon catheter for cervical ripening in outpatient care; complications during the period from insertion to </w:t>
      </w:r>
      <w:proofErr w:type="spellStart"/>
      <w:r w:rsidRPr="00460E03">
        <w:t>expulsioin</w:t>
      </w:r>
      <w:proofErr w:type="spellEnd"/>
      <w:r w:rsidRPr="00460E03">
        <w:t xml:space="preserve"> of a balloon catheter in the process of labour induction: a systematic review. </w:t>
      </w:r>
      <w:r w:rsidRPr="00460E03">
        <w:rPr>
          <w:i/>
        </w:rPr>
        <w:t>British Journal of Obstetrics &amp; Gynaecology</w:t>
      </w:r>
      <w:r w:rsidRPr="00460E03">
        <w:t xml:space="preserve"> 125(9): 1086</w:t>
      </w:r>
      <w:r w:rsidR="00460E03">
        <w:t>–</w:t>
      </w:r>
      <w:r w:rsidRPr="00460E03">
        <w:t>95. Doi: 111/1471-0528.15047</w:t>
      </w:r>
      <w:r w:rsidR="00460E03">
        <w:t>.</w:t>
      </w:r>
    </w:p>
    <w:p w14:paraId="25718EDE" w14:textId="77777777" w:rsidR="00AC0F19" w:rsidRPr="00460E03" w:rsidRDefault="00AC0F19" w:rsidP="00B075E9">
      <w:pPr>
        <w:pStyle w:val="References"/>
      </w:pPr>
      <w:r w:rsidRPr="00460E03">
        <w:t xml:space="preserve">Dodd J, Crowther C, Haslam R, </w:t>
      </w:r>
      <w:r w:rsidR="000F3C98" w:rsidRPr="00460E03">
        <w:t>et al</w:t>
      </w:r>
      <w:r w:rsidR="00460E03">
        <w:t>,</w:t>
      </w:r>
      <w:r w:rsidRPr="00460E03">
        <w:t xml:space="preserve"> </w:t>
      </w:r>
      <w:r w:rsidR="00460E03">
        <w:t>f</w:t>
      </w:r>
      <w:r w:rsidRPr="00460E03">
        <w:t xml:space="preserve">or the Twins Timing of Birth Trial Group. </w:t>
      </w:r>
      <w:r w:rsidR="00460E03">
        <w:t xml:space="preserve">2012. </w:t>
      </w:r>
      <w:r w:rsidRPr="00460E03">
        <w:t xml:space="preserve">Elective birth at </w:t>
      </w:r>
      <w:r w:rsidR="00EB43A9" w:rsidRPr="00460E03">
        <w:t>37 weeks</w:t>
      </w:r>
      <w:r w:rsidRPr="00460E03">
        <w:t xml:space="preserve"> of gestation versus standard care for women with an uncomplicated twin pregnancy at term: the Twins Timing of Birth Randomised Trial. </w:t>
      </w:r>
      <w:r w:rsidRPr="00460E03">
        <w:rPr>
          <w:i/>
        </w:rPr>
        <w:t xml:space="preserve">Brit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t xml:space="preserve"> 119(8): 964</w:t>
      </w:r>
      <w:r w:rsidRPr="00460E03">
        <w:rPr>
          <w:rFonts w:ascii="Cambria Math" w:hAnsi="Cambria Math"/>
        </w:rPr>
        <w:t>–</w:t>
      </w:r>
      <w:r w:rsidRPr="00460E03">
        <w:t>74.</w:t>
      </w:r>
    </w:p>
    <w:p w14:paraId="1082A248" w14:textId="77777777" w:rsidR="00AC0F19" w:rsidRPr="00460E03" w:rsidRDefault="00AC0F19" w:rsidP="00B075E9">
      <w:pPr>
        <w:pStyle w:val="References"/>
      </w:pPr>
      <w:r w:rsidRPr="00460E03">
        <w:t xml:space="preserve">Dodd JM, </w:t>
      </w:r>
      <w:proofErr w:type="spellStart"/>
      <w:r w:rsidRPr="00460E03">
        <w:t>Deussen</w:t>
      </w:r>
      <w:proofErr w:type="spellEnd"/>
      <w:r w:rsidRPr="00460E03">
        <w:t xml:space="preserve"> AR, </w:t>
      </w:r>
      <w:proofErr w:type="spellStart"/>
      <w:r w:rsidRPr="00460E03">
        <w:t>Grivell</w:t>
      </w:r>
      <w:proofErr w:type="spellEnd"/>
      <w:r w:rsidRPr="00460E03">
        <w:t xml:space="preserve"> RM, </w:t>
      </w:r>
      <w:r w:rsidR="000F3C98" w:rsidRPr="00460E03">
        <w:t>et al</w:t>
      </w:r>
      <w:r w:rsidRPr="00460E03">
        <w:t xml:space="preserve">. 2014. Elective birth at </w:t>
      </w:r>
      <w:r w:rsidR="00EB43A9" w:rsidRPr="00460E03">
        <w:t>37 weeks</w:t>
      </w:r>
      <w:r w:rsidR="00B0606D" w:rsidRPr="00460E03">
        <w:t>’</w:t>
      </w:r>
      <w:r w:rsidRPr="00460E03">
        <w:t xml:space="preserve"> gestation for women with an uncomplicated twin pregnancy.</w:t>
      </w:r>
      <w:r w:rsidRPr="00460E03">
        <w:rPr>
          <w:i/>
        </w:rPr>
        <w:t xml:space="preserve"> Cochrane Database of Systematic Reviews</w:t>
      </w:r>
      <w:r w:rsidRPr="00460E03">
        <w:t xml:space="preserve"> 2. Art. No.: CD003582.</w:t>
      </w:r>
    </w:p>
    <w:p w14:paraId="7E987081" w14:textId="77777777" w:rsidR="00B0606D" w:rsidRPr="00460E03" w:rsidRDefault="00AC0F19" w:rsidP="00B075E9">
      <w:pPr>
        <w:pStyle w:val="References"/>
      </w:pPr>
      <w:r w:rsidRPr="00460E03">
        <w:t xml:space="preserve">Dos Santos F, </w:t>
      </w:r>
      <w:proofErr w:type="spellStart"/>
      <w:r w:rsidRPr="00460E03">
        <w:t>Drymiotou</w:t>
      </w:r>
      <w:proofErr w:type="spellEnd"/>
      <w:r w:rsidRPr="00460E03">
        <w:t xml:space="preserve"> S, Antequera Martin A, </w:t>
      </w:r>
      <w:r w:rsidR="000F3C98" w:rsidRPr="00460E03">
        <w:t>et al</w:t>
      </w:r>
      <w:r w:rsidRPr="00460E03">
        <w:t xml:space="preserve">. 2018. Development of a core outcome set for trials on induction of labour: an international </w:t>
      </w:r>
      <w:proofErr w:type="spellStart"/>
      <w:r w:rsidRPr="00460E03">
        <w:t>multistakeholder</w:t>
      </w:r>
      <w:proofErr w:type="spellEnd"/>
      <w:r w:rsidRPr="00460E03">
        <w:t xml:space="preserve"> Delphi study. </w:t>
      </w:r>
      <w:r w:rsidRPr="00460E03">
        <w:rPr>
          <w:i/>
        </w:rPr>
        <w:t>BJOG</w:t>
      </w:r>
      <w:r w:rsidRPr="00460E03">
        <w:t xml:space="preserve"> 125(13): 1,673–80. DOI: 10.1111/1471-0528.15397.</w:t>
      </w:r>
    </w:p>
    <w:p w14:paraId="39210897" w14:textId="77777777" w:rsidR="00AC0F19" w:rsidRPr="00460E03" w:rsidRDefault="00AC0F19" w:rsidP="00B075E9">
      <w:pPr>
        <w:pStyle w:val="References"/>
      </w:pPr>
      <w:proofErr w:type="spellStart"/>
      <w:r w:rsidRPr="00460E03">
        <w:t>Eikelder</w:t>
      </w:r>
      <w:proofErr w:type="spellEnd"/>
      <w:r w:rsidRPr="00460E03">
        <w:t xml:space="preserve"> MLG, </w:t>
      </w:r>
      <w:proofErr w:type="spellStart"/>
      <w:r w:rsidRPr="00460E03">
        <w:t>Rengerink</w:t>
      </w:r>
      <w:proofErr w:type="spellEnd"/>
      <w:r w:rsidRPr="00460E03">
        <w:t xml:space="preserve"> KO, </w:t>
      </w:r>
      <w:proofErr w:type="spellStart"/>
      <w:r w:rsidRPr="00460E03">
        <w:t>Jozwiak</w:t>
      </w:r>
      <w:proofErr w:type="spellEnd"/>
      <w:r w:rsidRPr="00460E03">
        <w:t xml:space="preserve"> M, </w:t>
      </w:r>
      <w:r w:rsidR="000F3C98" w:rsidRPr="00460E03">
        <w:t>et al</w:t>
      </w:r>
      <w:r w:rsidRPr="00460E03">
        <w:t xml:space="preserve">. 2016. Induction of labour at term with oral misoprostol versus a Foley catheter (PROBAAT-II): a multicentre randomised controlled non-inferiority trial. </w:t>
      </w:r>
      <w:hyperlink r:id="rId63">
        <w:r w:rsidRPr="00460E03">
          <w:rPr>
            <w:i/>
          </w:rPr>
          <w:t xml:space="preserve">Lancet </w:t>
        </w:r>
      </w:hyperlink>
      <w:r w:rsidRPr="00460E03">
        <w:t>16; 387(10028):</w:t>
      </w:r>
      <w:r w:rsidR="00460E03">
        <w:t> </w:t>
      </w:r>
      <w:r w:rsidRPr="00460E03">
        <w:t>1619</w:t>
      </w:r>
      <w:r w:rsidR="00460E03">
        <w:t>–</w:t>
      </w:r>
      <w:r w:rsidRPr="00460E03">
        <w:t>28. DOI: 10.1016/S0140-6736(16)00084-2.</w:t>
      </w:r>
    </w:p>
    <w:p w14:paraId="435348EB" w14:textId="77777777" w:rsidR="00AC0F19" w:rsidRPr="00460E03" w:rsidRDefault="00AC0F19" w:rsidP="00B075E9">
      <w:pPr>
        <w:pStyle w:val="References"/>
      </w:pPr>
      <w:r w:rsidRPr="00460E03">
        <w:t xml:space="preserve">Elwyn G, Frosch D, Volandes AE, </w:t>
      </w:r>
      <w:r w:rsidR="000F3C98" w:rsidRPr="00460E03">
        <w:t>et al</w:t>
      </w:r>
      <w:r w:rsidRPr="00460E03">
        <w:t xml:space="preserve">. 2010. Investing in deliberation: a definition and classification of decision support interventions for people facing difficult health decisions. </w:t>
      </w:r>
      <w:r w:rsidRPr="00460E03">
        <w:rPr>
          <w:i/>
        </w:rPr>
        <w:t xml:space="preserve">Med </w:t>
      </w:r>
      <w:proofErr w:type="spellStart"/>
      <w:r w:rsidRPr="00460E03">
        <w:rPr>
          <w:i/>
        </w:rPr>
        <w:t>Decis</w:t>
      </w:r>
      <w:proofErr w:type="spellEnd"/>
      <w:r w:rsidRPr="00460E03">
        <w:rPr>
          <w:i/>
        </w:rPr>
        <w:t xml:space="preserve"> Making</w:t>
      </w:r>
      <w:r w:rsidRPr="00460E03">
        <w:t xml:space="preserve"> 30(6): 701–11.</w:t>
      </w:r>
    </w:p>
    <w:p w14:paraId="6D2144D2" w14:textId="77777777" w:rsidR="00AC0F19" w:rsidRPr="00460E03" w:rsidRDefault="00AC0F19" w:rsidP="00B075E9">
      <w:pPr>
        <w:pStyle w:val="References"/>
      </w:pPr>
      <w:proofErr w:type="spellStart"/>
      <w:r w:rsidRPr="00460E03">
        <w:t>Farry</w:t>
      </w:r>
      <w:proofErr w:type="spellEnd"/>
      <w:r w:rsidRPr="00460E03">
        <w:t xml:space="preserve"> A, Mellor C. 2008. </w:t>
      </w:r>
      <w:r w:rsidRPr="00460E03">
        <w:rPr>
          <w:i/>
        </w:rPr>
        <w:t>HALO Tool – Artificial Rupture of Membranes</w:t>
      </w:r>
      <w:r w:rsidRPr="00460E03">
        <w:t xml:space="preserve"> [Poster]. Auckland: Waitemata District Health Board. URL:</w:t>
      </w:r>
      <w:r w:rsidR="00460E03">
        <w:t xml:space="preserve"> </w:t>
      </w:r>
      <w:hyperlink r:id="rId64" w:history="1">
        <w:r w:rsidR="00460E03" w:rsidRPr="00460E03">
          <w:rPr>
            <w:rStyle w:val="Hyperlink"/>
          </w:rPr>
          <w:t>www.v2.i3-uat.nz/our-work/resources/halo-tool-artificial-rupture-of-membranes-poster/</w:t>
        </w:r>
      </w:hyperlink>
      <w:r w:rsidRPr="00460E03">
        <w:t xml:space="preserve"> (accessed 20 April 2021).</w:t>
      </w:r>
    </w:p>
    <w:p w14:paraId="305A2A3F" w14:textId="77777777" w:rsidR="00AC0F19" w:rsidRPr="00460E03" w:rsidRDefault="00AC0F19" w:rsidP="00B075E9">
      <w:pPr>
        <w:pStyle w:val="References"/>
      </w:pPr>
      <w:r w:rsidRPr="00460E03">
        <w:lastRenderedPageBreak/>
        <w:t xml:space="preserve">Fitzgerald O, Paul RC, Harris K, </w:t>
      </w:r>
      <w:r w:rsidR="000F3C98" w:rsidRPr="00460E03">
        <w:t>et al</w:t>
      </w:r>
      <w:r w:rsidRPr="00460E03">
        <w:t xml:space="preserve">. 2018. </w:t>
      </w:r>
      <w:r w:rsidRPr="00460E03">
        <w:rPr>
          <w:i/>
        </w:rPr>
        <w:t>Assisted Reproductive Technology in Australia and New Zealand 2016</w:t>
      </w:r>
      <w:r w:rsidRPr="00460E03">
        <w:t>. Sydney: National Perinatal Epidemiology and Statistics Unit, the University of New South Wales.</w:t>
      </w:r>
    </w:p>
    <w:p w14:paraId="0E137367" w14:textId="77777777" w:rsidR="00AC0F19" w:rsidRPr="00460E03" w:rsidRDefault="00AC0F19" w:rsidP="00B075E9">
      <w:pPr>
        <w:pStyle w:val="References"/>
      </w:pPr>
      <w:r w:rsidRPr="00460E03">
        <w:t xml:space="preserve">Fitzpatrick KE, </w:t>
      </w:r>
      <w:proofErr w:type="spellStart"/>
      <w:r w:rsidRPr="00460E03">
        <w:t>Kurinczuk</w:t>
      </w:r>
      <w:proofErr w:type="spellEnd"/>
      <w:r w:rsidRPr="00460E03">
        <w:t xml:space="preserve"> JJ, </w:t>
      </w:r>
      <w:proofErr w:type="spellStart"/>
      <w:r w:rsidRPr="00460E03">
        <w:t>Alfirevic</w:t>
      </w:r>
      <w:proofErr w:type="spellEnd"/>
      <w:r w:rsidRPr="00460E03">
        <w:t xml:space="preserve"> Z, </w:t>
      </w:r>
      <w:r w:rsidR="000F3C98" w:rsidRPr="00460E03">
        <w:t>et al</w:t>
      </w:r>
      <w:r w:rsidRPr="00460E03">
        <w:t xml:space="preserve">. 2012. Uterine rupture by intended mode of delivery in the UK: a national case-control study. </w:t>
      </w:r>
      <w:proofErr w:type="spellStart"/>
      <w:r w:rsidRPr="00460E03">
        <w:rPr>
          <w:i/>
        </w:rPr>
        <w:t>PLoS</w:t>
      </w:r>
      <w:proofErr w:type="spellEnd"/>
      <w:r w:rsidRPr="00460E03">
        <w:rPr>
          <w:i/>
        </w:rPr>
        <w:t xml:space="preserve"> Med</w:t>
      </w:r>
      <w:r w:rsidRPr="00460E03">
        <w:t xml:space="preserve"> 9(3): e1001184. </w:t>
      </w:r>
      <w:proofErr w:type="gramStart"/>
      <w:r w:rsidRPr="00460E03">
        <w:t>DOI:10.1371/journal.pmed</w:t>
      </w:r>
      <w:proofErr w:type="gramEnd"/>
      <w:r w:rsidRPr="00460E03">
        <w:t>.1001184.</w:t>
      </w:r>
    </w:p>
    <w:p w14:paraId="1B3EF8F5" w14:textId="77777777" w:rsidR="00AC0F19" w:rsidRPr="00460E03" w:rsidRDefault="00AC0F19" w:rsidP="00B075E9">
      <w:pPr>
        <w:pStyle w:val="References"/>
      </w:pPr>
      <w:proofErr w:type="spellStart"/>
      <w:r w:rsidRPr="00460E03">
        <w:t>Flenady</w:t>
      </w:r>
      <w:proofErr w:type="spellEnd"/>
      <w:r w:rsidRPr="00460E03">
        <w:t xml:space="preserve"> V, Koopmans L, Middleton P, </w:t>
      </w:r>
      <w:r w:rsidR="000F3C98" w:rsidRPr="00460E03">
        <w:t>et al</w:t>
      </w:r>
      <w:r w:rsidRPr="00460E03">
        <w:t xml:space="preserve">. 2011. Major risk factors for stillbirth in high-income countries: a systematic review and meta-analysis. </w:t>
      </w:r>
      <w:r w:rsidRPr="00460E03">
        <w:rPr>
          <w:i/>
        </w:rPr>
        <w:t>Lancet</w:t>
      </w:r>
      <w:r w:rsidRPr="00460E03">
        <w:t xml:space="preserve"> 377: 1,331–40. DOI: 10.1016/s0140-6736(10)62233-7.</w:t>
      </w:r>
    </w:p>
    <w:p w14:paraId="59E18DDE" w14:textId="77777777" w:rsidR="00AC0F19" w:rsidRPr="00460E03" w:rsidRDefault="00AC0F19" w:rsidP="00B075E9">
      <w:pPr>
        <w:pStyle w:val="References"/>
      </w:pPr>
      <w:r w:rsidRPr="00460E03">
        <w:t xml:space="preserve">Gagnon-Gervais K, Bujold E, Iglesias M, </w:t>
      </w:r>
      <w:r w:rsidR="000F3C98" w:rsidRPr="00460E03">
        <w:t>et al</w:t>
      </w:r>
      <w:r w:rsidRPr="00460E03">
        <w:t xml:space="preserve">. 2012. Early versus late amniotomy for labour induction: a randomized controlled trial. </w:t>
      </w:r>
      <w:r w:rsidRPr="00460E03">
        <w:rPr>
          <w:i/>
        </w:rPr>
        <w:t>J Mat-</w:t>
      </w:r>
      <w:proofErr w:type="spellStart"/>
      <w:r w:rsidRPr="00460E03">
        <w:rPr>
          <w:i/>
        </w:rPr>
        <w:t>Fet</w:t>
      </w:r>
      <w:proofErr w:type="spellEnd"/>
      <w:r w:rsidRPr="00460E03">
        <w:rPr>
          <w:i/>
        </w:rPr>
        <w:t xml:space="preserve"> </w:t>
      </w:r>
      <w:proofErr w:type="spellStart"/>
      <w:r w:rsidRPr="00460E03">
        <w:rPr>
          <w:i/>
        </w:rPr>
        <w:t>Neonat</w:t>
      </w:r>
      <w:proofErr w:type="spellEnd"/>
      <w:r w:rsidRPr="00460E03">
        <w:rPr>
          <w:i/>
        </w:rPr>
        <w:t xml:space="preserve"> Med</w:t>
      </w:r>
      <w:r w:rsidR="00F219DF">
        <w:t xml:space="preserve"> </w:t>
      </w:r>
      <w:r w:rsidRPr="00460E03">
        <w:t xml:space="preserve">11: </w:t>
      </w:r>
      <w:r w:rsidR="00F219DF">
        <w:t>2,326–</w:t>
      </w:r>
      <w:r w:rsidRPr="00460E03">
        <w:t>29.</w:t>
      </w:r>
    </w:p>
    <w:p w14:paraId="3D0C66B3" w14:textId="77777777" w:rsidR="00AC0F19" w:rsidRPr="00460E03" w:rsidRDefault="00AC0F19" w:rsidP="00B075E9">
      <w:pPr>
        <w:pStyle w:val="References"/>
      </w:pPr>
      <w:r w:rsidRPr="00460E03">
        <w:t xml:space="preserve">Gardener G, Daly L, Bowring V, </w:t>
      </w:r>
      <w:r w:rsidR="000F3C98" w:rsidRPr="00460E03">
        <w:t>et al</w:t>
      </w:r>
      <w:r w:rsidRPr="00460E03">
        <w:t xml:space="preserve">. 2017. </w:t>
      </w:r>
      <w:r w:rsidRPr="00460E03">
        <w:rPr>
          <w:i/>
        </w:rPr>
        <w:t>Clinical Practice Guideline for the Care of Women with Decreased Fetal Movements</w:t>
      </w:r>
      <w:r w:rsidRPr="00460E03">
        <w:t>. Brisbane: Centre of Research Excellence in Stillbirth.</w:t>
      </w:r>
    </w:p>
    <w:p w14:paraId="1FCCADD5" w14:textId="77777777" w:rsidR="00AC0F19" w:rsidRPr="00460E03" w:rsidRDefault="00AC0F19" w:rsidP="00B075E9">
      <w:pPr>
        <w:pStyle w:val="References"/>
      </w:pPr>
      <w:r w:rsidRPr="00460E03">
        <w:t xml:space="preserve">Gold RB. 2014. Guarding against coercion while ensuring access: a delicate balance. </w:t>
      </w:r>
      <w:r w:rsidRPr="00460E03">
        <w:rPr>
          <w:i/>
        </w:rPr>
        <w:t>Guttmacher Policy Review</w:t>
      </w:r>
      <w:r w:rsidRPr="00460E03">
        <w:t xml:space="preserve"> 17(3).</w:t>
      </w:r>
    </w:p>
    <w:p w14:paraId="0A357ED4" w14:textId="77777777" w:rsidR="00AC0F19" w:rsidRPr="00460E03" w:rsidRDefault="00AC0F19" w:rsidP="00B075E9">
      <w:pPr>
        <w:pStyle w:val="References"/>
      </w:pPr>
      <w:proofErr w:type="spellStart"/>
      <w:r w:rsidRPr="00460E03">
        <w:t>Grobman</w:t>
      </w:r>
      <w:proofErr w:type="spellEnd"/>
      <w:r w:rsidRPr="00460E03">
        <w:t xml:space="preserve"> WA, Rice MM, Reddy UM, </w:t>
      </w:r>
      <w:r w:rsidR="000F3C98" w:rsidRPr="00460E03">
        <w:t>et al</w:t>
      </w:r>
      <w:r w:rsidRPr="00460E03">
        <w:t xml:space="preserve">. 2018. </w:t>
      </w:r>
      <w:proofErr w:type="spellStart"/>
      <w:r w:rsidRPr="00460E03">
        <w:t>Labor</w:t>
      </w:r>
      <w:proofErr w:type="spellEnd"/>
      <w:r w:rsidRPr="00460E03">
        <w:t xml:space="preserve"> induction versus expectant management in low-risk nulliparous women. </w:t>
      </w:r>
      <w:r w:rsidRPr="00460E03">
        <w:rPr>
          <w:i/>
        </w:rPr>
        <w:t>NEJM</w:t>
      </w:r>
      <w:r w:rsidRPr="00460E03">
        <w:t xml:space="preserve"> 379:</w:t>
      </w:r>
      <w:r w:rsidR="00F219DF">
        <w:t xml:space="preserve"> </w:t>
      </w:r>
      <w:r w:rsidRPr="00460E03">
        <w:t>513–23.</w:t>
      </w:r>
    </w:p>
    <w:p w14:paraId="414F3234" w14:textId="77777777" w:rsidR="00AC0F19" w:rsidRPr="00460E03" w:rsidRDefault="00AC0F19" w:rsidP="00B075E9">
      <w:pPr>
        <w:pStyle w:val="References"/>
      </w:pPr>
      <w:r w:rsidRPr="00460E03">
        <w:t xml:space="preserve">Gurung V, Stokes M, Middleton P, </w:t>
      </w:r>
      <w:r w:rsidR="000F3C98" w:rsidRPr="00460E03">
        <w:t>et al</w:t>
      </w:r>
      <w:r w:rsidRPr="00460E03">
        <w:t xml:space="preserve">. 2013. Interventions for treating cholestasis in pregnancy. </w:t>
      </w:r>
      <w:r w:rsidRPr="00460E03">
        <w:rPr>
          <w:i/>
        </w:rPr>
        <w:t>Cochrane Database of Systematic Reviews</w:t>
      </w:r>
      <w:r w:rsidRPr="00460E03">
        <w:t>, issue 6. Art. No.: CD000493. DOI: 10.1002/14651858.CD000493.pub2.</w:t>
      </w:r>
    </w:p>
    <w:p w14:paraId="1645CEA8" w14:textId="77777777" w:rsidR="00B0606D" w:rsidRPr="00460E03" w:rsidRDefault="00AC0F19" w:rsidP="00B075E9">
      <w:pPr>
        <w:pStyle w:val="References"/>
      </w:pPr>
      <w:proofErr w:type="spellStart"/>
      <w:r w:rsidRPr="00460E03">
        <w:t>Guyatt</w:t>
      </w:r>
      <w:proofErr w:type="spellEnd"/>
      <w:r w:rsidRPr="00460E03">
        <w:t xml:space="preserve"> G, </w:t>
      </w:r>
      <w:proofErr w:type="spellStart"/>
      <w:r w:rsidRPr="00460E03">
        <w:t>Oxman</w:t>
      </w:r>
      <w:proofErr w:type="spellEnd"/>
      <w:r w:rsidRPr="00460E03">
        <w:t xml:space="preserve"> A, </w:t>
      </w:r>
      <w:proofErr w:type="spellStart"/>
      <w:r w:rsidRPr="00460E03">
        <w:t>Vist</w:t>
      </w:r>
      <w:proofErr w:type="spellEnd"/>
      <w:r w:rsidRPr="00460E03">
        <w:t xml:space="preserve"> G, </w:t>
      </w:r>
      <w:r w:rsidR="000F3C98" w:rsidRPr="00460E03">
        <w:t>et al</w:t>
      </w:r>
      <w:r w:rsidRPr="00460E03">
        <w:t xml:space="preserve">. 2008. GRADE: an emerging consensus on rating quality of evidence and strength of recommendations. </w:t>
      </w:r>
      <w:r w:rsidRPr="00460E03">
        <w:rPr>
          <w:i/>
        </w:rPr>
        <w:t>BMJ</w:t>
      </w:r>
      <w:r w:rsidRPr="00460E03">
        <w:t xml:space="preserve"> 336: 924–26. DOI: 10.1136/bmj.39489.470347.ad.</w:t>
      </w:r>
    </w:p>
    <w:p w14:paraId="0F15CDBD" w14:textId="77777777" w:rsidR="00AC0F19" w:rsidRPr="00460E03" w:rsidRDefault="00AC0F19" w:rsidP="00B075E9">
      <w:pPr>
        <w:pStyle w:val="References"/>
      </w:pPr>
      <w:r w:rsidRPr="00460E03">
        <w:t xml:space="preserve">Hamed HO, </w:t>
      </w:r>
      <w:proofErr w:type="spellStart"/>
      <w:r w:rsidRPr="00460E03">
        <w:t>Alsheeha</w:t>
      </w:r>
      <w:proofErr w:type="spellEnd"/>
      <w:r w:rsidRPr="00460E03">
        <w:t xml:space="preserve"> MA, Abu-</w:t>
      </w:r>
      <w:proofErr w:type="spellStart"/>
      <w:r w:rsidRPr="00460E03">
        <w:t>Elhasan</w:t>
      </w:r>
      <w:proofErr w:type="spellEnd"/>
      <w:r w:rsidRPr="00460E03">
        <w:t xml:space="preserve"> AM, </w:t>
      </w:r>
      <w:r w:rsidR="00F219DF">
        <w:t>et al</w:t>
      </w:r>
      <w:r w:rsidRPr="00460E03">
        <w:t xml:space="preserve">. </w:t>
      </w:r>
      <w:r w:rsidR="00F219DF">
        <w:t xml:space="preserve">2014. </w:t>
      </w:r>
      <w:r w:rsidRPr="00460E03">
        <w:t xml:space="preserve">Pregnancy outcomes of expectant management of stable mild to moderate chronic hypertension as compared with planned delivery. </w:t>
      </w:r>
      <w:r w:rsidRPr="00F219DF">
        <w:rPr>
          <w:i/>
        </w:rPr>
        <w:t>International</w:t>
      </w:r>
      <w:r w:rsidR="00B0606D" w:rsidRPr="00F219DF">
        <w:rPr>
          <w:i/>
        </w:rPr>
        <w:t xml:space="preserve"> </w:t>
      </w:r>
      <w:r w:rsidRPr="00F219DF">
        <w:rPr>
          <w:i/>
        </w:rPr>
        <w:t>Journal of Gynaecology &amp; Obstetrics</w:t>
      </w:r>
      <w:r w:rsidRPr="00460E03">
        <w:t xml:space="preserve"> 127(1):</w:t>
      </w:r>
      <w:r w:rsidR="00F219DF">
        <w:t> </w:t>
      </w:r>
      <w:r w:rsidRPr="00460E03">
        <w:t>15</w:t>
      </w:r>
      <w:r w:rsidR="00F219DF">
        <w:t>–</w:t>
      </w:r>
      <w:r w:rsidRPr="00460E03">
        <w:t>20</w:t>
      </w:r>
      <w:r w:rsidR="00F219DF">
        <w:t>.</w:t>
      </w:r>
    </w:p>
    <w:p w14:paraId="528282CE" w14:textId="77777777" w:rsidR="00B0606D" w:rsidRPr="00460E03" w:rsidRDefault="00AC0F19" w:rsidP="00B075E9">
      <w:pPr>
        <w:pStyle w:val="References"/>
        <w:rPr>
          <w:i/>
        </w:rPr>
      </w:pPr>
      <w:r w:rsidRPr="00460E03">
        <w:t xml:space="preserve">Henderson CE, Shah RR, </w:t>
      </w:r>
      <w:proofErr w:type="spellStart"/>
      <w:r w:rsidRPr="00460E03">
        <w:t>Gottimukkala</w:t>
      </w:r>
      <w:proofErr w:type="spellEnd"/>
      <w:r w:rsidRPr="00460E03">
        <w:t xml:space="preserve"> S, </w:t>
      </w:r>
      <w:r w:rsidR="000F3C98" w:rsidRPr="00460E03">
        <w:t>et al</w:t>
      </w:r>
      <w:r w:rsidRPr="00460E03">
        <w:t xml:space="preserve">. 2014. Primum non </w:t>
      </w:r>
      <w:proofErr w:type="spellStart"/>
      <w:r w:rsidRPr="00460E03">
        <w:t>nocere</w:t>
      </w:r>
      <w:proofErr w:type="spellEnd"/>
      <w:r w:rsidRPr="00460E03">
        <w:t xml:space="preserve">: how active management became modus operandi for intrahepatic cholestasis of pregnancy. </w:t>
      </w:r>
      <w:r w:rsidRPr="00460E03">
        <w:rPr>
          <w:i/>
        </w:rPr>
        <w:t xml:space="preserve">Am J </w:t>
      </w:r>
      <w:proofErr w:type="spellStart"/>
      <w:r w:rsidRPr="00460E03">
        <w:rPr>
          <w:i/>
        </w:rPr>
        <w:t>Obstet</w:t>
      </w:r>
      <w:proofErr w:type="spellEnd"/>
      <w:r w:rsidRPr="00460E03">
        <w:rPr>
          <w:i/>
        </w:rPr>
        <w:t xml:space="preserve"> Gynecol.</w:t>
      </w:r>
    </w:p>
    <w:p w14:paraId="73E10D0C" w14:textId="77777777" w:rsidR="00AC0F19" w:rsidRPr="00460E03" w:rsidRDefault="00AC0F19" w:rsidP="00B075E9">
      <w:pPr>
        <w:pStyle w:val="References"/>
      </w:pPr>
      <w:proofErr w:type="spellStart"/>
      <w:r w:rsidRPr="00460E03">
        <w:t>Hildingsson</w:t>
      </w:r>
      <w:proofErr w:type="spellEnd"/>
      <w:r w:rsidRPr="00460E03">
        <w:t xml:space="preserve"> I, </w:t>
      </w:r>
      <w:proofErr w:type="spellStart"/>
      <w:r w:rsidRPr="00460E03">
        <w:t>Karlstrom</w:t>
      </w:r>
      <w:proofErr w:type="spellEnd"/>
      <w:r w:rsidRPr="00460E03">
        <w:t xml:space="preserve"> A, </w:t>
      </w:r>
      <w:proofErr w:type="spellStart"/>
      <w:r w:rsidRPr="00460E03">
        <w:t>Nystedt</w:t>
      </w:r>
      <w:proofErr w:type="spellEnd"/>
      <w:r w:rsidRPr="00460E03">
        <w:t xml:space="preserve"> A. 2011. Women</w:t>
      </w:r>
      <w:r w:rsidR="00B0606D" w:rsidRPr="00460E03">
        <w:t>’</w:t>
      </w:r>
      <w:r w:rsidRPr="00460E03">
        <w:t xml:space="preserve">s experiences of induction of labour – findings from a Swedish regional study. </w:t>
      </w:r>
      <w:proofErr w:type="spellStart"/>
      <w:r w:rsidR="00F219DF">
        <w:rPr>
          <w:i/>
        </w:rPr>
        <w:t>Aust</w:t>
      </w:r>
      <w:proofErr w:type="spellEnd"/>
      <w:r w:rsidR="00F219DF">
        <w:rPr>
          <w:i/>
        </w:rPr>
        <w:t xml:space="preserve"> N</w:t>
      </w:r>
      <w:r w:rsidRPr="00460E03">
        <w:rPr>
          <w:i/>
        </w:rPr>
        <w:t xml:space="preserve">Z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t xml:space="preserve"> 51(2):</w:t>
      </w:r>
      <w:r w:rsidR="00F219DF">
        <w:br/>
      </w:r>
      <w:r w:rsidRPr="00460E03">
        <w:t>151–7.</w:t>
      </w:r>
    </w:p>
    <w:p w14:paraId="1BBE7B00" w14:textId="77777777" w:rsidR="00AC0F19" w:rsidRPr="00460E03" w:rsidRDefault="00AC0F19" w:rsidP="00B075E9">
      <w:pPr>
        <w:pStyle w:val="References"/>
      </w:pPr>
      <w:r w:rsidRPr="00460E03">
        <w:t xml:space="preserve">Hirst JE, </w:t>
      </w:r>
      <w:proofErr w:type="spellStart"/>
      <w:r w:rsidRPr="00460E03">
        <w:t>Villar</w:t>
      </w:r>
      <w:proofErr w:type="spellEnd"/>
      <w:r w:rsidRPr="00460E03">
        <w:t xml:space="preserve"> J, </w:t>
      </w:r>
      <w:proofErr w:type="spellStart"/>
      <w:r w:rsidRPr="00460E03">
        <w:t>Victora</w:t>
      </w:r>
      <w:proofErr w:type="spellEnd"/>
      <w:r w:rsidRPr="00460E03">
        <w:t xml:space="preserve"> CG, </w:t>
      </w:r>
      <w:r w:rsidR="000F3C98" w:rsidRPr="00460E03">
        <w:t>et al</w:t>
      </w:r>
      <w:r w:rsidRPr="00460E03">
        <w:t xml:space="preserve">. 2018. The antepartum stillbirth syndrome: risk factors and pregnancy conditions identified from the INTERGROWTH-21st Project. </w:t>
      </w:r>
      <w:r w:rsidRPr="00460E03">
        <w:rPr>
          <w:i/>
        </w:rPr>
        <w:t>BJOG</w:t>
      </w:r>
      <w:r w:rsidRPr="00460E03">
        <w:t xml:space="preserve"> 125(9): 1,145–53. DOI: 10.1111/1471-0528.14463.</w:t>
      </w:r>
    </w:p>
    <w:p w14:paraId="7581695E" w14:textId="77777777" w:rsidR="00AC0F19" w:rsidRPr="00460E03" w:rsidRDefault="00AC0F19" w:rsidP="00B075E9">
      <w:pPr>
        <w:pStyle w:val="References"/>
      </w:pPr>
      <w:r w:rsidRPr="00460E03">
        <w:t xml:space="preserve">Hofmeyr GJ, </w:t>
      </w:r>
      <w:proofErr w:type="spellStart"/>
      <w:r w:rsidRPr="00460E03">
        <w:t>Gülmezoglu</w:t>
      </w:r>
      <w:proofErr w:type="spellEnd"/>
      <w:r w:rsidRPr="00460E03">
        <w:t xml:space="preserve"> AM, Pileggi C. 2010. Vaginal misoprostol for cervical ripening and induction of labour. </w:t>
      </w:r>
      <w:r w:rsidRPr="00460E03">
        <w:rPr>
          <w:i/>
        </w:rPr>
        <w:t>Cochrane Database of Systematic Reviews</w:t>
      </w:r>
      <w:r w:rsidRPr="00460E03">
        <w:t>, issue 10. Art. No.: CD000941. DOI: 10.1002/14651858.CD000941.pub2.</w:t>
      </w:r>
    </w:p>
    <w:p w14:paraId="00B42819" w14:textId="77777777" w:rsidR="00AC0F19" w:rsidRPr="00460E03" w:rsidRDefault="00AC0F19" w:rsidP="00B075E9">
      <w:pPr>
        <w:pStyle w:val="References"/>
      </w:pPr>
      <w:r w:rsidRPr="00460E03">
        <w:t xml:space="preserve">Howarth G, Botha DJ. 2001. Amniotomy plus intravenous oxytocin for induction of labour. </w:t>
      </w:r>
      <w:r w:rsidRPr="00460E03">
        <w:rPr>
          <w:i/>
        </w:rPr>
        <w:t>Cochrane Database of Systematic Reviews</w:t>
      </w:r>
      <w:r w:rsidRPr="00460E03">
        <w:t>, issue 3. Art. No.: CD003250. DOI: 10.1002/14651858.CD003250.</w:t>
      </w:r>
    </w:p>
    <w:p w14:paraId="1A72FEC2" w14:textId="77777777" w:rsidR="00AC0F19" w:rsidRPr="00460E03" w:rsidRDefault="00AC0F19" w:rsidP="00B075E9">
      <w:pPr>
        <w:pStyle w:val="References"/>
      </w:pPr>
      <w:proofErr w:type="spellStart"/>
      <w:r w:rsidRPr="00460E03">
        <w:lastRenderedPageBreak/>
        <w:t>Huges</w:t>
      </w:r>
      <w:proofErr w:type="spellEnd"/>
      <w:r w:rsidRPr="00460E03">
        <w:t xml:space="preserve"> RG, Brocklehurst P, Steer PJ, </w:t>
      </w:r>
      <w:r w:rsidR="00F219DF">
        <w:t>et al</w:t>
      </w:r>
      <w:r w:rsidRPr="00460E03">
        <w:t xml:space="preserve"> on behalf of the Royal College of Obstetricians and Gynaecologists. Prevention of early onset neonatal group B streptococcal disease. Green-top Guideline No. 36. BJOG 2017;</w:t>
      </w:r>
      <w:proofErr w:type="gramStart"/>
      <w:r w:rsidRPr="00460E03">
        <w:t>124:e</w:t>
      </w:r>
      <w:proofErr w:type="gramEnd"/>
      <w:r w:rsidRPr="00460E03">
        <w:t>280-e305</w:t>
      </w:r>
      <w:r w:rsidR="00F219DF">
        <w:t>.</w:t>
      </w:r>
    </w:p>
    <w:p w14:paraId="48A40A61" w14:textId="77777777" w:rsidR="00AC0F19" w:rsidRPr="00460E03" w:rsidRDefault="00AC0F19" w:rsidP="00B075E9">
      <w:pPr>
        <w:pStyle w:val="References"/>
      </w:pPr>
      <w:r w:rsidRPr="00460E03">
        <w:t xml:space="preserve">Jay A, Thomas H, Brooks F. 2018a. In </w:t>
      </w:r>
      <w:proofErr w:type="spellStart"/>
      <w:r w:rsidRPr="00460E03">
        <w:t>labor</w:t>
      </w:r>
      <w:proofErr w:type="spellEnd"/>
      <w:r w:rsidRPr="00460E03">
        <w:t xml:space="preserve"> or in limbo? The experiences of women undergoing induction of </w:t>
      </w:r>
      <w:proofErr w:type="spellStart"/>
      <w:r w:rsidRPr="00460E03">
        <w:t>labor</w:t>
      </w:r>
      <w:proofErr w:type="spellEnd"/>
      <w:r w:rsidRPr="00460E03">
        <w:t xml:space="preserve"> on hospital: Findings of a qualitative study. </w:t>
      </w:r>
      <w:r w:rsidRPr="00460E03">
        <w:rPr>
          <w:i/>
        </w:rPr>
        <w:t>Birth</w:t>
      </w:r>
      <w:r w:rsidRPr="00460E03">
        <w:t xml:space="preserve"> 45(1):</w:t>
      </w:r>
      <w:r w:rsidR="00F205E9">
        <w:t> </w:t>
      </w:r>
      <w:r w:rsidRPr="00460E03">
        <w:t>64–70. DOI: 10.111/birt.12310Epub2017Sep17.</w:t>
      </w:r>
    </w:p>
    <w:p w14:paraId="582F0F87" w14:textId="77777777" w:rsidR="00AC0F19" w:rsidRPr="00460E03" w:rsidRDefault="00AC0F19" w:rsidP="00B075E9">
      <w:pPr>
        <w:pStyle w:val="References"/>
      </w:pPr>
      <w:r w:rsidRPr="00460E03">
        <w:t xml:space="preserve">Jay A, Thomas H, Brooks F. 2018b. Induction of labour: How do women get information and make decisions? Findings of a qualitative study. </w:t>
      </w:r>
      <w:r w:rsidRPr="00460E03">
        <w:rPr>
          <w:i/>
        </w:rPr>
        <w:t>Br J Midwifery</w:t>
      </w:r>
      <w:r w:rsidRPr="00460E03">
        <w:t xml:space="preserve"> 26(1)</w:t>
      </w:r>
      <w:r w:rsidR="00F205E9">
        <w:t>:</w:t>
      </w:r>
      <w:r w:rsidRPr="00460E03">
        <w:t xml:space="preserve"> 22–29.</w:t>
      </w:r>
    </w:p>
    <w:p w14:paraId="20739FF0" w14:textId="77777777" w:rsidR="00AC0F19" w:rsidRPr="00460E03" w:rsidRDefault="00AC0F19" w:rsidP="00B075E9">
      <w:pPr>
        <w:pStyle w:val="References"/>
      </w:pPr>
      <w:proofErr w:type="spellStart"/>
      <w:r w:rsidRPr="00460E03">
        <w:t>Jozwiak</w:t>
      </w:r>
      <w:proofErr w:type="spellEnd"/>
      <w:r w:rsidRPr="00460E03">
        <w:t xml:space="preserve"> M, </w:t>
      </w:r>
      <w:proofErr w:type="spellStart"/>
      <w:r w:rsidRPr="00460E03">
        <w:t>Bloemenkamp</w:t>
      </w:r>
      <w:proofErr w:type="spellEnd"/>
      <w:r w:rsidRPr="00460E03">
        <w:t xml:space="preserve"> KWM, Kelly AJ, </w:t>
      </w:r>
      <w:r w:rsidR="000F3C98" w:rsidRPr="00460E03">
        <w:t>et al</w:t>
      </w:r>
      <w:r w:rsidRPr="00460E03">
        <w:t xml:space="preserve">. 2012a. Mechanical methods for induction of labour. </w:t>
      </w:r>
      <w:r w:rsidRPr="00460E03">
        <w:rPr>
          <w:i/>
        </w:rPr>
        <w:t>Cochrane Database of Systematic Reviews</w:t>
      </w:r>
      <w:r w:rsidRPr="00460E03">
        <w:t>, issue 3. Art. No.: CD001233. DOI: 10.1002/14651858.CD001233.pub2.</w:t>
      </w:r>
    </w:p>
    <w:p w14:paraId="0ECB7143" w14:textId="77777777" w:rsidR="00AC0F19" w:rsidRPr="00460E03" w:rsidRDefault="00AC0F19" w:rsidP="00B075E9">
      <w:pPr>
        <w:pStyle w:val="References"/>
      </w:pPr>
      <w:r w:rsidRPr="00460E03">
        <w:t xml:space="preserve">Kelly AJ, </w:t>
      </w:r>
      <w:proofErr w:type="spellStart"/>
      <w:r w:rsidRPr="00460E03">
        <w:t>Alfirevic</w:t>
      </w:r>
      <w:proofErr w:type="spellEnd"/>
      <w:r w:rsidRPr="00460E03">
        <w:t xml:space="preserve"> Z, Ghosh A. 2013. Outpatient versus inpatient induction of labour for improving birth outcomes. </w:t>
      </w:r>
      <w:r w:rsidRPr="00460E03">
        <w:rPr>
          <w:i/>
        </w:rPr>
        <w:t>Cochrane Database of Systematic Reviews</w:t>
      </w:r>
      <w:r w:rsidRPr="00460E03">
        <w:t>, issue 11.</w:t>
      </w:r>
    </w:p>
    <w:p w14:paraId="2DC4DE39" w14:textId="77777777" w:rsidR="00AC0F19" w:rsidRPr="00460E03" w:rsidRDefault="00AC0F19" w:rsidP="00B075E9">
      <w:pPr>
        <w:pStyle w:val="References"/>
      </w:pPr>
      <w:r w:rsidRPr="00460E03">
        <w:t xml:space="preserve">Kenyon AP, Girling JC on behalf of the RCOG. 2011. </w:t>
      </w:r>
      <w:r w:rsidRPr="00460E03">
        <w:rPr>
          <w:i/>
        </w:rPr>
        <w:t>Obstetric Cholestasis; Green-Top Guideline No. 43</w:t>
      </w:r>
      <w:r w:rsidRPr="00460E03">
        <w:t>: e1</w:t>
      </w:r>
      <w:r w:rsidR="00F205E9">
        <w:t>–</w:t>
      </w:r>
      <w:r w:rsidRPr="00460E03">
        <w:t xml:space="preserve">e14. London: Royal College of Obstetricians and Gynaecologists (RCOG). URL: </w:t>
      </w:r>
      <w:hyperlink r:id="rId65" w:history="1">
        <w:r w:rsidRPr="00460E03">
          <w:rPr>
            <w:rStyle w:val="Hyperlink"/>
          </w:rPr>
          <w:t>www.rcog.org.uk/globalassets/documents/guidelines/gtg_43.pdf</w:t>
        </w:r>
      </w:hyperlink>
      <w:r w:rsidRPr="00460E03">
        <w:t xml:space="preserve"> (accessed 21 April 2021).</w:t>
      </w:r>
    </w:p>
    <w:p w14:paraId="748E0419" w14:textId="77777777" w:rsidR="00AC0F19" w:rsidRPr="00460E03" w:rsidRDefault="00AC0F19" w:rsidP="00B075E9">
      <w:pPr>
        <w:pStyle w:val="References"/>
      </w:pPr>
      <w:proofErr w:type="spellStart"/>
      <w:r w:rsidRPr="00460E03">
        <w:t>Keulen</w:t>
      </w:r>
      <w:proofErr w:type="spellEnd"/>
      <w:r w:rsidRPr="00460E03">
        <w:t xml:space="preserve"> JKJ, </w:t>
      </w:r>
      <w:proofErr w:type="spellStart"/>
      <w:r w:rsidRPr="00460E03">
        <w:t>Bruinsma</w:t>
      </w:r>
      <w:proofErr w:type="spellEnd"/>
      <w:r w:rsidRPr="00460E03">
        <w:t xml:space="preserve"> A, </w:t>
      </w:r>
      <w:proofErr w:type="spellStart"/>
      <w:r w:rsidRPr="00460E03">
        <w:t>Kortekaas</w:t>
      </w:r>
      <w:proofErr w:type="spellEnd"/>
      <w:r w:rsidRPr="00460E03">
        <w:t xml:space="preserve"> JC, </w:t>
      </w:r>
      <w:r w:rsidR="000F3C98" w:rsidRPr="00460E03">
        <w:t>et al</w:t>
      </w:r>
      <w:r w:rsidRPr="00460E03">
        <w:t xml:space="preserve">. 2019. Induction of labour at </w:t>
      </w:r>
      <w:r w:rsidR="00EB43A9" w:rsidRPr="00460E03">
        <w:t>41 weeks</w:t>
      </w:r>
      <w:r w:rsidRPr="00460E03">
        <w:t xml:space="preserve"> versus expectant management until </w:t>
      </w:r>
      <w:r w:rsidR="00EB43A9" w:rsidRPr="00460E03">
        <w:t>42 weeks</w:t>
      </w:r>
      <w:r w:rsidRPr="00460E03">
        <w:t xml:space="preserve"> (INDEX): multicentre, randomised non</w:t>
      </w:r>
      <w:r w:rsidR="00F205E9">
        <w:noBreakHyphen/>
      </w:r>
      <w:r w:rsidRPr="00460E03">
        <w:t xml:space="preserve">inferiority trial. </w:t>
      </w:r>
      <w:r w:rsidRPr="00460E03">
        <w:rPr>
          <w:i/>
        </w:rPr>
        <w:t>BMJ</w:t>
      </w:r>
      <w:r w:rsidR="00F205E9">
        <w:t xml:space="preserve"> 364: 1</w:t>
      </w:r>
      <w:r w:rsidRPr="00460E03">
        <w:t>,344.</w:t>
      </w:r>
    </w:p>
    <w:p w14:paraId="074039A8" w14:textId="77777777" w:rsidR="00AC0F19" w:rsidRPr="00460E03" w:rsidRDefault="00AC0F19" w:rsidP="00B075E9">
      <w:pPr>
        <w:pStyle w:val="References"/>
      </w:pPr>
      <w:r w:rsidRPr="00460E03">
        <w:t xml:space="preserve">Koopmans CM, </w:t>
      </w:r>
      <w:proofErr w:type="spellStart"/>
      <w:r w:rsidRPr="00460E03">
        <w:t>Bijlenga</w:t>
      </w:r>
      <w:proofErr w:type="spellEnd"/>
      <w:r w:rsidRPr="00460E03">
        <w:t xml:space="preserve"> D, Groen H, </w:t>
      </w:r>
      <w:r w:rsidR="000F3C98" w:rsidRPr="00460E03">
        <w:t>et al</w:t>
      </w:r>
      <w:r w:rsidRPr="00460E03">
        <w:t xml:space="preserve">. 2009. Induction of labour versus expectant monitoring for gestational hypertension or mild pre-eclampsia after </w:t>
      </w:r>
      <w:r w:rsidR="00EB43A9" w:rsidRPr="00460E03">
        <w:t>36 weeks</w:t>
      </w:r>
      <w:r w:rsidR="00B0606D" w:rsidRPr="00460E03">
        <w:t>’</w:t>
      </w:r>
      <w:r w:rsidRPr="00460E03">
        <w:t xml:space="preserve"> gestation (HYPITAT): a multicentre, open-label, randomised controlled trial. </w:t>
      </w:r>
      <w:r w:rsidRPr="00460E03">
        <w:rPr>
          <w:i/>
        </w:rPr>
        <w:t>Lancet</w:t>
      </w:r>
      <w:r w:rsidRPr="00460E03">
        <w:t xml:space="preserve"> 374:</w:t>
      </w:r>
      <w:r w:rsidR="00F205E9">
        <w:t> </w:t>
      </w:r>
      <w:r w:rsidRPr="00460E03">
        <w:t>979–98.</w:t>
      </w:r>
    </w:p>
    <w:p w14:paraId="45F09E33" w14:textId="77777777" w:rsidR="00B0606D" w:rsidRPr="00460E03" w:rsidRDefault="00AC0F19" w:rsidP="00B075E9">
      <w:pPr>
        <w:pStyle w:val="References"/>
      </w:pPr>
      <w:r w:rsidRPr="00460E03">
        <w:t xml:space="preserve">Lalonde A, </w:t>
      </w:r>
      <w:proofErr w:type="spellStart"/>
      <w:r w:rsidRPr="00460E03">
        <w:t>Herschderfer</w:t>
      </w:r>
      <w:proofErr w:type="spellEnd"/>
      <w:r w:rsidRPr="00460E03">
        <w:t xml:space="preserve"> K, </w:t>
      </w:r>
      <w:proofErr w:type="spellStart"/>
      <w:r w:rsidRPr="00460E03">
        <w:t>Pascali-Bonaro</w:t>
      </w:r>
      <w:proofErr w:type="spellEnd"/>
      <w:r w:rsidRPr="00460E03">
        <w:t xml:space="preserve"> D, </w:t>
      </w:r>
      <w:r w:rsidR="000F3C98" w:rsidRPr="00460E03">
        <w:t>et al</w:t>
      </w:r>
      <w:r w:rsidRPr="00460E03">
        <w:t xml:space="preserve">. </w:t>
      </w:r>
      <w:r w:rsidRPr="00460E03">
        <w:rPr>
          <w:i/>
        </w:rPr>
        <w:t xml:space="preserve">FIGO Policy Statement: The International Childbirth Initiative (ICI): 12 steps to safe and respectful </w:t>
      </w:r>
      <w:proofErr w:type="spellStart"/>
      <w:r w:rsidRPr="00460E03">
        <w:rPr>
          <w:i/>
        </w:rPr>
        <w:t>MotherBaby</w:t>
      </w:r>
      <w:proofErr w:type="spellEnd"/>
      <w:r w:rsidRPr="00460E03">
        <w:rPr>
          <w:i/>
        </w:rPr>
        <w:t xml:space="preserve">-family maternity care. </w:t>
      </w:r>
      <w:r w:rsidRPr="00460E03">
        <w:t xml:space="preserve">London: International Federation of </w:t>
      </w:r>
      <w:proofErr w:type="spellStart"/>
      <w:r w:rsidRPr="00460E03">
        <w:t>Gynecology</w:t>
      </w:r>
      <w:proofErr w:type="spellEnd"/>
      <w:r w:rsidRPr="00460E03">
        <w:t xml:space="preserve"> and Obstetrics (FIGO) Executive Board and SMNH Committee.</w:t>
      </w:r>
    </w:p>
    <w:p w14:paraId="3AF1DEE6" w14:textId="77777777" w:rsidR="00AC0F19" w:rsidRPr="00460E03" w:rsidRDefault="00AC0F19" w:rsidP="00B075E9">
      <w:pPr>
        <w:pStyle w:val="References"/>
      </w:pPr>
      <w:r w:rsidRPr="00460E03">
        <w:t xml:space="preserve">Lamont K, Scott NW, Jones GT, </w:t>
      </w:r>
      <w:r w:rsidR="000F3C98" w:rsidRPr="00460E03">
        <w:t>et al</w:t>
      </w:r>
      <w:r w:rsidRPr="00460E03">
        <w:t>. 2015.</w:t>
      </w:r>
      <w:r w:rsidR="00F205E9">
        <w:t xml:space="preserve"> Risk of recurrent stillbirth: a</w:t>
      </w:r>
      <w:r w:rsidRPr="00460E03">
        <w:t xml:space="preserve"> systematic review and meta-analysis. </w:t>
      </w:r>
      <w:r w:rsidRPr="00460E03">
        <w:rPr>
          <w:i/>
        </w:rPr>
        <w:t>BMJ</w:t>
      </w:r>
      <w:r w:rsidRPr="00460E03">
        <w:t xml:space="preserve"> 350:</w:t>
      </w:r>
      <w:r w:rsidR="00F205E9">
        <w:t xml:space="preserve"> </w:t>
      </w:r>
      <w:r w:rsidRPr="00460E03">
        <w:t>h3080.</w:t>
      </w:r>
    </w:p>
    <w:p w14:paraId="6C00E542" w14:textId="77777777" w:rsidR="00AC0F19" w:rsidRPr="00460E03" w:rsidRDefault="00AC0F19" w:rsidP="00B075E9">
      <w:pPr>
        <w:pStyle w:val="References"/>
      </w:pPr>
      <w:r w:rsidRPr="00460E03">
        <w:t xml:space="preserve">Landon MB, </w:t>
      </w:r>
      <w:proofErr w:type="spellStart"/>
      <w:r w:rsidRPr="00460E03">
        <w:t>Hauth</w:t>
      </w:r>
      <w:proofErr w:type="spellEnd"/>
      <w:r w:rsidRPr="00460E03">
        <w:t xml:space="preserve"> JC, </w:t>
      </w:r>
      <w:proofErr w:type="spellStart"/>
      <w:r w:rsidRPr="00460E03">
        <w:t>Leveno</w:t>
      </w:r>
      <w:proofErr w:type="spellEnd"/>
      <w:r w:rsidRPr="00460E03">
        <w:t xml:space="preserve"> KJ</w:t>
      </w:r>
      <w:r w:rsidR="00F205E9">
        <w:t>,</w:t>
      </w:r>
      <w:r w:rsidRPr="00460E03">
        <w:t xml:space="preserve"> </w:t>
      </w:r>
      <w:r w:rsidR="000F3C98" w:rsidRPr="00460E03">
        <w:t>et al</w:t>
      </w:r>
      <w:r w:rsidRPr="00460E03">
        <w:t>. 2004. Maternal and perinatal outcomes associated with a trial of labour after prior caesarean delivery.</w:t>
      </w:r>
      <w:r w:rsidR="00B0606D" w:rsidRPr="00460E03">
        <w:t xml:space="preserve"> </w:t>
      </w:r>
      <w:r w:rsidRPr="00F205E9">
        <w:rPr>
          <w:i/>
        </w:rPr>
        <w:t>New England Journal of Medicine</w:t>
      </w:r>
      <w:r w:rsidRPr="00460E03">
        <w:t xml:space="preserve"> 351:</w:t>
      </w:r>
      <w:r w:rsidR="00F205E9">
        <w:t> </w:t>
      </w:r>
      <w:r w:rsidRPr="00460E03">
        <w:t>2581</w:t>
      </w:r>
      <w:r w:rsidR="00F205E9">
        <w:t>–</w:t>
      </w:r>
      <w:r w:rsidRPr="00460E03">
        <w:t>9</w:t>
      </w:r>
      <w:r w:rsidR="00F205E9">
        <w:t>.</w:t>
      </w:r>
    </w:p>
    <w:p w14:paraId="79680EA8" w14:textId="77777777" w:rsidR="00AC0F19" w:rsidRPr="00460E03" w:rsidRDefault="00AC0F19" w:rsidP="00B075E9">
      <w:pPr>
        <w:pStyle w:val="References"/>
      </w:pPr>
      <w:r w:rsidRPr="00460E03">
        <w:t>Levy R, Ferber A, Ben</w:t>
      </w:r>
      <w:r w:rsidRPr="00460E03">
        <w:rPr>
          <w:rFonts w:ascii="Cambria Math" w:hAnsi="Cambria Math"/>
        </w:rPr>
        <w:t>‐</w:t>
      </w:r>
      <w:r w:rsidRPr="00460E03">
        <w:t xml:space="preserve">Arie, A, </w:t>
      </w:r>
      <w:r w:rsidR="000F3C98" w:rsidRPr="00460E03">
        <w:t>et al</w:t>
      </w:r>
      <w:r w:rsidRPr="00460E03">
        <w:t>. 2002.</w:t>
      </w:r>
      <w:r w:rsidR="00F205E9">
        <w:t xml:space="preserve"> </w:t>
      </w:r>
      <w:r w:rsidRPr="00460E03">
        <w:t xml:space="preserve">A randomised comparison of early versus late amniotomy following cervical ripening with a Foley catheter. </w:t>
      </w:r>
      <w:r w:rsidRPr="00460E03">
        <w:rPr>
          <w:i/>
        </w:rPr>
        <w:t xml:space="preserve">BJOG: An Int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t xml:space="preserve"> 109: 168–72. DOI: 10.1111/j.1471-0528.2002.</w:t>
      </w:r>
      <w:proofErr w:type="gramStart"/>
      <w:r w:rsidRPr="00460E03">
        <w:t>01137.x.</w:t>
      </w:r>
      <w:proofErr w:type="gramEnd"/>
    </w:p>
    <w:p w14:paraId="280742A3" w14:textId="77777777" w:rsidR="00AC0F19" w:rsidRPr="00460E03" w:rsidRDefault="00AC0F19" w:rsidP="00B075E9">
      <w:pPr>
        <w:pStyle w:val="References"/>
      </w:pPr>
      <w:r w:rsidRPr="00460E03">
        <w:t>Liu J, Song G, Meng T</w:t>
      </w:r>
      <w:r w:rsidR="00F205E9">
        <w:t>,</w:t>
      </w:r>
      <w:r w:rsidRPr="00460E03">
        <w:t xml:space="preserve"> </w:t>
      </w:r>
      <w:r w:rsidR="000F3C98" w:rsidRPr="00460E03">
        <w:t>et al</w:t>
      </w:r>
      <w:r w:rsidRPr="00460E03">
        <w:t xml:space="preserve">. 2018. Membrane sweeping added to formal induction method to increase the spontaneous vaginal delivery: a meta-analysis. </w:t>
      </w:r>
      <w:r w:rsidRPr="00460E03">
        <w:rPr>
          <w:i/>
        </w:rPr>
        <w:t xml:space="preserve">Arch </w:t>
      </w:r>
      <w:proofErr w:type="spellStart"/>
      <w:r w:rsidRPr="00460E03">
        <w:rPr>
          <w:i/>
        </w:rPr>
        <w:t>Gynecol</w:t>
      </w:r>
      <w:proofErr w:type="spellEnd"/>
      <w:r w:rsidRPr="00460E03">
        <w:rPr>
          <w:i/>
        </w:rPr>
        <w:t xml:space="preserve"> </w:t>
      </w:r>
      <w:proofErr w:type="spellStart"/>
      <w:r w:rsidRPr="00460E03">
        <w:rPr>
          <w:i/>
        </w:rPr>
        <w:t>Obstet</w:t>
      </w:r>
      <w:proofErr w:type="spellEnd"/>
      <w:r w:rsidRPr="00460E03">
        <w:t xml:space="preserve"> 297: 623. DOI: 10.1007/s00404-017-4643-y.</w:t>
      </w:r>
    </w:p>
    <w:p w14:paraId="39942794" w14:textId="77777777" w:rsidR="00AC0F19" w:rsidRPr="00460E03" w:rsidRDefault="00AC0F19" w:rsidP="00F205E9">
      <w:pPr>
        <w:pStyle w:val="References"/>
        <w:keepNext/>
      </w:pPr>
      <w:proofErr w:type="spellStart"/>
      <w:r w:rsidRPr="00460E03">
        <w:lastRenderedPageBreak/>
        <w:t>Lydon</w:t>
      </w:r>
      <w:proofErr w:type="spellEnd"/>
      <w:r w:rsidRPr="00460E03">
        <w:t xml:space="preserve">-Rochelle M, Holt VL, Easterling TR, </w:t>
      </w:r>
      <w:r w:rsidR="00F205E9">
        <w:t>et al</w:t>
      </w:r>
      <w:r w:rsidRPr="00460E03">
        <w:t>. 2001. Risk of uterine rupture during labour among with women with prior caesarean delivery.</w:t>
      </w:r>
      <w:r w:rsidR="00B0606D" w:rsidRPr="00460E03">
        <w:t xml:space="preserve"> </w:t>
      </w:r>
      <w:r w:rsidRPr="00F205E9">
        <w:rPr>
          <w:i/>
        </w:rPr>
        <w:t>New England Journal of Medicine</w:t>
      </w:r>
      <w:r w:rsidRPr="00460E03">
        <w:t xml:space="preserve"> 345:</w:t>
      </w:r>
      <w:r w:rsidR="00F205E9">
        <w:t xml:space="preserve"> </w:t>
      </w:r>
      <w:r w:rsidRPr="00460E03">
        <w:t>3</w:t>
      </w:r>
      <w:r w:rsidR="00F205E9">
        <w:t>–</w:t>
      </w:r>
      <w:r w:rsidRPr="00460E03">
        <w:t>8</w:t>
      </w:r>
      <w:r w:rsidR="00F205E9">
        <w:t>.</w:t>
      </w:r>
    </w:p>
    <w:p w14:paraId="03BF33BC" w14:textId="77777777" w:rsidR="00AC0F19" w:rsidRPr="00460E03" w:rsidRDefault="00AC0F19" w:rsidP="00B075E9">
      <w:pPr>
        <w:pStyle w:val="References"/>
      </w:pPr>
      <w:proofErr w:type="spellStart"/>
      <w:r w:rsidRPr="00460E03">
        <w:t>MacDorman</w:t>
      </w:r>
      <w:proofErr w:type="spellEnd"/>
      <w:r w:rsidRPr="00460E03">
        <w:t xml:space="preserve"> MF, Reddy UM, Silver RM. 2015. Trends in stillbirth by gestational age in the United States, 2006–2012.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126: 1,146–50.</w:t>
      </w:r>
    </w:p>
    <w:p w14:paraId="5930540A" w14:textId="77777777" w:rsidR="00AC0F19" w:rsidRPr="00460E03" w:rsidRDefault="00AC0F19" w:rsidP="00B075E9">
      <w:pPr>
        <w:pStyle w:val="References"/>
      </w:pPr>
      <w:r w:rsidRPr="00460E03">
        <w:t xml:space="preserve">Mackay DF, Smith GCS, Dobbie R, </w:t>
      </w:r>
      <w:r w:rsidR="000F3C98" w:rsidRPr="00460E03">
        <w:t>et al</w:t>
      </w:r>
      <w:r w:rsidRPr="00460E03">
        <w:t xml:space="preserve">. 2010. Gestational age at delivery and special educational need: retrospective cohort study of 407,503 school children. </w:t>
      </w:r>
      <w:r w:rsidRPr="00460E03">
        <w:rPr>
          <w:i/>
        </w:rPr>
        <w:t>PLOS</w:t>
      </w:r>
      <w:r w:rsidRPr="00460E03">
        <w:t xml:space="preserve"> 7(6).</w:t>
      </w:r>
    </w:p>
    <w:p w14:paraId="2E14EBEF" w14:textId="77777777" w:rsidR="00AC0F19" w:rsidRPr="00460E03" w:rsidRDefault="00AC0F19" w:rsidP="00B075E9">
      <w:pPr>
        <w:pStyle w:val="References"/>
      </w:pPr>
      <w:proofErr w:type="spellStart"/>
      <w:r w:rsidRPr="00460E03">
        <w:t>Macones</w:t>
      </w:r>
      <w:proofErr w:type="spellEnd"/>
      <w:r w:rsidRPr="00460E03">
        <w:t xml:space="preserve"> GA, Cahill A, </w:t>
      </w:r>
      <w:proofErr w:type="spellStart"/>
      <w:r w:rsidRPr="00460E03">
        <w:t>Stamilio</w:t>
      </w:r>
      <w:proofErr w:type="spellEnd"/>
      <w:r w:rsidRPr="00460E03">
        <w:t xml:space="preserve"> DM, </w:t>
      </w:r>
      <w:r w:rsidR="000F3C98" w:rsidRPr="00460E03">
        <w:t>et al</w:t>
      </w:r>
      <w:r w:rsidRPr="00460E03">
        <w:t xml:space="preserve">. 2012. The efficacy of early amniotomy in nulliparous </w:t>
      </w:r>
      <w:proofErr w:type="spellStart"/>
      <w:r w:rsidRPr="00460E03">
        <w:t>labor</w:t>
      </w:r>
      <w:proofErr w:type="spellEnd"/>
      <w:r w:rsidRPr="00460E03">
        <w:t xml:space="preserve"> induction: a randomized controlled trial. </w:t>
      </w:r>
      <w:r w:rsidRPr="00460E03">
        <w:rPr>
          <w:i/>
        </w:rPr>
        <w:t xml:space="preserve">Am J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403e.1</w:t>
      </w:r>
      <w:r w:rsidR="00F205E9">
        <w:noBreakHyphen/>
      </w:r>
      <w:r w:rsidRPr="00460E03">
        <w:t>403.e5.</w:t>
      </w:r>
    </w:p>
    <w:p w14:paraId="73AC03AB" w14:textId="77777777" w:rsidR="00AC0F19" w:rsidRPr="00460E03" w:rsidRDefault="00AC0F19" w:rsidP="00B075E9">
      <w:pPr>
        <w:pStyle w:val="References"/>
      </w:pPr>
      <w:r w:rsidRPr="00460E03">
        <w:t xml:space="preserve">Majeed A, Kundu S, Singh P. 2014. Study on induction of labour versus expectant management in gestational hypertension or mild preeclampsia after </w:t>
      </w:r>
      <w:r w:rsidR="00EB43A9" w:rsidRPr="00460E03">
        <w:t>36 weeks</w:t>
      </w:r>
      <w:r w:rsidRPr="00460E03">
        <w:t xml:space="preserve"> of gestation. </w:t>
      </w:r>
      <w:r w:rsidRPr="00460E03">
        <w:rPr>
          <w:i/>
        </w:rPr>
        <w:t xml:space="preserve">BJOG: Int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t xml:space="preserve"> 121(</w:t>
      </w:r>
      <w:proofErr w:type="spellStart"/>
      <w:r w:rsidRPr="00460E03">
        <w:t>Suppl</w:t>
      </w:r>
      <w:proofErr w:type="spellEnd"/>
      <w:r w:rsidRPr="00460E03">
        <w:t xml:space="preserve"> 2): 118.</w:t>
      </w:r>
    </w:p>
    <w:p w14:paraId="29159AC7" w14:textId="77777777" w:rsidR="00AC0F19" w:rsidRPr="00460E03" w:rsidRDefault="00AC0F19" w:rsidP="00B075E9">
      <w:pPr>
        <w:pStyle w:val="References"/>
      </w:pPr>
      <w:proofErr w:type="spellStart"/>
      <w:r w:rsidRPr="00460E03">
        <w:t>Makarem</w:t>
      </w:r>
      <w:proofErr w:type="spellEnd"/>
      <w:r w:rsidRPr="00460E03">
        <w:t xml:space="preserve"> MH, Zahran KM, </w:t>
      </w:r>
      <w:proofErr w:type="spellStart"/>
      <w:r w:rsidRPr="00460E03">
        <w:t>Abdellah</w:t>
      </w:r>
      <w:proofErr w:type="spellEnd"/>
      <w:r w:rsidRPr="00460E03">
        <w:t xml:space="preserve"> MS</w:t>
      </w:r>
      <w:r w:rsidR="00F205E9">
        <w:t>.</w:t>
      </w:r>
      <w:r w:rsidRPr="00460E03">
        <w:t xml:space="preserve"> 2013. Early amniotomy after vaginal misoprostol for induction of </w:t>
      </w:r>
      <w:proofErr w:type="spellStart"/>
      <w:r w:rsidRPr="00460E03">
        <w:t>labor</w:t>
      </w:r>
      <w:proofErr w:type="spellEnd"/>
      <w:r w:rsidRPr="00460E03">
        <w:t xml:space="preserve">: a randomized clinical trial. </w:t>
      </w:r>
      <w:r w:rsidRPr="00460E03">
        <w:rPr>
          <w:i/>
        </w:rPr>
        <w:t xml:space="preserve">Arch </w:t>
      </w:r>
      <w:proofErr w:type="spellStart"/>
      <w:r w:rsidRPr="00460E03">
        <w:rPr>
          <w:i/>
        </w:rPr>
        <w:t>Gynecol</w:t>
      </w:r>
      <w:proofErr w:type="spellEnd"/>
      <w:r w:rsidRPr="00460E03">
        <w:rPr>
          <w:i/>
        </w:rPr>
        <w:t xml:space="preserve"> </w:t>
      </w:r>
      <w:proofErr w:type="spellStart"/>
      <w:r w:rsidRPr="00460E03">
        <w:rPr>
          <w:i/>
        </w:rPr>
        <w:t>Obstet</w:t>
      </w:r>
      <w:proofErr w:type="spellEnd"/>
      <w:r w:rsidRPr="00460E03">
        <w:t xml:space="preserve"> 288:</w:t>
      </w:r>
      <w:r w:rsidR="00F205E9">
        <w:t> </w:t>
      </w:r>
      <w:r w:rsidRPr="00460E03">
        <w:t>261–5.</w:t>
      </w:r>
    </w:p>
    <w:p w14:paraId="3CDF8E3F" w14:textId="77777777" w:rsidR="00AC0F19" w:rsidRPr="00460E03" w:rsidRDefault="00AC0F19" w:rsidP="00B075E9">
      <w:pPr>
        <w:pStyle w:val="References"/>
      </w:pPr>
      <w:proofErr w:type="spellStart"/>
      <w:r w:rsidRPr="00460E03">
        <w:t>Malacova</w:t>
      </w:r>
      <w:proofErr w:type="spellEnd"/>
      <w:r w:rsidRPr="00460E03">
        <w:t xml:space="preserve"> E, Regan A, Nassar N, </w:t>
      </w:r>
      <w:r w:rsidR="000F3C98" w:rsidRPr="00460E03">
        <w:t>et al</w:t>
      </w:r>
      <w:r w:rsidRPr="00460E03">
        <w:t xml:space="preserve">. 2018. Risk of stillbirth, preterm delivery, and fetal growth restriction following exposure in a previous birth: systematic review and meta-analysis. </w:t>
      </w:r>
      <w:r w:rsidRPr="00460E03">
        <w:rPr>
          <w:i/>
        </w:rPr>
        <w:t>BJOG</w:t>
      </w:r>
      <w:r w:rsidR="00F205E9">
        <w:t xml:space="preserve"> 1</w:t>
      </w:r>
      <w:r w:rsidRPr="00460E03">
        <w:t>25: 183–92.</w:t>
      </w:r>
    </w:p>
    <w:p w14:paraId="6760EB70" w14:textId="77777777" w:rsidR="00AC0F19" w:rsidRPr="00460E03" w:rsidRDefault="00AC0F19" w:rsidP="00B075E9">
      <w:pPr>
        <w:pStyle w:val="References"/>
      </w:pPr>
      <w:r w:rsidRPr="00460E03">
        <w:t xml:space="preserve">McCowan L, Thompson J, Cronin R, </w:t>
      </w:r>
      <w:r w:rsidR="000F3C98" w:rsidRPr="00460E03">
        <w:t>et al</w:t>
      </w:r>
      <w:r w:rsidRPr="00460E03">
        <w:t xml:space="preserve">. 2017. Going to sleep in the supine position is a modifiable risk factor for late pregnancy stillbirth; Findings from the New Zealand multicentre stillbirth case-control study. </w:t>
      </w:r>
      <w:proofErr w:type="spellStart"/>
      <w:r w:rsidRPr="00460E03">
        <w:rPr>
          <w:i/>
        </w:rPr>
        <w:t>PLoS</w:t>
      </w:r>
      <w:proofErr w:type="spellEnd"/>
      <w:r w:rsidRPr="00460E03">
        <w:rPr>
          <w:i/>
        </w:rPr>
        <w:t xml:space="preserve"> One</w:t>
      </w:r>
      <w:r w:rsidRPr="00460E03">
        <w:t xml:space="preserve"> 12: e0179396.</w:t>
      </w:r>
    </w:p>
    <w:p w14:paraId="0C351EC1" w14:textId="77777777" w:rsidR="00AC0F19" w:rsidRPr="00460E03" w:rsidRDefault="00AC0F19" w:rsidP="00B075E9">
      <w:pPr>
        <w:pStyle w:val="References"/>
      </w:pPr>
      <w:r w:rsidRPr="00460E03">
        <w:t xml:space="preserve">McElduff A, Cheung NW, </w:t>
      </w:r>
      <w:proofErr w:type="spellStart"/>
      <w:r w:rsidRPr="00460E03">
        <w:t>McIntrye</w:t>
      </w:r>
      <w:proofErr w:type="spellEnd"/>
      <w:r w:rsidRPr="00460E03">
        <w:t xml:space="preserve"> HD, </w:t>
      </w:r>
      <w:r w:rsidR="000F3C98" w:rsidRPr="00460E03">
        <w:t>et al</w:t>
      </w:r>
      <w:r w:rsidRPr="00460E03">
        <w:t xml:space="preserve">. 2005. The Australasian Diabetes in Pregnancy Society consensus guidelines for the management of </w:t>
      </w:r>
      <w:r w:rsidR="00763E83" w:rsidRPr="00460E03">
        <w:t>type 1</w:t>
      </w:r>
      <w:r w:rsidRPr="00460E03">
        <w:t xml:space="preserve"> and </w:t>
      </w:r>
      <w:r w:rsidR="00763E83" w:rsidRPr="00460E03">
        <w:t>type 2</w:t>
      </w:r>
      <w:r w:rsidRPr="00460E03">
        <w:t xml:space="preserve"> diabetes in relation to pregnancy. </w:t>
      </w:r>
      <w:r w:rsidRPr="00460E03">
        <w:rPr>
          <w:i/>
        </w:rPr>
        <w:t>MJA</w:t>
      </w:r>
      <w:r w:rsidRPr="00460E03">
        <w:t xml:space="preserve"> 138: </w:t>
      </w:r>
      <w:r w:rsidR="00F205E9">
        <w:t>373–</w:t>
      </w:r>
      <w:r w:rsidRPr="00460E03">
        <w:t>7.</w:t>
      </w:r>
    </w:p>
    <w:p w14:paraId="6CE97746" w14:textId="77777777" w:rsidR="00AC0F19" w:rsidRPr="00460E03" w:rsidRDefault="00AC0F19" w:rsidP="00B075E9">
      <w:pPr>
        <w:pStyle w:val="References"/>
      </w:pPr>
      <w:r w:rsidRPr="00460E03">
        <w:t xml:space="preserve">Middleton P, Shepherd E, Crowther CA. 2018. Induction of labour for improving birth outcomes for women at or beyond term. </w:t>
      </w:r>
      <w:r w:rsidRPr="00460E03">
        <w:rPr>
          <w:i/>
        </w:rPr>
        <w:t xml:space="preserve">Cochrane Database </w:t>
      </w:r>
      <w:proofErr w:type="spellStart"/>
      <w:r w:rsidRPr="00460E03">
        <w:rPr>
          <w:i/>
        </w:rPr>
        <w:t>Syst</w:t>
      </w:r>
      <w:proofErr w:type="spellEnd"/>
      <w:r w:rsidRPr="00460E03">
        <w:rPr>
          <w:i/>
        </w:rPr>
        <w:t xml:space="preserve"> Rev</w:t>
      </w:r>
      <w:r w:rsidRPr="00460E03">
        <w:t xml:space="preserve"> </w:t>
      </w:r>
      <w:r w:rsidR="00F205E9">
        <w:t xml:space="preserve">9 </w:t>
      </w:r>
      <w:r w:rsidRPr="00460E03">
        <w:t>May; 5:CD004945. DOI: 10.1002/14651858.CD004945.pub4.</w:t>
      </w:r>
    </w:p>
    <w:p w14:paraId="5391BC3A" w14:textId="77777777" w:rsidR="00AC0F19" w:rsidRPr="00460E03" w:rsidRDefault="00AC0F19" w:rsidP="00B075E9">
      <w:pPr>
        <w:pStyle w:val="References"/>
      </w:pPr>
      <w:r w:rsidRPr="00460E03">
        <w:t xml:space="preserve">Middleton P, Shepherd E, </w:t>
      </w:r>
      <w:proofErr w:type="spellStart"/>
      <w:r w:rsidRPr="00460E03">
        <w:t>Flenday</w:t>
      </w:r>
      <w:proofErr w:type="spellEnd"/>
      <w:r w:rsidRPr="00460E03">
        <w:t xml:space="preserve"> V, </w:t>
      </w:r>
      <w:r w:rsidR="000F3C98" w:rsidRPr="00460E03">
        <w:t>et al</w:t>
      </w:r>
      <w:r w:rsidRPr="00460E03">
        <w:t>. 2017. Planned early birth versus expectant management (waiting) for prelabour rupture of membranes at term (</w:t>
      </w:r>
      <w:r w:rsidR="00EB43A9" w:rsidRPr="00460E03">
        <w:t>37 weeks</w:t>
      </w:r>
      <w:r w:rsidRPr="00460E03">
        <w:t xml:space="preserve"> or more). </w:t>
      </w:r>
      <w:r w:rsidRPr="00460E03">
        <w:rPr>
          <w:i/>
        </w:rPr>
        <w:t>Cochrane Database of Systematic Reviews</w:t>
      </w:r>
      <w:r w:rsidRPr="00460E03">
        <w:t xml:space="preserve">. </w:t>
      </w:r>
      <w:hyperlink r:id="rId66">
        <w:r w:rsidRPr="00460E03">
          <w:t>DOI:</w:t>
        </w:r>
      </w:hyperlink>
      <w:r w:rsidRPr="00460E03">
        <w:t xml:space="preserve"> 10.1002/14651858.CD005302.pub3.</w:t>
      </w:r>
    </w:p>
    <w:p w14:paraId="18EEEA65" w14:textId="77777777" w:rsidR="00AC0F19" w:rsidRPr="00460E03" w:rsidRDefault="00AC0F19" w:rsidP="00B075E9">
      <w:pPr>
        <w:pStyle w:val="References"/>
      </w:pPr>
      <w:r w:rsidRPr="00460E03">
        <w:t xml:space="preserve">Ministry of Health. 2012. </w:t>
      </w:r>
      <w:r w:rsidRPr="00460E03">
        <w:rPr>
          <w:i/>
        </w:rPr>
        <w:t>Guidelines for Consultation with Obstetric and Related Medical Services (Referral Guidelines)</w:t>
      </w:r>
      <w:r w:rsidRPr="00460E03">
        <w:t>. Wellington: Ministry of Health.</w:t>
      </w:r>
    </w:p>
    <w:p w14:paraId="20A2D8B2" w14:textId="77777777" w:rsidR="00AC0F19" w:rsidRPr="00460E03" w:rsidRDefault="00AC0F19" w:rsidP="00B075E9">
      <w:pPr>
        <w:pStyle w:val="References"/>
      </w:pPr>
      <w:r w:rsidRPr="00460E03">
        <w:t xml:space="preserve">Ministry of Health. 2014. </w:t>
      </w:r>
      <w:r w:rsidRPr="00460E03">
        <w:rPr>
          <w:i/>
        </w:rPr>
        <w:t>Screening, Diagnosis and Management of Gestational Diabetes Mellitus in NZ: A clinical practice guideline</w:t>
      </w:r>
      <w:r w:rsidRPr="00460E03">
        <w:t xml:space="preserve">. Wellington: Ministry of Health. URL: </w:t>
      </w:r>
      <w:hyperlink r:id="rId67" w:history="1">
        <w:r w:rsidRPr="00460E03">
          <w:rPr>
            <w:rStyle w:val="Hyperlink"/>
          </w:rPr>
          <w:t>www.health.govt.nz/system/files/documents/publications/screening-diagnosis-management-of-gestational-diabetes-in-nz-clinical-practive-guideline-dec14-v2.pdf</w:t>
        </w:r>
      </w:hyperlink>
      <w:r w:rsidRPr="00460E03">
        <w:t xml:space="preserve"> (accessed 21 April 2021).</w:t>
      </w:r>
    </w:p>
    <w:p w14:paraId="225FDA64" w14:textId="77777777" w:rsidR="00AC0F19" w:rsidRPr="00460E03" w:rsidRDefault="00AC0F19" w:rsidP="00F205E9">
      <w:pPr>
        <w:pStyle w:val="References"/>
        <w:keepLines/>
      </w:pPr>
      <w:r w:rsidRPr="00460E03">
        <w:lastRenderedPageBreak/>
        <w:t xml:space="preserve">Ministry of Health. 2017. </w:t>
      </w:r>
      <w:r w:rsidRPr="00460E03">
        <w:rPr>
          <w:i/>
        </w:rPr>
        <w:t>Diagnosis and Treatment of Hypertension and Preeclampsia in Pregnancy in New Zealand</w:t>
      </w:r>
      <w:r w:rsidR="00F205E9">
        <w:rPr>
          <w:i/>
        </w:rPr>
        <w:t xml:space="preserve">: </w:t>
      </w:r>
      <w:r w:rsidRPr="00460E03">
        <w:rPr>
          <w:i/>
        </w:rPr>
        <w:t>A clinical practice guideline.</w:t>
      </w:r>
      <w:r w:rsidRPr="00460E03">
        <w:t xml:space="preserve"> Wellington: Ministry of Health. URL: </w:t>
      </w:r>
      <w:hyperlink r:id="rId68" w:history="1">
        <w:r w:rsidRPr="00460E03">
          <w:rPr>
            <w:rStyle w:val="Hyperlink"/>
          </w:rPr>
          <w:t>www.health.govt.nz/system/files/documents/publications/diagnosis-and-treatment-of-hypertension-and-pre-eclampsia-in-pregnancy-in-new-zealand-v3.pdf</w:t>
        </w:r>
      </w:hyperlink>
      <w:r w:rsidRPr="00460E03">
        <w:t xml:space="preserve"> (accessed 21 April 2021).</w:t>
      </w:r>
    </w:p>
    <w:p w14:paraId="5249EADF" w14:textId="77777777" w:rsidR="00AC0F19" w:rsidRPr="00460E03" w:rsidRDefault="00AC0F19" w:rsidP="00B075E9">
      <w:pPr>
        <w:pStyle w:val="References"/>
      </w:pPr>
      <w:r w:rsidRPr="00460E03">
        <w:t xml:space="preserve">Ministry of Health. 2018. </w:t>
      </w:r>
      <w:r w:rsidRPr="00460E03">
        <w:rPr>
          <w:i/>
        </w:rPr>
        <w:t>Diagnosis and Treatment of Hypertension and Pre-eclampsia in Pregnancy in New Zealand: A clini</w:t>
      </w:r>
      <w:r w:rsidR="00F205E9">
        <w:rPr>
          <w:i/>
        </w:rPr>
        <w:t>c</w:t>
      </w:r>
      <w:r w:rsidRPr="00460E03">
        <w:rPr>
          <w:i/>
        </w:rPr>
        <w:t>al practice guideline</w:t>
      </w:r>
      <w:r w:rsidRPr="00460E03">
        <w:t>. Wellington: Ministry of Health.</w:t>
      </w:r>
    </w:p>
    <w:p w14:paraId="78C43DDB" w14:textId="77777777" w:rsidR="00AC0F19" w:rsidRPr="00460E03" w:rsidRDefault="00AC0F19" w:rsidP="00B075E9">
      <w:pPr>
        <w:pStyle w:val="References"/>
      </w:pPr>
      <w:r w:rsidRPr="00460E03">
        <w:t xml:space="preserve">Ministry of Health. 2019a. </w:t>
      </w:r>
      <w:r w:rsidRPr="00460E03">
        <w:rPr>
          <w:i/>
        </w:rPr>
        <w:t>New Zealand Maternity Clinical Indicators 2017</w:t>
      </w:r>
      <w:r w:rsidRPr="00460E03">
        <w:t>. Wellington: Ministry of Health.</w:t>
      </w:r>
    </w:p>
    <w:p w14:paraId="1B85FA64" w14:textId="77777777" w:rsidR="00AC0F19" w:rsidRPr="00460E03" w:rsidRDefault="00AC0F19" w:rsidP="00B075E9">
      <w:pPr>
        <w:pStyle w:val="References"/>
      </w:pPr>
      <w:r w:rsidRPr="00460E03">
        <w:t xml:space="preserve">Ministry of Health. 2019b. </w:t>
      </w:r>
      <w:r w:rsidRPr="00460E03">
        <w:rPr>
          <w:i/>
        </w:rPr>
        <w:t>Report on Maternity 2017</w:t>
      </w:r>
      <w:r w:rsidRPr="00460E03">
        <w:t>. Wellington: Ministry of Health.</w:t>
      </w:r>
    </w:p>
    <w:p w14:paraId="7DE37D4E" w14:textId="77777777" w:rsidR="00AC0F19" w:rsidRPr="00460E03" w:rsidRDefault="00AC0F19" w:rsidP="00B075E9">
      <w:pPr>
        <w:pStyle w:val="References"/>
      </w:pPr>
      <w:proofErr w:type="spellStart"/>
      <w:r w:rsidRPr="00460E03">
        <w:t>Mishanina</w:t>
      </w:r>
      <w:proofErr w:type="spellEnd"/>
      <w:r w:rsidRPr="00460E03">
        <w:t xml:space="preserve"> E, </w:t>
      </w:r>
      <w:proofErr w:type="spellStart"/>
      <w:r w:rsidRPr="00460E03">
        <w:t>Rogozinska</w:t>
      </w:r>
      <w:proofErr w:type="spellEnd"/>
      <w:r w:rsidRPr="00460E03">
        <w:t xml:space="preserve"> E, </w:t>
      </w:r>
      <w:proofErr w:type="spellStart"/>
      <w:r w:rsidRPr="00460E03">
        <w:t>Thatthi</w:t>
      </w:r>
      <w:proofErr w:type="spellEnd"/>
      <w:r w:rsidRPr="00460E03">
        <w:t xml:space="preserve"> T, </w:t>
      </w:r>
      <w:r w:rsidR="000F3C98" w:rsidRPr="00460E03">
        <w:t>et al</w:t>
      </w:r>
      <w:r w:rsidRPr="00460E03">
        <w:t xml:space="preserve">. 2014. Use of labour induction and risk of </w:t>
      </w:r>
      <w:proofErr w:type="spellStart"/>
      <w:r w:rsidRPr="00460E03">
        <w:t>cesarean</w:t>
      </w:r>
      <w:proofErr w:type="spellEnd"/>
      <w:r w:rsidRPr="00460E03">
        <w:t xml:space="preserve"> delivery: a systematic review and meta-analysis. </w:t>
      </w:r>
      <w:r w:rsidRPr="00460E03">
        <w:rPr>
          <w:i/>
        </w:rPr>
        <w:t>Can Med Assoc J</w:t>
      </w:r>
      <w:r w:rsidRPr="00460E03">
        <w:t>. DOI: 10.1503/cmaj.130925.</w:t>
      </w:r>
    </w:p>
    <w:p w14:paraId="1B4B1545" w14:textId="77777777" w:rsidR="00AC0F19" w:rsidRPr="00460E03" w:rsidRDefault="00AC0F19" w:rsidP="00B075E9">
      <w:pPr>
        <w:pStyle w:val="References"/>
      </w:pPr>
      <w:r w:rsidRPr="00460E03">
        <w:t xml:space="preserve">Morris RK, </w:t>
      </w:r>
      <w:proofErr w:type="spellStart"/>
      <w:r w:rsidRPr="00460E03">
        <w:t>Meller</w:t>
      </w:r>
      <w:proofErr w:type="spellEnd"/>
      <w:r w:rsidRPr="00460E03">
        <w:t xml:space="preserve"> CH, Tamblyn J, </w:t>
      </w:r>
      <w:r w:rsidR="000F3C98" w:rsidRPr="00460E03">
        <w:t>et al</w:t>
      </w:r>
      <w:r w:rsidRPr="00460E03">
        <w:t xml:space="preserve">. 2014. Association and prediction of amniotic fluid measurements for adverse pregnancy outcome: systematic review and meta-analysis. </w:t>
      </w:r>
      <w:r w:rsidRPr="00460E03">
        <w:rPr>
          <w:i/>
        </w:rPr>
        <w:t>BJOG</w:t>
      </w:r>
      <w:r w:rsidRPr="00460E03">
        <w:t xml:space="preserve"> 121: 686–99.</w:t>
      </w:r>
    </w:p>
    <w:p w14:paraId="2A7BBC54" w14:textId="77777777" w:rsidR="00AC0F19" w:rsidRPr="00460E03" w:rsidRDefault="00AC0F19" w:rsidP="00B075E9">
      <w:pPr>
        <w:pStyle w:val="References"/>
      </w:pPr>
      <w:proofErr w:type="spellStart"/>
      <w:r w:rsidRPr="00460E03">
        <w:t>Moster</w:t>
      </w:r>
      <w:proofErr w:type="spellEnd"/>
      <w:r w:rsidRPr="00460E03">
        <w:t xml:space="preserve"> D, Wilcox AJ, </w:t>
      </w:r>
      <w:proofErr w:type="spellStart"/>
      <w:r w:rsidRPr="00460E03">
        <w:t>Voilset</w:t>
      </w:r>
      <w:proofErr w:type="spellEnd"/>
      <w:r w:rsidRPr="00460E03">
        <w:t xml:space="preserve"> ST, </w:t>
      </w:r>
      <w:r w:rsidR="000F3C98" w:rsidRPr="00460E03">
        <w:t>et al</w:t>
      </w:r>
      <w:r w:rsidRPr="00460E03">
        <w:t xml:space="preserve">. 2010. Cerebral palsy among term and post-term births. </w:t>
      </w:r>
      <w:r w:rsidRPr="00F205E9">
        <w:rPr>
          <w:i/>
        </w:rPr>
        <w:t>JAMA</w:t>
      </w:r>
      <w:r w:rsidRPr="00460E03">
        <w:t xml:space="preserve"> 304(9): 976–82. DOI: 10.1001/jama.2010.1271.</w:t>
      </w:r>
    </w:p>
    <w:p w14:paraId="67F4A832" w14:textId="77777777" w:rsidR="00AC0F19" w:rsidRPr="00460E03" w:rsidRDefault="00AC0F19" w:rsidP="00B075E9">
      <w:pPr>
        <w:pStyle w:val="References"/>
      </w:pPr>
      <w:proofErr w:type="spellStart"/>
      <w:r w:rsidRPr="00460E03">
        <w:t>Mundle</w:t>
      </w:r>
      <w:proofErr w:type="spellEnd"/>
      <w:r w:rsidRPr="00460E03">
        <w:t xml:space="preserve"> S, Bracken H, </w:t>
      </w:r>
      <w:proofErr w:type="spellStart"/>
      <w:r w:rsidRPr="00460E03">
        <w:t>Khedikar</w:t>
      </w:r>
      <w:proofErr w:type="spellEnd"/>
      <w:r w:rsidRPr="00460E03">
        <w:t xml:space="preserve"> V, </w:t>
      </w:r>
      <w:r w:rsidR="000F3C98" w:rsidRPr="00460E03">
        <w:t>et al</w:t>
      </w:r>
      <w:r w:rsidRPr="00460E03">
        <w:t xml:space="preserve">. 2017. Foley catheterisation versus oral misoprostol for induction of labour in hypertensive women in India (INFORM): a multicentre, open-label, randomised controlled trial. </w:t>
      </w:r>
      <w:hyperlink r:id="rId69">
        <w:r w:rsidRPr="00460E03">
          <w:rPr>
            <w:i/>
          </w:rPr>
          <w:t>Lancet</w:t>
        </w:r>
      </w:hyperlink>
      <w:r w:rsidRPr="00460E03">
        <w:t xml:space="preserve"> 12; 390(10095): 669–80. DOI: 10.1016/S0140-6736(17)31367-3.</w:t>
      </w:r>
    </w:p>
    <w:p w14:paraId="2FE58385" w14:textId="77777777" w:rsidR="00AC0F19" w:rsidRPr="00460E03" w:rsidRDefault="00AC0F19" w:rsidP="00B075E9">
      <w:pPr>
        <w:pStyle w:val="References"/>
      </w:pPr>
      <w:r w:rsidRPr="00460E03">
        <w:t xml:space="preserve">Murtagh M, </w:t>
      </w:r>
      <w:proofErr w:type="spellStart"/>
      <w:r w:rsidRPr="00460E03">
        <w:t>Folan</w:t>
      </w:r>
      <w:proofErr w:type="spellEnd"/>
      <w:r w:rsidRPr="00460E03">
        <w:t xml:space="preserve"> M. 2014. Women</w:t>
      </w:r>
      <w:r w:rsidR="00B0606D" w:rsidRPr="00460E03">
        <w:t>’</w:t>
      </w:r>
      <w:r w:rsidRPr="00460E03">
        <w:t xml:space="preserve">s experiences of induction of labour for post- date pregnancy. </w:t>
      </w:r>
      <w:r w:rsidRPr="00460E03">
        <w:rPr>
          <w:i/>
        </w:rPr>
        <w:t>Brit J Midwifery</w:t>
      </w:r>
      <w:r w:rsidRPr="00460E03">
        <w:t xml:space="preserve"> 22(2): 105–10.</w:t>
      </w:r>
    </w:p>
    <w:p w14:paraId="12F35ABD" w14:textId="77777777" w:rsidR="00AC0F19" w:rsidRPr="00460E03" w:rsidRDefault="00AC0F19" w:rsidP="00B075E9">
      <w:pPr>
        <w:pStyle w:val="References"/>
      </w:pPr>
      <w:r w:rsidRPr="00460E03">
        <w:t xml:space="preserve">NICE. 2008. </w:t>
      </w:r>
      <w:r w:rsidRPr="00460E03">
        <w:rPr>
          <w:i/>
        </w:rPr>
        <w:t>Inducing Labour. CG 70</w:t>
      </w:r>
      <w:r w:rsidRPr="00460E03">
        <w:t xml:space="preserve">. Manchester: National Institute for Health and Care Excellence (NICE). URL: </w:t>
      </w:r>
      <w:hyperlink r:id="rId70" w:history="1">
        <w:r w:rsidRPr="00460E03">
          <w:rPr>
            <w:rStyle w:val="Hyperlink"/>
          </w:rPr>
          <w:t>www.nice.org.uk/guidance/cg70/resources/inducing-labour-pdf-975621704389</w:t>
        </w:r>
      </w:hyperlink>
      <w:r w:rsidRPr="00460E03">
        <w:t xml:space="preserve"> (accessed 21 April 2021).</w:t>
      </w:r>
    </w:p>
    <w:p w14:paraId="1CECBAD6" w14:textId="77777777" w:rsidR="00AC0F19" w:rsidRPr="00460E03" w:rsidRDefault="00AC0F19" w:rsidP="00B075E9">
      <w:pPr>
        <w:pStyle w:val="References"/>
      </w:pPr>
      <w:r w:rsidRPr="00460E03">
        <w:t xml:space="preserve">NICE. 2015. Diabetes in Pregnancy: Management from preconception to the postnatal period (NG3). Manchester: National Institute for Health and Care Excellence (NICE). URL: </w:t>
      </w:r>
      <w:hyperlink r:id="rId71" w:history="1">
        <w:r w:rsidR="00F205E9" w:rsidRPr="00F205E9">
          <w:rPr>
            <w:rStyle w:val="Hyperlink"/>
          </w:rPr>
          <w:t>www.nice.org.uk/guidance/ng3/resources/diabetes-in-pregnancy-management-from-preconception-to-the-postnatal-period-pdf-51038446021</w:t>
        </w:r>
      </w:hyperlink>
      <w:r w:rsidRPr="00460E03">
        <w:t xml:space="preserve"> (accessed 21 April 2021).</w:t>
      </w:r>
    </w:p>
    <w:p w14:paraId="40C863BB" w14:textId="77777777" w:rsidR="00AC0F19" w:rsidRPr="00460E03" w:rsidRDefault="00AC0F19" w:rsidP="00B075E9">
      <w:pPr>
        <w:pStyle w:val="References"/>
      </w:pPr>
      <w:r w:rsidRPr="00460E03">
        <w:t xml:space="preserve">NICE. 2019. </w:t>
      </w:r>
      <w:r w:rsidRPr="00460E03">
        <w:rPr>
          <w:i/>
        </w:rPr>
        <w:t>Twin and Triplet Pregnancy</w:t>
      </w:r>
      <w:r w:rsidRPr="00460E03">
        <w:t xml:space="preserve">. (NG137). Manchester: National Institute for Health and Care Excellence (NICE). URL: </w:t>
      </w:r>
      <w:hyperlink r:id="rId72" w:history="1">
        <w:r w:rsidRPr="00460E03">
          <w:rPr>
            <w:rStyle w:val="Hyperlink"/>
          </w:rPr>
          <w:t>www.nice.org.uk/guidance/ng137/resources/twin-and-triplet-pregnancy-pdf-66141724389829</w:t>
        </w:r>
      </w:hyperlink>
      <w:r w:rsidRPr="00460E03">
        <w:t xml:space="preserve"> (accessed 21 April 2021).</w:t>
      </w:r>
    </w:p>
    <w:p w14:paraId="62A6DB6B" w14:textId="77777777" w:rsidR="00AC0F19" w:rsidRPr="00460E03" w:rsidRDefault="00AC0F19" w:rsidP="00B075E9">
      <w:pPr>
        <w:pStyle w:val="References"/>
      </w:pPr>
      <w:r w:rsidRPr="00460E03">
        <w:t xml:space="preserve">Norman JE, </w:t>
      </w:r>
      <w:proofErr w:type="spellStart"/>
      <w:r w:rsidRPr="00460E03">
        <w:t>Heazell</w:t>
      </w:r>
      <w:proofErr w:type="spellEnd"/>
      <w:r w:rsidRPr="00460E03">
        <w:t xml:space="preserve"> AEP, Rodriguez A, </w:t>
      </w:r>
      <w:r w:rsidR="000F3C98" w:rsidRPr="00460E03">
        <w:t>et al</w:t>
      </w:r>
      <w:r w:rsidRPr="00460E03">
        <w:t xml:space="preserve">. 2018. Awareness of fetal movements and care package to reduce fetal mortality (AFFIRM): a stepped wedge, cluster-randomised trial. </w:t>
      </w:r>
      <w:r w:rsidRPr="00460E03">
        <w:rPr>
          <w:i/>
        </w:rPr>
        <w:t>Lancet</w:t>
      </w:r>
      <w:r w:rsidRPr="00460E03">
        <w:t xml:space="preserve"> 392: 1,629–38. DOI: 10.1016/S0140-6736(18)31543-5.</w:t>
      </w:r>
    </w:p>
    <w:p w14:paraId="363C7396" w14:textId="77777777" w:rsidR="00AC0F19" w:rsidRPr="00460E03" w:rsidRDefault="00AC0F19" w:rsidP="0041445E">
      <w:pPr>
        <w:pStyle w:val="References"/>
        <w:keepNext/>
      </w:pPr>
      <w:r w:rsidRPr="00460E03">
        <w:lastRenderedPageBreak/>
        <w:t xml:space="preserve">NZMFM. 2014. </w:t>
      </w:r>
      <w:r w:rsidRPr="00460E03">
        <w:rPr>
          <w:i/>
        </w:rPr>
        <w:t xml:space="preserve">Guideline for the Management of Suspected Small for Gestational Age Singleton Pregnancies and Infants after </w:t>
      </w:r>
      <w:r w:rsidR="003A4BD4" w:rsidRPr="00460E03">
        <w:rPr>
          <w:i/>
        </w:rPr>
        <w:t>34 weeks</w:t>
      </w:r>
      <w:r w:rsidR="00B0606D" w:rsidRPr="00460E03">
        <w:rPr>
          <w:i/>
        </w:rPr>
        <w:t>’</w:t>
      </w:r>
      <w:r w:rsidRPr="00460E03">
        <w:rPr>
          <w:i/>
        </w:rPr>
        <w:t xml:space="preserve"> Gestation</w:t>
      </w:r>
      <w:r w:rsidRPr="00460E03">
        <w:t>. Auckland New Zealand Maternal Fetal Medicine Network (NZMFM).</w:t>
      </w:r>
    </w:p>
    <w:p w14:paraId="482B018E" w14:textId="77777777" w:rsidR="00AC0F19" w:rsidRPr="00460E03" w:rsidRDefault="00AC0F19" w:rsidP="00B075E9">
      <w:pPr>
        <w:pStyle w:val="References"/>
      </w:pPr>
      <w:r w:rsidRPr="00460E03">
        <w:t xml:space="preserve">NZMFM. 2015. </w:t>
      </w:r>
      <w:r w:rsidRPr="00460E03">
        <w:rPr>
          <w:i/>
        </w:rPr>
        <w:t>Multiple Pregnancy.</w:t>
      </w:r>
      <w:r w:rsidRPr="00460E03">
        <w:t xml:space="preserve"> Auckland New Zealand Maternal Fetal Medicine Network (NZMFM).</w:t>
      </w:r>
    </w:p>
    <w:p w14:paraId="34E78A0A" w14:textId="77777777" w:rsidR="00AC0F19" w:rsidRPr="00460E03" w:rsidRDefault="00AC0F19" w:rsidP="0041445E">
      <w:pPr>
        <w:pStyle w:val="References"/>
      </w:pPr>
      <w:r w:rsidRPr="00460E03">
        <w:t xml:space="preserve">Ovadia C, Seed PT, </w:t>
      </w:r>
      <w:proofErr w:type="spellStart"/>
      <w:r w:rsidRPr="00460E03">
        <w:t>Sklavounos</w:t>
      </w:r>
      <w:proofErr w:type="spellEnd"/>
      <w:r w:rsidRPr="00460E03">
        <w:t xml:space="preserve"> A, </w:t>
      </w:r>
      <w:r w:rsidR="000F3C98" w:rsidRPr="00460E03">
        <w:t>et al</w:t>
      </w:r>
      <w:r w:rsidRPr="00460E03">
        <w:t xml:space="preserve">. 2019. Association of adverse perinatal outcomes of intrahepatic cholestasis of pregnancy with biochemical markers: results of aggregate and individual patient data meta-analyses. </w:t>
      </w:r>
      <w:r w:rsidRPr="00460E03">
        <w:rPr>
          <w:i/>
        </w:rPr>
        <w:t>Lancet</w:t>
      </w:r>
      <w:r w:rsidRPr="00460E03">
        <w:t xml:space="preserve"> 393: 899–909. DOI: 10.1016/S0140-6736(18)31877-4.</w:t>
      </w:r>
    </w:p>
    <w:p w14:paraId="31A7793A" w14:textId="77777777" w:rsidR="00AC0F19" w:rsidRPr="00460E03" w:rsidRDefault="00AC0F19" w:rsidP="00B075E9">
      <w:pPr>
        <w:pStyle w:val="References"/>
      </w:pPr>
      <w:r w:rsidRPr="00460E03">
        <w:t xml:space="preserve">Owens MY, Thigpen B, Parrish MR, </w:t>
      </w:r>
      <w:r w:rsidR="000F3C98" w:rsidRPr="00460E03">
        <w:t>et al</w:t>
      </w:r>
      <w:r w:rsidRPr="00460E03">
        <w:t>. 2014. Management of preeclampsia when diagnosed between 34</w:t>
      </w:r>
      <w:r w:rsidRPr="00460E03">
        <w:rPr>
          <w:rFonts w:ascii="Cambria Math" w:hAnsi="Cambria Math"/>
        </w:rPr>
        <w:t>–</w:t>
      </w:r>
      <w:r w:rsidR="00EB43A9" w:rsidRPr="00460E03">
        <w:t>37 weeks</w:t>
      </w:r>
      <w:r w:rsidR="00B0606D" w:rsidRPr="00460E03">
        <w:t>’</w:t>
      </w:r>
      <w:r w:rsidRPr="00460E03">
        <w:t xml:space="preserve"> gestation: deliver now or deliberate until </w:t>
      </w:r>
      <w:r w:rsidR="00EB43A9" w:rsidRPr="00460E03">
        <w:t>37 weeks</w:t>
      </w:r>
      <w:r w:rsidRPr="00460E03">
        <w:t xml:space="preserve">? </w:t>
      </w:r>
      <w:r w:rsidRPr="00460E03">
        <w:rPr>
          <w:i/>
        </w:rPr>
        <w:t>J</w:t>
      </w:r>
      <w:r w:rsidR="0041445E">
        <w:rPr>
          <w:i/>
        </w:rPr>
        <w:t> </w:t>
      </w:r>
      <w:r w:rsidRPr="00460E03">
        <w:rPr>
          <w:i/>
        </w:rPr>
        <w:t>Mississippi State Med Assoc</w:t>
      </w:r>
      <w:r w:rsidRPr="00460E03">
        <w:t xml:space="preserve"> 55(7): 208</w:t>
      </w:r>
      <w:r w:rsidRPr="00460E03">
        <w:rPr>
          <w:rFonts w:ascii="Cambria Math" w:hAnsi="Cambria Math"/>
        </w:rPr>
        <w:t>–</w:t>
      </w:r>
      <w:r w:rsidRPr="00460E03">
        <w:t>11.</w:t>
      </w:r>
    </w:p>
    <w:p w14:paraId="00E26683" w14:textId="77777777" w:rsidR="00AC0F19" w:rsidRPr="00460E03" w:rsidRDefault="00AC0F19" w:rsidP="00B075E9">
      <w:pPr>
        <w:pStyle w:val="References"/>
      </w:pPr>
      <w:r w:rsidRPr="00460E03">
        <w:t xml:space="preserve">Pandey S, Shetty A, Hamilton M, </w:t>
      </w:r>
      <w:r w:rsidR="000F3C98" w:rsidRPr="00460E03">
        <w:t>et al</w:t>
      </w:r>
      <w:r w:rsidRPr="00460E03">
        <w:t xml:space="preserve">. 2012. Obstetric and perinatal outcomes in singleton pregnancies resulting from IVF/ICSI: a systematic review and meta-analysis. </w:t>
      </w:r>
      <w:r w:rsidRPr="00460E03">
        <w:rPr>
          <w:i/>
        </w:rPr>
        <w:t xml:space="preserve">Hum </w:t>
      </w:r>
      <w:proofErr w:type="spellStart"/>
      <w:r w:rsidRPr="00460E03">
        <w:rPr>
          <w:i/>
        </w:rPr>
        <w:t>Reprod</w:t>
      </w:r>
      <w:proofErr w:type="spellEnd"/>
      <w:r w:rsidRPr="00460E03">
        <w:rPr>
          <w:i/>
        </w:rPr>
        <w:t xml:space="preserve"> Update</w:t>
      </w:r>
      <w:r w:rsidRPr="00460E03">
        <w:t xml:space="preserve"> 18: 485–503. DOI: 10.1093/</w:t>
      </w:r>
      <w:proofErr w:type="spellStart"/>
      <w:r w:rsidRPr="00460E03">
        <w:t>humupd</w:t>
      </w:r>
      <w:proofErr w:type="spellEnd"/>
      <w:r w:rsidRPr="00460E03">
        <w:t>/dms018.</w:t>
      </w:r>
    </w:p>
    <w:p w14:paraId="08836B29" w14:textId="77777777" w:rsidR="00AC0F19" w:rsidRPr="00460E03" w:rsidRDefault="00AC0F19" w:rsidP="00B075E9">
      <w:pPr>
        <w:pStyle w:val="References"/>
      </w:pPr>
      <w:proofErr w:type="spellStart"/>
      <w:r w:rsidRPr="00460E03">
        <w:t>Petrini</w:t>
      </w:r>
      <w:proofErr w:type="spellEnd"/>
      <w:r w:rsidRPr="00460E03">
        <w:t xml:space="preserve"> JR, Dias T, McCormick MC, </w:t>
      </w:r>
      <w:r w:rsidR="000F3C98" w:rsidRPr="00460E03">
        <w:t>et al</w:t>
      </w:r>
      <w:r w:rsidRPr="00460E03">
        <w:t xml:space="preserve">. 2009. Increased risk of adverse neurological development for late preterm infants. </w:t>
      </w:r>
      <w:r w:rsidRPr="00460E03">
        <w:rPr>
          <w:i/>
        </w:rPr>
        <w:t xml:space="preserve">J </w:t>
      </w:r>
      <w:proofErr w:type="spellStart"/>
      <w:r w:rsidRPr="00460E03">
        <w:rPr>
          <w:i/>
        </w:rPr>
        <w:t>Pediatr</w:t>
      </w:r>
      <w:proofErr w:type="spellEnd"/>
      <w:r w:rsidRPr="00460E03">
        <w:t xml:space="preserve"> 154: 169–76. DOI: 10.1016/j.jpeds.2008.08.020.</w:t>
      </w:r>
    </w:p>
    <w:p w14:paraId="34B2C6E2" w14:textId="77777777" w:rsidR="00AC0F19" w:rsidRPr="00460E03" w:rsidRDefault="00AC0F19" w:rsidP="00B075E9">
      <w:pPr>
        <w:pStyle w:val="References"/>
      </w:pPr>
      <w:r w:rsidRPr="00460E03">
        <w:t xml:space="preserve">PMMRC. 2017. </w:t>
      </w:r>
      <w:r w:rsidRPr="00460E03">
        <w:rPr>
          <w:i/>
        </w:rPr>
        <w:t>Eleventh Annual Report of the Perinatal and Maternal Mortality Review Committee: Reporting mortality 2015</w:t>
      </w:r>
      <w:r w:rsidRPr="00460E03">
        <w:t>. Wellington: Health Quality &amp; Safety Commission (HQSC).</w:t>
      </w:r>
    </w:p>
    <w:p w14:paraId="498499EA" w14:textId="77777777" w:rsidR="00AC0F19" w:rsidRPr="00460E03" w:rsidRDefault="00AC0F19" w:rsidP="00B075E9">
      <w:pPr>
        <w:pStyle w:val="References"/>
      </w:pPr>
      <w:r w:rsidRPr="00460E03">
        <w:t xml:space="preserve">PMMRC. 2018. </w:t>
      </w:r>
      <w:r w:rsidRPr="00460E03">
        <w:rPr>
          <w:i/>
        </w:rPr>
        <w:t>Twelfth Annual Report of the Perinatal and Maternal Mortality Review Committee. Reporting mortality 2016</w:t>
      </w:r>
      <w:r w:rsidRPr="00460E03">
        <w:t>. Wellington: Health, Quality and Safety Commission (HQSC).</w:t>
      </w:r>
    </w:p>
    <w:p w14:paraId="7F1184FA" w14:textId="77777777" w:rsidR="00AC0F19" w:rsidRPr="00460E03" w:rsidRDefault="00AC0F19" w:rsidP="00B075E9">
      <w:pPr>
        <w:pStyle w:val="References"/>
      </w:pPr>
      <w:proofErr w:type="spellStart"/>
      <w:r w:rsidRPr="00460E03">
        <w:t>Qaseem</w:t>
      </w:r>
      <w:proofErr w:type="spellEnd"/>
      <w:r w:rsidRPr="00460E03">
        <w:t xml:space="preserve"> A, </w:t>
      </w:r>
      <w:proofErr w:type="spellStart"/>
      <w:r w:rsidRPr="00460E03">
        <w:t>Forland</w:t>
      </w:r>
      <w:proofErr w:type="spellEnd"/>
      <w:r w:rsidRPr="00460E03">
        <w:t xml:space="preserve"> F, Macbeth F. </w:t>
      </w:r>
      <w:r w:rsidR="000F3C98" w:rsidRPr="00460E03">
        <w:t>et al</w:t>
      </w:r>
      <w:r w:rsidRPr="00460E03">
        <w:t xml:space="preserve">. 2012. Guidelines International Network: toward international standards for clinical practice guidelines. </w:t>
      </w:r>
      <w:r w:rsidRPr="00460E03">
        <w:rPr>
          <w:i/>
        </w:rPr>
        <w:t>Ann Intern Med</w:t>
      </w:r>
      <w:r w:rsidRPr="00460E03">
        <w:t xml:space="preserve"> 156: 525–31.</w:t>
      </w:r>
    </w:p>
    <w:p w14:paraId="5E27609B" w14:textId="77777777" w:rsidR="00AC0F19" w:rsidRPr="00460E03" w:rsidRDefault="00AC0F19" w:rsidP="00B075E9">
      <w:pPr>
        <w:pStyle w:val="References"/>
      </w:pPr>
      <w:r w:rsidRPr="00460E03">
        <w:t xml:space="preserve">Rabie N, </w:t>
      </w:r>
      <w:proofErr w:type="spellStart"/>
      <w:r w:rsidRPr="00460E03">
        <w:t>Magann</w:t>
      </w:r>
      <w:proofErr w:type="spellEnd"/>
      <w:r w:rsidRPr="00460E03">
        <w:t xml:space="preserve"> E, Steelman S, </w:t>
      </w:r>
      <w:r w:rsidR="000F3C98" w:rsidRPr="00460E03">
        <w:t>et al</w:t>
      </w:r>
      <w:r w:rsidRPr="00460E03">
        <w:t xml:space="preserve">. 2017. Oligohydramnios in complicated and uncomplicated pregnancy: a systematic review and meta-analysis. </w:t>
      </w:r>
      <w:r w:rsidRPr="00460E03">
        <w:rPr>
          <w:i/>
        </w:rPr>
        <w:t xml:space="preserve">Ultrasound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49: 442–9.</w:t>
      </w:r>
    </w:p>
    <w:p w14:paraId="27B208D4" w14:textId="77777777" w:rsidR="00AC0F19" w:rsidRPr="00460E03" w:rsidRDefault="00AC0F19" w:rsidP="00B075E9">
      <w:pPr>
        <w:pStyle w:val="References"/>
      </w:pPr>
      <w:r w:rsidRPr="00460E03">
        <w:t xml:space="preserve">RANZCOG. 2011. </w:t>
      </w:r>
      <w:r w:rsidRPr="00460E03">
        <w:rPr>
          <w:i/>
        </w:rPr>
        <w:t>Obstetric Cholestasis: Green-top guideline no. 43</w:t>
      </w:r>
      <w:r w:rsidRPr="00460E03">
        <w:t>. Melbourne: Royal Australian and New Zealand College of Obstetricians and Gynaecologists (RANZCOG).</w:t>
      </w:r>
    </w:p>
    <w:p w14:paraId="740983C8" w14:textId="77777777" w:rsidR="00AC0F19" w:rsidRPr="00460E03" w:rsidRDefault="00AC0F19" w:rsidP="00B075E9">
      <w:pPr>
        <w:pStyle w:val="References"/>
      </w:pPr>
      <w:proofErr w:type="spellStart"/>
      <w:r w:rsidRPr="00460E03">
        <w:t>Ravasia</w:t>
      </w:r>
      <w:proofErr w:type="spellEnd"/>
      <w:r w:rsidRPr="00460E03">
        <w:t xml:space="preserve"> </w:t>
      </w:r>
      <w:proofErr w:type="spellStart"/>
      <w:proofErr w:type="gramStart"/>
      <w:r w:rsidRPr="00460E03">
        <w:t>DJ,Wood</w:t>
      </w:r>
      <w:proofErr w:type="spellEnd"/>
      <w:proofErr w:type="gramEnd"/>
      <w:r w:rsidRPr="00460E03">
        <w:t xml:space="preserve"> SL, Pollard JK. 2000. Uterine rupture during induced trail of </w:t>
      </w:r>
      <w:proofErr w:type="spellStart"/>
      <w:r w:rsidRPr="00460E03">
        <w:t>labor</w:t>
      </w:r>
      <w:proofErr w:type="spellEnd"/>
      <w:r w:rsidRPr="00460E03">
        <w:t xml:space="preserve"> among women with previous caesarean delivery.</w:t>
      </w:r>
      <w:r w:rsidR="00B0606D" w:rsidRPr="00460E03">
        <w:t xml:space="preserve"> </w:t>
      </w:r>
      <w:r w:rsidRPr="0041445E">
        <w:rPr>
          <w:i/>
        </w:rPr>
        <w:t>American</w:t>
      </w:r>
      <w:r w:rsidR="00B0606D" w:rsidRPr="0041445E">
        <w:rPr>
          <w:i/>
        </w:rPr>
        <w:t xml:space="preserve"> </w:t>
      </w:r>
      <w:r w:rsidRPr="0041445E">
        <w:rPr>
          <w:i/>
        </w:rPr>
        <w:t>Journal of</w:t>
      </w:r>
      <w:r w:rsidR="00B0606D" w:rsidRPr="0041445E">
        <w:rPr>
          <w:i/>
        </w:rPr>
        <w:t xml:space="preserve"> </w:t>
      </w:r>
      <w:r w:rsidR="0041445E">
        <w:rPr>
          <w:i/>
        </w:rPr>
        <w:t>O</w:t>
      </w:r>
      <w:r w:rsidRPr="0041445E">
        <w:rPr>
          <w:i/>
        </w:rPr>
        <w:t>bstetrics &amp;</w:t>
      </w:r>
      <w:r w:rsidR="00B0606D" w:rsidRPr="0041445E">
        <w:rPr>
          <w:i/>
        </w:rPr>
        <w:t xml:space="preserve"> </w:t>
      </w:r>
      <w:proofErr w:type="spellStart"/>
      <w:r w:rsidRPr="0041445E">
        <w:rPr>
          <w:i/>
        </w:rPr>
        <w:t>Gynecology</w:t>
      </w:r>
      <w:proofErr w:type="spellEnd"/>
      <w:r w:rsidRPr="00460E03">
        <w:t xml:space="preserve"> 183:</w:t>
      </w:r>
      <w:r w:rsidR="0041445E">
        <w:t xml:space="preserve"> </w:t>
      </w:r>
      <w:r w:rsidRPr="00460E03">
        <w:t>1176</w:t>
      </w:r>
      <w:r w:rsidR="0041445E">
        <w:t>–</w:t>
      </w:r>
      <w:r w:rsidRPr="00460E03">
        <w:t>9</w:t>
      </w:r>
      <w:r w:rsidR="0041445E">
        <w:t>.</w:t>
      </w:r>
    </w:p>
    <w:p w14:paraId="2C117689" w14:textId="77777777" w:rsidR="00AC0F19" w:rsidRPr="00460E03" w:rsidRDefault="00AC0F19" w:rsidP="00B075E9">
      <w:pPr>
        <w:pStyle w:val="References"/>
      </w:pPr>
      <w:r w:rsidRPr="00460E03">
        <w:t xml:space="preserve">Reddy UM, Ko CW, Willinger M. 2006. Maternal age and the risk of stillbirth throughout pregnancy in the United States. </w:t>
      </w:r>
      <w:r w:rsidRPr="00460E03">
        <w:rPr>
          <w:i/>
        </w:rPr>
        <w:t xml:space="preserve">Am J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195: 764–70. DOI: 10.1016/j.ajog.2006.06.019.</w:t>
      </w:r>
    </w:p>
    <w:p w14:paraId="34FD2862" w14:textId="77777777" w:rsidR="00AC0F19" w:rsidRPr="00460E03" w:rsidRDefault="00AC0F19" w:rsidP="00B075E9">
      <w:pPr>
        <w:pStyle w:val="References"/>
      </w:pPr>
      <w:r w:rsidRPr="00460E03">
        <w:t xml:space="preserve">Ryan G, </w:t>
      </w:r>
      <w:proofErr w:type="spellStart"/>
      <w:r w:rsidRPr="00460E03">
        <w:t>Oskamp</w:t>
      </w:r>
      <w:proofErr w:type="spellEnd"/>
      <w:r w:rsidRPr="00460E03">
        <w:t xml:space="preserve"> M, Seaward PGR, </w:t>
      </w:r>
      <w:r w:rsidR="000F3C98" w:rsidRPr="00460E03">
        <w:t>et al</w:t>
      </w:r>
      <w:r w:rsidRPr="00460E03">
        <w:t xml:space="preserve">. 1998. Randomized controlled trial of inpatient vs outpatient administration of prostaglandin E2, gel for induction of labour at term [SPO Abstract 303]. </w:t>
      </w:r>
      <w:r w:rsidRPr="00460E03">
        <w:rPr>
          <w:i/>
        </w:rPr>
        <w:t xml:space="preserve">Am J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178(1 Pt 2): S92.</w:t>
      </w:r>
    </w:p>
    <w:p w14:paraId="6F02FD6F" w14:textId="77777777" w:rsidR="00AC0F19" w:rsidRPr="00460E03" w:rsidRDefault="00AC0F19" w:rsidP="0041445E">
      <w:pPr>
        <w:pStyle w:val="References"/>
        <w:keepNext/>
      </w:pPr>
      <w:proofErr w:type="spellStart"/>
      <w:r w:rsidRPr="00460E03">
        <w:lastRenderedPageBreak/>
        <w:t>Saigal</w:t>
      </w:r>
      <w:proofErr w:type="spellEnd"/>
      <w:r w:rsidRPr="00460E03">
        <w:t xml:space="preserve"> S, Doyle LW. 2008. An overview of mortality and sequelae of preterm birth from infancy to adulthood.</w:t>
      </w:r>
      <w:r w:rsidRPr="00460E03">
        <w:rPr>
          <w:i/>
        </w:rPr>
        <w:t xml:space="preserve"> Lancet</w:t>
      </w:r>
      <w:r w:rsidR="0041445E">
        <w:t xml:space="preserve"> 371 (9608): 261–</w:t>
      </w:r>
      <w:r w:rsidRPr="00460E03">
        <w:t>9.</w:t>
      </w:r>
    </w:p>
    <w:p w14:paraId="60C17040" w14:textId="77777777" w:rsidR="00AC0F19" w:rsidRPr="00460E03" w:rsidRDefault="00AC0F19" w:rsidP="00B075E9">
      <w:pPr>
        <w:pStyle w:val="References"/>
      </w:pPr>
      <w:r w:rsidRPr="00460E03">
        <w:t xml:space="preserve">Salim R, Schwartz N, </w:t>
      </w:r>
      <w:proofErr w:type="spellStart"/>
      <w:r w:rsidRPr="00460E03">
        <w:t>Zafran</w:t>
      </w:r>
      <w:proofErr w:type="spellEnd"/>
      <w:r w:rsidRPr="00460E03">
        <w:t xml:space="preserve"> N, </w:t>
      </w:r>
      <w:r w:rsidR="000F3C98" w:rsidRPr="00460E03">
        <w:t>et al</w:t>
      </w:r>
      <w:r w:rsidRPr="00460E03">
        <w:t xml:space="preserve">. 2018. Comparison of single and double balloon catheters for labour induction: a meta-analysis and systematic review of randomised controlled trials. </w:t>
      </w:r>
      <w:r w:rsidRPr="00460E03">
        <w:rPr>
          <w:i/>
        </w:rPr>
        <w:t xml:space="preserve">J </w:t>
      </w:r>
      <w:proofErr w:type="spellStart"/>
      <w:r w:rsidRPr="00460E03">
        <w:rPr>
          <w:i/>
        </w:rPr>
        <w:t>Perinatol</w:t>
      </w:r>
      <w:proofErr w:type="spellEnd"/>
      <w:r w:rsidRPr="00460E03">
        <w:t xml:space="preserve"> 38: 217–25.</w:t>
      </w:r>
    </w:p>
    <w:p w14:paraId="77FC3ADC" w14:textId="77777777" w:rsidR="00AC0F19" w:rsidRPr="00460E03" w:rsidRDefault="00AC0F19" w:rsidP="00B075E9">
      <w:pPr>
        <w:pStyle w:val="References"/>
      </w:pPr>
      <w:r w:rsidRPr="00460E03">
        <w:t xml:space="preserve">Sandberg EM, </w:t>
      </w:r>
      <w:proofErr w:type="spellStart"/>
      <w:r w:rsidRPr="00460E03">
        <w:t>Schepers</w:t>
      </w:r>
      <w:proofErr w:type="spellEnd"/>
      <w:r w:rsidRPr="00460E03">
        <w:t xml:space="preserve"> EV, van Sitter RL, </w:t>
      </w:r>
      <w:r w:rsidR="000F3C98" w:rsidRPr="00460E03">
        <w:t>et al</w:t>
      </w:r>
      <w:r w:rsidRPr="00460E03">
        <w:t xml:space="preserve">. 2017. Foley catheter for induction of labour filled with 30mL or 60mL: a randomised controlled trial. </w:t>
      </w:r>
      <w:r w:rsidRPr="00460E03">
        <w:rPr>
          <w:i/>
        </w:rPr>
        <w:t xml:space="preserve">Eur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rPr>
          <w:i/>
        </w:rPr>
        <w:t xml:space="preserve"> </w:t>
      </w:r>
      <w:proofErr w:type="spellStart"/>
      <w:r w:rsidRPr="00460E03">
        <w:rPr>
          <w:i/>
        </w:rPr>
        <w:t>Reprod</w:t>
      </w:r>
      <w:proofErr w:type="spellEnd"/>
      <w:r w:rsidRPr="00460E03">
        <w:rPr>
          <w:i/>
        </w:rPr>
        <w:t xml:space="preserve"> </w:t>
      </w:r>
      <w:proofErr w:type="spellStart"/>
      <w:r w:rsidRPr="00460E03">
        <w:rPr>
          <w:i/>
        </w:rPr>
        <w:t>Biol</w:t>
      </w:r>
      <w:proofErr w:type="spellEnd"/>
      <w:r w:rsidRPr="00460E03">
        <w:t xml:space="preserve"> 211: 150–5. DOI: 10.1016/j.ejogrb.2017.02.019.</w:t>
      </w:r>
    </w:p>
    <w:p w14:paraId="226B148B" w14:textId="77777777" w:rsidR="00AC0F19" w:rsidRPr="00460E03" w:rsidRDefault="00AC0F19" w:rsidP="00B075E9">
      <w:pPr>
        <w:pStyle w:val="References"/>
      </w:pPr>
      <w:r w:rsidRPr="00460E03">
        <w:t xml:space="preserve">Schwarz C, Gross MM, </w:t>
      </w:r>
      <w:proofErr w:type="spellStart"/>
      <w:r w:rsidRPr="00460E03">
        <w:t>Heusser</w:t>
      </w:r>
      <w:proofErr w:type="spellEnd"/>
      <w:r w:rsidRPr="00460E03">
        <w:t xml:space="preserve"> P, </w:t>
      </w:r>
      <w:r w:rsidR="000F3C98" w:rsidRPr="00460E03">
        <w:t>et al</w:t>
      </w:r>
      <w:r w:rsidRPr="00460E03">
        <w:t>. 2016. Women</w:t>
      </w:r>
      <w:r w:rsidR="00B0606D" w:rsidRPr="00460E03">
        <w:t>’</w:t>
      </w:r>
      <w:r w:rsidRPr="00460E03">
        <w:t xml:space="preserve">s perceptions of induction of labour outcomes: Results of an online-survey in Germany. </w:t>
      </w:r>
      <w:r w:rsidRPr="00460E03">
        <w:rPr>
          <w:i/>
        </w:rPr>
        <w:t>Midwifery</w:t>
      </w:r>
      <w:r w:rsidRPr="006D276F">
        <w:t xml:space="preserve"> 35</w:t>
      </w:r>
      <w:r w:rsidR="006D276F">
        <w:t>:</w:t>
      </w:r>
      <w:r w:rsidRPr="006D276F">
        <w:t xml:space="preserve"> 3–10. DOI: </w:t>
      </w:r>
      <w:r w:rsidRPr="00460E03">
        <w:t>10.1016/j.midw.2016.02.002.</w:t>
      </w:r>
    </w:p>
    <w:p w14:paraId="00FFCD79" w14:textId="77777777" w:rsidR="00AC0F19" w:rsidRPr="00460E03" w:rsidRDefault="00AC0F19" w:rsidP="00B075E9">
      <w:pPr>
        <w:pStyle w:val="References"/>
      </w:pPr>
      <w:proofErr w:type="spellStart"/>
      <w:r w:rsidRPr="00460E03">
        <w:t>Sciscione</w:t>
      </w:r>
      <w:proofErr w:type="spellEnd"/>
      <w:r w:rsidRPr="00460E03">
        <w:t xml:space="preserve"> AC, Muench M, Pollock M, </w:t>
      </w:r>
      <w:r w:rsidR="000F3C98" w:rsidRPr="00460E03">
        <w:t>et al</w:t>
      </w:r>
      <w:r w:rsidRPr="00460E03">
        <w:t xml:space="preserve">. 2001. Transcervical foley catheter for </w:t>
      </w:r>
      <w:proofErr w:type="spellStart"/>
      <w:r w:rsidRPr="00460E03">
        <w:t>preinduction</w:t>
      </w:r>
      <w:proofErr w:type="spellEnd"/>
      <w:r w:rsidRPr="00460E03">
        <w:t xml:space="preserve"> cervical ripening in an outpatient versus inpatient setting.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98: 751</w:t>
      </w:r>
      <w:r w:rsidRPr="00460E03">
        <w:rPr>
          <w:rFonts w:ascii="Cambria Math" w:hAnsi="Cambria Math"/>
        </w:rPr>
        <w:t>–</w:t>
      </w:r>
      <w:r w:rsidRPr="00460E03">
        <w:t>6.</w:t>
      </w:r>
    </w:p>
    <w:p w14:paraId="707A5E8A" w14:textId="77777777" w:rsidR="00AC0F19" w:rsidRPr="00460E03" w:rsidRDefault="00AC0F19" w:rsidP="00B075E9">
      <w:pPr>
        <w:pStyle w:val="References"/>
      </w:pPr>
      <w:r w:rsidRPr="00460E03">
        <w:t>Sengupta S, Carrion V, Shelton J, et</w:t>
      </w:r>
      <w:r w:rsidR="006D276F">
        <w:t> </w:t>
      </w:r>
      <w:r w:rsidRPr="00460E03">
        <w:t xml:space="preserve">al. 2013. Adverse neonatal outcomes associated with early-term birth. </w:t>
      </w:r>
      <w:r w:rsidRPr="00460E03">
        <w:rPr>
          <w:i/>
        </w:rPr>
        <w:t xml:space="preserve">JAMA </w:t>
      </w:r>
      <w:proofErr w:type="spellStart"/>
      <w:r w:rsidRPr="00460E03">
        <w:rPr>
          <w:i/>
        </w:rPr>
        <w:t>Pediatr</w:t>
      </w:r>
      <w:proofErr w:type="spellEnd"/>
      <w:r w:rsidRPr="00460E03">
        <w:t xml:space="preserve"> 167(11): 1,053–9. DOI: 10.1001/jamapediatrics.2013.2581.</w:t>
      </w:r>
    </w:p>
    <w:p w14:paraId="2189CE32" w14:textId="77777777" w:rsidR="00AC0F19" w:rsidRPr="00460E03" w:rsidRDefault="00AC0F19" w:rsidP="00B075E9">
      <w:pPr>
        <w:pStyle w:val="References"/>
      </w:pPr>
      <w:r w:rsidRPr="00460E03">
        <w:t xml:space="preserve">Smith </w:t>
      </w:r>
      <w:proofErr w:type="spellStart"/>
      <w:proofErr w:type="gramStart"/>
      <w:r w:rsidRPr="00460E03">
        <w:t>GCS,Pell</w:t>
      </w:r>
      <w:proofErr w:type="spellEnd"/>
      <w:proofErr w:type="gramEnd"/>
      <w:r w:rsidRPr="00460E03">
        <w:t xml:space="preserve"> JP, </w:t>
      </w:r>
      <w:proofErr w:type="spellStart"/>
      <w:r w:rsidRPr="00460E03">
        <w:t>Pasupathy</w:t>
      </w:r>
      <w:proofErr w:type="spellEnd"/>
      <w:r w:rsidRPr="00460E03">
        <w:t xml:space="preserve"> D. 2004. Factors predisposing death related to uterine rupture during attempted vaginal birth after caesarean section: retrospective cohort study.</w:t>
      </w:r>
      <w:r w:rsidR="00B0606D" w:rsidRPr="00460E03">
        <w:t xml:space="preserve"> </w:t>
      </w:r>
      <w:r w:rsidRPr="006D276F">
        <w:rPr>
          <w:i/>
        </w:rPr>
        <w:t>British Medical Journal</w:t>
      </w:r>
      <w:r w:rsidRPr="00460E03">
        <w:t xml:space="preserve"> 329:</w:t>
      </w:r>
      <w:r w:rsidR="006D276F">
        <w:t xml:space="preserve"> </w:t>
      </w:r>
      <w:r w:rsidRPr="00460E03">
        <w:t>375</w:t>
      </w:r>
      <w:r w:rsidR="006D276F">
        <w:t>.</w:t>
      </w:r>
    </w:p>
    <w:p w14:paraId="3EB80F22" w14:textId="77777777" w:rsidR="00AC0F19" w:rsidRPr="00460E03" w:rsidRDefault="00AC0F19" w:rsidP="00B075E9">
      <w:pPr>
        <w:pStyle w:val="References"/>
      </w:pPr>
      <w:r w:rsidRPr="00460E03">
        <w:t xml:space="preserve">Suzuki S, </w:t>
      </w:r>
      <w:proofErr w:type="spellStart"/>
      <w:r w:rsidRPr="00460E03">
        <w:t>Otsubo</w:t>
      </w:r>
      <w:proofErr w:type="spellEnd"/>
      <w:r w:rsidRPr="00460E03">
        <w:t xml:space="preserve"> Y, </w:t>
      </w:r>
      <w:proofErr w:type="spellStart"/>
      <w:r w:rsidRPr="00460E03">
        <w:t>Sawa</w:t>
      </w:r>
      <w:proofErr w:type="spellEnd"/>
      <w:r w:rsidRPr="00460E03">
        <w:t xml:space="preserve"> R, </w:t>
      </w:r>
      <w:r w:rsidR="000F3C98" w:rsidRPr="00460E03">
        <w:t>et al</w:t>
      </w:r>
      <w:r w:rsidRPr="00460E03">
        <w:t xml:space="preserve">. 2000. Clinical trial of induction of </w:t>
      </w:r>
      <w:proofErr w:type="spellStart"/>
      <w:r w:rsidRPr="00460E03">
        <w:t>labor</w:t>
      </w:r>
      <w:proofErr w:type="spellEnd"/>
      <w:r w:rsidRPr="00460E03">
        <w:t xml:space="preserve"> versus expectant management in twin pregnancy. </w:t>
      </w:r>
      <w:proofErr w:type="spellStart"/>
      <w:r w:rsidRPr="00460E03">
        <w:rPr>
          <w:i/>
        </w:rPr>
        <w:t>Gynecol</w:t>
      </w:r>
      <w:proofErr w:type="spellEnd"/>
      <w:r w:rsidRPr="00460E03">
        <w:rPr>
          <w:i/>
        </w:rPr>
        <w:t xml:space="preserve"> </w:t>
      </w:r>
      <w:proofErr w:type="spellStart"/>
      <w:r w:rsidRPr="00460E03">
        <w:rPr>
          <w:i/>
        </w:rPr>
        <w:t>Obstet</w:t>
      </w:r>
      <w:proofErr w:type="spellEnd"/>
      <w:r w:rsidRPr="00460E03">
        <w:rPr>
          <w:i/>
        </w:rPr>
        <w:t xml:space="preserve"> </w:t>
      </w:r>
      <w:proofErr w:type="spellStart"/>
      <w:r w:rsidRPr="00460E03">
        <w:rPr>
          <w:i/>
        </w:rPr>
        <w:t>Investig</w:t>
      </w:r>
      <w:proofErr w:type="spellEnd"/>
      <w:r w:rsidRPr="00460E03">
        <w:t xml:space="preserve"> 49: 24</w:t>
      </w:r>
      <w:r w:rsidRPr="00460E03">
        <w:rPr>
          <w:rFonts w:ascii="Cambria Math" w:hAnsi="Cambria Math"/>
        </w:rPr>
        <w:t>–</w:t>
      </w:r>
      <w:r w:rsidRPr="00460E03">
        <w:t>7.</w:t>
      </w:r>
    </w:p>
    <w:p w14:paraId="36296351" w14:textId="77777777" w:rsidR="00AC0F19" w:rsidRPr="00460E03" w:rsidRDefault="00AC0F19" w:rsidP="00B075E9">
      <w:pPr>
        <w:pStyle w:val="References"/>
      </w:pPr>
      <w:r w:rsidRPr="00460E03">
        <w:t xml:space="preserve">Thomas J, Fairclough A, Kavanagh J, </w:t>
      </w:r>
      <w:r w:rsidR="000F3C98" w:rsidRPr="00460E03">
        <w:t>et al</w:t>
      </w:r>
      <w:r w:rsidRPr="00460E03">
        <w:t xml:space="preserve">. 2014. Vaginal prostaglandin (PGE2 and PGF2a) for induction of labour at term. </w:t>
      </w:r>
      <w:r w:rsidRPr="00460E03">
        <w:rPr>
          <w:i/>
        </w:rPr>
        <w:t>Cochrane Database of Systematic Reviews</w:t>
      </w:r>
      <w:r w:rsidR="006D276F">
        <w:t>,</w:t>
      </w:r>
      <w:r w:rsidRPr="00460E03">
        <w:t xml:space="preserve"> issue</w:t>
      </w:r>
      <w:r w:rsidR="006D276F">
        <w:t> </w:t>
      </w:r>
      <w:r w:rsidRPr="00460E03">
        <w:t>6. Art. No.: CD003101.</w:t>
      </w:r>
    </w:p>
    <w:p w14:paraId="6CD3FDB4" w14:textId="77777777" w:rsidR="00AC0F19" w:rsidRPr="00460E03" w:rsidRDefault="00AC0F19" w:rsidP="00B075E9">
      <w:pPr>
        <w:pStyle w:val="References"/>
      </w:pPr>
      <w:proofErr w:type="spellStart"/>
      <w:r w:rsidRPr="00460E03">
        <w:t>Tita</w:t>
      </w:r>
      <w:proofErr w:type="spellEnd"/>
      <w:r w:rsidRPr="00460E03">
        <w:t xml:space="preserve"> AT, Landon MB, </w:t>
      </w:r>
      <w:proofErr w:type="spellStart"/>
      <w:r w:rsidRPr="00460E03">
        <w:t>Spong</w:t>
      </w:r>
      <w:proofErr w:type="spellEnd"/>
      <w:r w:rsidRPr="00460E03">
        <w:t xml:space="preserve"> CY, et</w:t>
      </w:r>
      <w:r w:rsidR="006D276F">
        <w:t> </w:t>
      </w:r>
      <w:r w:rsidRPr="00460E03">
        <w:t xml:space="preserve">al. 2009. Timing of elective repeat </w:t>
      </w:r>
      <w:proofErr w:type="spellStart"/>
      <w:r w:rsidRPr="00460E03">
        <w:t>cesarean</w:t>
      </w:r>
      <w:proofErr w:type="spellEnd"/>
      <w:r w:rsidRPr="00460E03">
        <w:t xml:space="preserve"> delivery at term and neonatal outcomes. </w:t>
      </w:r>
      <w:r w:rsidRPr="00460E03">
        <w:rPr>
          <w:i/>
        </w:rPr>
        <w:t>NEJM</w:t>
      </w:r>
      <w:r w:rsidRPr="00460E03">
        <w:t xml:space="preserve"> 360(2): 111–20. DOI: 10.1056/NEJMoa0803267</w:t>
      </w:r>
      <w:r w:rsidRPr="00460E03">
        <w:rPr>
          <w:rFonts w:ascii="Helvetica" w:hAnsi="Helvetica" w:cs="Helvetica"/>
          <w:color w:val="666666"/>
          <w:shd w:val="clear" w:color="auto" w:fill="FFFFFF"/>
        </w:rPr>
        <w:t>.</w:t>
      </w:r>
    </w:p>
    <w:p w14:paraId="1BB8D615" w14:textId="77777777" w:rsidR="00AC0F19" w:rsidRPr="00460E03" w:rsidRDefault="00AC0F19" w:rsidP="00B075E9">
      <w:pPr>
        <w:pStyle w:val="References"/>
      </w:pPr>
      <w:proofErr w:type="spellStart"/>
      <w:r w:rsidRPr="00460E03">
        <w:t>Veglia</w:t>
      </w:r>
      <w:proofErr w:type="spellEnd"/>
      <w:r w:rsidRPr="00460E03">
        <w:t xml:space="preserve"> M, Cavallaro A, </w:t>
      </w:r>
      <w:proofErr w:type="spellStart"/>
      <w:r w:rsidRPr="00460E03">
        <w:t>Papageorghiou</w:t>
      </w:r>
      <w:proofErr w:type="spellEnd"/>
      <w:r w:rsidRPr="00460E03">
        <w:t xml:space="preserve"> A, </w:t>
      </w:r>
      <w:r w:rsidR="000F3C98" w:rsidRPr="00460E03">
        <w:t>et al</w:t>
      </w:r>
      <w:r w:rsidRPr="00460E03">
        <w:t>. 2018. Small</w:t>
      </w:r>
      <w:r w:rsidRPr="00460E03">
        <w:rPr>
          <w:rFonts w:ascii="Cambria Math" w:hAnsi="Cambria Math"/>
        </w:rPr>
        <w:t>‐</w:t>
      </w:r>
      <w:r w:rsidRPr="00460E03">
        <w:t>for</w:t>
      </w:r>
      <w:r w:rsidRPr="00460E03">
        <w:rPr>
          <w:rFonts w:ascii="Cambria Math" w:hAnsi="Cambria Math"/>
        </w:rPr>
        <w:t>‐</w:t>
      </w:r>
      <w:r w:rsidRPr="00460E03">
        <w:t>gestational</w:t>
      </w:r>
      <w:r w:rsidRPr="00460E03">
        <w:rPr>
          <w:rFonts w:ascii="Cambria Math" w:hAnsi="Cambria Math"/>
        </w:rPr>
        <w:t>‐</w:t>
      </w:r>
      <w:r w:rsidRPr="00460E03">
        <w:t>age babies after 37 weeks: impact study of risk</w:t>
      </w:r>
      <w:r w:rsidRPr="00460E03">
        <w:rPr>
          <w:rFonts w:ascii="Cambria Math" w:hAnsi="Cambria Math"/>
        </w:rPr>
        <w:t>‐</w:t>
      </w:r>
      <w:r w:rsidRPr="00460E03">
        <w:t xml:space="preserve">stratification protocol. </w:t>
      </w:r>
      <w:r w:rsidRPr="00460E03">
        <w:rPr>
          <w:i/>
        </w:rPr>
        <w:t xml:space="preserve">Ultrasound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52:</w:t>
      </w:r>
      <w:r w:rsidR="006D276F">
        <w:t> </w:t>
      </w:r>
      <w:r w:rsidRPr="00460E03">
        <w:t xml:space="preserve">66–71. DOI: </w:t>
      </w:r>
      <w:hyperlink r:id="rId73">
        <w:r w:rsidRPr="00460E03">
          <w:t>10.1002/uog.17544</w:t>
        </w:r>
      </w:hyperlink>
      <w:r w:rsidRPr="00460E03">
        <w:t>.</w:t>
      </w:r>
    </w:p>
    <w:p w14:paraId="1CF9A87E" w14:textId="77777777" w:rsidR="00AC0F19" w:rsidRPr="00460E03" w:rsidRDefault="00AC0F19" w:rsidP="00B075E9">
      <w:pPr>
        <w:pStyle w:val="References"/>
      </w:pPr>
      <w:r w:rsidRPr="00460E03">
        <w:t xml:space="preserve">Walker KF, Bugg GJ, Macpherson M, </w:t>
      </w:r>
      <w:r w:rsidR="000F3C98" w:rsidRPr="00460E03">
        <w:t>et al</w:t>
      </w:r>
      <w:r w:rsidRPr="00460E03">
        <w:t xml:space="preserve">. 2016a. Randomized trial of labour induction in women </w:t>
      </w:r>
      <w:r w:rsidR="00AC29F4" w:rsidRPr="00460E03">
        <w:t>35 years</w:t>
      </w:r>
      <w:r w:rsidRPr="00460E03">
        <w:t xml:space="preserve"> of age or older. </w:t>
      </w:r>
      <w:r w:rsidRPr="00460E03">
        <w:rPr>
          <w:i/>
        </w:rPr>
        <w:t>NEJM</w:t>
      </w:r>
      <w:r w:rsidRPr="00460E03">
        <w:t xml:space="preserve"> 34: 813–22. DOI: 10.1056/nejmoa1509117.</w:t>
      </w:r>
    </w:p>
    <w:p w14:paraId="30C19A7A" w14:textId="77777777" w:rsidR="00AC0F19" w:rsidRPr="00460E03" w:rsidRDefault="00AC0F19" w:rsidP="00B075E9">
      <w:pPr>
        <w:pStyle w:val="References"/>
      </w:pPr>
      <w:r w:rsidRPr="00460E03">
        <w:t xml:space="preserve">Walker KF, </w:t>
      </w:r>
      <w:proofErr w:type="spellStart"/>
      <w:r w:rsidRPr="00460E03">
        <w:t>Malin</w:t>
      </w:r>
      <w:proofErr w:type="spellEnd"/>
      <w:r w:rsidRPr="00460E03">
        <w:t xml:space="preserve"> G, Wilson P, </w:t>
      </w:r>
      <w:r w:rsidR="000F3C98" w:rsidRPr="00460E03">
        <w:t>et al</w:t>
      </w:r>
      <w:r w:rsidRPr="00460E03">
        <w:t xml:space="preserve">. 2016b. Induction of labour versus expectant management at term by subgroups of maternal age: an individual patient data meta-analysis. </w:t>
      </w:r>
      <w:r w:rsidRPr="00460E03">
        <w:rPr>
          <w:i/>
        </w:rPr>
        <w:t xml:space="preserve">Eur J </w:t>
      </w:r>
      <w:proofErr w:type="spellStart"/>
      <w:r w:rsidRPr="00460E03">
        <w:rPr>
          <w:i/>
        </w:rPr>
        <w:t>Obstet</w:t>
      </w:r>
      <w:proofErr w:type="spellEnd"/>
      <w:r w:rsidRPr="00460E03">
        <w:rPr>
          <w:i/>
        </w:rPr>
        <w:t xml:space="preserve"> </w:t>
      </w:r>
      <w:proofErr w:type="spellStart"/>
      <w:r w:rsidRPr="00460E03">
        <w:rPr>
          <w:i/>
        </w:rPr>
        <w:t>Gynaecol</w:t>
      </w:r>
      <w:proofErr w:type="spellEnd"/>
      <w:r w:rsidRPr="00460E03">
        <w:rPr>
          <w:i/>
        </w:rPr>
        <w:t xml:space="preserve"> </w:t>
      </w:r>
      <w:proofErr w:type="spellStart"/>
      <w:r w:rsidRPr="00460E03">
        <w:rPr>
          <w:i/>
        </w:rPr>
        <w:t>Reprod</w:t>
      </w:r>
      <w:proofErr w:type="spellEnd"/>
      <w:r w:rsidRPr="00460E03">
        <w:rPr>
          <w:i/>
        </w:rPr>
        <w:t xml:space="preserve"> Bio</w:t>
      </w:r>
      <w:r w:rsidRPr="00460E03">
        <w:t xml:space="preserve"> 197: 1–5. DOI: 10.1016/j.ejogrb.2015.11.004.</w:t>
      </w:r>
    </w:p>
    <w:p w14:paraId="0E5016B6" w14:textId="77777777" w:rsidR="00AC0F19" w:rsidRPr="00460E03" w:rsidRDefault="00AC0F19" w:rsidP="00B075E9">
      <w:pPr>
        <w:pStyle w:val="References"/>
      </w:pPr>
      <w:r w:rsidRPr="00460E03">
        <w:t xml:space="preserve">West HM, </w:t>
      </w:r>
      <w:proofErr w:type="spellStart"/>
      <w:r w:rsidRPr="00460E03">
        <w:t>Jozwiak</w:t>
      </w:r>
      <w:proofErr w:type="spellEnd"/>
      <w:r w:rsidRPr="00460E03">
        <w:t xml:space="preserve"> M, Dodd JM. 2017. Methods of term labour induction for women with a previous caesarean section. </w:t>
      </w:r>
      <w:r w:rsidRPr="00460E03">
        <w:rPr>
          <w:i/>
        </w:rPr>
        <w:t>Cochrane Database of Systematic Reviews</w:t>
      </w:r>
      <w:r w:rsidRPr="00460E03">
        <w:t>, issue 6. Art. No.: CD009792. DOI: 10.1002/14651858.CD009792.pub3.</w:t>
      </w:r>
    </w:p>
    <w:p w14:paraId="3183F62C" w14:textId="77777777" w:rsidR="00AC0F19" w:rsidRPr="00460E03" w:rsidRDefault="00AC0F19" w:rsidP="006D276F">
      <w:pPr>
        <w:pStyle w:val="References"/>
        <w:keepNext/>
      </w:pPr>
      <w:r w:rsidRPr="00460E03">
        <w:lastRenderedPageBreak/>
        <w:t xml:space="preserve">Wilkinson C, Bryce R, Adelson P, </w:t>
      </w:r>
      <w:r w:rsidR="000F3C98" w:rsidRPr="00460E03">
        <w:t>et al</w:t>
      </w:r>
      <w:r w:rsidRPr="00460E03">
        <w:t xml:space="preserve">. 2012. Two </w:t>
      </w:r>
      <w:proofErr w:type="spellStart"/>
      <w:r w:rsidRPr="00460E03">
        <w:t>center</w:t>
      </w:r>
      <w:proofErr w:type="spellEnd"/>
      <w:r w:rsidRPr="00460E03">
        <w:t xml:space="preserve"> RCT of outpatient versus inpatient cervical ripening for induction of labour with PGE2. </w:t>
      </w:r>
      <w:r w:rsidRPr="00460E03">
        <w:rPr>
          <w:i/>
        </w:rPr>
        <w:t xml:space="preserve">Am J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206(</w:t>
      </w:r>
      <w:proofErr w:type="spellStart"/>
      <w:r w:rsidRPr="00460E03">
        <w:t>Suppl</w:t>
      </w:r>
      <w:proofErr w:type="spellEnd"/>
      <w:r w:rsidRPr="00460E03">
        <w:t xml:space="preserve"> 1): S137.</w:t>
      </w:r>
    </w:p>
    <w:p w14:paraId="2E87B659" w14:textId="77777777" w:rsidR="00AC0F19" w:rsidRPr="00460E03" w:rsidRDefault="00AC0F19" w:rsidP="00B075E9">
      <w:pPr>
        <w:pStyle w:val="References"/>
      </w:pPr>
      <w:r w:rsidRPr="00460E03">
        <w:t xml:space="preserve">Wilkinson C, Adelson P, Turnbull D. 2015a. A comparison of inpatient with outpatient balloon catheter cervical ripening: a pilot randomized controlled trial. </w:t>
      </w:r>
      <w:r w:rsidRPr="00460E03">
        <w:rPr>
          <w:i/>
        </w:rPr>
        <w:t xml:space="preserve">BMC </w:t>
      </w:r>
      <w:proofErr w:type="spellStart"/>
      <w:r w:rsidRPr="00460E03">
        <w:rPr>
          <w:i/>
        </w:rPr>
        <w:t>Preg</w:t>
      </w:r>
      <w:proofErr w:type="spellEnd"/>
      <w:r w:rsidRPr="00460E03">
        <w:rPr>
          <w:i/>
        </w:rPr>
        <w:t xml:space="preserve"> Childbirth</w:t>
      </w:r>
      <w:r w:rsidRPr="00460E03">
        <w:t xml:space="preserve"> 15: 126. DOI: 10.1186/s12884-015-0550-z.</w:t>
      </w:r>
    </w:p>
    <w:p w14:paraId="276B4F4C" w14:textId="77777777" w:rsidR="00AC0F19" w:rsidRPr="00460E03" w:rsidRDefault="00AC0F19" w:rsidP="006D276F">
      <w:pPr>
        <w:pStyle w:val="References"/>
      </w:pPr>
      <w:r w:rsidRPr="00460E03">
        <w:t xml:space="preserve">Winnipeg Regional Health Authority. 2017. </w:t>
      </w:r>
      <w:r w:rsidRPr="00460E03">
        <w:rPr>
          <w:i/>
          <w:iCs/>
        </w:rPr>
        <w:t>Clinical Practice Guideline: Induction and Augmentation of Labour and Cervical Ripening of Labour</w:t>
      </w:r>
      <w:r w:rsidRPr="00460E03">
        <w:t xml:space="preserve">. November 2016, revised March 2017. Winnipeg: Winnipeg Regional Health Authority. URL: </w:t>
      </w:r>
      <w:hyperlink r:id="rId74" w:history="1">
        <w:r w:rsidRPr="00460E03">
          <w:rPr>
            <w:rStyle w:val="Hyperlink"/>
          </w:rPr>
          <w:t>https://professionals.wrha.mb.ca/old/extranet/eipt/files/EIPT-043-01.pdf</w:t>
        </w:r>
      </w:hyperlink>
      <w:r w:rsidRPr="00460E03">
        <w:t xml:space="preserve"> (accessed 27 April 2021).</w:t>
      </w:r>
    </w:p>
    <w:p w14:paraId="5ACDDDB7" w14:textId="77777777" w:rsidR="00AC0F19" w:rsidRPr="00460E03" w:rsidRDefault="00AC0F19" w:rsidP="00B075E9">
      <w:pPr>
        <w:pStyle w:val="References"/>
      </w:pPr>
      <w:r w:rsidRPr="00460E03">
        <w:t xml:space="preserve">Yao R, Ananth CV, Park BY, </w:t>
      </w:r>
      <w:r w:rsidR="000F3C98" w:rsidRPr="00460E03">
        <w:t>et al</w:t>
      </w:r>
      <w:r w:rsidRPr="00460E03">
        <w:t xml:space="preserve">. 2014. Obesity and the risk of stillbirth: a population-based cohort study. </w:t>
      </w:r>
      <w:r w:rsidRPr="00460E03">
        <w:rPr>
          <w:i/>
        </w:rPr>
        <w:t xml:space="preserve">Am J </w:t>
      </w:r>
      <w:proofErr w:type="spellStart"/>
      <w:r w:rsidRPr="00460E03">
        <w:rPr>
          <w:i/>
        </w:rPr>
        <w:t>Obstet</w:t>
      </w:r>
      <w:proofErr w:type="spellEnd"/>
      <w:r w:rsidRPr="00460E03">
        <w:rPr>
          <w:i/>
        </w:rPr>
        <w:t xml:space="preserve"> </w:t>
      </w:r>
      <w:proofErr w:type="spellStart"/>
      <w:r w:rsidRPr="00460E03">
        <w:rPr>
          <w:i/>
        </w:rPr>
        <w:t>Gynecol</w:t>
      </w:r>
      <w:proofErr w:type="spellEnd"/>
      <w:r w:rsidRPr="00460E03">
        <w:t xml:space="preserve"> 210: 457e.1</w:t>
      </w:r>
      <w:r w:rsidR="006D276F">
        <w:t>–</w:t>
      </w:r>
      <w:r w:rsidRPr="00460E03">
        <w:t>457e.9.</w:t>
      </w:r>
    </w:p>
    <w:p w14:paraId="26BF9DC8" w14:textId="77777777" w:rsidR="0082081A" w:rsidRPr="00460E03" w:rsidRDefault="0082081A" w:rsidP="00B075E9">
      <w:pPr>
        <w:pStyle w:val="References"/>
      </w:pPr>
    </w:p>
    <w:sectPr w:rsidR="0082081A" w:rsidRPr="00460E03" w:rsidSect="002B7BEC">
      <w:footerReference w:type="even" r:id="rId75"/>
      <w:footerReference w:type="default" r:id="rId76"/>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B49B5" w14:textId="77777777" w:rsidR="001261BA" w:rsidRDefault="001261BA">
      <w:r>
        <w:separator/>
      </w:r>
    </w:p>
    <w:p w14:paraId="75577F30" w14:textId="77777777" w:rsidR="001261BA" w:rsidRDefault="001261BA"/>
  </w:endnote>
  <w:endnote w:type="continuationSeparator" w:id="0">
    <w:p w14:paraId="6D98797E" w14:textId="77777777" w:rsidR="001261BA" w:rsidRDefault="001261BA">
      <w:r>
        <w:continuationSeparator/>
      </w:r>
    </w:p>
    <w:p w14:paraId="0D79B5F0" w14:textId="77777777" w:rsidR="001261BA" w:rsidRDefault="00126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C98F6" w14:textId="77777777" w:rsidR="003F4E6E" w:rsidRPr="00581136" w:rsidRDefault="003F4E6E"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6E24CC5D" w14:textId="77777777" w:rsidR="003F4E6E" w:rsidRPr="005A79E5" w:rsidRDefault="003F4E6E">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2767" w14:textId="77777777" w:rsidR="003F4E6E" w:rsidRDefault="003F4E6E"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92346" w14:textId="77777777" w:rsidR="003F4E6E" w:rsidRDefault="003F4E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3F4E6E" w14:paraId="481E6A5A" w14:textId="77777777" w:rsidTr="00D662F8">
      <w:trPr>
        <w:cantSplit/>
      </w:trPr>
      <w:tc>
        <w:tcPr>
          <w:tcW w:w="709" w:type="dxa"/>
          <w:vAlign w:val="center"/>
        </w:tcPr>
        <w:p w14:paraId="6E402FDB" w14:textId="77777777" w:rsidR="003F4E6E" w:rsidRPr="00931466" w:rsidRDefault="003F4E6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F78CB5D" w14:textId="77777777" w:rsidR="003F4E6E" w:rsidRDefault="003F4E6E" w:rsidP="00B96DE3">
          <w:pPr>
            <w:pStyle w:val="RectoFooter"/>
            <w:jc w:val="left"/>
          </w:pPr>
          <w:r>
            <w:t>induction of labour in aotearoa new zealand: a clinical practice guideline 2019</w:t>
          </w:r>
        </w:p>
      </w:tc>
    </w:tr>
  </w:tbl>
  <w:p w14:paraId="51E2E80B" w14:textId="77777777" w:rsidR="003F4E6E" w:rsidRPr="00571223" w:rsidRDefault="003F4E6E"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3F4E6E" w14:paraId="49545AEE" w14:textId="77777777" w:rsidTr="006E2886">
      <w:trPr>
        <w:cantSplit/>
      </w:trPr>
      <w:tc>
        <w:tcPr>
          <w:tcW w:w="8080" w:type="dxa"/>
          <w:vAlign w:val="center"/>
        </w:tcPr>
        <w:p w14:paraId="00F454D0" w14:textId="77777777" w:rsidR="003F4E6E" w:rsidRDefault="003F4E6E" w:rsidP="00E75A02">
          <w:pPr>
            <w:pStyle w:val="RectoFooter"/>
          </w:pPr>
          <w:r>
            <w:t>induction of labour in aotearoa new zealand: a clinical practice guideline 2019</w:t>
          </w:r>
        </w:p>
      </w:tc>
      <w:tc>
        <w:tcPr>
          <w:tcW w:w="709" w:type="dxa"/>
          <w:vAlign w:val="center"/>
        </w:tcPr>
        <w:p w14:paraId="38665840" w14:textId="77777777" w:rsidR="003F4E6E" w:rsidRPr="00931466" w:rsidRDefault="003F4E6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4312CEF" w14:textId="77777777" w:rsidR="003F4E6E" w:rsidRPr="00581EB8" w:rsidRDefault="003F4E6E"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053FF" w14:textId="77777777" w:rsidR="003F4E6E" w:rsidRPr="00571223" w:rsidRDefault="003F4E6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3F4E6E" w14:paraId="499F1275" w14:textId="77777777" w:rsidTr="006E2886">
      <w:trPr>
        <w:cantSplit/>
      </w:trPr>
      <w:tc>
        <w:tcPr>
          <w:tcW w:w="675" w:type="dxa"/>
          <w:vAlign w:val="center"/>
        </w:tcPr>
        <w:p w14:paraId="04F17571" w14:textId="77777777" w:rsidR="003F4E6E" w:rsidRPr="00931466" w:rsidRDefault="003F4E6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9072" w:type="dxa"/>
          <w:vAlign w:val="center"/>
        </w:tcPr>
        <w:p w14:paraId="3E331AFC" w14:textId="77777777" w:rsidR="003F4E6E" w:rsidRDefault="003F4E6E" w:rsidP="00BC5214">
          <w:pPr>
            <w:pStyle w:val="RectoFooter"/>
            <w:jc w:val="left"/>
          </w:pPr>
          <w:r>
            <w:t>induction of labour in aotearoa new zealand: a clinical practice guideline 2019</w:t>
          </w:r>
        </w:p>
      </w:tc>
    </w:tr>
  </w:tbl>
  <w:p w14:paraId="7693F555" w14:textId="77777777" w:rsidR="003F4E6E" w:rsidRPr="00571223" w:rsidRDefault="003F4E6E"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3F4E6E" w14:paraId="6221729A" w14:textId="77777777" w:rsidTr="006E2886">
      <w:trPr>
        <w:cantSplit/>
      </w:trPr>
      <w:tc>
        <w:tcPr>
          <w:tcW w:w="675" w:type="dxa"/>
          <w:vAlign w:val="center"/>
        </w:tcPr>
        <w:p w14:paraId="641FB8FF" w14:textId="77777777" w:rsidR="003F4E6E" w:rsidRPr="00931466" w:rsidRDefault="003F4E6E"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60</w:t>
          </w:r>
          <w:r w:rsidRPr="00931466">
            <w:rPr>
              <w:rStyle w:val="PageNumber"/>
            </w:rPr>
            <w:fldChar w:fldCharType="end"/>
          </w:r>
        </w:p>
      </w:tc>
      <w:tc>
        <w:tcPr>
          <w:tcW w:w="9072" w:type="dxa"/>
          <w:vAlign w:val="center"/>
        </w:tcPr>
        <w:p w14:paraId="3008F165" w14:textId="77777777" w:rsidR="003F4E6E" w:rsidRDefault="003F4E6E" w:rsidP="00E75A02">
          <w:pPr>
            <w:pStyle w:val="RectoFooter"/>
            <w:ind w:left="-108"/>
            <w:jc w:val="left"/>
          </w:pPr>
          <w:r>
            <w:t>induction of labour in aotearoa new zealand: a clinical practice guideline 2019</w:t>
          </w:r>
        </w:p>
      </w:tc>
    </w:tr>
  </w:tbl>
  <w:p w14:paraId="38365FA7" w14:textId="77777777" w:rsidR="003F4E6E" w:rsidRPr="00571223" w:rsidRDefault="003F4E6E"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3F4E6E" w14:paraId="4F9C2E8A" w14:textId="77777777" w:rsidTr="006E2886">
      <w:trPr>
        <w:cantSplit/>
      </w:trPr>
      <w:tc>
        <w:tcPr>
          <w:tcW w:w="8080" w:type="dxa"/>
          <w:vAlign w:val="center"/>
        </w:tcPr>
        <w:p w14:paraId="3E274D36" w14:textId="77777777" w:rsidR="003F4E6E" w:rsidRDefault="003F4E6E" w:rsidP="00E75A02">
          <w:pPr>
            <w:pStyle w:val="RectoFooter"/>
          </w:pPr>
          <w:r>
            <w:t>induction of labour in aotearoa new zealand: a clinical practice guideline 2019</w:t>
          </w:r>
        </w:p>
      </w:tc>
      <w:tc>
        <w:tcPr>
          <w:tcW w:w="709" w:type="dxa"/>
          <w:vAlign w:val="center"/>
        </w:tcPr>
        <w:p w14:paraId="04C9DFD2" w14:textId="77777777" w:rsidR="003F4E6E" w:rsidRPr="00931466" w:rsidRDefault="003F4E6E"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35B24744" w14:textId="77777777" w:rsidR="003F4E6E" w:rsidRPr="00581EB8" w:rsidRDefault="003F4E6E"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68CEE" w14:textId="77777777" w:rsidR="001261BA" w:rsidRPr="00A26E6B" w:rsidRDefault="001261BA" w:rsidP="00A26E6B"/>
  </w:footnote>
  <w:footnote w:type="continuationSeparator" w:id="0">
    <w:p w14:paraId="620A24F5" w14:textId="77777777" w:rsidR="001261BA" w:rsidRDefault="001261BA">
      <w:r>
        <w:continuationSeparator/>
      </w:r>
    </w:p>
    <w:p w14:paraId="3A38AEF5" w14:textId="77777777" w:rsidR="001261BA" w:rsidRDefault="001261BA"/>
  </w:footnote>
  <w:footnote w:id="1">
    <w:p w14:paraId="6A10260E" w14:textId="77777777" w:rsidR="003F4E6E" w:rsidRPr="00586234" w:rsidRDefault="003F4E6E" w:rsidP="00586234">
      <w:pPr>
        <w:pStyle w:val="FootnoteText"/>
      </w:pPr>
      <w:r w:rsidRPr="00586234">
        <w:rPr>
          <w:rStyle w:val="FootnoteReference"/>
        </w:rPr>
        <w:footnoteRef/>
      </w:r>
      <w:r>
        <w:tab/>
        <w:t xml:space="preserve">For further information on this survey please contact </w:t>
      </w:r>
      <w:hyperlink r:id="rId1" w:history="1">
        <w:r w:rsidRPr="00620E19">
          <w:rPr>
            <w:rStyle w:val="Hyperlink"/>
          </w:rPr>
          <w:t>info@wha.org.nz</w:t>
        </w:r>
      </w:hyperlink>
      <w:r w:rsidRPr="00586234">
        <w:t>.</w:t>
      </w:r>
    </w:p>
  </w:footnote>
  <w:footnote w:id="2">
    <w:p w14:paraId="0890DF33" w14:textId="77777777" w:rsidR="003F4E6E" w:rsidRPr="00162C3F" w:rsidRDefault="003F4E6E" w:rsidP="00FD47B6">
      <w:pPr>
        <w:pStyle w:val="FootnoteText"/>
      </w:pPr>
      <w:r w:rsidRPr="00FD47B6">
        <w:rPr>
          <w:rStyle w:val="FootnoteReference"/>
        </w:rPr>
        <w:footnoteRef/>
      </w:r>
      <w:r>
        <w:tab/>
        <w:t xml:space="preserve">The Outpatient Balloon catheter and Inpatient prostaglandin Gel (OBLIGE) research study is a study run by The University of Auckland, with support from the Health Research Council of New Zealand in partnership with A+ Trust Auckland DHB. It compares two common ways of starting the induction of labour process. More information about the study can be found on the study’s website at </w:t>
      </w:r>
      <w:hyperlink r:id="rId2" w:history="1">
        <w:r w:rsidRPr="002B21FB">
          <w:rPr>
            <w:rStyle w:val="Hyperlink"/>
          </w:rPr>
          <w:t>www.oblige.auckland.ac.nz</w:t>
        </w:r>
      </w:hyperlink>
      <w:r w:rsidRPr="002B21FB">
        <w:t>.</w:t>
      </w:r>
    </w:p>
  </w:footnote>
  <w:footnote w:id="3">
    <w:p w14:paraId="38CF6186" w14:textId="77777777" w:rsidR="003F4E6E" w:rsidRPr="00B0606D" w:rsidRDefault="003F4E6E" w:rsidP="00126358">
      <w:pPr>
        <w:pStyle w:val="FootnoteText"/>
      </w:pPr>
      <w:r w:rsidRPr="00126358">
        <w:rPr>
          <w:rStyle w:val="FootnoteReference"/>
        </w:rPr>
        <w:footnoteRef/>
      </w:r>
      <w:r>
        <w:tab/>
      </w:r>
      <w:hyperlink r:id="rId3" w:history="1">
        <w:r w:rsidRPr="00126358">
          <w:rPr>
            <w:rStyle w:val="Hyperlink"/>
          </w:rPr>
          <w:t>https://vimeo.com/316244298</w:t>
        </w:r>
      </w:hyperlink>
    </w:p>
  </w:footnote>
  <w:footnote w:id="4">
    <w:p w14:paraId="06DD1BCA" w14:textId="77777777" w:rsidR="003F4E6E" w:rsidRPr="000718E2" w:rsidRDefault="003F4E6E" w:rsidP="000718E2">
      <w:pPr>
        <w:pStyle w:val="FootnoteText"/>
      </w:pPr>
      <w:r w:rsidRPr="000718E2">
        <w:rPr>
          <w:rStyle w:val="FootnoteReference"/>
        </w:rPr>
        <w:footnoteRef/>
      </w:r>
      <w:r>
        <w:tab/>
      </w:r>
      <w:r w:rsidRPr="00B0606D">
        <w:t xml:space="preserve">See </w:t>
      </w:r>
      <w:hyperlink r:id="rId4" w:history="1">
        <w:r w:rsidRPr="000718E2">
          <w:rPr>
            <w:rStyle w:val="Hyperlink"/>
          </w:rPr>
          <w:t>www.oblige.auckland.ac.nz</w:t>
        </w:r>
      </w:hyperlink>
      <w:r w:rsidRPr="000718E2">
        <w:t>.</w:t>
      </w:r>
    </w:p>
  </w:footnote>
  <w:footnote w:id="5">
    <w:p w14:paraId="6B7FBA25" w14:textId="77777777" w:rsidR="003F4E6E" w:rsidRPr="00B0606D" w:rsidRDefault="003F4E6E" w:rsidP="00067D39">
      <w:pPr>
        <w:pStyle w:val="FootnoteText"/>
      </w:pPr>
      <w:r w:rsidRPr="00067D39">
        <w:rPr>
          <w:rStyle w:val="FootnoteReference"/>
        </w:rPr>
        <w:footnoteRef/>
      </w:r>
      <w:r>
        <w:tab/>
        <w:t>The web-based library of publicly and privately supported clinical studies of diseases and conditions, maintained by the National Library of Medicine and the National Institutes of Health of the United States and open to patients, their families, health care professionals, researchers and the public.</w:t>
      </w:r>
    </w:p>
  </w:footnote>
  <w:footnote w:id="6">
    <w:p w14:paraId="1E150C43" w14:textId="77777777" w:rsidR="003F4E6E" w:rsidRPr="00B0606D" w:rsidRDefault="003F4E6E" w:rsidP="00457C3A">
      <w:pPr>
        <w:pStyle w:val="FootnoteText"/>
      </w:pPr>
      <w:r w:rsidRPr="00457C3A">
        <w:rPr>
          <w:rStyle w:val="FootnoteReference"/>
        </w:rPr>
        <w:footnoteRef/>
      </w:r>
      <w:r>
        <w:tab/>
        <w:t xml:space="preserve">Based on the method developed by MidCentral DHB Hospital Pharmacy Services – Whare Rongoā te Pūtake. To facilitate the preparation of the misoprostol suspension, Hospital Pharmacy Services provide a ‘Misoprostol Kit for Induction of Labour’ with enough components for six doses. </w:t>
      </w:r>
      <w:r>
        <w:rPr>
          <w:spacing w:val="2"/>
        </w:rPr>
        <w:t xml:space="preserve">Unused </w:t>
      </w:r>
      <w:r>
        <w:t>components are returned for re-using in a new</w:t>
      </w:r>
      <w:r>
        <w:rPr>
          <w:spacing w:val="-16"/>
        </w:rPr>
        <w:t xml:space="preserve"> </w:t>
      </w:r>
      <w:r>
        <w:t>kit.</w:t>
      </w:r>
    </w:p>
  </w:footnote>
  <w:footnote w:id="7">
    <w:p w14:paraId="288432B2" w14:textId="77777777" w:rsidR="003F4E6E" w:rsidRPr="00B0606D" w:rsidRDefault="003F4E6E" w:rsidP="00457C3A">
      <w:pPr>
        <w:pStyle w:val="FootnoteText"/>
      </w:pPr>
      <w:r w:rsidRPr="00457C3A">
        <w:rPr>
          <w:rStyle w:val="FootnoteReference"/>
        </w:rPr>
        <w:footnoteRef/>
      </w:r>
      <w:r>
        <w:tab/>
        <w:t xml:space="preserve">Adapted from the method used reported in Winnipeg Regional Health Authority. 2017. </w:t>
      </w:r>
      <w:r w:rsidRPr="006D777E">
        <w:rPr>
          <w:i/>
          <w:iCs/>
        </w:rPr>
        <w:t>Clinical Practice Guideline: Induction and Augmentation of Labour and Cervical Ripening of Labour</w:t>
      </w:r>
      <w:r>
        <w:t>. November 2016, revised March 2017. Winnipeg: Winnipeg Regional Health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3F4E6E" w14:paraId="131382C7" w14:textId="77777777" w:rsidTr="005A79E5">
      <w:trPr>
        <w:cantSplit/>
      </w:trPr>
      <w:tc>
        <w:tcPr>
          <w:tcW w:w="5210" w:type="dxa"/>
        </w:tcPr>
        <w:p w14:paraId="2AABE9C8" w14:textId="77777777" w:rsidR="003F4E6E" w:rsidRDefault="003F4E6E" w:rsidP="008814E8">
          <w:pPr>
            <w:pStyle w:val="Header"/>
          </w:pPr>
          <w:r>
            <w:rPr>
              <w:noProof/>
              <w:lang w:eastAsia="en-NZ"/>
            </w:rPr>
            <w:drawing>
              <wp:inline distT="0" distB="0" distL="0" distR="0" wp14:anchorId="7C44D29A" wp14:editId="56758F4A">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03457A8" w14:textId="77777777" w:rsidR="003F4E6E" w:rsidRDefault="003F4E6E" w:rsidP="008814E8">
          <w:pPr>
            <w:pStyle w:val="Header"/>
            <w:jc w:val="right"/>
          </w:pPr>
          <w:r>
            <w:rPr>
              <w:noProof/>
              <w:lang w:eastAsia="en-NZ"/>
            </w:rPr>
            <w:drawing>
              <wp:inline distT="0" distB="0" distL="0" distR="0" wp14:anchorId="62A898FF" wp14:editId="68ADE36D">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6E8CCF5A" w14:textId="77777777" w:rsidR="003F4E6E" w:rsidRDefault="003F4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23D6" w14:textId="77777777" w:rsidR="003F4E6E" w:rsidRDefault="003F4E6E"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AAC21" w14:textId="77777777" w:rsidR="003F4E6E" w:rsidRDefault="003F4E6E"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B81CB6C4"/>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708311D"/>
    <w:multiLevelType w:val="hybridMultilevel"/>
    <w:tmpl w:val="BDB67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E67233"/>
    <w:multiLevelType w:val="hybridMultilevel"/>
    <w:tmpl w:val="2FDA04A4"/>
    <w:lvl w:ilvl="0" w:tplc="93BADD16">
      <w:start w:val="1"/>
      <w:numFmt w:val="decimal"/>
      <w:lvlText w:val="%1."/>
      <w:lvlJc w:val="left"/>
      <w:pPr>
        <w:ind w:left="64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 w15:restartNumberingAfterBreak="0">
    <w:nsid w:val="1A14185C"/>
    <w:multiLevelType w:val="hybridMultilevel"/>
    <w:tmpl w:val="7C98671A"/>
    <w:lvl w:ilvl="0" w:tplc="B552812A">
      <w:numFmt w:val="bullet"/>
      <w:lvlText w:val=""/>
      <w:lvlJc w:val="left"/>
      <w:pPr>
        <w:ind w:left="465" w:hanging="356"/>
      </w:pPr>
      <w:rPr>
        <w:rFonts w:ascii="Symbol" w:eastAsia="Symbol" w:hAnsi="Symbol" w:cs="Symbol" w:hint="default"/>
        <w:w w:val="100"/>
        <w:sz w:val="22"/>
        <w:szCs w:val="22"/>
        <w:lang w:val="en-US" w:eastAsia="en-US" w:bidi="en-US"/>
      </w:rPr>
    </w:lvl>
    <w:lvl w:ilvl="1" w:tplc="A21804EE">
      <w:start w:val="1"/>
      <w:numFmt w:val="decimal"/>
      <w:lvlText w:val="%2."/>
      <w:lvlJc w:val="left"/>
      <w:pPr>
        <w:ind w:left="825" w:hanging="360"/>
      </w:pPr>
      <w:rPr>
        <w:rFonts w:ascii="Calibri" w:eastAsia="Calibri" w:hAnsi="Calibri" w:cs="Calibri" w:hint="default"/>
        <w:spacing w:val="-5"/>
        <w:w w:val="100"/>
        <w:sz w:val="22"/>
        <w:szCs w:val="22"/>
        <w:lang w:val="en-US" w:eastAsia="en-US" w:bidi="en-US"/>
      </w:rPr>
    </w:lvl>
    <w:lvl w:ilvl="2" w:tplc="60F27E6A">
      <w:numFmt w:val="bullet"/>
      <w:lvlText w:val="•"/>
      <w:lvlJc w:val="left"/>
      <w:pPr>
        <w:ind w:left="1830" w:hanging="360"/>
      </w:pPr>
      <w:rPr>
        <w:rFonts w:hint="default"/>
        <w:lang w:val="en-US" w:eastAsia="en-US" w:bidi="en-US"/>
      </w:rPr>
    </w:lvl>
    <w:lvl w:ilvl="3" w:tplc="1F2AD4B8">
      <w:numFmt w:val="bullet"/>
      <w:lvlText w:val="•"/>
      <w:lvlJc w:val="left"/>
      <w:pPr>
        <w:ind w:left="2840" w:hanging="360"/>
      </w:pPr>
      <w:rPr>
        <w:rFonts w:hint="default"/>
        <w:lang w:val="en-US" w:eastAsia="en-US" w:bidi="en-US"/>
      </w:rPr>
    </w:lvl>
    <w:lvl w:ilvl="4" w:tplc="3DC0788C">
      <w:numFmt w:val="bullet"/>
      <w:lvlText w:val="•"/>
      <w:lvlJc w:val="left"/>
      <w:pPr>
        <w:ind w:left="3851" w:hanging="360"/>
      </w:pPr>
      <w:rPr>
        <w:rFonts w:hint="default"/>
        <w:lang w:val="en-US" w:eastAsia="en-US" w:bidi="en-US"/>
      </w:rPr>
    </w:lvl>
    <w:lvl w:ilvl="5" w:tplc="128257C0">
      <w:numFmt w:val="bullet"/>
      <w:lvlText w:val="•"/>
      <w:lvlJc w:val="left"/>
      <w:pPr>
        <w:ind w:left="4861" w:hanging="360"/>
      </w:pPr>
      <w:rPr>
        <w:rFonts w:hint="default"/>
        <w:lang w:val="en-US" w:eastAsia="en-US" w:bidi="en-US"/>
      </w:rPr>
    </w:lvl>
    <w:lvl w:ilvl="6" w:tplc="E996BBAC">
      <w:numFmt w:val="bullet"/>
      <w:lvlText w:val="•"/>
      <w:lvlJc w:val="left"/>
      <w:pPr>
        <w:ind w:left="5872" w:hanging="360"/>
      </w:pPr>
      <w:rPr>
        <w:rFonts w:hint="default"/>
        <w:lang w:val="en-US" w:eastAsia="en-US" w:bidi="en-US"/>
      </w:rPr>
    </w:lvl>
    <w:lvl w:ilvl="7" w:tplc="5712C41C">
      <w:numFmt w:val="bullet"/>
      <w:lvlText w:val="•"/>
      <w:lvlJc w:val="left"/>
      <w:pPr>
        <w:ind w:left="6882" w:hanging="360"/>
      </w:pPr>
      <w:rPr>
        <w:rFonts w:hint="default"/>
        <w:lang w:val="en-US" w:eastAsia="en-US" w:bidi="en-US"/>
      </w:rPr>
    </w:lvl>
    <w:lvl w:ilvl="8" w:tplc="E2C434B0">
      <w:numFmt w:val="bullet"/>
      <w:lvlText w:val="•"/>
      <w:lvlJc w:val="left"/>
      <w:pPr>
        <w:ind w:left="7893" w:hanging="360"/>
      </w:pPr>
      <w:rPr>
        <w:rFonts w:hint="default"/>
        <w:lang w:val="en-US" w:eastAsia="en-US" w:bidi="en-US"/>
      </w:rPr>
    </w:lvl>
  </w:abstractNum>
  <w:abstractNum w:abstractNumId="5" w15:restartNumberingAfterBreak="0">
    <w:nsid w:val="21C4045D"/>
    <w:multiLevelType w:val="multilevel"/>
    <w:tmpl w:val="E2521AFC"/>
    <w:lvl w:ilvl="0">
      <w:start w:val="1"/>
      <w:numFmt w:val="decimal"/>
      <w:pStyle w:val="Heading1"/>
      <w:suff w:val="nothing"/>
      <w:lvlText w:val="Chapter %1"/>
      <w:lvlJc w:val="left"/>
      <w:pPr>
        <w:ind w:left="0" w:firstLine="0"/>
      </w:pPr>
      <w:rPr>
        <w:rFonts w:hint="default"/>
      </w:rPr>
    </w:lvl>
    <w:lvl w:ilvl="1">
      <w:start w:val="1"/>
      <w:numFmt w:val="none"/>
      <w:lvlRestart w:val="0"/>
      <w:pStyle w:val="Heading1-notnumbered"/>
      <w:suff w:val="nothing"/>
      <w:lvlText w:val=""/>
      <w:lvlJc w:val="left"/>
      <w:pPr>
        <w:ind w:left="0" w:firstLine="0"/>
      </w:pPr>
      <w:rPr>
        <w:rFonts w:hint="default"/>
      </w:rPr>
    </w:lvl>
    <w:lvl w:ilvl="2">
      <w:start w:val="1"/>
      <w:numFmt w:val="upperLetter"/>
      <w:lvlRestart w:val="0"/>
      <w:suff w:val="nothing"/>
      <w:lvlText w:val="Appendix %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99406D"/>
    <w:multiLevelType w:val="hybridMultilevel"/>
    <w:tmpl w:val="BA247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59409E"/>
    <w:multiLevelType w:val="hybridMultilevel"/>
    <w:tmpl w:val="49523866"/>
    <w:lvl w:ilvl="0" w:tplc="8CF88D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65710E"/>
    <w:multiLevelType w:val="hybridMultilevel"/>
    <w:tmpl w:val="FCDC2A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B91485B"/>
    <w:multiLevelType w:val="hybridMultilevel"/>
    <w:tmpl w:val="1FDA5922"/>
    <w:lvl w:ilvl="0" w:tplc="CB4C96DC">
      <w:start w:val="1"/>
      <w:numFmt w:val="decimal"/>
      <w:lvlText w:val="%1"/>
      <w:lvlJc w:val="left"/>
      <w:pPr>
        <w:ind w:left="245" w:hanging="146"/>
      </w:pPr>
      <w:rPr>
        <w:rFonts w:ascii="Calibri" w:eastAsia="Calibri" w:hAnsi="Calibri" w:cs="Calibri" w:hint="default"/>
        <w:w w:val="100"/>
        <w:sz w:val="20"/>
        <w:szCs w:val="20"/>
        <w:lang w:val="en-US" w:eastAsia="en-US" w:bidi="en-US"/>
      </w:rPr>
    </w:lvl>
    <w:lvl w:ilvl="1" w:tplc="0CF6B3B2">
      <w:numFmt w:val="bullet"/>
      <w:lvlText w:val="•"/>
      <w:lvlJc w:val="left"/>
      <w:pPr>
        <w:ind w:left="443" w:hanging="146"/>
      </w:pPr>
      <w:rPr>
        <w:rFonts w:hint="default"/>
        <w:lang w:val="en-US" w:eastAsia="en-US" w:bidi="en-US"/>
      </w:rPr>
    </w:lvl>
    <w:lvl w:ilvl="2" w:tplc="4DBC94B2">
      <w:numFmt w:val="bullet"/>
      <w:lvlText w:val="•"/>
      <w:lvlJc w:val="left"/>
      <w:pPr>
        <w:ind w:left="647" w:hanging="146"/>
      </w:pPr>
      <w:rPr>
        <w:rFonts w:hint="default"/>
        <w:lang w:val="en-US" w:eastAsia="en-US" w:bidi="en-US"/>
      </w:rPr>
    </w:lvl>
    <w:lvl w:ilvl="3" w:tplc="D5C6AB08">
      <w:numFmt w:val="bullet"/>
      <w:lvlText w:val="•"/>
      <w:lvlJc w:val="left"/>
      <w:pPr>
        <w:ind w:left="850" w:hanging="146"/>
      </w:pPr>
      <w:rPr>
        <w:rFonts w:hint="default"/>
        <w:lang w:val="en-US" w:eastAsia="en-US" w:bidi="en-US"/>
      </w:rPr>
    </w:lvl>
    <w:lvl w:ilvl="4" w:tplc="C804FBC6">
      <w:numFmt w:val="bullet"/>
      <w:lvlText w:val="•"/>
      <w:lvlJc w:val="left"/>
      <w:pPr>
        <w:ind w:left="1054" w:hanging="146"/>
      </w:pPr>
      <w:rPr>
        <w:rFonts w:hint="default"/>
        <w:lang w:val="en-US" w:eastAsia="en-US" w:bidi="en-US"/>
      </w:rPr>
    </w:lvl>
    <w:lvl w:ilvl="5" w:tplc="62420D84">
      <w:numFmt w:val="bullet"/>
      <w:lvlText w:val="•"/>
      <w:lvlJc w:val="left"/>
      <w:pPr>
        <w:ind w:left="1258" w:hanging="146"/>
      </w:pPr>
      <w:rPr>
        <w:rFonts w:hint="default"/>
        <w:lang w:val="en-US" w:eastAsia="en-US" w:bidi="en-US"/>
      </w:rPr>
    </w:lvl>
    <w:lvl w:ilvl="6" w:tplc="EB0EFACC">
      <w:numFmt w:val="bullet"/>
      <w:lvlText w:val="•"/>
      <w:lvlJc w:val="left"/>
      <w:pPr>
        <w:ind w:left="1461" w:hanging="146"/>
      </w:pPr>
      <w:rPr>
        <w:rFonts w:hint="default"/>
        <w:lang w:val="en-US" w:eastAsia="en-US" w:bidi="en-US"/>
      </w:rPr>
    </w:lvl>
    <w:lvl w:ilvl="7" w:tplc="E9F61538">
      <w:numFmt w:val="bullet"/>
      <w:lvlText w:val="•"/>
      <w:lvlJc w:val="left"/>
      <w:pPr>
        <w:ind w:left="1665" w:hanging="146"/>
      </w:pPr>
      <w:rPr>
        <w:rFonts w:hint="default"/>
        <w:lang w:val="en-US" w:eastAsia="en-US" w:bidi="en-US"/>
      </w:rPr>
    </w:lvl>
    <w:lvl w:ilvl="8" w:tplc="66E61184">
      <w:numFmt w:val="bullet"/>
      <w:lvlText w:val="•"/>
      <w:lvlJc w:val="left"/>
      <w:pPr>
        <w:ind w:left="1868" w:hanging="146"/>
      </w:pPr>
      <w:rPr>
        <w:rFonts w:hint="default"/>
        <w:lang w:val="en-US" w:eastAsia="en-US" w:bidi="en-US"/>
      </w:rPr>
    </w:lvl>
  </w:abstractNum>
  <w:abstractNum w:abstractNumId="12" w15:restartNumberingAfterBreak="0">
    <w:nsid w:val="533E4524"/>
    <w:multiLevelType w:val="hybridMultilevel"/>
    <w:tmpl w:val="583E962C"/>
    <w:lvl w:ilvl="0" w:tplc="C4904FFC">
      <w:numFmt w:val="bullet"/>
      <w:lvlText w:val=""/>
      <w:lvlJc w:val="left"/>
      <w:pPr>
        <w:ind w:left="465" w:hanging="356"/>
      </w:pPr>
      <w:rPr>
        <w:rFonts w:ascii="Symbol" w:eastAsia="Symbol" w:hAnsi="Symbol" w:cs="Symbol" w:hint="default"/>
        <w:w w:val="100"/>
        <w:sz w:val="22"/>
        <w:szCs w:val="22"/>
        <w:lang w:val="en-US" w:eastAsia="en-US" w:bidi="en-US"/>
      </w:rPr>
    </w:lvl>
    <w:lvl w:ilvl="1" w:tplc="0906648E">
      <w:start w:val="1"/>
      <w:numFmt w:val="decimal"/>
      <w:lvlText w:val="%2."/>
      <w:lvlJc w:val="left"/>
      <w:pPr>
        <w:ind w:left="830" w:hanging="360"/>
      </w:pPr>
      <w:rPr>
        <w:rFonts w:ascii="Calibri" w:eastAsia="Calibri" w:hAnsi="Calibri" w:cs="Calibri" w:hint="default"/>
        <w:spacing w:val="-5"/>
        <w:w w:val="100"/>
        <w:sz w:val="22"/>
        <w:szCs w:val="22"/>
        <w:lang w:val="en-US" w:eastAsia="en-US" w:bidi="en-US"/>
      </w:rPr>
    </w:lvl>
    <w:lvl w:ilvl="2" w:tplc="27A68388">
      <w:numFmt w:val="bullet"/>
      <w:lvlText w:val="•"/>
      <w:lvlJc w:val="left"/>
      <w:pPr>
        <w:ind w:left="1848" w:hanging="360"/>
      </w:pPr>
      <w:rPr>
        <w:rFonts w:hint="default"/>
        <w:lang w:val="en-US" w:eastAsia="en-US" w:bidi="en-US"/>
      </w:rPr>
    </w:lvl>
    <w:lvl w:ilvl="3" w:tplc="A17CADF2">
      <w:numFmt w:val="bullet"/>
      <w:lvlText w:val="•"/>
      <w:lvlJc w:val="left"/>
      <w:pPr>
        <w:ind w:left="2857" w:hanging="360"/>
      </w:pPr>
      <w:rPr>
        <w:rFonts w:hint="default"/>
        <w:lang w:val="en-US" w:eastAsia="en-US" w:bidi="en-US"/>
      </w:rPr>
    </w:lvl>
    <w:lvl w:ilvl="4" w:tplc="A762D384">
      <w:numFmt w:val="bullet"/>
      <w:lvlText w:val="•"/>
      <w:lvlJc w:val="left"/>
      <w:pPr>
        <w:ind w:left="3866" w:hanging="360"/>
      </w:pPr>
      <w:rPr>
        <w:rFonts w:hint="default"/>
        <w:lang w:val="en-US" w:eastAsia="en-US" w:bidi="en-US"/>
      </w:rPr>
    </w:lvl>
    <w:lvl w:ilvl="5" w:tplc="F864C918">
      <w:numFmt w:val="bullet"/>
      <w:lvlText w:val="•"/>
      <w:lvlJc w:val="left"/>
      <w:pPr>
        <w:ind w:left="4875" w:hanging="360"/>
      </w:pPr>
      <w:rPr>
        <w:rFonts w:hint="default"/>
        <w:lang w:val="en-US" w:eastAsia="en-US" w:bidi="en-US"/>
      </w:rPr>
    </w:lvl>
    <w:lvl w:ilvl="6" w:tplc="39307468">
      <w:numFmt w:val="bullet"/>
      <w:lvlText w:val="•"/>
      <w:lvlJc w:val="left"/>
      <w:pPr>
        <w:ind w:left="5883" w:hanging="360"/>
      </w:pPr>
      <w:rPr>
        <w:rFonts w:hint="default"/>
        <w:lang w:val="en-US" w:eastAsia="en-US" w:bidi="en-US"/>
      </w:rPr>
    </w:lvl>
    <w:lvl w:ilvl="7" w:tplc="5736407C">
      <w:numFmt w:val="bullet"/>
      <w:lvlText w:val="•"/>
      <w:lvlJc w:val="left"/>
      <w:pPr>
        <w:ind w:left="6892" w:hanging="360"/>
      </w:pPr>
      <w:rPr>
        <w:rFonts w:hint="default"/>
        <w:lang w:val="en-US" w:eastAsia="en-US" w:bidi="en-US"/>
      </w:rPr>
    </w:lvl>
    <w:lvl w:ilvl="8" w:tplc="4E3A9532">
      <w:numFmt w:val="bullet"/>
      <w:lvlText w:val="•"/>
      <w:lvlJc w:val="left"/>
      <w:pPr>
        <w:ind w:left="7901" w:hanging="360"/>
      </w:pPr>
      <w:rPr>
        <w:rFonts w:hint="default"/>
        <w:lang w:val="en-US" w:eastAsia="en-US" w:bidi="en-US"/>
      </w:rPr>
    </w:lvl>
  </w:abstractNum>
  <w:abstractNum w:abstractNumId="13" w15:restartNumberingAfterBreak="0">
    <w:nsid w:val="64B36762"/>
    <w:multiLevelType w:val="hybridMultilevel"/>
    <w:tmpl w:val="EB9AF390"/>
    <w:lvl w:ilvl="0" w:tplc="8CF88DF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C1218D3"/>
    <w:multiLevelType w:val="singleLevel"/>
    <w:tmpl w:val="C130DFD4"/>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4"/>
  </w:num>
  <w:num w:numId="2">
    <w:abstractNumId w:val="8"/>
  </w:num>
  <w:num w:numId="3">
    <w:abstractNumId w:val="9"/>
  </w:num>
  <w:num w:numId="4">
    <w:abstractNumId w:val="1"/>
  </w:num>
  <w:num w:numId="5">
    <w:abstractNumId w:val="0"/>
  </w:num>
  <w:num w:numId="6">
    <w:abstractNumId w:val="12"/>
  </w:num>
  <w:num w:numId="7">
    <w:abstractNumId w:val="4"/>
  </w:num>
  <w:num w:numId="8">
    <w:abstractNumId w:val="11"/>
  </w:num>
  <w:num w:numId="9">
    <w:abstractNumId w:val="6"/>
  </w:num>
  <w:num w:numId="10">
    <w:abstractNumId w:val="2"/>
  </w:num>
  <w:num w:numId="11">
    <w:abstractNumId w:val="10"/>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3"/>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64338"/>
    <w:rsid w:val="00067D39"/>
    <w:rsid w:val="000718E2"/>
    <w:rsid w:val="00072BD6"/>
    <w:rsid w:val="00075B78"/>
    <w:rsid w:val="000763E9"/>
    <w:rsid w:val="00082CD6"/>
    <w:rsid w:val="0008437D"/>
    <w:rsid w:val="00085AFE"/>
    <w:rsid w:val="00091EBD"/>
    <w:rsid w:val="00094800"/>
    <w:rsid w:val="000A0158"/>
    <w:rsid w:val="000A373D"/>
    <w:rsid w:val="000A41ED"/>
    <w:rsid w:val="000B0730"/>
    <w:rsid w:val="000D19F4"/>
    <w:rsid w:val="000D51DC"/>
    <w:rsid w:val="000D58DD"/>
    <w:rsid w:val="000F1F42"/>
    <w:rsid w:val="000F2AE2"/>
    <w:rsid w:val="000F2BFF"/>
    <w:rsid w:val="000F3C98"/>
    <w:rsid w:val="00102063"/>
    <w:rsid w:val="00105396"/>
    <w:rsid w:val="0010541C"/>
    <w:rsid w:val="00105770"/>
    <w:rsid w:val="00106F93"/>
    <w:rsid w:val="0010722B"/>
    <w:rsid w:val="00111D50"/>
    <w:rsid w:val="00113B8E"/>
    <w:rsid w:val="00113B9C"/>
    <w:rsid w:val="00117F59"/>
    <w:rsid w:val="0012053C"/>
    <w:rsid w:val="00122363"/>
    <w:rsid w:val="00125D45"/>
    <w:rsid w:val="001261BA"/>
    <w:rsid w:val="00126358"/>
    <w:rsid w:val="001342C7"/>
    <w:rsid w:val="0013585C"/>
    <w:rsid w:val="00142261"/>
    <w:rsid w:val="00142954"/>
    <w:rsid w:val="001460E0"/>
    <w:rsid w:val="001472F0"/>
    <w:rsid w:val="00147F71"/>
    <w:rsid w:val="00150A6E"/>
    <w:rsid w:val="0016304B"/>
    <w:rsid w:val="0016318F"/>
    <w:rsid w:val="0016468A"/>
    <w:rsid w:val="0017070E"/>
    <w:rsid w:val="00174F02"/>
    <w:rsid w:val="00175FB1"/>
    <w:rsid w:val="0018376C"/>
    <w:rsid w:val="0018662D"/>
    <w:rsid w:val="00197427"/>
    <w:rsid w:val="001A21B4"/>
    <w:rsid w:val="001A5CF5"/>
    <w:rsid w:val="001B39D2"/>
    <w:rsid w:val="001B4BF8"/>
    <w:rsid w:val="001B7B14"/>
    <w:rsid w:val="001C4326"/>
    <w:rsid w:val="001C665E"/>
    <w:rsid w:val="001D1F80"/>
    <w:rsid w:val="001D3541"/>
    <w:rsid w:val="001D3E4E"/>
    <w:rsid w:val="001E254A"/>
    <w:rsid w:val="001E7386"/>
    <w:rsid w:val="001F45A7"/>
    <w:rsid w:val="001F5E27"/>
    <w:rsid w:val="0020027C"/>
    <w:rsid w:val="00201A01"/>
    <w:rsid w:val="0020754B"/>
    <w:rsid w:val="002104D3"/>
    <w:rsid w:val="002122EA"/>
    <w:rsid w:val="00213A33"/>
    <w:rsid w:val="0021763B"/>
    <w:rsid w:val="00230FF7"/>
    <w:rsid w:val="00232E9F"/>
    <w:rsid w:val="00243F44"/>
    <w:rsid w:val="002452D5"/>
    <w:rsid w:val="00245748"/>
    <w:rsid w:val="00246DB1"/>
    <w:rsid w:val="002476B5"/>
    <w:rsid w:val="002505BA"/>
    <w:rsid w:val="002520CC"/>
    <w:rsid w:val="00253ECF"/>
    <w:rsid w:val="00254044"/>
    <w:rsid w:val="002546A1"/>
    <w:rsid w:val="002575E8"/>
    <w:rsid w:val="00257EF1"/>
    <w:rsid w:val="002628F4"/>
    <w:rsid w:val="00275D08"/>
    <w:rsid w:val="002839AF"/>
    <w:rsid w:val="002858E3"/>
    <w:rsid w:val="0029190A"/>
    <w:rsid w:val="00292C5A"/>
    <w:rsid w:val="00295241"/>
    <w:rsid w:val="002977EC"/>
    <w:rsid w:val="002A2474"/>
    <w:rsid w:val="002A4DFC"/>
    <w:rsid w:val="002B047D"/>
    <w:rsid w:val="002B21FB"/>
    <w:rsid w:val="002B732B"/>
    <w:rsid w:val="002B76A7"/>
    <w:rsid w:val="002B7BEC"/>
    <w:rsid w:val="002C2219"/>
    <w:rsid w:val="002C2552"/>
    <w:rsid w:val="002C380A"/>
    <w:rsid w:val="002D0DF2"/>
    <w:rsid w:val="002D23BD"/>
    <w:rsid w:val="002E0B47"/>
    <w:rsid w:val="002E5969"/>
    <w:rsid w:val="002E67BD"/>
    <w:rsid w:val="002F3A0D"/>
    <w:rsid w:val="002F4056"/>
    <w:rsid w:val="002F4685"/>
    <w:rsid w:val="002F7213"/>
    <w:rsid w:val="00302632"/>
    <w:rsid w:val="00302BE6"/>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355F2"/>
    <w:rsid w:val="00335664"/>
    <w:rsid w:val="00341161"/>
    <w:rsid w:val="00343365"/>
    <w:rsid w:val="003445F4"/>
    <w:rsid w:val="00353501"/>
    <w:rsid w:val="00353734"/>
    <w:rsid w:val="003538D4"/>
    <w:rsid w:val="003606F8"/>
    <w:rsid w:val="003648EF"/>
    <w:rsid w:val="003673E6"/>
    <w:rsid w:val="00377264"/>
    <w:rsid w:val="003779D2"/>
    <w:rsid w:val="00385E38"/>
    <w:rsid w:val="003A0E05"/>
    <w:rsid w:val="003A26A5"/>
    <w:rsid w:val="003A3761"/>
    <w:rsid w:val="003A4BD4"/>
    <w:rsid w:val="003A512D"/>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4E6E"/>
    <w:rsid w:val="003F52A7"/>
    <w:rsid w:val="003F7013"/>
    <w:rsid w:val="003F7F6A"/>
    <w:rsid w:val="0040240C"/>
    <w:rsid w:val="004072C2"/>
    <w:rsid w:val="00413021"/>
    <w:rsid w:val="0041445E"/>
    <w:rsid w:val="00414C35"/>
    <w:rsid w:val="004171B7"/>
    <w:rsid w:val="00421DA0"/>
    <w:rsid w:val="004301C6"/>
    <w:rsid w:val="0043478F"/>
    <w:rsid w:val="0043602B"/>
    <w:rsid w:val="004367D2"/>
    <w:rsid w:val="00436939"/>
    <w:rsid w:val="00440BE0"/>
    <w:rsid w:val="00442A06"/>
    <w:rsid w:val="00442C1C"/>
    <w:rsid w:val="0044584B"/>
    <w:rsid w:val="00447CB7"/>
    <w:rsid w:val="00455CC9"/>
    <w:rsid w:val="00457C3A"/>
    <w:rsid w:val="00460826"/>
    <w:rsid w:val="00460B1E"/>
    <w:rsid w:val="00460E03"/>
    <w:rsid w:val="00460EA7"/>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B5E38"/>
    <w:rsid w:val="004C2E6A"/>
    <w:rsid w:val="004C64B8"/>
    <w:rsid w:val="004D0EDF"/>
    <w:rsid w:val="004D2A2D"/>
    <w:rsid w:val="004D479F"/>
    <w:rsid w:val="004D6689"/>
    <w:rsid w:val="004E1D1D"/>
    <w:rsid w:val="004E7AC8"/>
    <w:rsid w:val="004F05F4"/>
    <w:rsid w:val="004F0C94"/>
    <w:rsid w:val="004F4670"/>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4F0A"/>
    <w:rsid w:val="00556BB7"/>
    <w:rsid w:val="0055763D"/>
    <w:rsid w:val="00561516"/>
    <w:rsid w:val="005621F2"/>
    <w:rsid w:val="00567B58"/>
    <w:rsid w:val="00571223"/>
    <w:rsid w:val="005763E0"/>
    <w:rsid w:val="00581136"/>
    <w:rsid w:val="00581EB8"/>
    <w:rsid w:val="005839E7"/>
    <w:rsid w:val="0058437F"/>
    <w:rsid w:val="00586234"/>
    <w:rsid w:val="005A27CA"/>
    <w:rsid w:val="005A43BD"/>
    <w:rsid w:val="005A79E5"/>
    <w:rsid w:val="005D034C"/>
    <w:rsid w:val="005E153F"/>
    <w:rsid w:val="005E226E"/>
    <w:rsid w:val="005E2636"/>
    <w:rsid w:val="006015D7"/>
    <w:rsid w:val="00601B21"/>
    <w:rsid w:val="006041F0"/>
    <w:rsid w:val="00605C6D"/>
    <w:rsid w:val="006120CA"/>
    <w:rsid w:val="0061443A"/>
    <w:rsid w:val="00624174"/>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1D8C"/>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276F"/>
    <w:rsid w:val="006D63E5"/>
    <w:rsid w:val="006E1753"/>
    <w:rsid w:val="006E2886"/>
    <w:rsid w:val="006E3911"/>
    <w:rsid w:val="006E69F4"/>
    <w:rsid w:val="006F1B67"/>
    <w:rsid w:val="006F4D9C"/>
    <w:rsid w:val="006F7C71"/>
    <w:rsid w:val="0070091D"/>
    <w:rsid w:val="00702854"/>
    <w:rsid w:val="0071741C"/>
    <w:rsid w:val="00723A20"/>
    <w:rsid w:val="00742B90"/>
    <w:rsid w:val="0074434D"/>
    <w:rsid w:val="00752E53"/>
    <w:rsid w:val="007570C4"/>
    <w:rsid w:val="007605B8"/>
    <w:rsid w:val="00763E83"/>
    <w:rsid w:val="0076542A"/>
    <w:rsid w:val="00770DB2"/>
    <w:rsid w:val="00771B1E"/>
    <w:rsid w:val="00773C95"/>
    <w:rsid w:val="0078171E"/>
    <w:rsid w:val="0078658E"/>
    <w:rsid w:val="00791DA6"/>
    <w:rsid w:val="007920E2"/>
    <w:rsid w:val="0079566E"/>
    <w:rsid w:val="00795B34"/>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350C"/>
    <w:rsid w:val="007E74F1"/>
    <w:rsid w:val="007F0F0C"/>
    <w:rsid w:val="007F1288"/>
    <w:rsid w:val="007F3E11"/>
    <w:rsid w:val="00800A8A"/>
    <w:rsid w:val="0080155C"/>
    <w:rsid w:val="008017B4"/>
    <w:rsid w:val="008026FF"/>
    <w:rsid w:val="008052E1"/>
    <w:rsid w:val="00806252"/>
    <w:rsid w:val="00811EEB"/>
    <w:rsid w:val="00813BBD"/>
    <w:rsid w:val="0082081A"/>
    <w:rsid w:val="00822F2C"/>
    <w:rsid w:val="00823DEE"/>
    <w:rsid w:val="008305E8"/>
    <w:rsid w:val="00836165"/>
    <w:rsid w:val="008365B2"/>
    <w:rsid w:val="0084640C"/>
    <w:rsid w:val="00856088"/>
    <w:rsid w:val="00860826"/>
    <w:rsid w:val="00860E21"/>
    <w:rsid w:val="00863117"/>
    <w:rsid w:val="0086388B"/>
    <w:rsid w:val="00863E1A"/>
    <w:rsid w:val="008642E5"/>
    <w:rsid w:val="00864488"/>
    <w:rsid w:val="00870A36"/>
    <w:rsid w:val="00872D93"/>
    <w:rsid w:val="00880470"/>
    <w:rsid w:val="00880D94"/>
    <w:rsid w:val="008814E8"/>
    <w:rsid w:val="00886F64"/>
    <w:rsid w:val="008924DE"/>
    <w:rsid w:val="008A3755"/>
    <w:rsid w:val="008A7EAC"/>
    <w:rsid w:val="008B19DC"/>
    <w:rsid w:val="008B264F"/>
    <w:rsid w:val="008B6F83"/>
    <w:rsid w:val="008B7FD8"/>
    <w:rsid w:val="008C2973"/>
    <w:rsid w:val="008C6324"/>
    <w:rsid w:val="008C64C4"/>
    <w:rsid w:val="008D2CDD"/>
    <w:rsid w:val="008D53E4"/>
    <w:rsid w:val="008D74D5"/>
    <w:rsid w:val="008D7C9F"/>
    <w:rsid w:val="008E04BA"/>
    <w:rsid w:val="008E0ED1"/>
    <w:rsid w:val="008E1687"/>
    <w:rsid w:val="008E2083"/>
    <w:rsid w:val="008E3A07"/>
    <w:rsid w:val="008E537B"/>
    <w:rsid w:val="008F29BE"/>
    <w:rsid w:val="008F4AE5"/>
    <w:rsid w:val="008F51EB"/>
    <w:rsid w:val="00900197"/>
    <w:rsid w:val="00902F55"/>
    <w:rsid w:val="0090582B"/>
    <w:rsid w:val="009060C0"/>
    <w:rsid w:val="00911DAE"/>
    <w:rsid w:val="009133F5"/>
    <w:rsid w:val="0091756F"/>
    <w:rsid w:val="00920A27"/>
    <w:rsid w:val="00921216"/>
    <w:rsid w:val="009213D5"/>
    <w:rsid w:val="009216CC"/>
    <w:rsid w:val="00922E41"/>
    <w:rsid w:val="00925892"/>
    <w:rsid w:val="00926083"/>
    <w:rsid w:val="00926D08"/>
    <w:rsid w:val="00930D08"/>
    <w:rsid w:val="00931466"/>
    <w:rsid w:val="00932D69"/>
    <w:rsid w:val="00935139"/>
    <w:rsid w:val="009354FD"/>
    <w:rsid w:val="00935589"/>
    <w:rsid w:val="00937408"/>
    <w:rsid w:val="009427FA"/>
    <w:rsid w:val="00944647"/>
    <w:rsid w:val="00945549"/>
    <w:rsid w:val="009467F2"/>
    <w:rsid w:val="009469E2"/>
    <w:rsid w:val="0095565C"/>
    <w:rsid w:val="00964AB6"/>
    <w:rsid w:val="00966F9A"/>
    <w:rsid w:val="00977B8A"/>
    <w:rsid w:val="00981BEE"/>
    <w:rsid w:val="00982971"/>
    <w:rsid w:val="009845AD"/>
    <w:rsid w:val="00984835"/>
    <w:rsid w:val="009933EF"/>
    <w:rsid w:val="00995BA0"/>
    <w:rsid w:val="009A418B"/>
    <w:rsid w:val="009A426F"/>
    <w:rsid w:val="009A42D5"/>
    <w:rsid w:val="009A4473"/>
    <w:rsid w:val="009B05C9"/>
    <w:rsid w:val="009B0F0B"/>
    <w:rsid w:val="009B286C"/>
    <w:rsid w:val="009B305F"/>
    <w:rsid w:val="009C151C"/>
    <w:rsid w:val="009C440A"/>
    <w:rsid w:val="009C6A76"/>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0596"/>
    <w:rsid w:val="00A5465D"/>
    <w:rsid w:val="00A553CE"/>
    <w:rsid w:val="00A5677A"/>
    <w:rsid w:val="00A56DCC"/>
    <w:rsid w:val="00A60020"/>
    <w:rsid w:val="00A60A7A"/>
    <w:rsid w:val="00A625E8"/>
    <w:rsid w:val="00A63DFF"/>
    <w:rsid w:val="00A64496"/>
    <w:rsid w:val="00A6490D"/>
    <w:rsid w:val="00A67033"/>
    <w:rsid w:val="00A7415D"/>
    <w:rsid w:val="00A80363"/>
    <w:rsid w:val="00A80939"/>
    <w:rsid w:val="00A83E9D"/>
    <w:rsid w:val="00A8782E"/>
    <w:rsid w:val="00A87C05"/>
    <w:rsid w:val="00A9169D"/>
    <w:rsid w:val="00A93598"/>
    <w:rsid w:val="00A97A3A"/>
    <w:rsid w:val="00AA240C"/>
    <w:rsid w:val="00AB0332"/>
    <w:rsid w:val="00AB4F01"/>
    <w:rsid w:val="00AC0F19"/>
    <w:rsid w:val="00AC101C"/>
    <w:rsid w:val="00AC29F4"/>
    <w:rsid w:val="00AC6551"/>
    <w:rsid w:val="00AD4CF1"/>
    <w:rsid w:val="00AD5988"/>
    <w:rsid w:val="00AD6293"/>
    <w:rsid w:val="00AE1643"/>
    <w:rsid w:val="00AE16AF"/>
    <w:rsid w:val="00AE4015"/>
    <w:rsid w:val="00AF372E"/>
    <w:rsid w:val="00AF7800"/>
    <w:rsid w:val="00B00CF5"/>
    <w:rsid w:val="00B025A7"/>
    <w:rsid w:val="00B03A24"/>
    <w:rsid w:val="00B0606D"/>
    <w:rsid w:val="00B072E0"/>
    <w:rsid w:val="00B075E9"/>
    <w:rsid w:val="00B1007E"/>
    <w:rsid w:val="00B13D41"/>
    <w:rsid w:val="00B253F6"/>
    <w:rsid w:val="00B26675"/>
    <w:rsid w:val="00B305DB"/>
    <w:rsid w:val="00B332F8"/>
    <w:rsid w:val="00B3492B"/>
    <w:rsid w:val="00B34AE5"/>
    <w:rsid w:val="00B379B0"/>
    <w:rsid w:val="00B4646F"/>
    <w:rsid w:val="00B55C7D"/>
    <w:rsid w:val="00B63038"/>
    <w:rsid w:val="00B64BD8"/>
    <w:rsid w:val="00B701D1"/>
    <w:rsid w:val="00B73AF2"/>
    <w:rsid w:val="00B73D79"/>
    <w:rsid w:val="00B7551A"/>
    <w:rsid w:val="00B75D96"/>
    <w:rsid w:val="00B773F1"/>
    <w:rsid w:val="00B86AB1"/>
    <w:rsid w:val="00B87726"/>
    <w:rsid w:val="00B91B22"/>
    <w:rsid w:val="00B96DE3"/>
    <w:rsid w:val="00BA1CC5"/>
    <w:rsid w:val="00BA7EBA"/>
    <w:rsid w:val="00BB2A06"/>
    <w:rsid w:val="00BB2CBB"/>
    <w:rsid w:val="00BB4198"/>
    <w:rsid w:val="00BB58C3"/>
    <w:rsid w:val="00BB6FEA"/>
    <w:rsid w:val="00BC03EE"/>
    <w:rsid w:val="00BC3CF6"/>
    <w:rsid w:val="00BC5214"/>
    <w:rsid w:val="00BC59F1"/>
    <w:rsid w:val="00BD488E"/>
    <w:rsid w:val="00BF3DE1"/>
    <w:rsid w:val="00BF4843"/>
    <w:rsid w:val="00BF5205"/>
    <w:rsid w:val="00C04A3F"/>
    <w:rsid w:val="00C05132"/>
    <w:rsid w:val="00C12508"/>
    <w:rsid w:val="00C23728"/>
    <w:rsid w:val="00C2461F"/>
    <w:rsid w:val="00C3026C"/>
    <w:rsid w:val="00C313A9"/>
    <w:rsid w:val="00C347C8"/>
    <w:rsid w:val="00C358E4"/>
    <w:rsid w:val="00C418EE"/>
    <w:rsid w:val="00C441CF"/>
    <w:rsid w:val="00C45AA2"/>
    <w:rsid w:val="00C46DB0"/>
    <w:rsid w:val="00C4792C"/>
    <w:rsid w:val="00C55BEF"/>
    <w:rsid w:val="00C57C00"/>
    <w:rsid w:val="00C601AF"/>
    <w:rsid w:val="00C60CA9"/>
    <w:rsid w:val="00C615E4"/>
    <w:rsid w:val="00C61A63"/>
    <w:rsid w:val="00C6431F"/>
    <w:rsid w:val="00C66296"/>
    <w:rsid w:val="00C7394D"/>
    <w:rsid w:val="00C75392"/>
    <w:rsid w:val="00C756B7"/>
    <w:rsid w:val="00C77282"/>
    <w:rsid w:val="00C84DE5"/>
    <w:rsid w:val="00C86248"/>
    <w:rsid w:val="00C90B31"/>
    <w:rsid w:val="00C90D40"/>
    <w:rsid w:val="00CA0D6F"/>
    <w:rsid w:val="00CA4C33"/>
    <w:rsid w:val="00CA6F4A"/>
    <w:rsid w:val="00CB3483"/>
    <w:rsid w:val="00CB6427"/>
    <w:rsid w:val="00CC0FBE"/>
    <w:rsid w:val="00CD0099"/>
    <w:rsid w:val="00CD077C"/>
    <w:rsid w:val="00CD2119"/>
    <w:rsid w:val="00CD237A"/>
    <w:rsid w:val="00CD36AC"/>
    <w:rsid w:val="00CE13A3"/>
    <w:rsid w:val="00CE36BC"/>
    <w:rsid w:val="00CE4BBB"/>
    <w:rsid w:val="00CF1747"/>
    <w:rsid w:val="00CF17E3"/>
    <w:rsid w:val="00CF60ED"/>
    <w:rsid w:val="00D05D74"/>
    <w:rsid w:val="00D20C59"/>
    <w:rsid w:val="00D2284E"/>
    <w:rsid w:val="00D22963"/>
    <w:rsid w:val="00D23323"/>
    <w:rsid w:val="00D2392A"/>
    <w:rsid w:val="00D25FFE"/>
    <w:rsid w:val="00D27922"/>
    <w:rsid w:val="00D27A56"/>
    <w:rsid w:val="00D27A64"/>
    <w:rsid w:val="00D37D80"/>
    <w:rsid w:val="00D442BE"/>
    <w:rsid w:val="00D442F3"/>
    <w:rsid w:val="00D44483"/>
    <w:rsid w:val="00D4476F"/>
    <w:rsid w:val="00D50573"/>
    <w:rsid w:val="00D54D50"/>
    <w:rsid w:val="00D560B4"/>
    <w:rsid w:val="00D662F8"/>
    <w:rsid w:val="00D66797"/>
    <w:rsid w:val="00D7087C"/>
    <w:rsid w:val="00D70C3C"/>
    <w:rsid w:val="00D71DF7"/>
    <w:rsid w:val="00D7224C"/>
    <w:rsid w:val="00D72BE5"/>
    <w:rsid w:val="00D81462"/>
    <w:rsid w:val="00D82431"/>
    <w:rsid w:val="00D82F26"/>
    <w:rsid w:val="00D863D0"/>
    <w:rsid w:val="00D86B00"/>
    <w:rsid w:val="00D86FB9"/>
    <w:rsid w:val="00D87C87"/>
    <w:rsid w:val="00D90BB4"/>
    <w:rsid w:val="00D90E07"/>
    <w:rsid w:val="00D932C2"/>
    <w:rsid w:val="00D93E20"/>
    <w:rsid w:val="00DA0232"/>
    <w:rsid w:val="00DA7F9E"/>
    <w:rsid w:val="00DB39CF"/>
    <w:rsid w:val="00DB7256"/>
    <w:rsid w:val="00DC0401"/>
    <w:rsid w:val="00DC20BD"/>
    <w:rsid w:val="00DD0BCD"/>
    <w:rsid w:val="00DD447A"/>
    <w:rsid w:val="00DD60A0"/>
    <w:rsid w:val="00DE3B20"/>
    <w:rsid w:val="00DE6C94"/>
    <w:rsid w:val="00DE6FD7"/>
    <w:rsid w:val="00DF0C7C"/>
    <w:rsid w:val="00E10B18"/>
    <w:rsid w:val="00E23271"/>
    <w:rsid w:val="00E24665"/>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6567B"/>
    <w:rsid w:val="00E67A49"/>
    <w:rsid w:val="00E71F41"/>
    <w:rsid w:val="00E75A02"/>
    <w:rsid w:val="00E76D66"/>
    <w:rsid w:val="00EA796A"/>
    <w:rsid w:val="00EB08F4"/>
    <w:rsid w:val="00EB1856"/>
    <w:rsid w:val="00EB43A9"/>
    <w:rsid w:val="00EC50CE"/>
    <w:rsid w:val="00EC5B34"/>
    <w:rsid w:val="00EC79BD"/>
    <w:rsid w:val="00ED021E"/>
    <w:rsid w:val="00ED323C"/>
    <w:rsid w:val="00EE190A"/>
    <w:rsid w:val="00EE2D5C"/>
    <w:rsid w:val="00EE4ADE"/>
    <w:rsid w:val="00EE4DE8"/>
    <w:rsid w:val="00EE5CB7"/>
    <w:rsid w:val="00F000BF"/>
    <w:rsid w:val="00F024FE"/>
    <w:rsid w:val="00F05AD4"/>
    <w:rsid w:val="00F103BE"/>
    <w:rsid w:val="00F10EB6"/>
    <w:rsid w:val="00F13F07"/>
    <w:rsid w:val="00F140B2"/>
    <w:rsid w:val="00F16595"/>
    <w:rsid w:val="00F17C62"/>
    <w:rsid w:val="00F205E9"/>
    <w:rsid w:val="00F219DF"/>
    <w:rsid w:val="00F25970"/>
    <w:rsid w:val="00F311A9"/>
    <w:rsid w:val="00F31343"/>
    <w:rsid w:val="00F37381"/>
    <w:rsid w:val="00F44CBA"/>
    <w:rsid w:val="00F5180D"/>
    <w:rsid w:val="00F54E74"/>
    <w:rsid w:val="00F63781"/>
    <w:rsid w:val="00F67496"/>
    <w:rsid w:val="00F727D4"/>
    <w:rsid w:val="00F7421E"/>
    <w:rsid w:val="00F801BA"/>
    <w:rsid w:val="00F807AD"/>
    <w:rsid w:val="00F9272A"/>
    <w:rsid w:val="00F9366A"/>
    <w:rsid w:val="00F946C9"/>
    <w:rsid w:val="00FA0EA5"/>
    <w:rsid w:val="00FA68C7"/>
    <w:rsid w:val="00FA74EE"/>
    <w:rsid w:val="00FB0A5B"/>
    <w:rsid w:val="00FB1B8E"/>
    <w:rsid w:val="00FC3711"/>
    <w:rsid w:val="00FC46E7"/>
    <w:rsid w:val="00FC5D25"/>
    <w:rsid w:val="00FD0D7E"/>
    <w:rsid w:val="00FD16C4"/>
    <w:rsid w:val="00FD362F"/>
    <w:rsid w:val="00FD47B6"/>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280814"/>
  <w15:docId w15:val="{EA53407D-EE05-4729-B463-054D2BF0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numPr>
        <w:numId w:val="12"/>
      </w:numPr>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125D45"/>
    <w:pPr>
      <w:tabs>
        <w:tab w:val="right" w:pos="8080"/>
      </w:tabs>
      <w:spacing w:before="12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C2461F"/>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770DB2"/>
    <w:pPr>
      <w:numPr>
        <w:numId w:val="0"/>
      </w:numPr>
      <w:outlineLvl w:val="9"/>
    </w:pPr>
  </w:style>
  <w:style w:type="paragraph" w:customStyle="1" w:styleId="Source">
    <w:name w:val="Source"/>
    <w:basedOn w:val="Note"/>
    <w:next w:val="Normal"/>
    <w:qFormat/>
    <w:rsid w:val="00981BEE"/>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A60020"/>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806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BA1CC5"/>
    <w:pPr>
      <w:spacing w:after="200"/>
    </w:pPr>
    <w:rPr>
      <w:b/>
      <w:bCs/>
      <w:color w:val="4F81BD" w:themeColor="accent1"/>
      <w:sz w:val="18"/>
      <w:szCs w:val="18"/>
    </w:rPr>
  </w:style>
  <w:style w:type="paragraph" w:customStyle="1" w:styleId="Heading3-Appendices">
    <w:name w:val="Heading 3 - Appendices"/>
    <w:basedOn w:val="Heading2"/>
    <w:next w:val="Normal"/>
    <w:qFormat/>
    <w:rsid w:val="00243F44"/>
    <w:rPr>
      <w:sz w:val="40"/>
    </w:rPr>
  </w:style>
  <w:style w:type="paragraph" w:customStyle="1" w:styleId="Heading1-notnumbered">
    <w:name w:val="Heading 1 - not numbered"/>
    <w:basedOn w:val="Heading1"/>
    <w:next w:val="Normal"/>
    <w:qFormat/>
    <w:rsid w:val="002452D5"/>
    <w:pPr>
      <w:numPr>
        <w:ilvl w:val="1"/>
      </w:numPr>
    </w:pPr>
  </w:style>
  <w:style w:type="paragraph" w:customStyle="1" w:styleId="Heading2-Appendices">
    <w:name w:val="Heading 2 - Appendices"/>
    <w:basedOn w:val="Heading2"/>
    <w:next w:val="Normal"/>
    <w:qFormat/>
    <w:rsid w:val="000D51DC"/>
    <w:pPr>
      <w:keepNext w:val="0"/>
      <w:pageBreakBefore/>
      <w:spacing w:before="0" w:after="360"/>
    </w:pPr>
    <w:rPr>
      <w:color w:val="23305D"/>
      <w:sz w:val="64"/>
    </w:rPr>
  </w:style>
  <w:style w:type="paragraph" w:styleId="BalloonText">
    <w:name w:val="Balloon Text"/>
    <w:basedOn w:val="Normal"/>
    <w:link w:val="BalloonTextChar"/>
    <w:uiPriority w:val="99"/>
    <w:semiHidden/>
    <w:unhideWhenUsed/>
    <w:rsid w:val="003F4E6E"/>
    <w:rPr>
      <w:rFonts w:cs="Segoe UI"/>
      <w:sz w:val="18"/>
      <w:szCs w:val="18"/>
    </w:rPr>
  </w:style>
  <w:style w:type="character" w:customStyle="1" w:styleId="BalloonTextChar">
    <w:name w:val="Balloon Text Char"/>
    <w:basedOn w:val="DefaultParagraphFont"/>
    <w:link w:val="BalloonText"/>
    <w:uiPriority w:val="99"/>
    <w:semiHidden/>
    <w:rsid w:val="003F4E6E"/>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health.govt.nz/system/files/documents/publications/diagnosis-and-treatment-of-hypertension-and-pre-eclampsia-in-pregnancy-in-new-zealand-v3.pdf" TargetMode="External"/><Relationship Id="rId39" Type="http://schemas.openxmlformats.org/officeDocument/2006/relationships/hyperlink" Target="https://clinicaltrials.gov/show/NCT03928600" TargetMode="External"/><Relationship Id="rId21" Type="http://schemas.openxmlformats.org/officeDocument/2006/relationships/footer" Target="footer5.xml"/><Relationship Id="rId34" Type="http://schemas.openxmlformats.org/officeDocument/2006/relationships/hyperlink" Target="https://clinicaltrials.gov/show/NCT03472937" TargetMode="External"/><Relationship Id="rId42" Type="http://schemas.openxmlformats.org/officeDocument/2006/relationships/hyperlink" Target="https://clinicaltrials.gov/show/NCT03670836" TargetMode="External"/><Relationship Id="rId47" Type="http://schemas.openxmlformats.org/officeDocument/2006/relationships/hyperlink" Target="https://clinicaltrials.gov/show/NCT03665688" TargetMode="External"/><Relationship Id="rId50" Type="http://schemas.openxmlformats.org/officeDocument/2006/relationships/hyperlink" Target="https://clinicaltrials.gov/show/NCT03380897" TargetMode="External"/><Relationship Id="rId55" Type="http://schemas.openxmlformats.org/officeDocument/2006/relationships/image" Target="media/image7.jpeg"/><Relationship Id="rId63" Type="http://schemas.openxmlformats.org/officeDocument/2006/relationships/hyperlink" Target="https://www-ncbi-nlm-nih-gov.ezproxy.auckland.ac.nz/pubmed/26850983" TargetMode="External"/><Relationship Id="rId68" Type="http://schemas.openxmlformats.org/officeDocument/2006/relationships/hyperlink" Target="http://www.health.govt.nz/system/files/documents/publications/diagnosis-and-treatment-of-hypertension-and-pre-eclampsia-in-pregnancy-in-new-zealand-v3.pdf" TargetMode="External"/><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www.nice.org.uk/guidance/ng3/resources/diabetes-in-pregnancy-management-from-preconception-to-the-postnatal-period-pdf-51038446021"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linicaltrials.gov/show/NCT03001661" TargetMode="External"/><Relationship Id="rId11" Type="http://schemas.openxmlformats.org/officeDocument/2006/relationships/header" Target="header1.xml"/><Relationship Id="rId24" Type="http://schemas.openxmlformats.org/officeDocument/2006/relationships/hyperlink" Target="https://www.health.govt.nz/system/files/documents/publications/screening-diagnosis-management-of-gestational-diabetes-in-nz-clinical-practive-guideline-dec14-v2.pdf" TargetMode="External"/><Relationship Id="rId32" Type="http://schemas.openxmlformats.org/officeDocument/2006/relationships/hyperlink" Target="https://clinicaltrials.gov/show/NCT02956785" TargetMode="External"/><Relationship Id="rId37" Type="http://schemas.openxmlformats.org/officeDocument/2006/relationships/hyperlink" Target="https://clinicaltrials.gov/show/NCT03045939" TargetMode="External"/><Relationship Id="rId40" Type="http://schemas.openxmlformats.org/officeDocument/2006/relationships/hyperlink" Target="https://clinicaltrials.gov/show/NCT03927807" TargetMode="External"/><Relationship Id="rId45" Type="http://schemas.openxmlformats.org/officeDocument/2006/relationships/hyperlink" Target="https://clinicaltrials.gov/show/NCT03934918"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hyperlink" Target="http://cochranelibrary-wiley.com/doi/10.1002/14651858.CD005302.pub3/full" TargetMode="External"/><Relationship Id="rId74" Type="http://schemas.openxmlformats.org/officeDocument/2006/relationships/hyperlink" Target="https://professionals.wrha.mb.ca/old/extranet/eipt/files/EIPT-043-01.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hyperlink" Target="https://clinicaltrials.gov/show/NCT02825641" TargetMode="External"/><Relationship Id="rId36" Type="http://schemas.openxmlformats.org/officeDocument/2006/relationships/hyperlink" Target="https://clinicaltrials.gov/show/NCT02777190" TargetMode="External"/><Relationship Id="rId49" Type="http://schemas.openxmlformats.org/officeDocument/2006/relationships/hyperlink" Target="https://clinicaltrials.gov/show/NCT02975167" TargetMode="External"/><Relationship Id="rId57" Type="http://schemas.openxmlformats.org/officeDocument/2006/relationships/image" Target="media/image9.png"/><Relationship Id="rId61"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clinicaltrials.gov/show/NCT03039036" TargetMode="External"/><Relationship Id="rId44" Type="http://schemas.openxmlformats.org/officeDocument/2006/relationships/hyperlink" Target="https://clinicaltrials.gov/show/NCT03588585" TargetMode="External"/><Relationship Id="rId52" Type="http://schemas.openxmlformats.org/officeDocument/2006/relationships/hyperlink" Target="http://www.anzctr.org.au/Trial/Registration/TrialReview.aspx?id=365522" TargetMode="External"/><Relationship Id="rId60" Type="http://schemas.openxmlformats.org/officeDocument/2006/relationships/image" Target="media/image12.jpeg"/><Relationship Id="rId65" Type="http://schemas.openxmlformats.org/officeDocument/2006/relationships/hyperlink" Target="http://www.rcog.org.uk/globalassets/documents/guidelines/gtg_43.pdf" TargetMode="External"/><Relationship Id="rId73" Type="http://schemas.openxmlformats.org/officeDocument/2006/relationships/hyperlink" Target="https://doi.org/10.1002/uog.17544"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footer" Target="footer6.xml"/><Relationship Id="rId27" Type="http://schemas.openxmlformats.org/officeDocument/2006/relationships/hyperlink" Target="https://www.health.govt.nz/system/files/documents/publications/diagnosis-and-treatment-of-hypertension-and-pre-eclampsia-in-pregnancy-in-new-zealand-v3.pdf" TargetMode="External"/><Relationship Id="rId30" Type="http://schemas.openxmlformats.org/officeDocument/2006/relationships/hyperlink" Target="https://clinicaltrials.gov/show/NCT01720394" TargetMode="External"/><Relationship Id="rId35" Type="http://schemas.openxmlformats.org/officeDocument/2006/relationships/hyperlink" Target="https://clinicaltrials.gov/show/NCT03629548" TargetMode="External"/><Relationship Id="rId43" Type="http://schemas.openxmlformats.org/officeDocument/2006/relationships/hyperlink" Target="http://www.anzctr.org.au/Trial/Registration/TrialReview.aspx?id=370551&amp;isReview=true" TargetMode="External"/><Relationship Id="rId48" Type="http://schemas.openxmlformats.org/officeDocument/2006/relationships/hyperlink" Target="https://clinicaltrials.gov/show/NCT02756689" TargetMode="External"/><Relationship Id="rId56" Type="http://schemas.openxmlformats.org/officeDocument/2006/relationships/image" Target="media/image8.jpeg"/><Relationship Id="rId64" Type="http://schemas.openxmlformats.org/officeDocument/2006/relationships/hyperlink" Target="http://www.v2.i3-uat.nz/our-work/resources/halo-tool-artificial-rupture-of-membranes-poster/" TargetMode="External"/><Relationship Id="rId69" Type="http://schemas.openxmlformats.org/officeDocument/2006/relationships/hyperlink" Target="https://www-ncbi-nlm-nih-gov.ezproxy.auckland.ac.nz/pubmed/28668289"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linicaltrials.gov/show/NCT03752073" TargetMode="External"/><Relationship Id="rId72" Type="http://schemas.openxmlformats.org/officeDocument/2006/relationships/hyperlink" Target="http://www.nice.org.uk/guidance/ng137/resources/twin-and-triplet-pregnancy-pdf-66141724389829"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health.govt.nz/system/files/documents/publications/screening-diagnosis-management-of-gestational-diabetes-in-nz-clinical-practive-guideline-dec14-v2.pdf" TargetMode="External"/><Relationship Id="rId33" Type="http://schemas.openxmlformats.org/officeDocument/2006/relationships/hyperlink" Target="https://clinicaltrials.gov/show/NCT03407625" TargetMode="External"/><Relationship Id="rId38" Type="http://schemas.openxmlformats.org/officeDocument/2006/relationships/hyperlink" Target="https://clinicaltrials.gov/show/NCT02888041" TargetMode="External"/><Relationship Id="rId46" Type="http://schemas.openxmlformats.org/officeDocument/2006/relationships/hyperlink" Target="http://www.anzctr.org.au/Trial/Registration/TrialReview.aspx?id=370330&amp;isReview=true" TargetMode="External"/><Relationship Id="rId59" Type="http://schemas.openxmlformats.org/officeDocument/2006/relationships/image" Target="media/image11.jpeg"/><Relationship Id="rId67" Type="http://schemas.openxmlformats.org/officeDocument/2006/relationships/hyperlink" Target="http://www.health.govt.nz/system/files/documents/publications/screening-diagnosis-management-of-gestational-diabetes-in-nz-clinical-practive-guideline-dec14-v2.pdf" TargetMode="External"/><Relationship Id="rId20" Type="http://schemas.openxmlformats.org/officeDocument/2006/relationships/footer" Target="footer4.xml"/><Relationship Id="rId41" Type="http://schemas.openxmlformats.org/officeDocument/2006/relationships/hyperlink" Target="https://clinicaltrials.gov/show/NCT02902653"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hyperlink" Target="http://www.nice.org.uk/guidance/cg70/resources/inducing-labour-pdf-975621704389"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vimeo.com/316244298" TargetMode="External"/><Relationship Id="rId2" Type="http://schemas.openxmlformats.org/officeDocument/2006/relationships/hyperlink" Target="http://www.oblige.auckland.ac.nz" TargetMode="External"/><Relationship Id="rId1" Type="http://schemas.openxmlformats.org/officeDocument/2006/relationships/hyperlink" Target="mailto:info@wha.org.nz" TargetMode="External"/><Relationship Id="rId4" Type="http://schemas.openxmlformats.org/officeDocument/2006/relationships/hyperlink" Target="http://www.oblige.auckland.ac.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3" ma:contentTypeDescription="Create a new document." ma:contentTypeScope="" ma:versionID="0956c46508ab67582f57880a96af6f11">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4329bfc24100de3222ad67f085398f0b"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F1A66-27C5-457D-9B3A-CCA08699BC41}">
  <ds:schemaRefs>
    <ds:schemaRef ds:uri="http://schemas.microsoft.com/sharepoint/v3/contenttype/forms"/>
  </ds:schemaRefs>
</ds:datastoreItem>
</file>

<file path=customXml/itemProps2.xml><?xml version="1.0" encoding="utf-8"?>
<ds:datastoreItem xmlns:ds="http://schemas.openxmlformats.org/officeDocument/2006/customXml" ds:itemID="{87CE930B-4862-4F9E-A2C0-43563C0B24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418A0E-14F6-4302-AB0E-08C62060D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3A82C2-F4E3-43B2-B951-B9612526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112</Pages>
  <Words>35021</Words>
  <Characters>206003</Characters>
  <Application>Microsoft Office Word</Application>
  <DocSecurity>4</DocSecurity>
  <Lines>1716</Lines>
  <Paragraphs>481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of Labour in Aotearoa New Zealand: A clinical practice guideline 2019</dc:title>
  <dc:creator>Ministry of Health</dc:creator>
  <cp:lastModifiedBy>Amanda Rouse</cp:lastModifiedBy>
  <cp:revision>2</cp:revision>
  <cp:lastPrinted>2021-06-28T03:57:00Z</cp:lastPrinted>
  <dcterms:created xsi:type="dcterms:W3CDTF">2021-06-28T20:18:00Z</dcterms:created>
  <dcterms:modified xsi:type="dcterms:W3CDTF">2021-06-28T20:18:00Z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ies>
</file>