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lang w:val="en-NZ"/>
        </w:rPr>
        <w:id w:val="797177477"/>
        <w:docPartObj>
          <w:docPartGallery w:val="Cover Pages"/>
          <w:docPartUnique/>
        </w:docPartObj>
      </w:sdtPr>
      <w:sdtContent>
        <w:p w14:paraId="485AD620" w14:textId="4A20E358" w:rsidR="00EB3422" w:rsidRPr="00CC0F9B" w:rsidRDefault="001A489B" w:rsidP="00EB3422">
          <w:pPr>
            <w:rPr>
              <w:lang w:val="en-NZ"/>
            </w:rPr>
          </w:pPr>
          <w:r w:rsidRPr="00CC0F9B">
            <w:rPr>
              <w:noProof/>
              <w:lang w:val="en-NZ"/>
            </w:rPr>
            <w:drawing>
              <wp:anchor distT="0" distB="0" distL="114300" distR="114300" simplePos="0" relativeHeight="251658242" behindDoc="1" locked="0" layoutInCell="1" allowOverlap="1" wp14:anchorId="6ABE854D" wp14:editId="0CD295AE">
                <wp:simplePos x="0" y="0"/>
                <wp:positionH relativeFrom="page">
                  <wp:align>left</wp:align>
                </wp:positionH>
                <wp:positionV relativeFrom="paragraph">
                  <wp:posOffset>-962025</wp:posOffset>
                </wp:positionV>
                <wp:extent cx="7553322" cy="10716895"/>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3322" cy="10716895"/>
                        </a:xfrm>
                        <a:prstGeom prst="rect">
                          <a:avLst/>
                        </a:prstGeom>
                      </pic:spPr>
                    </pic:pic>
                  </a:graphicData>
                </a:graphic>
                <wp14:sizeRelH relativeFrom="margin">
                  <wp14:pctWidth>0</wp14:pctWidth>
                </wp14:sizeRelH>
                <wp14:sizeRelV relativeFrom="margin">
                  <wp14:pctHeight>0</wp14:pctHeight>
                </wp14:sizeRelV>
              </wp:anchor>
            </w:drawing>
          </w:r>
        </w:p>
        <w:p w14:paraId="3DF48A19" w14:textId="65078353" w:rsidR="007B1CD7" w:rsidRPr="00CC0F9B" w:rsidRDefault="00EB3422">
          <w:pPr>
            <w:rPr>
              <w:lang w:val="en-NZ"/>
            </w:rPr>
          </w:pPr>
          <w:r w:rsidRPr="00CC0F9B">
            <w:rPr>
              <w:lang w:val="en-NZ"/>
            </w:rPr>
            <w:br w:type="page"/>
          </w:r>
          <w:r w:rsidRPr="00CC0F9B">
            <w:rPr>
              <w:rFonts w:eastAsia="Roboto"/>
              <w:noProof/>
              <w:lang w:val="en-NZ"/>
            </w:rPr>
            <mc:AlternateContent>
              <mc:Choice Requires="wps">
                <w:drawing>
                  <wp:anchor distT="45720" distB="45720" distL="114300" distR="114300" simplePos="0" relativeHeight="251658240" behindDoc="0" locked="1" layoutInCell="1" allowOverlap="1" wp14:anchorId="3A4AC54B" wp14:editId="24836578">
                    <wp:simplePos x="0" y="0"/>
                    <wp:positionH relativeFrom="margin">
                      <wp:posOffset>-381000</wp:posOffset>
                    </wp:positionH>
                    <wp:positionV relativeFrom="paragraph">
                      <wp:posOffset>753745</wp:posOffset>
                    </wp:positionV>
                    <wp:extent cx="6065520" cy="353377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3533775"/>
                            </a:xfrm>
                            <a:prstGeom prst="rect">
                              <a:avLst/>
                            </a:prstGeom>
                            <a:noFill/>
                            <a:ln w="9525">
                              <a:noFill/>
                              <a:miter lim="800000"/>
                              <a:headEnd/>
                              <a:tailEnd/>
                            </a:ln>
                          </wps:spPr>
                          <wps:txbx>
                            <w:txbxContent>
                              <w:p w14:paraId="55E3ED00" w14:textId="2A38135D" w:rsidR="00EB3422" w:rsidRDefault="007B1CD7" w:rsidP="00EB3422">
                                <w:pPr>
                                  <w:pStyle w:val="NoSpacing"/>
                                  <w:rPr>
                                    <w:sz w:val="56"/>
                                    <w:szCs w:val="56"/>
                                  </w:rPr>
                                </w:pPr>
                                <w:r w:rsidRPr="007B1CD7">
                                  <w:rPr>
                                    <w:sz w:val="56"/>
                                    <w:szCs w:val="56"/>
                                  </w:rPr>
                                  <w:t xml:space="preserve">The Environmental Case Management of </w:t>
                                </w:r>
                                <w:r w:rsidR="00DC20AA">
                                  <w:rPr>
                                    <w:sz w:val="56"/>
                                    <w:szCs w:val="56"/>
                                  </w:rPr>
                                  <w:t xml:space="preserve">Persons Exposed to </w:t>
                                </w:r>
                                <w:r w:rsidRPr="007B1CD7">
                                  <w:rPr>
                                    <w:sz w:val="56"/>
                                    <w:szCs w:val="56"/>
                                  </w:rPr>
                                  <w:t xml:space="preserve">Harmful Algal Bloom and Cyanobacteria </w:t>
                                </w:r>
                              </w:p>
                              <w:p w14:paraId="5067DB59" w14:textId="77777777" w:rsidR="006B6F8B" w:rsidRDefault="006B6F8B" w:rsidP="00EB3422">
                                <w:pPr>
                                  <w:pStyle w:val="NoSpacing"/>
                                  <w:rPr>
                                    <w:sz w:val="44"/>
                                    <w:szCs w:val="44"/>
                                  </w:rPr>
                                </w:pPr>
                              </w:p>
                              <w:p w14:paraId="67A9A128" w14:textId="6C45E4CF" w:rsidR="007B1CD7" w:rsidRPr="007B1CD7" w:rsidRDefault="007B1CD7" w:rsidP="00EB3422">
                                <w:pPr>
                                  <w:pStyle w:val="NoSpacing"/>
                                  <w:rPr>
                                    <w:sz w:val="44"/>
                                    <w:szCs w:val="44"/>
                                  </w:rPr>
                                </w:pPr>
                                <w:r w:rsidRPr="007B1CD7">
                                  <w:rPr>
                                    <w:sz w:val="44"/>
                                    <w:szCs w:val="44"/>
                                  </w:rPr>
                                  <w:t xml:space="preserve">Guidelines for Public Health </w:t>
                                </w:r>
                                <w:r w:rsidR="00532842">
                                  <w:rPr>
                                    <w:sz w:val="44"/>
                                    <w:szCs w:val="44"/>
                                  </w:rPr>
                                  <w:t>Officers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4AC54B" id="_x0000_t202" coordsize="21600,21600" o:spt="202" path="m,l,21600r21600,l21600,xe">
                    <v:stroke joinstyle="miter"/>
                    <v:path gradientshapeok="t" o:connecttype="rect"/>
                  </v:shapetype>
                  <v:shape id="Text Box 217" o:spid="_x0000_s1026" type="#_x0000_t202" style="position:absolute;margin-left:-30pt;margin-top:59.35pt;width:477.6pt;height:278.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lz+QEAAM4DAAAOAAAAZHJzL2Uyb0RvYy54bWysU8tu2zAQvBfoPxC815IfshPBcpAmTVEg&#10;fQBpP4CiKIsoyWVJ2pL79VlSimO0t6I6EKSWO7szO9zeDFqRo3BegqnofJZTIgyHRpp9RX98f3h3&#10;RYkPzDRMgREVPQlPb3Zv32x7W4oFdKAa4QiCGF/2tqJdCLbMMs87oZmfgRUGgy04zQIe3T5rHOsR&#10;XatskefrrAfXWAdceI9/78cg3SX8thU8fG1bLwJRFcXeQlpdWuu4ZrstK/eO2U7yqQ32D11oJg0W&#10;PUPds8DIwcm/oLTkDjy0YcZBZ9C2kovEAdnM8z/YPHXMisQFxfH2LJP/f7D8y/HJfnMkDO9hwAEm&#10;Et4+Av/piYG7jpm9uHUO+k6wBgvPo2RZb305pUapfekjSN1/hgaHzA4BEtDQOh1VQZ4E0XEAp7Po&#10;YgiE4891vi6KBYY4xpbFcrnZFKkGK1/SrfPhowBN4qaiDqea4Nnx0YfYDitfrsRqBh6kUmmyypC+&#10;otfFokgJFxEtAxpPSV3Rqzx+oxUiyw+mScmBSTXusYAyE+3IdOQchnrAi5F+Dc0JBXAwGgwfBG46&#10;cL8p6dFcFfW/DswJStQngyJez1er6MZ0WBWbSN9dRurLCDMcoSoaKBm3dyE5eOR6i2K3Msnw2snU&#10;K5omqTMZPLry8pxuvT7D3TMAAAD//wMAUEsDBBQABgAIAAAAIQCqp5v03wAAAAsBAAAPAAAAZHJz&#10;L2Rvd25yZXYueG1sTI/BbsIwEETvlfgHa5F6AxtUQkjjIETVa6vSFombiZckaryOYkPSv+/21N52&#10;NKPZN/l2dK24YR8aTxoWcwUCqfS2oUrDx/vzLAURoiFrWk+o4RsDbIvJXW4y6wd6w9shVoJLKGRG&#10;Qx1jl0kZyhqdCXPfIbF38b0zkWVfSdubgctdK5dKJdKZhvhDbTrc11h+Ha5Ow+fL5XR8UK/Vk1t1&#10;gx+VJLeRWt9Px90jiIhj/AvDLz6jQ8FMZ38lG0SrYZYo3hLZWKRrEJxIN6sliLOGZM2HLHL5f0Px&#10;AwAA//8DAFBLAQItABQABgAIAAAAIQC2gziS/gAAAOEBAAATAAAAAAAAAAAAAAAAAAAAAABbQ29u&#10;dGVudF9UeXBlc10ueG1sUEsBAi0AFAAGAAgAAAAhADj9If/WAAAAlAEAAAsAAAAAAAAAAAAAAAAA&#10;LwEAAF9yZWxzLy5yZWxzUEsBAi0AFAAGAAgAAAAhAAksOXP5AQAAzgMAAA4AAAAAAAAAAAAAAAAA&#10;LgIAAGRycy9lMm9Eb2MueG1sUEsBAi0AFAAGAAgAAAAhAKqnm/TfAAAACwEAAA8AAAAAAAAAAAAA&#10;AAAAUwQAAGRycy9kb3ducmV2LnhtbFBLBQYAAAAABAAEAPMAAABfBQAAAAA=&#10;" filled="f" stroked="f">
                    <v:textbox>
                      <w:txbxContent>
                        <w:p w14:paraId="55E3ED00" w14:textId="2A38135D" w:rsidR="00EB3422" w:rsidRDefault="007B1CD7" w:rsidP="00EB3422">
                          <w:pPr>
                            <w:pStyle w:val="NoSpacing"/>
                            <w:rPr>
                              <w:sz w:val="56"/>
                              <w:szCs w:val="56"/>
                            </w:rPr>
                          </w:pPr>
                          <w:r w:rsidRPr="007B1CD7">
                            <w:rPr>
                              <w:sz w:val="56"/>
                              <w:szCs w:val="56"/>
                            </w:rPr>
                            <w:t xml:space="preserve">The Environmental Case Management of </w:t>
                          </w:r>
                          <w:r w:rsidR="00DC20AA">
                            <w:rPr>
                              <w:sz w:val="56"/>
                              <w:szCs w:val="56"/>
                            </w:rPr>
                            <w:t xml:space="preserve">Persons Exposed to </w:t>
                          </w:r>
                          <w:r w:rsidRPr="007B1CD7">
                            <w:rPr>
                              <w:sz w:val="56"/>
                              <w:szCs w:val="56"/>
                            </w:rPr>
                            <w:t xml:space="preserve">Harmful Algal Bloom and Cyanobacteria </w:t>
                          </w:r>
                        </w:p>
                        <w:p w14:paraId="5067DB59" w14:textId="77777777" w:rsidR="006B6F8B" w:rsidRDefault="006B6F8B" w:rsidP="00EB3422">
                          <w:pPr>
                            <w:pStyle w:val="NoSpacing"/>
                            <w:rPr>
                              <w:sz w:val="44"/>
                              <w:szCs w:val="44"/>
                            </w:rPr>
                          </w:pPr>
                        </w:p>
                        <w:p w14:paraId="67A9A128" w14:textId="6C45E4CF" w:rsidR="007B1CD7" w:rsidRPr="007B1CD7" w:rsidRDefault="007B1CD7" w:rsidP="00EB3422">
                          <w:pPr>
                            <w:pStyle w:val="NoSpacing"/>
                            <w:rPr>
                              <w:sz w:val="44"/>
                              <w:szCs w:val="44"/>
                            </w:rPr>
                          </w:pPr>
                          <w:r w:rsidRPr="007B1CD7">
                            <w:rPr>
                              <w:sz w:val="44"/>
                              <w:szCs w:val="44"/>
                            </w:rPr>
                            <w:t xml:space="preserve">Guidelines for Public Health </w:t>
                          </w:r>
                          <w:r w:rsidR="00532842">
                            <w:rPr>
                              <w:sz w:val="44"/>
                              <w:szCs w:val="44"/>
                            </w:rPr>
                            <w:t>Officers</w:t>
                          </w:r>
                        </w:p>
                      </w:txbxContent>
                    </v:textbox>
                    <w10:wrap type="square" anchorx="margin"/>
                    <w10:anchorlock/>
                  </v:shape>
                </w:pict>
              </mc:Fallback>
            </mc:AlternateContent>
          </w:r>
        </w:p>
      </w:sdtContent>
    </w:sdt>
    <w:p w14:paraId="48CC9171" w14:textId="2FCDD944" w:rsidR="00D20262" w:rsidRPr="00CC0F9B" w:rsidRDefault="00D20262" w:rsidP="00D20262">
      <w:pPr>
        <w:spacing w:before="120" w:after="240" w:line="288" w:lineRule="auto"/>
        <w:rPr>
          <w:rFonts w:eastAsia="Arial" w:cs="Times New Roman"/>
          <w:lang w:val="en-NZ"/>
        </w:rPr>
      </w:pPr>
      <w:r w:rsidRPr="00CC0F9B">
        <w:rPr>
          <w:rFonts w:eastAsia="Arial" w:cs="Times New Roman"/>
          <w:sz w:val="24"/>
          <w:lang w:val="en-NZ"/>
        </w:rPr>
        <w:lastRenderedPageBreak/>
        <w:t xml:space="preserve">Citation: Health New Zealand </w:t>
      </w:r>
      <w:r w:rsidR="00604F78">
        <w:rPr>
          <w:rFonts w:eastAsia="Arial" w:cs="Times New Roman"/>
          <w:sz w:val="24"/>
          <w:lang w:val="en-NZ"/>
        </w:rPr>
        <w:t>|</w:t>
      </w:r>
      <w:r w:rsidRPr="00CC0F9B">
        <w:rPr>
          <w:rFonts w:eastAsia="Arial" w:cs="Times New Roman"/>
          <w:sz w:val="24"/>
          <w:lang w:val="en-NZ"/>
        </w:rPr>
        <w:t xml:space="preserve"> Te Whatu Ora</w:t>
      </w:r>
      <w:r w:rsidR="001F16BF" w:rsidRPr="00CC0F9B">
        <w:rPr>
          <w:rFonts w:eastAsia="Arial" w:cs="Times New Roman"/>
          <w:sz w:val="24"/>
          <w:lang w:val="en-NZ"/>
        </w:rPr>
        <w:t>.</w:t>
      </w:r>
      <w:r w:rsidRPr="00CC0F9B">
        <w:rPr>
          <w:rFonts w:eastAsia="Arial" w:cs="Times New Roman"/>
          <w:sz w:val="24"/>
          <w:lang w:val="en-NZ"/>
        </w:rPr>
        <w:t xml:space="preserve"> 2024. </w:t>
      </w:r>
      <w:r w:rsidRPr="00CC0F9B">
        <w:rPr>
          <w:rFonts w:eastAsia="Arial" w:cs="Times New Roman"/>
          <w:i/>
          <w:iCs/>
          <w:sz w:val="24"/>
          <w:lang w:val="en-NZ"/>
        </w:rPr>
        <w:t xml:space="preserve">The Environmental Case Management of </w:t>
      </w:r>
      <w:r w:rsidR="00126701" w:rsidRPr="00CC0F9B">
        <w:rPr>
          <w:rFonts w:eastAsia="Arial" w:cs="Times New Roman"/>
          <w:i/>
          <w:iCs/>
          <w:sz w:val="24"/>
          <w:lang w:val="en-NZ"/>
        </w:rPr>
        <w:t>P</w:t>
      </w:r>
      <w:r w:rsidR="001F16BF" w:rsidRPr="00CC0F9B">
        <w:rPr>
          <w:rFonts w:eastAsia="Arial" w:cs="Times New Roman"/>
          <w:i/>
          <w:iCs/>
          <w:sz w:val="24"/>
          <w:lang w:val="en-NZ"/>
        </w:rPr>
        <w:t xml:space="preserve">ersons Exposed to Harmful Algal </w:t>
      </w:r>
      <w:r w:rsidR="00126701" w:rsidRPr="00CC0F9B">
        <w:rPr>
          <w:rFonts w:eastAsia="Arial" w:cs="Times New Roman"/>
          <w:i/>
          <w:iCs/>
          <w:sz w:val="24"/>
          <w:lang w:val="en-NZ"/>
        </w:rPr>
        <w:t>B</w:t>
      </w:r>
      <w:r w:rsidR="001F16BF" w:rsidRPr="00CC0F9B">
        <w:rPr>
          <w:rFonts w:eastAsia="Arial" w:cs="Times New Roman"/>
          <w:i/>
          <w:iCs/>
          <w:sz w:val="24"/>
          <w:lang w:val="en-NZ"/>
        </w:rPr>
        <w:t>loom and Cy</w:t>
      </w:r>
      <w:r w:rsidR="004B3B4C" w:rsidRPr="00CC0F9B">
        <w:rPr>
          <w:rFonts w:eastAsia="Arial" w:cs="Times New Roman"/>
          <w:i/>
          <w:iCs/>
          <w:sz w:val="24"/>
          <w:lang w:val="en-NZ"/>
        </w:rPr>
        <w:t>anobacteria</w:t>
      </w:r>
      <w:r w:rsidRPr="00CC0F9B">
        <w:rPr>
          <w:rFonts w:eastAsia="Arial" w:cs="Times New Roman"/>
          <w:i/>
          <w:iCs/>
          <w:sz w:val="24"/>
          <w:lang w:val="en-NZ"/>
        </w:rPr>
        <w:t>: Guidelines for Public Health Officers</w:t>
      </w:r>
      <w:r w:rsidRPr="00CC0F9B">
        <w:rPr>
          <w:rFonts w:eastAsia="Arial" w:cs="Times New Roman"/>
          <w:sz w:val="24"/>
          <w:lang w:val="en-NZ"/>
        </w:rPr>
        <w:t>. Wellington:</w:t>
      </w:r>
      <w:r w:rsidR="004B3B4C" w:rsidRPr="00CC0F9B">
        <w:rPr>
          <w:rFonts w:eastAsia="Arial" w:cs="Times New Roman"/>
          <w:sz w:val="24"/>
          <w:lang w:val="en-NZ"/>
        </w:rPr>
        <w:t xml:space="preserve"> </w:t>
      </w:r>
      <w:r w:rsidRPr="00CC0F9B">
        <w:rPr>
          <w:rFonts w:eastAsia="Arial" w:cs="Times New Roman"/>
          <w:sz w:val="24"/>
          <w:lang w:val="en-NZ"/>
        </w:rPr>
        <w:t>Health New Zealand</w:t>
      </w:r>
      <w:r w:rsidR="004B3B4C" w:rsidRPr="00CC0F9B">
        <w:rPr>
          <w:rFonts w:eastAsia="Arial" w:cs="Times New Roman"/>
          <w:sz w:val="24"/>
          <w:lang w:val="en-NZ"/>
        </w:rPr>
        <w:t xml:space="preserve"> </w:t>
      </w:r>
      <w:r w:rsidR="00D62E94">
        <w:rPr>
          <w:rFonts w:eastAsia="Arial" w:cs="Times New Roman"/>
          <w:sz w:val="24"/>
          <w:lang w:val="en-NZ"/>
        </w:rPr>
        <w:t>|</w:t>
      </w:r>
      <w:r w:rsidR="004B3B4C" w:rsidRPr="00CC0F9B">
        <w:rPr>
          <w:rFonts w:eastAsia="Arial" w:cs="Times New Roman"/>
          <w:sz w:val="24"/>
          <w:lang w:val="en-NZ"/>
        </w:rPr>
        <w:t xml:space="preserve"> Te Whatu Ora</w:t>
      </w:r>
      <w:r w:rsidRPr="00CC0F9B">
        <w:rPr>
          <w:rFonts w:eastAsia="Arial" w:cs="Times New Roman"/>
          <w:sz w:val="24"/>
          <w:lang w:val="en-NZ"/>
        </w:rPr>
        <w:t>.</w:t>
      </w:r>
    </w:p>
    <w:p w14:paraId="575D6C41" w14:textId="52864832" w:rsidR="00F67804" w:rsidRPr="00CC0F9B" w:rsidRDefault="007A03D1" w:rsidP="00821F51">
      <w:pPr>
        <w:spacing w:after="0" w:line="240" w:lineRule="auto"/>
        <w:rPr>
          <w:sz w:val="24"/>
          <w:lang w:val="en-NZ"/>
        </w:rPr>
      </w:pPr>
      <w:r w:rsidRPr="00CC0F9B">
        <w:rPr>
          <w:sz w:val="24"/>
          <w:lang w:val="en-NZ"/>
        </w:rPr>
        <w:t xml:space="preserve">Published </w:t>
      </w:r>
      <w:r w:rsidRPr="006B6F8B">
        <w:rPr>
          <w:sz w:val="24"/>
          <w:lang w:val="en-NZ"/>
        </w:rPr>
        <w:t xml:space="preserve">in </w:t>
      </w:r>
      <w:r w:rsidR="00BD7E7F" w:rsidRPr="006B6F8B">
        <w:rPr>
          <w:sz w:val="24"/>
          <w:lang w:val="en-NZ"/>
        </w:rPr>
        <w:t>October</w:t>
      </w:r>
      <w:r w:rsidRPr="006B6F8B">
        <w:rPr>
          <w:sz w:val="24"/>
          <w:lang w:val="en-NZ"/>
        </w:rPr>
        <w:t xml:space="preserve"> 2024</w:t>
      </w:r>
      <w:r w:rsidR="00F67804" w:rsidRPr="00CC0F9B">
        <w:rPr>
          <w:sz w:val="24"/>
          <w:lang w:val="en-NZ"/>
        </w:rPr>
        <w:t xml:space="preserve"> by </w:t>
      </w:r>
      <w:r w:rsidR="004B3B4C" w:rsidRPr="00CC0F9B">
        <w:rPr>
          <w:sz w:val="24"/>
          <w:lang w:val="en-NZ"/>
        </w:rPr>
        <w:t xml:space="preserve">Health New Zealand </w:t>
      </w:r>
      <w:r w:rsidR="00C35296">
        <w:rPr>
          <w:sz w:val="24"/>
          <w:lang w:val="en-NZ"/>
        </w:rPr>
        <w:t>|</w:t>
      </w:r>
      <w:r w:rsidR="00C35296" w:rsidRPr="00CC0F9B">
        <w:rPr>
          <w:sz w:val="24"/>
          <w:lang w:val="en-NZ"/>
        </w:rPr>
        <w:t xml:space="preserve"> </w:t>
      </w:r>
      <w:r w:rsidR="00D20262" w:rsidRPr="00CC0F9B">
        <w:rPr>
          <w:sz w:val="24"/>
          <w:lang w:val="en-NZ"/>
        </w:rPr>
        <w:t>Te Whatu Ora</w:t>
      </w:r>
    </w:p>
    <w:p w14:paraId="01ED3DA8" w14:textId="77777777" w:rsidR="006B6F8B" w:rsidRDefault="00D20262" w:rsidP="006B6F8B">
      <w:pPr>
        <w:spacing w:after="0" w:line="240" w:lineRule="auto"/>
        <w:rPr>
          <w:sz w:val="24"/>
          <w:lang w:val="en-NZ"/>
        </w:rPr>
      </w:pPr>
      <w:r w:rsidRPr="00CC0F9B">
        <w:rPr>
          <w:sz w:val="24"/>
          <w:lang w:val="en-NZ"/>
        </w:rPr>
        <w:t>PO Box 793, Wellington 6140, New Zealand</w:t>
      </w:r>
    </w:p>
    <w:p w14:paraId="41E3E3BF" w14:textId="77777777" w:rsidR="006B6F8B" w:rsidRDefault="006B6F8B" w:rsidP="006B6F8B">
      <w:pPr>
        <w:spacing w:after="0" w:line="240" w:lineRule="auto"/>
        <w:rPr>
          <w:sz w:val="24"/>
          <w:lang w:val="en-NZ"/>
        </w:rPr>
      </w:pPr>
    </w:p>
    <w:p w14:paraId="76A5A9F3" w14:textId="0562FF2C" w:rsidR="00D20262" w:rsidRPr="006B6F8B" w:rsidRDefault="00D20262" w:rsidP="006B6F8B">
      <w:pPr>
        <w:spacing w:after="0" w:line="240" w:lineRule="auto"/>
        <w:rPr>
          <w:sz w:val="24"/>
          <w:lang w:val="en-NZ"/>
        </w:rPr>
      </w:pPr>
      <w:r w:rsidRPr="00CC0F9B">
        <w:rPr>
          <w:rFonts w:eastAsia="Arial" w:cs="Times New Roman"/>
          <w:sz w:val="24"/>
          <w:lang w:val="en-NZ"/>
        </w:rPr>
        <w:t xml:space="preserve">ISBN </w:t>
      </w:r>
      <w:r w:rsidR="006B6F8B" w:rsidRPr="006B6F8B">
        <w:rPr>
          <w:rFonts w:eastAsia="Arial" w:cs="Times New Roman"/>
          <w:sz w:val="24"/>
          <w:lang w:val="en-NZ"/>
        </w:rPr>
        <w:t xml:space="preserve">978-1-991139-14-6 </w:t>
      </w:r>
      <w:r w:rsidRPr="00CC0F9B">
        <w:rPr>
          <w:rFonts w:eastAsia="Arial" w:cs="Times New Roman"/>
          <w:sz w:val="24"/>
          <w:lang w:val="en-NZ"/>
        </w:rPr>
        <w:t>(online)</w:t>
      </w:r>
      <w:r w:rsidRPr="00CC0F9B">
        <w:rPr>
          <w:rFonts w:eastAsia="Arial" w:cs="Times New Roman"/>
          <w:sz w:val="24"/>
          <w:lang w:val="en-NZ" w:eastAsia="en-NZ"/>
        </w:rPr>
        <w:t xml:space="preserve"> </w:t>
      </w:r>
    </w:p>
    <w:p w14:paraId="74260002" w14:textId="42FF5524" w:rsidR="006576EA" w:rsidRDefault="006576EA" w:rsidP="006576EA">
      <w:pPr>
        <w:pStyle w:val="NormalWeb"/>
      </w:pPr>
      <w:r>
        <w:rPr>
          <w:noProof/>
        </w:rPr>
        <w:drawing>
          <wp:inline distT="0" distB="0" distL="0" distR="0" wp14:anchorId="7E67EE18" wp14:editId="39C0D562">
            <wp:extent cx="1952625" cy="525257"/>
            <wp:effectExtent l="0" t="0" r="0" b="8255"/>
            <wp:docPr id="1150208469" name="Picture 1" descr="Health New Zealand |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208469" name="Picture 1" descr="Health New Zealand | Te Whatu Ora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6664" cy="537104"/>
                    </a:xfrm>
                    <a:prstGeom prst="rect">
                      <a:avLst/>
                    </a:prstGeom>
                    <a:noFill/>
                    <a:ln>
                      <a:noFill/>
                    </a:ln>
                  </pic:spPr>
                </pic:pic>
              </a:graphicData>
            </a:graphic>
          </wp:inline>
        </w:drawing>
      </w:r>
    </w:p>
    <w:p w14:paraId="5EE1D0A3" w14:textId="77777777" w:rsidR="00D20262" w:rsidRPr="00CC0F9B" w:rsidRDefault="00D20262" w:rsidP="00D20262">
      <w:pPr>
        <w:spacing w:before="120" w:after="240" w:line="288" w:lineRule="auto"/>
        <w:rPr>
          <w:rFonts w:eastAsia="Arial"/>
          <w:sz w:val="24"/>
          <w:lang w:val="en-NZ"/>
        </w:rPr>
      </w:pPr>
      <w:r w:rsidRPr="00CC0F9B">
        <w:rPr>
          <w:rFonts w:eastAsia="Arial"/>
          <w:sz w:val="24"/>
          <w:lang w:val="en-NZ"/>
        </w:rPr>
        <w:t xml:space="preserve">This document is available at </w:t>
      </w:r>
      <w:hyperlink r:id="rId10" w:history="1">
        <w:r w:rsidRPr="00CC0F9B">
          <w:rPr>
            <w:rFonts w:eastAsia="Arial"/>
            <w:b/>
            <w:bCs/>
            <w:sz w:val="24"/>
            <w:u w:val="single"/>
            <w:lang w:val="en-NZ"/>
          </w:rPr>
          <w:t>tewhatuora.govt.nz</w:t>
        </w:r>
      </w:hyperlink>
      <w:r w:rsidRPr="00CC0F9B">
        <w:rPr>
          <w:rFonts w:eastAsia="Arial"/>
          <w:sz w:val="24"/>
          <w:lang w:val="en-NZ"/>
        </w:rPr>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61"/>
        <w:gridCol w:w="7365"/>
      </w:tblGrid>
      <w:tr w:rsidR="00D20262" w:rsidRPr="00CC0F9B" w14:paraId="330ED9DE" w14:textId="77777777" w:rsidTr="00AB6AB2">
        <w:tc>
          <w:tcPr>
            <w:tcW w:w="1696" w:type="dxa"/>
            <w:vAlign w:val="center"/>
          </w:tcPr>
          <w:p w14:paraId="180DF328" w14:textId="77777777" w:rsidR="00D20262" w:rsidRPr="00CC0F9B" w:rsidRDefault="00D20262" w:rsidP="00D20262">
            <w:pPr>
              <w:spacing w:before="120" w:after="240" w:line="288" w:lineRule="auto"/>
              <w:rPr>
                <w:rFonts w:eastAsia="Arial"/>
                <w:sz w:val="24"/>
                <w:lang w:val="en-NZ"/>
              </w:rPr>
            </w:pPr>
            <w:r w:rsidRPr="00CC0F9B">
              <w:rPr>
                <w:rFonts w:eastAsia="Arial"/>
                <w:b/>
                <w:noProof/>
                <w:sz w:val="15"/>
                <w:szCs w:val="15"/>
                <w:lang w:val="en-NZ" w:eastAsia="en-NZ"/>
              </w:rPr>
              <w:drawing>
                <wp:inline distT="0" distB="0" distL="0" distR="0" wp14:anchorId="136A56E2" wp14:editId="7193E288">
                  <wp:extent cx="809625" cy="285750"/>
                  <wp:effectExtent l="0" t="0" r="9525" b="0"/>
                  <wp:docPr id="627928992" name="Picture 627928992"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6A35F542" w14:textId="77777777" w:rsidR="00D20262" w:rsidRPr="00CC0F9B" w:rsidRDefault="00D20262" w:rsidP="00D20262">
            <w:pPr>
              <w:spacing w:before="120" w:after="240" w:line="288" w:lineRule="auto"/>
              <w:rPr>
                <w:rFonts w:eastAsia="Arial"/>
                <w:sz w:val="24"/>
                <w:lang w:val="en-NZ"/>
              </w:rPr>
            </w:pPr>
            <w:r w:rsidRPr="00CC0F9B">
              <w:rPr>
                <w:rFonts w:eastAsia="Arial"/>
                <w:sz w:val="24"/>
                <w:lang w:val="en-NZ"/>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2C243928" w14:textId="77777777" w:rsidR="00D22A76" w:rsidRPr="00CC0F9B" w:rsidRDefault="00D22A76">
      <w:pPr>
        <w:rPr>
          <w:rFonts w:eastAsiaTheme="majorEastAsia"/>
          <w:b/>
          <w:bCs/>
          <w:color w:val="30A1AC"/>
          <w:sz w:val="36"/>
          <w:szCs w:val="36"/>
          <w:lang w:val="en-NZ"/>
        </w:rPr>
      </w:pPr>
      <w:r w:rsidRPr="00CC0F9B">
        <w:rPr>
          <w:b/>
          <w:bCs/>
          <w:lang w:val="en-NZ"/>
        </w:rPr>
        <w:br w:type="page"/>
      </w:r>
    </w:p>
    <w:p w14:paraId="51F20BB1" w14:textId="297401D7" w:rsidR="007B1CD7" w:rsidRPr="00D333F6" w:rsidRDefault="007B1CD7" w:rsidP="00141B9B">
      <w:pPr>
        <w:pStyle w:val="TOCHeading"/>
        <w:rPr>
          <w:sz w:val="44"/>
          <w:szCs w:val="44"/>
          <w:lang w:val="en-NZ"/>
        </w:rPr>
      </w:pPr>
      <w:r w:rsidRPr="00D333F6">
        <w:rPr>
          <w:b/>
          <w:bCs/>
          <w:sz w:val="44"/>
          <w:szCs w:val="44"/>
          <w:lang w:val="en-NZ"/>
        </w:rPr>
        <w:lastRenderedPageBreak/>
        <w:t>Acknowledgements</w:t>
      </w:r>
    </w:p>
    <w:p w14:paraId="182387D9" w14:textId="202187B1" w:rsidR="002B2621" w:rsidRDefault="00517E0B" w:rsidP="003C2EBA">
      <w:pPr>
        <w:rPr>
          <w:sz w:val="24"/>
          <w:szCs w:val="24"/>
          <w:lang w:val="en-NZ"/>
        </w:rPr>
      </w:pPr>
      <w:r>
        <w:rPr>
          <w:sz w:val="24"/>
          <w:szCs w:val="24"/>
          <w:lang w:val="en-NZ"/>
        </w:rPr>
        <w:t>These Guidelines were developed by the</w:t>
      </w:r>
      <w:r w:rsidR="00FC397E" w:rsidRPr="00D91268">
        <w:rPr>
          <w:sz w:val="24"/>
          <w:szCs w:val="24"/>
          <w:lang w:val="en-NZ"/>
        </w:rPr>
        <w:t xml:space="preserve"> </w:t>
      </w:r>
      <w:r w:rsidR="002B2621" w:rsidRPr="00D91268">
        <w:rPr>
          <w:sz w:val="24"/>
          <w:szCs w:val="24"/>
          <w:lang w:val="en-NZ"/>
        </w:rPr>
        <w:t xml:space="preserve">New Zealand </w:t>
      </w:r>
      <w:r w:rsidR="00FC397E" w:rsidRPr="00D91268">
        <w:rPr>
          <w:sz w:val="24"/>
          <w:szCs w:val="24"/>
          <w:lang w:val="en-NZ"/>
        </w:rPr>
        <w:t>Institute of Environmental Science and Research Limited (ESR)</w:t>
      </w:r>
      <w:r w:rsidR="002B2621" w:rsidRPr="00D91268">
        <w:rPr>
          <w:sz w:val="24"/>
          <w:szCs w:val="24"/>
          <w:lang w:val="en-NZ"/>
        </w:rPr>
        <w:t xml:space="preserve"> </w:t>
      </w:r>
      <w:r>
        <w:rPr>
          <w:sz w:val="24"/>
          <w:szCs w:val="24"/>
          <w:lang w:val="en-NZ"/>
        </w:rPr>
        <w:t>under contract to Health New Zealand</w:t>
      </w:r>
      <w:r w:rsidR="003E5617">
        <w:rPr>
          <w:sz w:val="24"/>
          <w:szCs w:val="24"/>
          <w:lang w:val="en-NZ"/>
        </w:rPr>
        <w:t xml:space="preserve"> | Te Whatu Ora</w:t>
      </w:r>
      <w:r w:rsidR="002B2621" w:rsidRPr="00D91268">
        <w:rPr>
          <w:sz w:val="24"/>
          <w:szCs w:val="24"/>
          <w:lang w:val="en-NZ"/>
        </w:rPr>
        <w:t>.</w:t>
      </w:r>
      <w:r w:rsidR="00D514F6" w:rsidRPr="00D91268">
        <w:rPr>
          <w:sz w:val="24"/>
          <w:szCs w:val="24"/>
          <w:lang w:val="en-NZ"/>
        </w:rPr>
        <w:t xml:space="preserve"> ESR were supported by the </w:t>
      </w:r>
      <w:r w:rsidR="00B20F7C" w:rsidRPr="00D91268">
        <w:rPr>
          <w:sz w:val="24"/>
          <w:szCs w:val="24"/>
          <w:lang w:val="en-NZ"/>
        </w:rPr>
        <w:t xml:space="preserve">Cawthron Institute </w:t>
      </w:r>
      <w:r w:rsidR="00B61EF4" w:rsidRPr="00B51C66">
        <w:rPr>
          <w:sz w:val="24"/>
          <w:szCs w:val="24"/>
        </w:rPr>
        <w:t>(Nelson</w:t>
      </w:r>
      <w:r w:rsidR="00B61EF4">
        <w:rPr>
          <w:sz w:val="24"/>
          <w:szCs w:val="24"/>
        </w:rPr>
        <w:t xml:space="preserve">) </w:t>
      </w:r>
      <w:r w:rsidR="00B20F7C" w:rsidRPr="00D91268">
        <w:rPr>
          <w:sz w:val="24"/>
          <w:szCs w:val="24"/>
          <w:lang w:val="en-NZ"/>
        </w:rPr>
        <w:t xml:space="preserve">and others </w:t>
      </w:r>
      <w:r w:rsidR="00227C7D" w:rsidRPr="00D91268">
        <w:rPr>
          <w:sz w:val="24"/>
          <w:szCs w:val="24"/>
          <w:lang w:val="en-NZ"/>
        </w:rPr>
        <w:t xml:space="preserve">who </w:t>
      </w:r>
      <w:r w:rsidR="00B20F7C" w:rsidRPr="00D91268">
        <w:rPr>
          <w:sz w:val="24"/>
          <w:szCs w:val="24"/>
          <w:lang w:val="en-NZ"/>
        </w:rPr>
        <w:t xml:space="preserve">provided </w:t>
      </w:r>
      <w:r w:rsidR="00227C7D" w:rsidRPr="00D91268">
        <w:rPr>
          <w:sz w:val="24"/>
          <w:szCs w:val="24"/>
          <w:lang w:val="en-NZ"/>
        </w:rPr>
        <w:t xml:space="preserve">valuable </w:t>
      </w:r>
      <w:r w:rsidR="00B20F7C" w:rsidRPr="00D91268">
        <w:rPr>
          <w:sz w:val="24"/>
          <w:szCs w:val="24"/>
          <w:lang w:val="en-NZ"/>
        </w:rPr>
        <w:t xml:space="preserve">technical advice and peer review. </w:t>
      </w:r>
      <w:r w:rsidR="002B2621" w:rsidRPr="00D91268">
        <w:rPr>
          <w:sz w:val="24"/>
          <w:szCs w:val="24"/>
          <w:lang w:val="en-NZ"/>
        </w:rPr>
        <w:t xml:space="preserve"> </w:t>
      </w:r>
    </w:p>
    <w:p w14:paraId="0D66649E" w14:textId="415F4800" w:rsidR="00B51C66" w:rsidRPr="00B51C66" w:rsidRDefault="00704928" w:rsidP="00B51C66">
      <w:pPr>
        <w:rPr>
          <w:sz w:val="24"/>
          <w:szCs w:val="24"/>
        </w:rPr>
      </w:pPr>
      <w:r>
        <w:rPr>
          <w:sz w:val="24"/>
          <w:szCs w:val="24"/>
          <w:lang w:val="en-NZ"/>
        </w:rPr>
        <w:t>The guidelines were drafted by</w:t>
      </w:r>
      <w:r w:rsidR="00B51C66" w:rsidRPr="00B51C66">
        <w:rPr>
          <w:sz w:val="24"/>
          <w:szCs w:val="24"/>
        </w:rPr>
        <w:t xml:space="preserve"> Claire Salter </w:t>
      </w:r>
      <w:r w:rsidR="004E2FA7">
        <w:rPr>
          <w:sz w:val="24"/>
          <w:szCs w:val="24"/>
        </w:rPr>
        <w:t>(ESR) with contributions from</w:t>
      </w:r>
      <w:r w:rsidR="00B51C66" w:rsidRPr="00B51C66">
        <w:rPr>
          <w:sz w:val="24"/>
          <w:szCs w:val="24"/>
        </w:rPr>
        <w:t xml:space="preserve"> Jonathan Puddick and Kirsty Smith </w:t>
      </w:r>
      <w:r w:rsidR="00F169ED">
        <w:rPr>
          <w:sz w:val="24"/>
          <w:szCs w:val="24"/>
        </w:rPr>
        <w:t>(</w:t>
      </w:r>
      <w:r w:rsidR="00B51C66" w:rsidRPr="00B51C66">
        <w:rPr>
          <w:sz w:val="24"/>
          <w:szCs w:val="24"/>
        </w:rPr>
        <w:t>Cawthron Institute</w:t>
      </w:r>
      <w:r w:rsidR="00F169ED">
        <w:rPr>
          <w:sz w:val="24"/>
          <w:szCs w:val="24"/>
        </w:rPr>
        <w:t>).</w:t>
      </w:r>
      <w:r w:rsidR="00B51C66" w:rsidRPr="00B51C66">
        <w:rPr>
          <w:sz w:val="24"/>
          <w:szCs w:val="24"/>
        </w:rPr>
        <w:t xml:space="preserve"> </w:t>
      </w:r>
    </w:p>
    <w:p w14:paraId="2C2EB2ED" w14:textId="2D4FDA9B" w:rsidR="00B51C66" w:rsidRPr="00B51C66" w:rsidRDefault="00B51C66" w:rsidP="00B51C66">
      <w:pPr>
        <w:rPr>
          <w:sz w:val="24"/>
          <w:szCs w:val="24"/>
        </w:rPr>
      </w:pPr>
      <w:r w:rsidRPr="00B51C66">
        <w:rPr>
          <w:sz w:val="24"/>
          <w:szCs w:val="24"/>
        </w:rPr>
        <w:t>Peer reviewers</w:t>
      </w:r>
      <w:r w:rsidR="00B61EF4">
        <w:rPr>
          <w:sz w:val="24"/>
          <w:szCs w:val="24"/>
        </w:rPr>
        <w:t xml:space="preserve"> included </w:t>
      </w:r>
      <w:r w:rsidRPr="00B51C66">
        <w:rPr>
          <w:sz w:val="24"/>
          <w:szCs w:val="24"/>
        </w:rPr>
        <w:t>Peter Cressey, Niki Stefanogiannis and Jan Powell</w:t>
      </w:r>
      <w:r w:rsidR="00B61EF4">
        <w:rPr>
          <w:sz w:val="24"/>
          <w:szCs w:val="24"/>
        </w:rPr>
        <w:t xml:space="preserve">. </w:t>
      </w:r>
    </w:p>
    <w:p w14:paraId="3FF435B2" w14:textId="77777777" w:rsidR="003F6A9C" w:rsidRPr="00D91268" w:rsidRDefault="003F6A9C" w:rsidP="003F6A9C">
      <w:pPr>
        <w:rPr>
          <w:sz w:val="24"/>
          <w:szCs w:val="24"/>
          <w:lang w:val="en-NZ"/>
        </w:rPr>
      </w:pPr>
      <w:r w:rsidRPr="00D91268">
        <w:rPr>
          <w:sz w:val="24"/>
          <w:szCs w:val="24"/>
          <w:lang w:val="en-NZ"/>
        </w:rPr>
        <w:t>Thank you to Dr Laura Biessy from Cawthron Institute for providing technical input on marine cyanobacteria and Dr Lesley Rhodes for providing advice on toxin-producing marine microalgae that have been observed in Aotearoa New Zealand</w:t>
      </w:r>
    </w:p>
    <w:p w14:paraId="761863E2" w14:textId="0A79FE99" w:rsidR="007B1CD7" w:rsidRPr="00D91268" w:rsidRDefault="007B1CD7" w:rsidP="007B1CD7">
      <w:pPr>
        <w:rPr>
          <w:sz w:val="24"/>
          <w:szCs w:val="24"/>
          <w:lang w:val="en-NZ"/>
        </w:rPr>
      </w:pPr>
      <w:r w:rsidRPr="00D91268">
        <w:rPr>
          <w:sz w:val="24"/>
          <w:szCs w:val="24"/>
          <w:lang w:val="en-NZ"/>
        </w:rPr>
        <w:t>Thank you to Associate Professor Deborah Read, Environmental Health Intelligence NZ, Centre for Public Health Research, Massey University, Wellington Campus for providing expert public health advice.</w:t>
      </w:r>
    </w:p>
    <w:p w14:paraId="20BCBE14" w14:textId="5A5E11C2" w:rsidR="007B1CD7" w:rsidRPr="00D91268" w:rsidRDefault="00D4667F" w:rsidP="007B1CD7">
      <w:pPr>
        <w:rPr>
          <w:sz w:val="24"/>
          <w:szCs w:val="24"/>
          <w:lang w:val="en-NZ"/>
        </w:rPr>
      </w:pPr>
      <w:r w:rsidRPr="00D91268">
        <w:rPr>
          <w:sz w:val="24"/>
          <w:szCs w:val="24"/>
          <w:lang w:val="en-NZ"/>
        </w:rPr>
        <w:t xml:space="preserve">We also acknowledge </w:t>
      </w:r>
      <w:r w:rsidR="00116702" w:rsidRPr="00D91268">
        <w:rPr>
          <w:sz w:val="24"/>
          <w:szCs w:val="24"/>
          <w:lang w:val="en-NZ"/>
        </w:rPr>
        <w:t xml:space="preserve">the </w:t>
      </w:r>
      <w:r w:rsidR="008A7B26">
        <w:rPr>
          <w:sz w:val="24"/>
          <w:szCs w:val="24"/>
          <w:lang w:val="en-NZ"/>
        </w:rPr>
        <w:t xml:space="preserve">contributions from </w:t>
      </w:r>
      <w:r w:rsidR="007B1CD7" w:rsidRPr="00D91268">
        <w:rPr>
          <w:sz w:val="24"/>
          <w:szCs w:val="24"/>
          <w:lang w:val="en-NZ"/>
        </w:rPr>
        <w:t xml:space="preserve">public health </w:t>
      </w:r>
      <w:r w:rsidR="007C2F3F" w:rsidRPr="00D91268">
        <w:rPr>
          <w:sz w:val="24"/>
          <w:szCs w:val="24"/>
          <w:lang w:val="en-NZ"/>
        </w:rPr>
        <w:t xml:space="preserve">officers </w:t>
      </w:r>
      <w:r w:rsidR="00702C74" w:rsidRPr="00D91268">
        <w:rPr>
          <w:sz w:val="24"/>
          <w:szCs w:val="24"/>
          <w:lang w:val="en-NZ"/>
        </w:rPr>
        <w:t xml:space="preserve">from across the country </w:t>
      </w:r>
      <w:r w:rsidR="007C2F3F" w:rsidRPr="00D91268">
        <w:rPr>
          <w:sz w:val="24"/>
          <w:szCs w:val="24"/>
          <w:lang w:val="en-NZ"/>
        </w:rPr>
        <w:t xml:space="preserve">in </w:t>
      </w:r>
      <w:r w:rsidR="00883B2F" w:rsidRPr="00D91268">
        <w:rPr>
          <w:sz w:val="24"/>
          <w:szCs w:val="24"/>
          <w:lang w:val="en-NZ"/>
        </w:rPr>
        <w:t xml:space="preserve">the </w:t>
      </w:r>
      <w:r w:rsidR="006B21A3" w:rsidRPr="00D91268">
        <w:rPr>
          <w:sz w:val="24"/>
          <w:szCs w:val="24"/>
          <w:lang w:val="en-NZ"/>
        </w:rPr>
        <w:t>N</w:t>
      </w:r>
      <w:r w:rsidR="00883B2F" w:rsidRPr="00D91268">
        <w:rPr>
          <w:sz w:val="24"/>
          <w:szCs w:val="24"/>
          <w:lang w:val="en-NZ"/>
        </w:rPr>
        <w:t xml:space="preserve">ational Public </w:t>
      </w:r>
      <w:r w:rsidR="006B21A3" w:rsidRPr="00D91268">
        <w:rPr>
          <w:sz w:val="24"/>
          <w:szCs w:val="24"/>
          <w:lang w:val="en-NZ"/>
        </w:rPr>
        <w:t>H</w:t>
      </w:r>
      <w:r w:rsidR="00883B2F" w:rsidRPr="00D91268">
        <w:rPr>
          <w:sz w:val="24"/>
          <w:szCs w:val="24"/>
          <w:lang w:val="en-NZ"/>
        </w:rPr>
        <w:t xml:space="preserve">ealth Service </w:t>
      </w:r>
      <w:r w:rsidR="006B21A3" w:rsidRPr="00D91268">
        <w:rPr>
          <w:sz w:val="24"/>
          <w:szCs w:val="24"/>
          <w:lang w:val="en-NZ"/>
        </w:rPr>
        <w:t xml:space="preserve">that provided </w:t>
      </w:r>
      <w:r w:rsidR="005D59FF" w:rsidRPr="00D91268">
        <w:rPr>
          <w:sz w:val="24"/>
          <w:szCs w:val="24"/>
          <w:lang w:val="en-NZ"/>
        </w:rPr>
        <w:t>input</w:t>
      </w:r>
      <w:r w:rsidR="008A7B26">
        <w:rPr>
          <w:sz w:val="24"/>
          <w:szCs w:val="24"/>
          <w:lang w:val="en-NZ"/>
        </w:rPr>
        <w:t>,</w:t>
      </w:r>
      <w:r w:rsidR="005D59FF" w:rsidRPr="00D91268">
        <w:rPr>
          <w:sz w:val="24"/>
          <w:szCs w:val="24"/>
          <w:lang w:val="en-NZ"/>
        </w:rPr>
        <w:t xml:space="preserve"> </w:t>
      </w:r>
      <w:r w:rsidR="00702C74" w:rsidRPr="00D91268">
        <w:rPr>
          <w:sz w:val="24"/>
          <w:szCs w:val="24"/>
          <w:lang w:val="en-NZ"/>
        </w:rPr>
        <w:t xml:space="preserve">and </w:t>
      </w:r>
      <w:r w:rsidR="00635B8C" w:rsidRPr="00D91268">
        <w:rPr>
          <w:sz w:val="24"/>
          <w:szCs w:val="24"/>
          <w:lang w:val="en-NZ"/>
        </w:rPr>
        <w:t xml:space="preserve">to Dr </w:t>
      </w:r>
      <w:r w:rsidR="00702C74" w:rsidRPr="00D91268">
        <w:rPr>
          <w:sz w:val="24"/>
          <w:szCs w:val="24"/>
          <w:lang w:val="en-NZ"/>
        </w:rPr>
        <w:t>Niki Stefanogiannis</w:t>
      </w:r>
      <w:r w:rsidR="00635B8C" w:rsidRPr="00D91268">
        <w:rPr>
          <w:sz w:val="24"/>
          <w:szCs w:val="24"/>
          <w:lang w:val="en-NZ"/>
        </w:rPr>
        <w:t xml:space="preserve"> for her review.</w:t>
      </w:r>
    </w:p>
    <w:p w14:paraId="177FA1A8" w14:textId="49615FD8" w:rsidR="00D02837" w:rsidRPr="00CC0F9B" w:rsidRDefault="005C692D" w:rsidP="00EB3422">
      <w:pPr>
        <w:rPr>
          <w:lang w:val="en-NZ"/>
        </w:rPr>
      </w:pPr>
      <w:r w:rsidRPr="00CC0F9B">
        <w:rPr>
          <w:lang w:val="en-NZ"/>
        </w:rPr>
        <w:br w:type="page"/>
      </w:r>
    </w:p>
    <w:sdt>
      <w:sdtPr>
        <w:rPr>
          <w:rFonts w:ascii="Arial" w:eastAsiaTheme="minorHAnsi" w:hAnsi="Arial" w:cs="Arial"/>
          <w:color w:val="auto"/>
          <w:sz w:val="22"/>
          <w:szCs w:val="22"/>
          <w:lang w:val="en-NZ"/>
        </w:rPr>
        <w:id w:val="-2037270447"/>
        <w:docPartObj>
          <w:docPartGallery w:val="Table of Contents"/>
          <w:docPartUnique/>
        </w:docPartObj>
      </w:sdtPr>
      <w:sdtContent>
        <w:p w14:paraId="2155F56C" w14:textId="77777777" w:rsidR="007B1CD7" w:rsidRPr="00955E44" w:rsidRDefault="007B1CD7" w:rsidP="007B1CD7">
          <w:pPr>
            <w:pStyle w:val="TOCHeading"/>
            <w:rPr>
              <w:b/>
              <w:bCs/>
              <w:sz w:val="44"/>
              <w:szCs w:val="44"/>
              <w:lang w:val="en-NZ"/>
            </w:rPr>
          </w:pPr>
          <w:r w:rsidRPr="00955E44">
            <w:rPr>
              <w:b/>
              <w:bCs/>
              <w:sz w:val="44"/>
              <w:szCs w:val="44"/>
              <w:lang w:val="en-NZ"/>
            </w:rPr>
            <w:t>Contents</w:t>
          </w:r>
        </w:p>
        <w:p w14:paraId="19B08939" w14:textId="62F659DB" w:rsidR="00C40770" w:rsidRDefault="00435594">
          <w:pPr>
            <w:pStyle w:val="TOC1"/>
            <w:rPr>
              <w:rFonts w:asciiTheme="minorHAnsi" w:eastAsiaTheme="minorEastAsia" w:hAnsiTheme="minorHAnsi" w:cstheme="minorBidi"/>
              <w:b w:val="0"/>
              <w:noProof/>
              <w:kern w:val="2"/>
              <w:szCs w:val="24"/>
              <w:lang w:val="en-NZ" w:eastAsia="en-NZ"/>
              <w14:ligatures w14:val="standardContextual"/>
            </w:rPr>
          </w:pPr>
          <w:r>
            <w:rPr>
              <w:lang w:val="en-NZ"/>
            </w:rPr>
            <w:fldChar w:fldCharType="begin"/>
          </w:r>
          <w:r>
            <w:rPr>
              <w:lang w:val="en-NZ"/>
            </w:rPr>
            <w:instrText xml:space="preserve"> TOC \o "1-2" \h \z \u </w:instrText>
          </w:r>
          <w:r>
            <w:rPr>
              <w:lang w:val="en-NZ"/>
            </w:rPr>
            <w:fldChar w:fldCharType="separate"/>
          </w:r>
          <w:hyperlink w:anchor="_Toc181101749" w:history="1">
            <w:r w:rsidR="00C40770" w:rsidRPr="00D44585">
              <w:rPr>
                <w:rStyle w:val="Hyperlink"/>
                <w:noProof/>
                <w:lang w:val="en-NZ"/>
              </w:rPr>
              <w:t>Executive summary</w:t>
            </w:r>
            <w:r w:rsidR="00C40770">
              <w:rPr>
                <w:noProof/>
                <w:webHidden/>
              </w:rPr>
              <w:tab/>
            </w:r>
            <w:r w:rsidR="00C40770">
              <w:rPr>
                <w:noProof/>
                <w:webHidden/>
              </w:rPr>
              <w:fldChar w:fldCharType="begin"/>
            </w:r>
            <w:r w:rsidR="00C40770">
              <w:rPr>
                <w:noProof/>
                <w:webHidden/>
              </w:rPr>
              <w:instrText xml:space="preserve"> PAGEREF _Toc181101749 \h </w:instrText>
            </w:r>
            <w:r w:rsidR="00C40770">
              <w:rPr>
                <w:noProof/>
                <w:webHidden/>
              </w:rPr>
            </w:r>
            <w:r w:rsidR="00C40770">
              <w:rPr>
                <w:noProof/>
                <w:webHidden/>
              </w:rPr>
              <w:fldChar w:fldCharType="separate"/>
            </w:r>
            <w:r w:rsidR="007643FB">
              <w:rPr>
                <w:noProof/>
                <w:webHidden/>
              </w:rPr>
              <w:t>5</w:t>
            </w:r>
            <w:r w:rsidR="00C40770">
              <w:rPr>
                <w:noProof/>
                <w:webHidden/>
              </w:rPr>
              <w:fldChar w:fldCharType="end"/>
            </w:r>
          </w:hyperlink>
        </w:p>
        <w:p w14:paraId="248CFFBD" w14:textId="1AEA5BF2"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0" w:history="1">
            <w:r w:rsidR="00C40770" w:rsidRPr="00D44585">
              <w:rPr>
                <w:rStyle w:val="Hyperlink"/>
                <w:noProof/>
                <w:lang w:val="en-NZ"/>
              </w:rPr>
              <w:t>Background</w:t>
            </w:r>
            <w:r w:rsidR="00C40770">
              <w:rPr>
                <w:noProof/>
                <w:webHidden/>
              </w:rPr>
              <w:tab/>
            </w:r>
            <w:r w:rsidR="00C40770">
              <w:rPr>
                <w:noProof/>
                <w:webHidden/>
              </w:rPr>
              <w:fldChar w:fldCharType="begin"/>
            </w:r>
            <w:r w:rsidR="00C40770">
              <w:rPr>
                <w:noProof/>
                <w:webHidden/>
              </w:rPr>
              <w:instrText xml:space="preserve"> PAGEREF _Toc181101750 \h </w:instrText>
            </w:r>
            <w:r w:rsidR="00C40770">
              <w:rPr>
                <w:noProof/>
                <w:webHidden/>
              </w:rPr>
            </w:r>
            <w:r w:rsidR="00C40770">
              <w:rPr>
                <w:noProof/>
                <w:webHidden/>
              </w:rPr>
              <w:fldChar w:fldCharType="separate"/>
            </w:r>
            <w:r w:rsidR="007643FB">
              <w:rPr>
                <w:noProof/>
                <w:webHidden/>
              </w:rPr>
              <w:t>5</w:t>
            </w:r>
            <w:r w:rsidR="00C40770">
              <w:rPr>
                <w:noProof/>
                <w:webHidden/>
              </w:rPr>
              <w:fldChar w:fldCharType="end"/>
            </w:r>
          </w:hyperlink>
        </w:p>
        <w:p w14:paraId="503BB9B2" w14:textId="4EE7E32B"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1" w:history="1">
            <w:r w:rsidR="00C40770" w:rsidRPr="00D44585">
              <w:rPr>
                <w:rStyle w:val="Hyperlink"/>
                <w:noProof/>
                <w:lang w:val="en-NZ"/>
              </w:rPr>
              <w:t>Hazard identification</w:t>
            </w:r>
            <w:r w:rsidR="00C40770">
              <w:rPr>
                <w:noProof/>
                <w:webHidden/>
              </w:rPr>
              <w:tab/>
            </w:r>
            <w:r w:rsidR="00C40770">
              <w:rPr>
                <w:noProof/>
                <w:webHidden/>
              </w:rPr>
              <w:fldChar w:fldCharType="begin"/>
            </w:r>
            <w:r w:rsidR="00C40770">
              <w:rPr>
                <w:noProof/>
                <w:webHidden/>
              </w:rPr>
              <w:instrText xml:space="preserve"> PAGEREF _Toc181101751 \h </w:instrText>
            </w:r>
            <w:r w:rsidR="00C40770">
              <w:rPr>
                <w:noProof/>
                <w:webHidden/>
              </w:rPr>
            </w:r>
            <w:r w:rsidR="00C40770">
              <w:rPr>
                <w:noProof/>
                <w:webHidden/>
              </w:rPr>
              <w:fldChar w:fldCharType="separate"/>
            </w:r>
            <w:r w:rsidR="007643FB">
              <w:rPr>
                <w:noProof/>
                <w:webHidden/>
              </w:rPr>
              <w:t>5</w:t>
            </w:r>
            <w:r w:rsidR="00C40770">
              <w:rPr>
                <w:noProof/>
                <w:webHidden/>
              </w:rPr>
              <w:fldChar w:fldCharType="end"/>
            </w:r>
          </w:hyperlink>
        </w:p>
        <w:p w14:paraId="1E4FB8CF" w14:textId="5401A27C"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2" w:history="1">
            <w:r w:rsidR="00C40770" w:rsidRPr="00D44585">
              <w:rPr>
                <w:rStyle w:val="Hyperlink"/>
                <w:noProof/>
                <w:lang w:val="en-NZ"/>
              </w:rPr>
              <w:t>Exposure and health effects</w:t>
            </w:r>
            <w:r w:rsidR="00C40770">
              <w:rPr>
                <w:noProof/>
                <w:webHidden/>
              </w:rPr>
              <w:tab/>
            </w:r>
            <w:r w:rsidR="00C40770">
              <w:rPr>
                <w:noProof/>
                <w:webHidden/>
              </w:rPr>
              <w:fldChar w:fldCharType="begin"/>
            </w:r>
            <w:r w:rsidR="00C40770">
              <w:rPr>
                <w:noProof/>
                <w:webHidden/>
              </w:rPr>
              <w:instrText xml:space="preserve"> PAGEREF _Toc181101752 \h </w:instrText>
            </w:r>
            <w:r w:rsidR="00C40770">
              <w:rPr>
                <w:noProof/>
                <w:webHidden/>
              </w:rPr>
            </w:r>
            <w:r w:rsidR="00C40770">
              <w:rPr>
                <w:noProof/>
                <w:webHidden/>
              </w:rPr>
              <w:fldChar w:fldCharType="separate"/>
            </w:r>
            <w:r w:rsidR="007643FB">
              <w:rPr>
                <w:noProof/>
                <w:webHidden/>
              </w:rPr>
              <w:t>6</w:t>
            </w:r>
            <w:r w:rsidR="00C40770">
              <w:rPr>
                <w:noProof/>
                <w:webHidden/>
              </w:rPr>
              <w:fldChar w:fldCharType="end"/>
            </w:r>
          </w:hyperlink>
        </w:p>
        <w:p w14:paraId="73719A30" w14:textId="27DB7D9F"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3" w:history="1">
            <w:r w:rsidR="00C40770" w:rsidRPr="00D44585">
              <w:rPr>
                <w:rStyle w:val="Hyperlink"/>
                <w:noProof/>
                <w:lang w:val="en-NZ"/>
              </w:rPr>
              <w:t>Public health investigation and management of HAB exposure</w:t>
            </w:r>
            <w:r w:rsidR="00C40770">
              <w:rPr>
                <w:noProof/>
                <w:webHidden/>
              </w:rPr>
              <w:tab/>
            </w:r>
            <w:r w:rsidR="00C40770">
              <w:rPr>
                <w:noProof/>
                <w:webHidden/>
              </w:rPr>
              <w:fldChar w:fldCharType="begin"/>
            </w:r>
            <w:r w:rsidR="00C40770">
              <w:rPr>
                <w:noProof/>
                <w:webHidden/>
              </w:rPr>
              <w:instrText xml:space="preserve"> PAGEREF _Toc181101753 \h </w:instrText>
            </w:r>
            <w:r w:rsidR="00C40770">
              <w:rPr>
                <w:noProof/>
                <w:webHidden/>
              </w:rPr>
            </w:r>
            <w:r w:rsidR="00C40770">
              <w:rPr>
                <w:noProof/>
                <w:webHidden/>
              </w:rPr>
              <w:fldChar w:fldCharType="separate"/>
            </w:r>
            <w:r w:rsidR="007643FB">
              <w:rPr>
                <w:noProof/>
                <w:webHidden/>
              </w:rPr>
              <w:t>7</w:t>
            </w:r>
            <w:r w:rsidR="00C40770">
              <w:rPr>
                <w:noProof/>
                <w:webHidden/>
              </w:rPr>
              <w:fldChar w:fldCharType="end"/>
            </w:r>
          </w:hyperlink>
        </w:p>
        <w:p w14:paraId="68351E18" w14:textId="003940D9"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4" w:history="1">
            <w:r w:rsidR="00C40770" w:rsidRPr="00D44585">
              <w:rPr>
                <w:rStyle w:val="Hyperlink"/>
                <w:noProof/>
                <w:lang w:val="en-NZ"/>
              </w:rPr>
              <w:t>Public health advocacy for longer-term management of HABs</w:t>
            </w:r>
            <w:r w:rsidR="00C40770">
              <w:rPr>
                <w:noProof/>
                <w:webHidden/>
              </w:rPr>
              <w:tab/>
            </w:r>
            <w:r w:rsidR="00C40770">
              <w:rPr>
                <w:noProof/>
                <w:webHidden/>
              </w:rPr>
              <w:fldChar w:fldCharType="begin"/>
            </w:r>
            <w:r w:rsidR="00C40770">
              <w:rPr>
                <w:noProof/>
                <w:webHidden/>
              </w:rPr>
              <w:instrText xml:space="preserve"> PAGEREF _Toc181101754 \h </w:instrText>
            </w:r>
            <w:r w:rsidR="00C40770">
              <w:rPr>
                <w:noProof/>
                <w:webHidden/>
              </w:rPr>
            </w:r>
            <w:r w:rsidR="00C40770">
              <w:rPr>
                <w:noProof/>
                <w:webHidden/>
              </w:rPr>
              <w:fldChar w:fldCharType="separate"/>
            </w:r>
            <w:r w:rsidR="007643FB">
              <w:rPr>
                <w:noProof/>
                <w:webHidden/>
              </w:rPr>
              <w:t>8</w:t>
            </w:r>
            <w:r w:rsidR="00C40770">
              <w:rPr>
                <w:noProof/>
                <w:webHidden/>
              </w:rPr>
              <w:fldChar w:fldCharType="end"/>
            </w:r>
          </w:hyperlink>
        </w:p>
        <w:p w14:paraId="58D065E5" w14:textId="63902EC8"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55" w:history="1">
            <w:r w:rsidR="00C40770" w:rsidRPr="00D44585">
              <w:rPr>
                <w:rStyle w:val="Hyperlink"/>
                <w:noProof/>
                <w:lang w:val="en-NZ"/>
              </w:rPr>
              <w:t>Introduction</w:t>
            </w:r>
            <w:r w:rsidR="00C40770">
              <w:rPr>
                <w:noProof/>
                <w:webHidden/>
              </w:rPr>
              <w:tab/>
            </w:r>
            <w:r w:rsidR="00C40770">
              <w:rPr>
                <w:noProof/>
                <w:webHidden/>
              </w:rPr>
              <w:fldChar w:fldCharType="begin"/>
            </w:r>
            <w:r w:rsidR="00C40770">
              <w:rPr>
                <w:noProof/>
                <w:webHidden/>
              </w:rPr>
              <w:instrText xml:space="preserve"> PAGEREF _Toc181101755 \h </w:instrText>
            </w:r>
            <w:r w:rsidR="00C40770">
              <w:rPr>
                <w:noProof/>
                <w:webHidden/>
              </w:rPr>
            </w:r>
            <w:r w:rsidR="00C40770">
              <w:rPr>
                <w:noProof/>
                <w:webHidden/>
              </w:rPr>
              <w:fldChar w:fldCharType="separate"/>
            </w:r>
            <w:r w:rsidR="007643FB">
              <w:rPr>
                <w:noProof/>
                <w:webHidden/>
              </w:rPr>
              <w:t>9</w:t>
            </w:r>
            <w:r w:rsidR="00C40770">
              <w:rPr>
                <w:noProof/>
                <w:webHidden/>
              </w:rPr>
              <w:fldChar w:fldCharType="end"/>
            </w:r>
          </w:hyperlink>
        </w:p>
        <w:p w14:paraId="4DE1E09A" w14:textId="4959CFE3"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6" w:history="1">
            <w:r w:rsidR="00C40770" w:rsidRPr="00D44585">
              <w:rPr>
                <w:rStyle w:val="Hyperlink"/>
                <w:noProof/>
                <w:lang w:val="en-NZ"/>
              </w:rPr>
              <w:t>Purpose and scope</w:t>
            </w:r>
            <w:r w:rsidR="00C40770">
              <w:rPr>
                <w:noProof/>
                <w:webHidden/>
              </w:rPr>
              <w:tab/>
            </w:r>
            <w:r w:rsidR="00C40770">
              <w:rPr>
                <w:noProof/>
                <w:webHidden/>
              </w:rPr>
              <w:fldChar w:fldCharType="begin"/>
            </w:r>
            <w:r w:rsidR="00C40770">
              <w:rPr>
                <w:noProof/>
                <w:webHidden/>
              </w:rPr>
              <w:instrText xml:space="preserve"> PAGEREF _Toc181101756 \h </w:instrText>
            </w:r>
            <w:r w:rsidR="00C40770">
              <w:rPr>
                <w:noProof/>
                <w:webHidden/>
              </w:rPr>
            </w:r>
            <w:r w:rsidR="00C40770">
              <w:rPr>
                <w:noProof/>
                <w:webHidden/>
              </w:rPr>
              <w:fldChar w:fldCharType="separate"/>
            </w:r>
            <w:r w:rsidR="007643FB">
              <w:rPr>
                <w:noProof/>
                <w:webHidden/>
              </w:rPr>
              <w:t>9</w:t>
            </w:r>
            <w:r w:rsidR="00C40770">
              <w:rPr>
                <w:noProof/>
                <w:webHidden/>
              </w:rPr>
              <w:fldChar w:fldCharType="end"/>
            </w:r>
          </w:hyperlink>
        </w:p>
        <w:p w14:paraId="6D7248B0" w14:textId="496C0C59"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7" w:history="1">
            <w:r w:rsidR="00C40770" w:rsidRPr="00D44585">
              <w:rPr>
                <w:rStyle w:val="Hyperlink"/>
                <w:noProof/>
                <w:lang w:val="en-NZ"/>
              </w:rPr>
              <w:t>Background</w:t>
            </w:r>
            <w:r w:rsidR="00C40770">
              <w:rPr>
                <w:noProof/>
                <w:webHidden/>
              </w:rPr>
              <w:tab/>
            </w:r>
            <w:r w:rsidR="00C40770">
              <w:rPr>
                <w:noProof/>
                <w:webHidden/>
              </w:rPr>
              <w:fldChar w:fldCharType="begin"/>
            </w:r>
            <w:r w:rsidR="00C40770">
              <w:rPr>
                <w:noProof/>
                <w:webHidden/>
              </w:rPr>
              <w:instrText xml:space="preserve"> PAGEREF _Toc181101757 \h </w:instrText>
            </w:r>
            <w:r w:rsidR="00C40770">
              <w:rPr>
                <w:noProof/>
                <w:webHidden/>
              </w:rPr>
            </w:r>
            <w:r w:rsidR="00C40770">
              <w:rPr>
                <w:noProof/>
                <w:webHidden/>
              </w:rPr>
              <w:fldChar w:fldCharType="separate"/>
            </w:r>
            <w:r w:rsidR="007643FB">
              <w:rPr>
                <w:noProof/>
                <w:webHidden/>
              </w:rPr>
              <w:t>9</w:t>
            </w:r>
            <w:r w:rsidR="00C40770">
              <w:rPr>
                <w:noProof/>
                <w:webHidden/>
              </w:rPr>
              <w:fldChar w:fldCharType="end"/>
            </w:r>
          </w:hyperlink>
        </w:p>
        <w:p w14:paraId="545B727C" w14:textId="368D7877"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58" w:history="1">
            <w:r w:rsidR="00C40770" w:rsidRPr="00D44585">
              <w:rPr>
                <w:rStyle w:val="Hyperlink"/>
                <w:noProof/>
                <w:lang w:val="en-NZ"/>
              </w:rPr>
              <w:t>Hazard identification</w:t>
            </w:r>
            <w:r w:rsidR="00C40770">
              <w:rPr>
                <w:noProof/>
                <w:webHidden/>
              </w:rPr>
              <w:tab/>
            </w:r>
            <w:r w:rsidR="00C40770">
              <w:rPr>
                <w:noProof/>
                <w:webHidden/>
              </w:rPr>
              <w:fldChar w:fldCharType="begin"/>
            </w:r>
            <w:r w:rsidR="00C40770">
              <w:rPr>
                <w:noProof/>
                <w:webHidden/>
              </w:rPr>
              <w:instrText xml:space="preserve"> PAGEREF _Toc181101758 \h </w:instrText>
            </w:r>
            <w:r w:rsidR="00C40770">
              <w:rPr>
                <w:noProof/>
                <w:webHidden/>
              </w:rPr>
            </w:r>
            <w:r w:rsidR="00C40770">
              <w:rPr>
                <w:noProof/>
                <w:webHidden/>
              </w:rPr>
              <w:fldChar w:fldCharType="separate"/>
            </w:r>
            <w:r w:rsidR="007643FB">
              <w:rPr>
                <w:noProof/>
                <w:webHidden/>
              </w:rPr>
              <w:t>15</w:t>
            </w:r>
            <w:r w:rsidR="00C40770">
              <w:rPr>
                <w:noProof/>
                <w:webHidden/>
              </w:rPr>
              <w:fldChar w:fldCharType="end"/>
            </w:r>
          </w:hyperlink>
        </w:p>
        <w:p w14:paraId="5343E446" w14:textId="52084D24"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59" w:history="1">
            <w:r w:rsidR="00C40770" w:rsidRPr="00D44585">
              <w:rPr>
                <w:rStyle w:val="Hyperlink"/>
                <w:noProof/>
                <w:lang w:val="en-NZ"/>
              </w:rPr>
              <w:t>Biotoxins associated with risk to public health from recreational water exposure</w:t>
            </w:r>
            <w:r w:rsidR="00C40770">
              <w:rPr>
                <w:noProof/>
                <w:webHidden/>
              </w:rPr>
              <w:tab/>
            </w:r>
            <w:r w:rsidR="00C40770">
              <w:rPr>
                <w:noProof/>
                <w:webHidden/>
              </w:rPr>
              <w:fldChar w:fldCharType="begin"/>
            </w:r>
            <w:r w:rsidR="00C40770">
              <w:rPr>
                <w:noProof/>
                <w:webHidden/>
              </w:rPr>
              <w:instrText xml:space="preserve"> PAGEREF _Toc181101759 \h </w:instrText>
            </w:r>
            <w:r w:rsidR="00C40770">
              <w:rPr>
                <w:noProof/>
                <w:webHidden/>
              </w:rPr>
            </w:r>
            <w:r w:rsidR="00C40770">
              <w:rPr>
                <w:noProof/>
                <w:webHidden/>
              </w:rPr>
              <w:fldChar w:fldCharType="separate"/>
            </w:r>
            <w:r w:rsidR="007643FB">
              <w:rPr>
                <w:noProof/>
                <w:webHidden/>
              </w:rPr>
              <w:t>15</w:t>
            </w:r>
            <w:r w:rsidR="00C40770">
              <w:rPr>
                <w:noProof/>
                <w:webHidden/>
              </w:rPr>
              <w:fldChar w:fldCharType="end"/>
            </w:r>
          </w:hyperlink>
        </w:p>
        <w:p w14:paraId="6E993A7A" w14:textId="23F471F0"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60" w:history="1">
            <w:r w:rsidR="00C40770" w:rsidRPr="00D44585">
              <w:rPr>
                <w:rStyle w:val="Hyperlink"/>
                <w:noProof/>
                <w:lang w:val="en-NZ"/>
              </w:rPr>
              <w:t>Exposure and health effects</w:t>
            </w:r>
            <w:r w:rsidR="00C40770">
              <w:rPr>
                <w:noProof/>
                <w:webHidden/>
              </w:rPr>
              <w:tab/>
            </w:r>
            <w:r w:rsidR="00C40770">
              <w:rPr>
                <w:noProof/>
                <w:webHidden/>
              </w:rPr>
              <w:fldChar w:fldCharType="begin"/>
            </w:r>
            <w:r w:rsidR="00C40770">
              <w:rPr>
                <w:noProof/>
                <w:webHidden/>
              </w:rPr>
              <w:instrText xml:space="preserve"> PAGEREF _Toc181101760 \h </w:instrText>
            </w:r>
            <w:r w:rsidR="00C40770">
              <w:rPr>
                <w:noProof/>
                <w:webHidden/>
              </w:rPr>
            </w:r>
            <w:r w:rsidR="00C40770">
              <w:rPr>
                <w:noProof/>
                <w:webHidden/>
              </w:rPr>
              <w:fldChar w:fldCharType="separate"/>
            </w:r>
            <w:r w:rsidR="007643FB">
              <w:rPr>
                <w:noProof/>
                <w:webHidden/>
              </w:rPr>
              <w:t>21</w:t>
            </w:r>
            <w:r w:rsidR="00C40770">
              <w:rPr>
                <w:noProof/>
                <w:webHidden/>
              </w:rPr>
              <w:fldChar w:fldCharType="end"/>
            </w:r>
          </w:hyperlink>
        </w:p>
        <w:p w14:paraId="07654D7D" w14:textId="3BDEC794"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1" w:history="1">
            <w:r w:rsidR="00C40770" w:rsidRPr="00D44585">
              <w:rPr>
                <w:rStyle w:val="Hyperlink"/>
                <w:noProof/>
                <w:lang w:val="en-NZ"/>
              </w:rPr>
              <w:t>Exposure assessment</w:t>
            </w:r>
            <w:r w:rsidR="00C40770">
              <w:rPr>
                <w:noProof/>
                <w:webHidden/>
              </w:rPr>
              <w:tab/>
            </w:r>
            <w:r w:rsidR="00C40770">
              <w:rPr>
                <w:noProof/>
                <w:webHidden/>
              </w:rPr>
              <w:fldChar w:fldCharType="begin"/>
            </w:r>
            <w:r w:rsidR="00C40770">
              <w:rPr>
                <w:noProof/>
                <w:webHidden/>
              </w:rPr>
              <w:instrText xml:space="preserve"> PAGEREF _Toc181101761 \h </w:instrText>
            </w:r>
            <w:r w:rsidR="00C40770">
              <w:rPr>
                <w:noProof/>
                <w:webHidden/>
              </w:rPr>
            </w:r>
            <w:r w:rsidR="00C40770">
              <w:rPr>
                <w:noProof/>
                <w:webHidden/>
              </w:rPr>
              <w:fldChar w:fldCharType="separate"/>
            </w:r>
            <w:r w:rsidR="007643FB">
              <w:rPr>
                <w:noProof/>
                <w:webHidden/>
              </w:rPr>
              <w:t>21</w:t>
            </w:r>
            <w:r w:rsidR="00C40770">
              <w:rPr>
                <w:noProof/>
                <w:webHidden/>
              </w:rPr>
              <w:fldChar w:fldCharType="end"/>
            </w:r>
          </w:hyperlink>
        </w:p>
        <w:p w14:paraId="545A6EEE" w14:textId="1C7AE478"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2" w:history="1">
            <w:r w:rsidR="00C40770" w:rsidRPr="00D44585">
              <w:rPr>
                <w:rStyle w:val="Hyperlink"/>
                <w:noProof/>
                <w:lang w:val="en-NZ"/>
              </w:rPr>
              <w:t>Routes of exposure and signs and symptoms</w:t>
            </w:r>
            <w:r w:rsidR="00C40770">
              <w:rPr>
                <w:noProof/>
                <w:webHidden/>
              </w:rPr>
              <w:tab/>
            </w:r>
            <w:r w:rsidR="00C40770">
              <w:rPr>
                <w:noProof/>
                <w:webHidden/>
              </w:rPr>
              <w:fldChar w:fldCharType="begin"/>
            </w:r>
            <w:r w:rsidR="00C40770">
              <w:rPr>
                <w:noProof/>
                <w:webHidden/>
              </w:rPr>
              <w:instrText xml:space="preserve"> PAGEREF _Toc181101762 \h </w:instrText>
            </w:r>
            <w:r w:rsidR="00C40770">
              <w:rPr>
                <w:noProof/>
                <w:webHidden/>
              </w:rPr>
            </w:r>
            <w:r w:rsidR="00C40770">
              <w:rPr>
                <w:noProof/>
                <w:webHidden/>
              </w:rPr>
              <w:fldChar w:fldCharType="separate"/>
            </w:r>
            <w:r w:rsidR="007643FB">
              <w:rPr>
                <w:noProof/>
                <w:webHidden/>
              </w:rPr>
              <w:t>22</w:t>
            </w:r>
            <w:r w:rsidR="00C40770">
              <w:rPr>
                <w:noProof/>
                <w:webHidden/>
              </w:rPr>
              <w:fldChar w:fldCharType="end"/>
            </w:r>
          </w:hyperlink>
        </w:p>
        <w:p w14:paraId="2C5E74FB" w14:textId="362299A9"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3" w:history="1">
            <w:r w:rsidR="00C40770" w:rsidRPr="00D44585">
              <w:rPr>
                <w:rStyle w:val="Hyperlink"/>
                <w:noProof/>
                <w:lang w:val="en-NZ"/>
              </w:rPr>
              <w:t>Inhalation</w:t>
            </w:r>
            <w:r w:rsidR="00C40770">
              <w:rPr>
                <w:noProof/>
                <w:webHidden/>
              </w:rPr>
              <w:tab/>
            </w:r>
            <w:r w:rsidR="00C40770">
              <w:rPr>
                <w:noProof/>
                <w:webHidden/>
              </w:rPr>
              <w:fldChar w:fldCharType="begin"/>
            </w:r>
            <w:r w:rsidR="00C40770">
              <w:rPr>
                <w:noProof/>
                <w:webHidden/>
              </w:rPr>
              <w:instrText xml:space="preserve"> PAGEREF _Toc181101763 \h </w:instrText>
            </w:r>
            <w:r w:rsidR="00C40770">
              <w:rPr>
                <w:noProof/>
                <w:webHidden/>
              </w:rPr>
            </w:r>
            <w:r w:rsidR="00C40770">
              <w:rPr>
                <w:noProof/>
                <w:webHidden/>
              </w:rPr>
              <w:fldChar w:fldCharType="separate"/>
            </w:r>
            <w:r w:rsidR="007643FB">
              <w:rPr>
                <w:noProof/>
                <w:webHidden/>
              </w:rPr>
              <w:t>22</w:t>
            </w:r>
            <w:r w:rsidR="00C40770">
              <w:rPr>
                <w:noProof/>
                <w:webHidden/>
              </w:rPr>
              <w:fldChar w:fldCharType="end"/>
            </w:r>
          </w:hyperlink>
        </w:p>
        <w:p w14:paraId="3EBA96D4" w14:textId="54069D62"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4" w:history="1">
            <w:r w:rsidR="00C40770" w:rsidRPr="00D44585">
              <w:rPr>
                <w:rStyle w:val="Hyperlink"/>
                <w:noProof/>
                <w:lang w:val="en-NZ"/>
              </w:rPr>
              <w:t>Biotoxins and challenges with correlation to signs and symptoms</w:t>
            </w:r>
            <w:r w:rsidR="00C40770">
              <w:rPr>
                <w:noProof/>
                <w:webHidden/>
              </w:rPr>
              <w:tab/>
            </w:r>
            <w:r w:rsidR="00C40770">
              <w:rPr>
                <w:noProof/>
                <w:webHidden/>
              </w:rPr>
              <w:fldChar w:fldCharType="begin"/>
            </w:r>
            <w:r w:rsidR="00C40770">
              <w:rPr>
                <w:noProof/>
                <w:webHidden/>
              </w:rPr>
              <w:instrText xml:space="preserve"> PAGEREF _Toc181101764 \h </w:instrText>
            </w:r>
            <w:r w:rsidR="00C40770">
              <w:rPr>
                <w:noProof/>
                <w:webHidden/>
              </w:rPr>
            </w:r>
            <w:r w:rsidR="00C40770">
              <w:rPr>
                <w:noProof/>
                <w:webHidden/>
              </w:rPr>
              <w:fldChar w:fldCharType="separate"/>
            </w:r>
            <w:r w:rsidR="007643FB">
              <w:rPr>
                <w:noProof/>
                <w:webHidden/>
              </w:rPr>
              <w:t>24</w:t>
            </w:r>
            <w:r w:rsidR="00C40770">
              <w:rPr>
                <w:noProof/>
                <w:webHidden/>
              </w:rPr>
              <w:fldChar w:fldCharType="end"/>
            </w:r>
          </w:hyperlink>
        </w:p>
        <w:p w14:paraId="17390E19" w14:textId="0B9CA78D"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5" w:history="1">
            <w:r w:rsidR="00C40770" w:rsidRPr="00D44585">
              <w:rPr>
                <w:rStyle w:val="Hyperlink"/>
                <w:noProof/>
                <w:lang w:val="en-NZ"/>
              </w:rPr>
              <w:t>Population groups at risk</w:t>
            </w:r>
            <w:r w:rsidR="00C40770">
              <w:rPr>
                <w:noProof/>
                <w:webHidden/>
              </w:rPr>
              <w:tab/>
            </w:r>
            <w:r w:rsidR="00C40770">
              <w:rPr>
                <w:noProof/>
                <w:webHidden/>
              </w:rPr>
              <w:fldChar w:fldCharType="begin"/>
            </w:r>
            <w:r w:rsidR="00C40770">
              <w:rPr>
                <w:noProof/>
                <w:webHidden/>
              </w:rPr>
              <w:instrText xml:space="preserve"> PAGEREF _Toc181101765 \h </w:instrText>
            </w:r>
            <w:r w:rsidR="00C40770">
              <w:rPr>
                <w:noProof/>
                <w:webHidden/>
              </w:rPr>
            </w:r>
            <w:r w:rsidR="00C40770">
              <w:rPr>
                <w:noProof/>
                <w:webHidden/>
              </w:rPr>
              <w:fldChar w:fldCharType="separate"/>
            </w:r>
            <w:r w:rsidR="007643FB">
              <w:rPr>
                <w:noProof/>
                <w:webHidden/>
              </w:rPr>
              <w:t>25</w:t>
            </w:r>
            <w:r w:rsidR="00C40770">
              <w:rPr>
                <w:noProof/>
                <w:webHidden/>
              </w:rPr>
              <w:fldChar w:fldCharType="end"/>
            </w:r>
          </w:hyperlink>
        </w:p>
        <w:p w14:paraId="02DE88B6" w14:textId="58E096F5"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6" w:history="1">
            <w:r w:rsidR="00C40770" w:rsidRPr="00D44585">
              <w:rPr>
                <w:rStyle w:val="Hyperlink"/>
                <w:noProof/>
                <w:lang w:val="en-NZ"/>
              </w:rPr>
              <w:t>Dose response</w:t>
            </w:r>
            <w:r w:rsidR="00C40770">
              <w:rPr>
                <w:noProof/>
                <w:webHidden/>
              </w:rPr>
              <w:tab/>
            </w:r>
            <w:r w:rsidR="00C40770">
              <w:rPr>
                <w:noProof/>
                <w:webHidden/>
              </w:rPr>
              <w:fldChar w:fldCharType="begin"/>
            </w:r>
            <w:r w:rsidR="00C40770">
              <w:rPr>
                <w:noProof/>
                <w:webHidden/>
              </w:rPr>
              <w:instrText xml:space="preserve"> PAGEREF _Toc181101766 \h </w:instrText>
            </w:r>
            <w:r w:rsidR="00C40770">
              <w:rPr>
                <w:noProof/>
                <w:webHidden/>
              </w:rPr>
            </w:r>
            <w:r w:rsidR="00C40770">
              <w:rPr>
                <w:noProof/>
                <w:webHidden/>
              </w:rPr>
              <w:fldChar w:fldCharType="separate"/>
            </w:r>
            <w:r w:rsidR="007643FB">
              <w:rPr>
                <w:noProof/>
                <w:webHidden/>
              </w:rPr>
              <w:t>25</w:t>
            </w:r>
            <w:r w:rsidR="00C40770">
              <w:rPr>
                <w:noProof/>
                <w:webHidden/>
              </w:rPr>
              <w:fldChar w:fldCharType="end"/>
            </w:r>
          </w:hyperlink>
        </w:p>
        <w:p w14:paraId="2E2F675D" w14:textId="5C739A2B"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7" w:history="1">
            <w:r w:rsidR="00C40770" w:rsidRPr="00D44585">
              <w:rPr>
                <w:rStyle w:val="Hyperlink"/>
                <w:noProof/>
                <w:lang w:val="en-NZ"/>
              </w:rPr>
              <w:t>Severity</w:t>
            </w:r>
            <w:r w:rsidR="00C40770">
              <w:rPr>
                <w:noProof/>
                <w:webHidden/>
              </w:rPr>
              <w:tab/>
            </w:r>
            <w:r w:rsidR="00C40770">
              <w:rPr>
                <w:noProof/>
                <w:webHidden/>
              </w:rPr>
              <w:fldChar w:fldCharType="begin"/>
            </w:r>
            <w:r w:rsidR="00C40770">
              <w:rPr>
                <w:noProof/>
                <w:webHidden/>
              </w:rPr>
              <w:instrText xml:space="preserve"> PAGEREF _Toc181101767 \h </w:instrText>
            </w:r>
            <w:r w:rsidR="00C40770">
              <w:rPr>
                <w:noProof/>
                <w:webHidden/>
              </w:rPr>
            </w:r>
            <w:r w:rsidR="00C40770">
              <w:rPr>
                <w:noProof/>
                <w:webHidden/>
              </w:rPr>
              <w:fldChar w:fldCharType="separate"/>
            </w:r>
            <w:r w:rsidR="007643FB">
              <w:rPr>
                <w:noProof/>
                <w:webHidden/>
              </w:rPr>
              <w:t>26</w:t>
            </w:r>
            <w:r w:rsidR="00C40770">
              <w:rPr>
                <w:noProof/>
                <w:webHidden/>
              </w:rPr>
              <w:fldChar w:fldCharType="end"/>
            </w:r>
          </w:hyperlink>
        </w:p>
        <w:p w14:paraId="6B9D2BEF" w14:textId="2664CAC3"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8" w:history="1">
            <w:r w:rsidR="00C40770" w:rsidRPr="00D44585">
              <w:rPr>
                <w:rStyle w:val="Hyperlink"/>
                <w:noProof/>
                <w:lang w:val="en-NZ"/>
              </w:rPr>
              <w:t>Chronic effects of cyanobacterial exposure</w:t>
            </w:r>
            <w:r w:rsidR="00C40770">
              <w:rPr>
                <w:noProof/>
                <w:webHidden/>
              </w:rPr>
              <w:tab/>
            </w:r>
            <w:r w:rsidR="00C40770">
              <w:rPr>
                <w:noProof/>
                <w:webHidden/>
              </w:rPr>
              <w:fldChar w:fldCharType="begin"/>
            </w:r>
            <w:r w:rsidR="00C40770">
              <w:rPr>
                <w:noProof/>
                <w:webHidden/>
              </w:rPr>
              <w:instrText xml:space="preserve"> PAGEREF _Toc181101768 \h </w:instrText>
            </w:r>
            <w:r w:rsidR="00C40770">
              <w:rPr>
                <w:noProof/>
                <w:webHidden/>
              </w:rPr>
            </w:r>
            <w:r w:rsidR="00C40770">
              <w:rPr>
                <w:noProof/>
                <w:webHidden/>
              </w:rPr>
              <w:fldChar w:fldCharType="separate"/>
            </w:r>
            <w:r w:rsidR="007643FB">
              <w:rPr>
                <w:noProof/>
                <w:webHidden/>
              </w:rPr>
              <w:t>27</w:t>
            </w:r>
            <w:r w:rsidR="00C40770">
              <w:rPr>
                <w:noProof/>
                <w:webHidden/>
              </w:rPr>
              <w:fldChar w:fldCharType="end"/>
            </w:r>
          </w:hyperlink>
        </w:p>
        <w:p w14:paraId="07AB55CE" w14:textId="790D2F29"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69" w:history="1">
            <w:r w:rsidR="00C40770" w:rsidRPr="00D44585">
              <w:rPr>
                <w:rStyle w:val="Hyperlink"/>
                <w:noProof/>
                <w:lang w:val="en-NZ"/>
              </w:rPr>
              <w:t>Time on onset</w:t>
            </w:r>
            <w:r w:rsidR="00C40770">
              <w:rPr>
                <w:noProof/>
                <w:webHidden/>
              </w:rPr>
              <w:tab/>
            </w:r>
            <w:r w:rsidR="00C40770">
              <w:rPr>
                <w:noProof/>
                <w:webHidden/>
              </w:rPr>
              <w:fldChar w:fldCharType="begin"/>
            </w:r>
            <w:r w:rsidR="00C40770">
              <w:rPr>
                <w:noProof/>
                <w:webHidden/>
              </w:rPr>
              <w:instrText xml:space="preserve"> PAGEREF _Toc181101769 \h </w:instrText>
            </w:r>
            <w:r w:rsidR="00C40770">
              <w:rPr>
                <w:noProof/>
                <w:webHidden/>
              </w:rPr>
            </w:r>
            <w:r w:rsidR="00C40770">
              <w:rPr>
                <w:noProof/>
                <w:webHidden/>
              </w:rPr>
              <w:fldChar w:fldCharType="separate"/>
            </w:r>
            <w:r w:rsidR="007643FB">
              <w:rPr>
                <w:noProof/>
                <w:webHidden/>
              </w:rPr>
              <w:t>27</w:t>
            </w:r>
            <w:r w:rsidR="00C40770">
              <w:rPr>
                <w:noProof/>
                <w:webHidden/>
              </w:rPr>
              <w:fldChar w:fldCharType="end"/>
            </w:r>
          </w:hyperlink>
        </w:p>
        <w:p w14:paraId="53077B8E" w14:textId="1F53B70F"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0" w:history="1">
            <w:r w:rsidR="00C40770" w:rsidRPr="00D44585">
              <w:rPr>
                <w:rStyle w:val="Hyperlink"/>
                <w:noProof/>
                <w:lang w:val="en-NZ"/>
              </w:rPr>
              <w:t>Burden of Disease</w:t>
            </w:r>
            <w:r w:rsidR="00C40770">
              <w:rPr>
                <w:noProof/>
                <w:webHidden/>
              </w:rPr>
              <w:tab/>
            </w:r>
            <w:r w:rsidR="00C40770">
              <w:rPr>
                <w:noProof/>
                <w:webHidden/>
              </w:rPr>
              <w:fldChar w:fldCharType="begin"/>
            </w:r>
            <w:r w:rsidR="00C40770">
              <w:rPr>
                <w:noProof/>
                <w:webHidden/>
              </w:rPr>
              <w:instrText xml:space="preserve"> PAGEREF _Toc181101770 \h </w:instrText>
            </w:r>
            <w:r w:rsidR="00C40770">
              <w:rPr>
                <w:noProof/>
                <w:webHidden/>
              </w:rPr>
            </w:r>
            <w:r w:rsidR="00C40770">
              <w:rPr>
                <w:noProof/>
                <w:webHidden/>
              </w:rPr>
              <w:fldChar w:fldCharType="separate"/>
            </w:r>
            <w:r w:rsidR="007643FB">
              <w:rPr>
                <w:noProof/>
                <w:webHidden/>
              </w:rPr>
              <w:t>27</w:t>
            </w:r>
            <w:r w:rsidR="00C40770">
              <w:rPr>
                <w:noProof/>
                <w:webHidden/>
              </w:rPr>
              <w:fldChar w:fldCharType="end"/>
            </w:r>
          </w:hyperlink>
        </w:p>
        <w:p w14:paraId="611BC782" w14:textId="174BCFAD"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1" w:history="1">
            <w:r w:rsidR="00C40770" w:rsidRPr="00D44585">
              <w:rPr>
                <w:rStyle w:val="Hyperlink"/>
                <w:noProof/>
                <w:lang w:val="en-NZ"/>
              </w:rPr>
              <w:t>Limitations</w:t>
            </w:r>
            <w:r w:rsidR="00C40770">
              <w:rPr>
                <w:noProof/>
                <w:webHidden/>
              </w:rPr>
              <w:tab/>
            </w:r>
            <w:r w:rsidR="00C40770">
              <w:rPr>
                <w:noProof/>
                <w:webHidden/>
              </w:rPr>
              <w:fldChar w:fldCharType="begin"/>
            </w:r>
            <w:r w:rsidR="00C40770">
              <w:rPr>
                <w:noProof/>
                <w:webHidden/>
              </w:rPr>
              <w:instrText xml:space="preserve"> PAGEREF _Toc181101771 \h </w:instrText>
            </w:r>
            <w:r w:rsidR="00C40770">
              <w:rPr>
                <w:noProof/>
                <w:webHidden/>
              </w:rPr>
            </w:r>
            <w:r w:rsidR="00C40770">
              <w:rPr>
                <w:noProof/>
                <w:webHidden/>
              </w:rPr>
              <w:fldChar w:fldCharType="separate"/>
            </w:r>
            <w:r w:rsidR="007643FB">
              <w:rPr>
                <w:noProof/>
                <w:webHidden/>
              </w:rPr>
              <w:t>28</w:t>
            </w:r>
            <w:r w:rsidR="00C40770">
              <w:rPr>
                <w:noProof/>
                <w:webHidden/>
              </w:rPr>
              <w:fldChar w:fldCharType="end"/>
            </w:r>
          </w:hyperlink>
        </w:p>
        <w:p w14:paraId="01C1A6AA" w14:textId="6B7B57CF"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72" w:history="1">
            <w:r w:rsidR="00C40770" w:rsidRPr="00D44585">
              <w:rPr>
                <w:rStyle w:val="Hyperlink"/>
                <w:noProof/>
                <w:lang w:val="en-NZ"/>
              </w:rPr>
              <w:t>Risk reduction – environmental case investigation and management</w:t>
            </w:r>
            <w:r w:rsidR="00C40770">
              <w:rPr>
                <w:noProof/>
                <w:webHidden/>
              </w:rPr>
              <w:tab/>
            </w:r>
            <w:r w:rsidR="00C40770">
              <w:rPr>
                <w:noProof/>
                <w:webHidden/>
              </w:rPr>
              <w:fldChar w:fldCharType="begin"/>
            </w:r>
            <w:r w:rsidR="00C40770">
              <w:rPr>
                <w:noProof/>
                <w:webHidden/>
              </w:rPr>
              <w:instrText xml:space="preserve"> PAGEREF _Toc181101772 \h </w:instrText>
            </w:r>
            <w:r w:rsidR="00C40770">
              <w:rPr>
                <w:noProof/>
                <w:webHidden/>
              </w:rPr>
            </w:r>
            <w:r w:rsidR="00C40770">
              <w:rPr>
                <w:noProof/>
                <w:webHidden/>
              </w:rPr>
              <w:fldChar w:fldCharType="separate"/>
            </w:r>
            <w:r w:rsidR="007643FB">
              <w:rPr>
                <w:noProof/>
                <w:webHidden/>
              </w:rPr>
              <w:t>29</w:t>
            </w:r>
            <w:r w:rsidR="00C40770">
              <w:rPr>
                <w:noProof/>
                <w:webHidden/>
              </w:rPr>
              <w:fldChar w:fldCharType="end"/>
            </w:r>
          </w:hyperlink>
        </w:p>
        <w:p w14:paraId="7D237277" w14:textId="5ABFF112"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3" w:history="1">
            <w:r w:rsidR="00C40770" w:rsidRPr="00D44585">
              <w:rPr>
                <w:rStyle w:val="Hyperlink"/>
                <w:noProof/>
                <w:lang w:val="en-NZ"/>
              </w:rPr>
              <w:t>Notification</w:t>
            </w:r>
            <w:r w:rsidR="00C40770">
              <w:rPr>
                <w:noProof/>
                <w:webHidden/>
              </w:rPr>
              <w:tab/>
            </w:r>
            <w:r w:rsidR="00C40770">
              <w:rPr>
                <w:noProof/>
                <w:webHidden/>
              </w:rPr>
              <w:fldChar w:fldCharType="begin"/>
            </w:r>
            <w:r w:rsidR="00C40770">
              <w:rPr>
                <w:noProof/>
                <w:webHidden/>
              </w:rPr>
              <w:instrText xml:space="preserve"> PAGEREF _Toc181101773 \h </w:instrText>
            </w:r>
            <w:r w:rsidR="00C40770">
              <w:rPr>
                <w:noProof/>
                <w:webHidden/>
              </w:rPr>
            </w:r>
            <w:r w:rsidR="00C40770">
              <w:rPr>
                <w:noProof/>
                <w:webHidden/>
              </w:rPr>
              <w:fldChar w:fldCharType="separate"/>
            </w:r>
            <w:r w:rsidR="007643FB">
              <w:rPr>
                <w:noProof/>
                <w:webHidden/>
              </w:rPr>
              <w:t>29</w:t>
            </w:r>
            <w:r w:rsidR="00C40770">
              <w:rPr>
                <w:noProof/>
                <w:webHidden/>
              </w:rPr>
              <w:fldChar w:fldCharType="end"/>
            </w:r>
          </w:hyperlink>
        </w:p>
        <w:p w14:paraId="53EB2D9A" w14:textId="02447A43"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4" w:history="1">
            <w:r w:rsidR="00C40770" w:rsidRPr="00D44585">
              <w:rPr>
                <w:rStyle w:val="Hyperlink"/>
                <w:noProof/>
                <w:lang w:val="en-NZ"/>
              </w:rPr>
              <w:t>Public health surveillance</w:t>
            </w:r>
            <w:r w:rsidR="00C40770">
              <w:rPr>
                <w:noProof/>
                <w:webHidden/>
              </w:rPr>
              <w:tab/>
            </w:r>
            <w:r w:rsidR="00C40770">
              <w:rPr>
                <w:noProof/>
                <w:webHidden/>
              </w:rPr>
              <w:fldChar w:fldCharType="begin"/>
            </w:r>
            <w:r w:rsidR="00C40770">
              <w:rPr>
                <w:noProof/>
                <w:webHidden/>
              </w:rPr>
              <w:instrText xml:space="preserve"> PAGEREF _Toc181101774 \h </w:instrText>
            </w:r>
            <w:r w:rsidR="00C40770">
              <w:rPr>
                <w:noProof/>
                <w:webHidden/>
              </w:rPr>
            </w:r>
            <w:r w:rsidR="00C40770">
              <w:rPr>
                <w:noProof/>
                <w:webHidden/>
              </w:rPr>
              <w:fldChar w:fldCharType="separate"/>
            </w:r>
            <w:r w:rsidR="007643FB">
              <w:rPr>
                <w:noProof/>
                <w:webHidden/>
              </w:rPr>
              <w:t>29</w:t>
            </w:r>
            <w:r w:rsidR="00C40770">
              <w:rPr>
                <w:noProof/>
                <w:webHidden/>
              </w:rPr>
              <w:fldChar w:fldCharType="end"/>
            </w:r>
          </w:hyperlink>
        </w:p>
        <w:p w14:paraId="00414CC8" w14:textId="2BEB7247"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5" w:history="1">
            <w:r w:rsidR="00C40770" w:rsidRPr="00D44585">
              <w:rPr>
                <w:rStyle w:val="Hyperlink"/>
                <w:noProof/>
                <w:lang w:val="en-NZ"/>
              </w:rPr>
              <w:t>New Zealand case definitions and classification</w:t>
            </w:r>
            <w:r w:rsidR="00C40770">
              <w:rPr>
                <w:noProof/>
                <w:webHidden/>
              </w:rPr>
              <w:tab/>
            </w:r>
            <w:r w:rsidR="00C40770">
              <w:rPr>
                <w:noProof/>
                <w:webHidden/>
              </w:rPr>
              <w:fldChar w:fldCharType="begin"/>
            </w:r>
            <w:r w:rsidR="00C40770">
              <w:rPr>
                <w:noProof/>
                <w:webHidden/>
              </w:rPr>
              <w:instrText xml:space="preserve"> PAGEREF _Toc181101775 \h </w:instrText>
            </w:r>
            <w:r w:rsidR="00C40770">
              <w:rPr>
                <w:noProof/>
                <w:webHidden/>
              </w:rPr>
            </w:r>
            <w:r w:rsidR="00C40770">
              <w:rPr>
                <w:noProof/>
                <w:webHidden/>
              </w:rPr>
              <w:fldChar w:fldCharType="separate"/>
            </w:r>
            <w:r w:rsidR="007643FB">
              <w:rPr>
                <w:noProof/>
                <w:webHidden/>
              </w:rPr>
              <w:t>29</w:t>
            </w:r>
            <w:r w:rsidR="00C40770">
              <w:rPr>
                <w:noProof/>
                <w:webHidden/>
              </w:rPr>
              <w:fldChar w:fldCharType="end"/>
            </w:r>
          </w:hyperlink>
        </w:p>
        <w:p w14:paraId="642B5458" w14:textId="49D23F96"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6" w:history="1">
            <w:r w:rsidR="00C40770" w:rsidRPr="00D44585">
              <w:rPr>
                <w:rStyle w:val="Hyperlink"/>
                <w:noProof/>
                <w:lang w:val="en-NZ"/>
              </w:rPr>
              <w:t>Case management</w:t>
            </w:r>
            <w:r w:rsidR="00C40770">
              <w:rPr>
                <w:noProof/>
                <w:webHidden/>
              </w:rPr>
              <w:tab/>
            </w:r>
            <w:r w:rsidR="00C40770">
              <w:rPr>
                <w:noProof/>
                <w:webHidden/>
              </w:rPr>
              <w:fldChar w:fldCharType="begin"/>
            </w:r>
            <w:r w:rsidR="00C40770">
              <w:rPr>
                <w:noProof/>
                <w:webHidden/>
              </w:rPr>
              <w:instrText xml:space="preserve"> PAGEREF _Toc181101776 \h </w:instrText>
            </w:r>
            <w:r w:rsidR="00C40770">
              <w:rPr>
                <w:noProof/>
                <w:webHidden/>
              </w:rPr>
            </w:r>
            <w:r w:rsidR="00C40770">
              <w:rPr>
                <w:noProof/>
                <w:webHidden/>
              </w:rPr>
              <w:fldChar w:fldCharType="separate"/>
            </w:r>
            <w:r w:rsidR="007643FB">
              <w:rPr>
                <w:noProof/>
                <w:webHidden/>
              </w:rPr>
              <w:t>34</w:t>
            </w:r>
            <w:r w:rsidR="00C40770">
              <w:rPr>
                <w:noProof/>
                <w:webHidden/>
              </w:rPr>
              <w:fldChar w:fldCharType="end"/>
            </w:r>
          </w:hyperlink>
        </w:p>
        <w:p w14:paraId="6D4F9CF1" w14:textId="66B56CC4"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7" w:history="1">
            <w:r w:rsidR="00C40770" w:rsidRPr="00D44585">
              <w:rPr>
                <w:rStyle w:val="Hyperlink"/>
                <w:noProof/>
                <w:lang w:val="en-NZ"/>
              </w:rPr>
              <w:t>Risk communication / education</w:t>
            </w:r>
            <w:r w:rsidR="00C40770">
              <w:rPr>
                <w:noProof/>
                <w:webHidden/>
              </w:rPr>
              <w:tab/>
            </w:r>
            <w:r w:rsidR="00C40770">
              <w:rPr>
                <w:noProof/>
                <w:webHidden/>
              </w:rPr>
              <w:fldChar w:fldCharType="begin"/>
            </w:r>
            <w:r w:rsidR="00C40770">
              <w:rPr>
                <w:noProof/>
                <w:webHidden/>
              </w:rPr>
              <w:instrText xml:space="preserve"> PAGEREF _Toc181101777 \h </w:instrText>
            </w:r>
            <w:r w:rsidR="00C40770">
              <w:rPr>
                <w:noProof/>
                <w:webHidden/>
              </w:rPr>
            </w:r>
            <w:r w:rsidR="00C40770">
              <w:rPr>
                <w:noProof/>
                <w:webHidden/>
              </w:rPr>
              <w:fldChar w:fldCharType="separate"/>
            </w:r>
            <w:r w:rsidR="007643FB">
              <w:rPr>
                <w:noProof/>
                <w:webHidden/>
              </w:rPr>
              <w:t>34</w:t>
            </w:r>
            <w:r w:rsidR="00C40770">
              <w:rPr>
                <w:noProof/>
                <w:webHidden/>
              </w:rPr>
              <w:fldChar w:fldCharType="end"/>
            </w:r>
          </w:hyperlink>
        </w:p>
        <w:p w14:paraId="2244C423" w14:textId="68DAA3B7"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8" w:history="1">
            <w:r w:rsidR="00C40770" w:rsidRPr="00D44585">
              <w:rPr>
                <w:rStyle w:val="Hyperlink"/>
                <w:noProof/>
                <w:lang w:val="en-NZ"/>
              </w:rPr>
              <w:t>Reporting</w:t>
            </w:r>
            <w:r w:rsidR="00C40770">
              <w:rPr>
                <w:noProof/>
                <w:webHidden/>
              </w:rPr>
              <w:tab/>
            </w:r>
            <w:r w:rsidR="00C40770">
              <w:rPr>
                <w:noProof/>
                <w:webHidden/>
              </w:rPr>
              <w:fldChar w:fldCharType="begin"/>
            </w:r>
            <w:r w:rsidR="00C40770">
              <w:rPr>
                <w:noProof/>
                <w:webHidden/>
              </w:rPr>
              <w:instrText xml:space="preserve"> PAGEREF _Toc181101778 \h </w:instrText>
            </w:r>
            <w:r w:rsidR="00C40770">
              <w:rPr>
                <w:noProof/>
                <w:webHidden/>
              </w:rPr>
            </w:r>
            <w:r w:rsidR="00C40770">
              <w:rPr>
                <w:noProof/>
                <w:webHidden/>
              </w:rPr>
              <w:fldChar w:fldCharType="separate"/>
            </w:r>
            <w:r w:rsidR="007643FB">
              <w:rPr>
                <w:noProof/>
                <w:webHidden/>
              </w:rPr>
              <w:t>35</w:t>
            </w:r>
            <w:r w:rsidR="00C40770">
              <w:rPr>
                <w:noProof/>
                <w:webHidden/>
              </w:rPr>
              <w:fldChar w:fldCharType="end"/>
            </w:r>
          </w:hyperlink>
        </w:p>
        <w:p w14:paraId="43252C7C" w14:textId="517DDDAA"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79" w:history="1">
            <w:r w:rsidR="00C40770" w:rsidRPr="00D44585">
              <w:rPr>
                <w:rStyle w:val="Hyperlink"/>
                <w:noProof/>
                <w:lang w:val="en-NZ"/>
              </w:rPr>
              <w:t>Future exposure risk characterisation</w:t>
            </w:r>
            <w:r w:rsidR="00C40770">
              <w:rPr>
                <w:noProof/>
                <w:webHidden/>
              </w:rPr>
              <w:tab/>
            </w:r>
            <w:r w:rsidR="00C40770">
              <w:rPr>
                <w:noProof/>
                <w:webHidden/>
              </w:rPr>
              <w:fldChar w:fldCharType="begin"/>
            </w:r>
            <w:r w:rsidR="00C40770">
              <w:rPr>
                <w:noProof/>
                <w:webHidden/>
              </w:rPr>
              <w:instrText xml:space="preserve"> PAGEREF _Toc181101779 \h </w:instrText>
            </w:r>
            <w:r w:rsidR="00C40770">
              <w:rPr>
                <w:noProof/>
                <w:webHidden/>
              </w:rPr>
            </w:r>
            <w:r w:rsidR="00C40770">
              <w:rPr>
                <w:noProof/>
                <w:webHidden/>
              </w:rPr>
              <w:fldChar w:fldCharType="separate"/>
            </w:r>
            <w:r w:rsidR="007643FB">
              <w:rPr>
                <w:noProof/>
                <w:webHidden/>
              </w:rPr>
              <w:t>36</w:t>
            </w:r>
            <w:r w:rsidR="00C40770">
              <w:rPr>
                <w:noProof/>
                <w:webHidden/>
              </w:rPr>
              <w:fldChar w:fldCharType="end"/>
            </w:r>
          </w:hyperlink>
        </w:p>
        <w:p w14:paraId="04286C9D" w14:textId="71FEBB07"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80" w:history="1">
            <w:r w:rsidR="00C40770" w:rsidRPr="00D44585">
              <w:rPr>
                <w:rStyle w:val="Hyperlink"/>
                <w:noProof/>
                <w:lang w:val="en-NZ"/>
              </w:rPr>
              <w:t>Risk reduction – immediate public health management of recreational water with a HAB</w:t>
            </w:r>
            <w:r w:rsidR="00C40770">
              <w:rPr>
                <w:noProof/>
                <w:webHidden/>
              </w:rPr>
              <w:tab/>
            </w:r>
            <w:r w:rsidR="00C40770">
              <w:rPr>
                <w:noProof/>
                <w:webHidden/>
              </w:rPr>
              <w:fldChar w:fldCharType="begin"/>
            </w:r>
            <w:r w:rsidR="00C40770">
              <w:rPr>
                <w:noProof/>
                <w:webHidden/>
              </w:rPr>
              <w:instrText xml:space="preserve"> PAGEREF _Toc181101780 \h </w:instrText>
            </w:r>
            <w:r w:rsidR="00C40770">
              <w:rPr>
                <w:noProof/>
                <w:webHidden/>
              </w:rPr>
            </w:r>
            <w:r w:rsidR="00C40770">
              <w:rPr>
                <w:noProof/>
                <w:webHidden/>
              </w:rPr>
              <w:fldChar w:fldCharType="separate"/>
            </w:r>
            <w:r w:rsidR="007643FB">
              <w:rPr>
                <w:noProof/>
                <w:webHidden/>
              </w:rPr>
              <w:t>37</w:t>
            </w:r>
            <w:r w:rsidR="00C40770">
              <w:rPr>
                <w:noProof/>
                <w:webHidden/>
              </w:rPr>
              <w:fldChar w:fldCharType="end"/>
            </w:r>
          </w:hyperlink>
        </w:p>
        <w:p w14:paraId="1DDB752A" w14:textId="1BA599EE"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1" w:history="1">
            <w:r w:rsidR="00C40770" w:rsidRPr="00D44585">
              <w:rPr>
                <w:rStyle w:val="Hyperlink"/>
                <w:noProof/>
                <w:lang w:val="en-NZ"/>
              </w:rPr>
              <w:t>Alert level framework for freshwater cyanobacteria</w:t>
            </w:r>
            <w:r w:rsidR="00C40770">
              <w:rPr>
                <w:noProof/>
                <w:webHidden/>
              </w:rPr>
              <w:tab/>
            </w:r>
            <w:r w:rsidR="00C40770">
              <w:rPr>
                <w:noProof/>
                <w:webHidden/>
              </w:rPr>
              <w:fldChar w:fldCharType="begin"/>
            </w:r>
            <w:r w:rsidR="00C40770">
              <w:rPr>
                <w:noProof/>
                <w:webHidden/>
              </w:rPr>
              <w:instrText xml:space="preserve"> PAGEREF _Toc181101781 \h </w:instrText>
            </w:r>
            <w:r w:rsidR="00C40770">
              <w:rPr>
                <w:noProof/>
                <w:webHidden/>
              </w:rPr>
            </w:r>
            <w:r w:rsidR="00C40770">
              <w:rPr>
                <w:noProof/>
                <w:webHidden/>
              </w:rPr>
              <w:fldChar w:fldCharType="separate"/>
            </w:r>
            <w:r w:rsidR="007643FB">
              <w:rPr>
                <w:noProof/>
                <w:webHidden/>
              </w:rPr>
              <w:t>37</w:t>
            </w:r>
            <w:r w:rsidR="00C40770">
              <w:rPr>
                <w:noProof/>
                <w:webHidden/>
              </w:rPr>
              <w:fldChar w:fldCharType="end"/>
            </w:r>
          </w:hyperlink>
        </w:p>
        <w:p w14:paraId="072A9398" w14:textId="479ED1F4"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2" w:history="1">
            <w:r w:rsidR="00C40770" w:rsidRPr="00D44585">
              <w:rPr>
                <w:rStyle w:val="Hyperlink"/>
                <w:noProof/>
                <w:lang w:val="en-NZ"/>
              </w:rPr>
              <w:t>Marine recreational water</w:t>
            </w:r>
            <w:r w:rsidR="00C40770">
              <w:rPr>
                <w:noProof/>
                <w:webHidden/>
              </w:rPr>
              <w:tab/>
            </w:r>
            <w:r w:rsidR="00C40770">
              <w:rPr>
                <w:noProof/>
                <w:webHidden/>
              </w:rPr>
              <w:fldChar w:fldCharType="begin"/>
            </w:r>
            <w:r w:rsidR="00C40770">
              <w:rPr>
                <w:noProof/>
                <w:webHidden/>
              </w:rPr>
              <w:instrText xml:space="preserve"> PAGEREF _Toc181101782 \h </w:instrText>
            </w:r>
            <w:r w:rsidR="00C40770">
              <w:rPr>
                <w:noProof/>
                <w:webHidden/>
              </w:rPr>
            </w:r>
            <w:r w:rsidR="00C40770">
              <w:rPr>
                <w:noProof/>
                <w:webHidden/>
              </w:rPr>
              <w:fldChar w:fldCharType="separate"/>
            </w:r>
            <w:r w:rsidR="007643FB">
              <w:rPr>
                <w:noProof/>
                <w:webHidden/>
              </w:rPr>
              <w:t>38</w:t>
            </w:r>
            <w:r w:rsidR="00C40770">
              <w:rPr>
                <w:noProof/>
                <w:webHidden/>
              </w:rPr>
              <w:fldChar w:fldCharType="end"/>
            </w:r>
          </w:hyperlink>
        </w:p>
        <w:p w14:paraId="076CDEB3" w14:textId="3E29ABB5"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3" w:history="1">
            <w:r w:rsidR="00C40770" w:rsidRPr="00D44585">
              <w:rPr>
                <w:rStyle w:val="Hyperlink"/>
                <w:noProof/>
                <w:lang w:val="en-NZ"/>
              </w:rPr>
              <w:t>Activating a public health alert – communicating the public health risk</w:t>
            </w:r>
            <w:r w:rsidR="00C40770">
              <w:rPr>
                <w:noProof/>
                <w:webHidden/>
              </w:rPr>
              <w:tab/>
            </w:r>
            <w:r w:rsidR="00C40770">
              <w:rPr>
                <w:noProof/>
                <w:webHidden/>
              </w:rPr>
              <w:fldChar w:fldCharType="begin"/>
            </w:r>
            <w:r w:rsidR="00C40770">
              <w:rPr>
                <w:noProof/>
                <w:webHidden/>
              </w:rPr>
              <w:instrText xml:space="preserve"> PAGEREF _Toc181101783 \h </w:instrText>
            </w:r>
            <w:r w:rsidR="00C40770">
              <w:rPr>
                <w:noProof/>
                <w:webHidden/>
              </w:rPr>
            </w:r>
            <w:r w:rsidR="00C40770">
              <w:rPr>
                <w:noProof/>
                <w:webHidden/>
              </w:rPr>
              <w:fldChar w:fldCharType="separate"/>
            </w:r>
            <w:r w:rsidR="007643FB">
              <w:rPr>
                <w:noProof/>
                <w:webHidden/>
              </w:rPr>
              <w:t>38</w:t>
            </w:r>
            <w:r w:rsidR="00C40770">
              <w:rPr>
                <w:noProof/>
                <w:webHidden/>
              </w:rPr>
              <w:fldChar w:fldCharType="end"/>
            </w:r>
          </w:hyperlink>
        </w:p>
        <w:p w14:paraId="76A84082" w14:textId="0E86F18A"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4" w:history="1">
            <w:r w:rsidR="00C40770" w:rsidRPr="00D44585">
              <w:rPr>
                <w:rStyle w:val="Hyperlink"/>
                <w:noProof/>
                <w:lang w:val="en-NZ"/>
              </w:rPr>
              <w:t>Downgrading a public health alert</w:t>
            </w:r>
            <w:r w:rsidR="00C40770">
              <w:rPr>
                <w:noProof/>
                <w:webHidden/>
              </w:rPr>
              <w:tab/>
            </w:r>
            <w:r w:rsidR="00C40770">
              <w:rPr>
                <w:noProof/>
                <w:webHidden/>
              </w:rPr>
              <w:fldChar w:fldCharType="begin"/>
            </w:r>
            <w:r w:rsidR="00C40770">
              <w:rPr>
                <w:noProof/>
                <w:webHidden/>
              </w:rPr>
              <w:instrText xml:space="preserve"> PAGEREF _Toc181101784 \h </w:instrText>
            </w:r>
            <w:r w:rsidR="00C40770">
              <w:rPr>
                <w:noProof/>
                <w:webHidden/>
              </w:rPr>
            </w:r>
            <w:r w:rsidR="00C40770">
              <w:rPr>
                <w:noProof/>
                <w:webHidden/>
              </w:rPr>
              <w:fldChar w:fldCharType="separate"/>
            </w:r>
            <w:r w:rsidR="007643FB">
              <w:rPr>
                <w:noProof/>
                <w:webHidden/>
              </w:rPr>
              <w:t>39</w:t>
            </w:r>
            <w:r w:rsidR="00C40770">
              <w:rPr>
                <w:noProof/>
                <w:webHidden/>
              </w:rPr>
              <w:fldChar w:fldCharType="end"/>
            </w:r>
          </w:hyperlink>
        </w:p>
        <w:p w14:paraId="2FBFA002" w14:textId="448FE58E"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5" w:history="1">
            <w:r w:rsidR="00C40770" w:rsidRPr="00D44585">
              <w:rPr>
                <w:rStyle w:val="Hyperlink"/>
                <w:noProof/>
                <w:lang w:val="en-NZ"/>
              </w:rPr>
              <w:t>Surveillance and monitoring of waterbodies</w:t>
            </w:r>
            <w:r w:rsidR="00C40770">
              <w:rPr>
                <w:noProof/>
                <w:webHidden/>
              </w:rPr>
              <w:tab/>
            </w:r>
            <w:r w:rsidR="00C40770">
              <w:rPr>
                <w:noProof/>
                <w:webHidden/>
              </w:rPr>
              <w:fldChar w:fldCharType="begin"/>
            </w:r>
            <w:r w:rsidR="00C40770">
              <w:rPr>
                <w:noProof/>
                <w:webHidden/>
              </w:rPr>
              <w:instrText xml:space="preserve"> PAGEREF _Toc181101785 \h </w:instrText>
            </w:r>
            <w:r w:rsidR="00C40770">
              <w:rPr>
                <w:noProof/>
                <w:webHidden/>
              </w:rPr>
            </w:r>
            <w:r w:rsidR="00C40770">
              <w:rPr>
                <w:noProof/>
                <w:webHidden/>
              </w:rPr>
              <w:fldChar w:fldCharType="separate"/>
            </w:r>
            <w:r w:rsidR="007643FB">
              <w:rPr>
                <w:noProof/>
                <w:webHidden/>
              </w:rPr>
              <w:t>40</w:t>
            </w:r>
            <w:r w:rsidR="00C40770">
              <w:rPr>
                <w:noProof/>
                <w:webHidden/>
              </w:rPr>
              <w:fldChar w:fldCharType="end"/>
            </w:r>
          </w:hyperlink>
        </w:p>
        <w:p w14:paraId="656A2C0A" w14:textId="73FC0B30"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86" w:history="1">
            <w:r w:rsidR="00C40770" w:rsidRPr="00D44585">
              <w:rPr>
                <w:rStyle w:val="Hyperlink"/>
                <w:noProof/>
                <w:lang w:val="en-NZ"/>
              </w:rPr>
              <w:t>Risk reduction – longer-term public health risk management</w:t>
            </w:r>
            <w:r w:rsidR="00C40770">
              <w:rPr>
                <w:noProof/>
                <w:webHidden/>
              </w:rPr>
              <w:tab/>
            </w:r>
            <w:r w:rsidR="00C40770">
              <w:rPr>
                <w:noProof/>
                <w:webHidden/>
              </w:rPr>
              <w:fldChar w:fldCharType="begin"/>
            </w:r>
            <w:r w:rsidR="00C40770">
              <w:rPr>
                <w:noProof/>
                <w:webHidden/>
              </w:rPr>
              <w:instrText xml:space="preserve"> PAGEREF _Toc181101786 \h </w:instrText>
            </w:r>
            <w:r w:rsidR="00C40770">
              <w:rPr>
                <w:noProof/>
                <w:webHidden/>
              </w:rPr>
            </w:r>
            <w:r w:rsidR="00C40770">
              <w:rPr>
                <w:noProof/>
                <w:webHidden/>
              </w:rPr>
              <w:fldChar w:fldCharType="separate"/>
            </w:r>
            <w:r w:rsidR="007643FB">
              <w:rPr>
                <w:noProof/>
                <w:webHidden/>
              </w:rPr>
              <w:t>42</w:t>
            </w:r>
            <w:r w:rsidR="00C40770">
              <w:rPr>
                <w:noProof/>
                <w:webHidden/>
              </w:rPr>
              <w:fldChar w:fldCharType="end"/>
            </w:r>
          </w:hyperlink>
        </w:p>
        <w:p w14:paraId="35286821" w14:textId="4A6BB942"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87" w:history="1">
            <w:r w:rsidR="00C40770" w:rsidRPr="00D44585">
              <w:rPr>
                <w:rStyle w:val="Hyperlink"/>
                <w:noProof/>
                <w:lang w:val="en-NZ"/>
              </w:rPr>
              <w:t>Roles and responsibilities</w:t>
            </w:r>
            <w:r w:rsidR="00C40770">
              <w:rPr>
                <w:noProof/>
                <w:webHidden/>
              </w:rPr>
              <w:tab/>
            </w:r>
            <w:r w:rsidR="00C40770">
              <w:rPr>
                <w:noProof/>
                <w:webHidden/>
              </w:rPr>
              <w:fldChar w:fldCharType="begin"/>
            </w:r>
            <w:r w:rsidR="00C40770">
              <w:rPr>
                <w:noProof/>
                <w:webHidden/>
              </w:rPr>
              <w:instrText xml:space="preserve"> PAGEREF _Toc181101787 \h </w:instrText>
            </w:r>
            <w:r w:rsidR="00C40770">
              <w:rPr>
                <w:noProof/>
                <w:webHidden/>
              </w:rPr>
            </w:r>
            <w:r w:rsidR="00C40770">
              <w:rPr>
                <w:noProof/>
                <w:webHidden/>
              </w:rPr>
              <w:fldChar w:fldCharType="separate"/>
            </w:r>
            <w:r w:rsidR="007643FB">
              <w:rPr>
                <w:noProof/>
                <w:webHidden/>
              </w:rPr>
              <w:t>43</w:t>
            </w:r>
            <w:r w:rsidR="00C40770">
              <w:rPr>
                <w:noProof/>
                <w:webHidden/>
              </w:rPr>
              <w:fldChar w:fldCharType="end"/>
            </w:r>
          </w:hyperlink>
        </w:p>
        <w:p w14:paraId="6A2F946D" w14:textId="517A9884"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8" w:history="1">
            <w:r w:rsidR="00C40770" w:rsidRPr="00D44585">
              <w:rPr>
                <w:rStyle w:val="Hyperlink"/>
                <w:noProof/>
                <w:lang w:val="en-GB"/>
              </w:rPr>
              <w:t>Local authorities</w:t>
            </w:r>
            <w:r w:rsidR="00C40770">
              <w:rPr>
                <w:noProof/>
                <w:webHidden/>
              </w:rPr>
              <w:tab/>
            </w:r>
            <w:r w:rsidR="00C40770">
              <w:rPr>
                <w:noProof/>
                <w:webHidden/>
              </w:rPr>
              <w:fldChar w:fldCharType="begin"/>
            </w:r>
            <w:r w:rsidR="00C40770">
              <w:rPr>
                <w:noProof/>
                <w:webHidden/>
              </w:rPr>
              <w:instrText xml:space="preserve"> PAGEREF _Toc181101788 \h </w:instrText>
            </w:r>
            <w:r w:rsidR="00C40770">
              <w:rPr>
                <w:noProof/>
                <w:webHidden/>
              </w:rPr>
            </w:r>
            <w:r w:rsidR="00C40770">
              <w:rPr>
                <w:noProof/>
                <w:webHidden/>
              </w:rPr>
              <w:fldChar w:fldCharType="separate"/>
            </w:r>
            <w:r w:rsidR="007643FB">
              <w:rPr>
                <w:noProof/>
                <w:webHidden/>
              </w:rPr>
              <w:t>43</w:t>
            </w:r>
            <w:r w:rsidR="00C40770">
              <w:rPr>
                <w:noProof/>
                <w:webHidden/>
              </w:rPr>
              <w:fldChar w:fldCharType="end"/>
            </w:r>
          </w:hyperlink>
        </w:p>
        <w:p w14:paraId="3E5DFCA7" w14:textId="342552BC"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89" w:history="1">
            <w:r w:rsidR="00C40770" w:rsidRPr="00D44585">
              <w:rPr>
                <w:rStyle w:val="Hyperlink"/>
                <w:noProof/>
                <w:lang w:val="en-NZ"/>
              </w:rPr>
              <w:t>National Public Health Service</w:t>
            </w:r>
            <w:r w:rsidR="00C40770">
              <w:rPr>
                <w:noProof/>
                <w:webHidden/>
              </w:rPr>
              <w:tab/>
            </w:r>
            <w:r w:rsidR="00C40770">
              <w:rPr>
                <w:noProof/>
                <w:webHidden/>
              </w:rPr>
              <w:fldChar w:fldCharType="begin"/>
            </w:r>
            <w:r w:rsidR="00C40770">
              <w:rPr>
                <w:noProof/>
                <w:webHidden/>
              </w:rPr>
              <w:instrText xml:space="preserve"> PAGEREF _Toc181101789 \h </w:instrText>
            </w:r>
            <w:r w:rsidR="00C40770">
              <w:rPr>
                <w:noProof/>
                <w:webHidden/>
              </w:rPr>
            </w:r>
            <w:r w:rsidR="00C40770">
              <w:rPr>
                <w:noProof/>
                <w:webHidden/>
              </w:rPr>
              <w:fldChar w:fldCharType="separate"/>
            </w:r>
            <w:r w:rsidR="007643FB">
              <w:rPr>
                <w:noProof/>
                <w:webHidden/>
              </w:rPr>
              <w:t>44</w:t>
            </w:r>
            <w:r w:rsidR="00C40770">
              <w:rPr>
                <w:noProof/>
                <w:webHidden/>
              </w:rPr>
              <w:fldChar w:fldCharType="end"/>
            </w:r>
          </w:hyperlink>
        </w:p>
        <w:p w14:paraId="36B27174" w14:textId="3ACED63E"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90" w:history="1">
            <w:r w:rsidR="00C40770" w:rsidRPr="00D44585">
              <w:rPr>
                <w:rStyle w:val="Hyperlink"/>
                <w:noProof/>
                <w:lang w:val="en-NZ"/>
              </w:rPr>
              <w:t>Other agencies</w:t>
            </w:r>
            <w:r w:rsidR="00C40770">
              <w:rPr>
                <w:noProof/>
                <w:webHidden/>
              </w:rPr>
              <w:tab/>
            </w:r>
            <w:r w:rsidR="00C40770">
              <w:rPr>
                <w:noProof/>
                <w:webHidden/>
              </w:rPr>
              <w:fldChar w:fldCharType="begin"/>
            </w:r>
            <w:r w:rsidR="00C40770">
              <w:rPr>
                <w:noProof/>
                <w:webHidden/>
              </w:rPr>
              <w:instrText xml:space="preserve"> PAGEREF _Toc181101790 \h </w:instrText>
            </w:r>
            <w:r w:rsidR="00C40770">
              <w:rPr>
                <w:noProof/>
                <w:webHidden/>
              </w:rPr>
            </w:r>
            <w:r w:rsidR="00C40770">
              <w:rPr>
                <w:noProof/>
                <w:webHidden/>
              </w:rPr>
              <w:fldChar w:fldCharType="separate"/>
            </w:r>
            <w:r w:rsidR="007643FB">
              <w:rPr>
                <w:noProof/>
                <w:webHidden/>
              </w:rPr>
              <w:t>45</w:t>
            </w:r>
            <w:r w:rsidR="00C40770">
              <w:rPr>
                <w:noProof/>
                <w:webHidden/>
              </w:rPr>
              <w:fldChar w:fldCharType="end"/>
            </w:r>
          </w:hyperlink>
        </w:p>
        <w:p w14:paraId="76B7405C" w14:textId="46B3B204"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91" w:history="1">
            <w:r w:rsidR="00C40770" w:rsidRPr="00D44585">
              <w:rPr>
                <w:rStyle w:val="Hyperlink"/>
                <w:noProof/>
                <w:lang w:val="en-NZ"/>
              </w:rPr>
              <w:t>Local agreements</w:t>
            </w:r>
            <w:r w:rsidR="00C40770">
              <w:rPr>
                <w:noProof/>
                <w:webHidden/>
              </w:rPr>
              <w:tab/>
            </w:r>
            <w:r w:rsidR="00C40770">
              <w:rPr>
                <w:noProof/>
                <w:webHidden/>
              </w:rPr>
              <w:fldChar w:fldCharType="begin"/>
            </w:r>
            <w:r w:rsidR="00C40770">
              <w:rPr>
                <w:noProof/>
                <w:webHidden/>
              </w:rPr>
              <w:instrText xml:space="preserve"> PAGEREF _Toc181101791 \h </w:instrText>
            </w:r>
            <w:r w:rsidR="00C40770">
              <w:rPr>
                <w:noProof/>
                <w:webHidden/>
              </w:rPr>
            </w:r>
            <w:r w:rsidR="00C40770">
              <w:rPr>
                <w:noProof/>
                <w:webHidden/>
              </w:rPr>
              <w:fldChar w:fldCharType="separate"/>
            </w:r>
            <w:r w:rsidR="007643FB">
              <w:rPr>
                <w:noProof/>
                <w:webHidden/>
              </w:rPr>
              <w:t>45</w:t>
            </w:r>
            <w:r w:rsidR="00C40770">
              <w:rPr>
                <w:noProof/>
                <w:webHidden/>
              </w:rPr>
              <w:fldChar w:fldCharType="end"/>
            </w:r>
          </w:hyperlink>
        </w:p>
        <w:p w14:paraId="6F2D05BA" w14:textId="6A652E37" w:rsidR="00C40770" w:rsidRDefault="00000000">
          <w:pPr>
            <w:pStyle w:val="TOC2"/>
            <w:rPr>
              <w:rFonts w:asciiTheme="minorHAnsi" w:eastAsiaTheme="minorEastAsia" w:hAnsiTheme="minorHAnsi" w:cstheme="minorBidi"/>
              <w:noProof/>
              <w:kern w:val="2"/>
              <w:szCs w:val="24"/>
              <w:lang w:val="en-NZ" w:eastAsia="en-NZ"/>
              <w14:ligatures w14:val="standardContextual"/>
            </w:rPr>
          </w:pPr>
          <w:hyperlink w:anchor="_Toc181101792" w:history="1">
            <w:r w:rsidR="00C40770" w:rsidRPr="00D44585">
              <w:rPr>
                <w:rStyle w:val="Hyperlink"/>
                <w:noProof/>
                <w:lang w:val="en-NZ"/>
              </w:rPr>
              <w:t>Recreational shellfish harvesting areas</w:t>
            </w:r>
            <w:r w:rsidR="00C40770">
              <w:rPr>
                <w:noProof/>
                <w:webHidden/>
              </w:rPr>
              <w:tab/>
            </w:r>
            <w:r w:rsidR="00C40770">
              <w:rPr>
                <w:noProof/>
                <w:webHidden/>
              </w:rPr>
              <w:fldChar w:fldCharType="begin"/>
            </w:r>
            <w:r w:rsidR="00C40770">
              <w:rPr>
                <w:noProof/>
                <w:webHidden/>
              </w:rPr>
              <w:instrText xml:space="preserve"> PAGEREF _Toc181101792 \h </w:instrText>
            </w:r>
            <w:r w:rsidR="00C40770">
              <w:rPr>
                <w:noProof/>
                <w:webHidden/>
              </w:rPr>
            </w:r>
            <w:r w:rsidR="00C40770">
              <w:rPr>
                <w:noProof/>
                <w:webHidden/>
              </w:rPr>
              <w:fldChar w:fldCharType="separate"/>
            </w:r>
            <w:r w:rsidR="007643FB">
              <w:rPr>
                <w:noProof/>
                <w:webHidden/>
              </w:rPr>
              <w:t>47</w:t>
            </w:r>
            <w:r w:rsidR="00C40770">
              <w:rPr>
                <w:noProof/>
                <w:webHidden/>
              </w:rPr>
              <w:fldChar w:fldCharType="end"/>
            </w:r>
          </w:hyperlink>
        </w:p>
        <w:p w14:paraId="2D419799" w14:textId="2704C525"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3" w:history="1">
            <w:r w:rsidR="00C40770" w:rsidRPr="00D44585">
              <w:rPr>
                <w:rStyle w:val="Hyperlink"/>
                <w:noProof/>
                <w:lang w:val="en-NZ"/>
              </w:rPr>
              <w:t>Glossary</w:t>
            </w:r>
            <w:r w:rsidR="00C40770">
              <w:rPr>
                <w:noProof/>
                <w:webHidden/>
              </w:rPr>
              <w:tab/>
            </w:r>
            <w:r w:rsidR="00C40770">
              <w:rPr>
                <w:noProof/>
                <w:webHidden/>
              </w:rPr>
              <w:fldChar w:fldCharType="begin"/>
            </w:r>
            <w:r w:rsidR="00C40770">
              <w:rPr>
                <w:noProof/>
                <w:webHidden/>
              </w:rPr>
              <w:instrText xml:space="preserve"> PAGEREF _Toc181101793 \h </w:instrText>
            </w:r>
            <w:r w:rsidR="00C40770">
              <w:rPr>
                <w:noProof/>
                <w:webHidden/>
              </w:rPr>
            </w:r>
            <w:r w:rsidR="00C40770">
              <w:rPr>
                <w:noProof/>
                <w:webHidden/>
              </w:rPr>
              <w:fldChar w:fldCharType="separate"/>
            </w:r>
            <w:r w:rsidR="007643FB">
              <w:rPr>
                <w:noProof/>
                <w:webHidden/>
              </w:rPr>
              <w:t>48</w:t>
            </w:r>
            <w:r w:rsidR="00C40770">
              <w:rPr>
                <w:noProof/>
                <w:webHidden/>
              </w:rPr>
              <w:fldChar w:fldCharType="end"/>
            </w:r>
          </w:hyperlink>
        </w:p>
        <w:p w14:paraId="48619921" w14:textId="4CE311A0"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4" w:history="1">
            <w:r w:rsidR="00C40770" w:rsidRPr="00D44585">
              <w:rPr>
                <w:rStyle w:val="Hyperlink"/>
                <w:noProof/>
                <w:lang w:val="en-NZ"/>
              </w:rPr>
              <w:t>Appendix A: Environmental case management report form</w:t>
            </w:r>
            <w:r w:rsidR="00C40770">
              <w:rPr>
                <w:noProof/>
                <w:webHidden/>
              </w:rPr>
              <w:tab/>
            </w:r>
            <w:r w:rsidR="00C40770">
              <w:rPr>
                <w:noProof/>
                <w:webHidden/>
              </w:rPr>
              <w:fldChar w:fldCharType="begin"/>
            </w:r>
            <w:r w:rsidR="00C40770">
              <w:rPr>
                <w:noProof/>
                <w:webHidden/>
              </w:rPr>
              <w:instrText xml:space="preserve"> PAGEREF _Toc181101794 \h </w:instrText>
            </w:r>
            <w:r w:rsidR="00C40770">
              <w:rPr>
                <w:noProof/>
                <w:webHidden/>
              </w:rPr>
            </w:r>
            <w:r w:rsidR="00C40770">
              <w:rPr>
                <w:noProof/>
                <w:webHidden/>
              </w:rPr>
              <w:fldChar w:fldCharType="separate"/>
            </w:r>
            <w:r w:rsidR="007643FB">
              <w:rPr>
                <w:noProof/>
                <w:webHidden/>
              </w:rPr>
              <w:t>51</w:t>
            </w:r>
            <w:r w:rsidR="00C40770">
              <w:rPr>
                <w:noProof/>
                <w:webHidden/>
              </w:rPr>
              <w:fldChar w:fldCharType="end"/>
            </w:r>
          </w:hyperlink>
        </w:p>
        <w:p w14:paraId="633C6AF1" w14:textId="1E556571"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5" w:history="1">
            <w:r w:rsidR="00C40770" w:rsidRPr="00D44585">
              <w:rPr>
                <w:rStyle w:val="Hyperlink"/>
                <w:noProof/>
                <w:lang w:val="en-NZ"/>
              </w:rPr>
              <w:t>Appendix B: Table of biotoxins produced by marine and freshwater HABS</w:t>
            </w:r>
            <w:r w:rsidR="00C40770">
              <w:rPr>
                <w:noProof/>
                <w:webHidden/>
              </w:rPr>
              <w:tab/>
            </w:r>
            <w:r w:rsidR="00C40770">
              <w:rPr>
                <w:noProof/>
                <w:webHidden/>
              </w:rPr>
              <w:fldChar w:fldCharType="begin"/>
            </w:r>
            <w:r w:rsidR="00C40770">
              <w:rPr>
                <w:noProof/>
                <w:webHidden/>
              </w:rPr>
              <w:instrText xml:space="preserve"> PAGEREF _Toc181101795 \h </w:instrText>
            </w:r>
            <w:r w:rsidR="00C40770">
              <w:rPr>
                <w:noProof/>
                <w:webHidden/>
              </w:rPr>
            </w:r>
            <w:r w:rsidR="00C40770">
              <w:rPr>
                <w:noProof/>
                <w:webHidden/>
              </w:rPr>
              <w:fldChar w:fldCharType="separate"/>
            </w:r>
            <w:r w:rsidR="007643FB">
              <w:rPr>
                <w:noProof/>
                <w:webHidden/>
              </w:rPr>
              <w:t>57</w:t>
            </w:r>
            <w:r w:rsidR="00C40770">
              <w:rPr>
                <w:noProof/>
                <w:webHidden/>
              </w:rPr>
              <w:fldChar w:fldCharType="end"/>
            </w:r>
          </w:hyperlink>
        </w:p>
        <w:p w14:paraId="1FDF853B" w14:textId="14545F49"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6" w:history="1">
            <w:r w:rsidR="00C40770" w:rsidRPr="00D44585">
              <w:rPr>
                <w:rStyle w:val="Hyperlink"/>
                <w:noProof/>
                <w:lang w:val="en-NZ"/>
              </w:rPr>
              <w:t>Appendix C: Examples of some symptoms and potential cyanotoxins</w:t>
            </w:r>
            <w:r w:rsidR="00C40770">
              <w:rPr>
                <w:noProof/>
                <w:webHidden/>
              </w:rPr>
              <w:tab/>
            </w:r>
            <w:r w:rsidR="00C40770">
              <w:rPr>
                <w:noProof/>
                <w:webHidden/>
              </w:rPr>
              <w:fldChar w:fldCharType="begin"/>
            </w:r>
            <w:r w:rsidR="00C40770">
              <w:rPr>
                <w:noProof/>
                <w:webHidden/>
              </w:rPr>
              <w:instrText xml:space="preserve"> PAGEREF _Toc181101796 \h </w:instrText>
            </w:r>
            <w:r w:rsidR="00C40770">
              <w:rPr>
                <w:noProof/>
                <w:webHidden/>
              </w:rPr>
            </w:r>
            <w:r w:rsidR="00C40770">
              <w:rPr>
                <w:noProof/>
                <w:webHidden/>
              </w:rPr>
              <w:fldChar w:fldCharType="separate"/>
            </w:r>
            <w:r w:rsidR="007643FB">
              <w:rPr>
                <w:noProof/>
                <w:webHidden/>
              </w:rPr>
              <w:t>61</w:t>
            </w:r>
            <w:r w:rsidR="00C40770">
              <w:rPr>
                <w:noProof/>
                <w:webHidden/>
              </w:rPr>
              <w:fldChar w:fldCharType="end"/>
            </w:r>
          </w:hyperlink>
        </w:p>
        <w:p w14:paraId="5D06EE91" w14:textId="1673D547"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7" w:history="1">
            <w:r w:rsidR="00C40770" w:rsidRPr="00D44585">
              <w:rPr>
                <w:rStyle w:val="Hyperlink"/>
                <w:noProof/>
                <w:lang w:val="en-NZ"/>
              </w:rPr>
              <w:t>Appendix D: Work injury notification form</w:t>
            </w:r>
            <w:r w:rsidR="00C40770">
              <w:rPr>
                <w:noProof/>
                <w:webHidden/>
              </w:rPr>
              <w:tab/>
            </w:r>
            <w:r w:rsidR="00C40770">
              <w:rPr>
                <w:noProof/>
                <w:webHidden/>
              </w:rPr>
              <w:fldChar w:fldCharType="begin"/>
            </w:r>
            <w:r w:rsidR="00C40770">
              <w:rPr>
                <w:noProof/>
                <w:webHidden/>
              </w:rPr>
              <w:instrText xml:space="preserve"> PAGEREF _Toc181101797 \h </w:instrText>
            </w:r>
            <w:r w:rsidR="00C40770">
              <w:rPr>
                <w:noProof/>
                <w:webHidden/>
              </w:rPr>
            </w:r>
            <w:r w:rsidR="00C40770">
              <w:rPr>
                <w:noProof/>
                <w:webHidden/>
              </w:rPr>
              <w:fldChar w:fldCharType="separate"/>
            </w:r>
            <w:r w:rsidR="007643FB">
              <w:rPr>
                <w:noProof/>
                <w:webHidden/>
              </w:rPr>
              <w:t>63</w:t>
            </w:r>
            <w:r w:rsidR="00C40770">
              <w:rPr>
                <w:noProof/>
                <w:webHidden/>
              </w:rPr>
              <w:fldChar w:fldCharType="end"/>
            </w:r>
          </w:hyperlink>
        </w:p>
        <w:p w14:paraId="6DFB0B1D" w14:textId="7A6CB833"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8" w:history="1">
            <w:r w:rsidR="00C40770" w:rsidRPr="00D44585">
              <w:rPr>
                <w:rStyle w:val="Hyperlink"/>
                <w:noProof/>
                <w:lang w:val="en-NZ"/>
              </w:rPr>
              <w:t>Appendix E: Photographs of Planktonic Blooms</w:t>
            </w:r>
            <w:r w:rsidR="00C40770">
              <w:rPr>
                <w:noProof/>
                <w:webHidden/>
              </w:rPr>
              <w:tab/>
            </w:r>
            <w:r w:rsidR="00C40770">
              <w:rPr>
                <w:noProof/>
                <w:webHidden/>
              </w:rPr>
              <w:fldChar w:fldCharType="begin"/>
            </w:r>
            <w:r w:rsidR="00C40770">
              <w:rPr>
                <w:noProof/>
                <w:webHidden/>
              </w:rPr>
              <w:instrText xml:space="preserve"> PAGEREF _Toc181101798 \h </w:instrText>
            </w:r>
            <w:r w:rsidR="00C40770">
              <w:rPr>
                <w:noProof/>
                <w:webHidden/>
              </w:rPr>
            </w:r>
            <w:r w:rsidR="00C40770">
              <w:rPr>
                <w:noProof/>
                <w:webHidden/>
              </w:rPr>
              <w:fldChar w:fldCharType="separate"/>
            </w:r>
            <w:r w:rsidR="007643FB">
              <w:rPr>
                <w:noProof/>
                <w:webHidden/>
              </w:rPr>
              <w:t>65</w:t>
            </w:r>
            <w:r w:rsidR="00C40770">
              <w:rPr>
                <w:noProof/>
                <w:webHidden/>
              </w:rPr>
              <w:fldChar w:fldCharType="end"/>
            </w:r>
          </w:hyperlink>
        </w:p>
        <w:p w14:paraId="52E63A97" w14:textId="2C9F6A68" w:rsidR="00C40770" w:rsidRDefault="00000000">
          <w:pPr>
            <w:pStyle w:val="TOC1"/>
            <w:rPr>
              <w:rFonts w:asciiTheme="minorHAnsi" w:eastAsiaTheme="minorEastAsia" w:hAnsiTheme="minorHAnsi" w:cstheme="minorBidi"/>
              <w:b w:val="0"/>
              <w:noProof/>
              <w:kern w:val="2"/>
              <w:szCs w:val="24"/>
              <w:lang w:val="en-NZ" w:eastAsia="en-NZ"/>
              <w14:ligatures w14:val="standardContextual"/>
            </w:rPr>
          </w:pPr>
          <w:hyperlink w:anchor="_Toc181101799" w:history="1">
            <w:r w:rsidR="00C40770" w:rsidRPr="00D44585">
              <w:rPr>
                <w:rStyle w:val="Hyperlink"/>
                <w:noProof/>
                <w:lang w:val="en-NZ"/>
              </w:rPr>
              <w:t>References</w:t>
            </w:r>
            <w:r w:rsidR="00C40770">
              <w:rPr>
                <w:noProof/>
                <w:webHidden/>
              </w:rPr>
              <w:tab/>
            </w:r>
            <w:r w:rsidR="00C40770">
              <w:rPr>
                <w:noProof/>
                <w:webHidden/>
              </w:rPr>
              <w:fldChar w:fldCharType="begin"/>
            </w:r>
            <w:r w:rsidR="00C40770">
              <w:rPr>
                <w:noProof/>
                <w:webHidden/>
              </w:rPr>
              <w:instrText xml:space="preserve"> PAGEREF _Toc181101799 \h </w:instrText>
            </w:r>
            <w:r w:rsidR="00C40770">
              <w:rPr>
                <w:noProof/>
                <w:webHidden/>
              </w:rPr>
            </w:r>
            <w:r w:rsidR="00C40770">
              <w:rPr>
                <w:noProof/>
                <w:webHidden/>
              </w:rPr>
              <w:fldChar w:fldCharType="separate"/>
            </w:r>
            <w:r w:rsidR="007643FB">
              <w:rPr>
                <w:noProof/>
                <w:webHidden/>
              </w:rPr>
              <w:t>68</w:t>
            </w:r>
            <w:r w:rsidR="00C40770">
              <w:rPr>
                <w:noProof/>
                <w:webHidden/>
              </w:rPr>
              <w:fldChar w:fldCharType="end"/>
            </w:r>
          </w:hyperlink>
        </w:p>
        <w:p w14:paraId="522BB73F" w14:textId="656291CA" w:rsidR="007B1CD7" w:rsidRPr="00CC0F9B" w:rsidRDefault="00435594" w:rsidP="007B1CD7">
          <w:pPr>
            <w:rPr>
              <w:lang w:val="en-NZ"/>
            </w:rPr>
          </w:pPr>
          <w:r>
            <w:rPr>
              <w:b/>
              <w:sz w:val="24"/>
              <w:lang w:val="en-NZ"/>
            </w:rPr>
            <w:fldChar w:fldCharType="end"/>
          </w:r>
        </w:p>
      </w:sdtContent>
    </w:sdt>
    <w:p w14:paraId="4F6AD7ED" w14:textId="50EA8752" w:rsidR="00EB3422" w:rsidRPr="00CC0F9B" w:rsidRDefault="00EB3422" w:rsidP="00EB3422">
      <w:pPr>
        <w:rPr>
          <w:lang w:val="en-NZ"/>
        </w:rPr>
      </w:pPr>
    </w:p>
    <w:p w14:paraId="50564807" w14:textId="5BE74E9B" w:rsidR="00141B9B" w:rsidRPr="00CC0F9B" w:rsidRDefault="00141B9B">
      <w:pPr>
        <w:rPr>
          <w:lang w:val="en-NZ"/>
        </w:rPr>
      </w:pPr>
      <w:r w:rsidRPr="00CC0F9B">
        <w:rPr>
          <w:lang w:val="en-NZ"/>
        </w:rPr>
        <w:br w:type="page"/>
      </w:r>
    </w:p>
    <w:p w14:paraId="2C7838AB" w14:textId="34E8A79D" w:rsidR="00141B9B" w:rsidRPr="00955E44" w:rsidRDefault="00141B9B" w:rsidP="00141B9B">
      <w:pPr>
        <w:pStyle w:val="Heading1"/>
        <w:rPr>
          <w:sz w:val="44"/>
          <w:szCs w:val="44"/>
          <w:lang w:val="en-NZ"/>
        </w:rPr>
      </w:pPr>
      <w:bookmarkStart w:id="0" w:name="_Toc181101749"/>
      <w:r w:rsidRPr="00955E44">
        <w:rPr>
          <w:sz w:val="44"/>
          <w:szCs w:val="44"/>
          <w:lang w:val="en-NZ"/>
        </w:rPr>
        <w:lastRenderedPageBreak/>
        <w:t xml:space="preserve">Executive </w:t>
      </w:r>
      <w:r w:rsidR="00A847DE" w:rsidRPr="00955E44">
        <w:rPr>
          <w:sz w:val="44"/>
          <w:szCs w:val="44"/>
          <w:lang w:val="en-NZ"/>
        </w:rPr>
        <w:t>s</w:t>
      </w:r>
      <w:r w:rsidRPr="00955E44">
        <w:rPr>
          <w:sz w:val="44"/>
          <w:szCs w:val="44"/>
          <w:lang w:val="en-NZ"/>
        </w:rPr>
        <w:t>ummary</w:t>
      </w:r>
      <w:bookmarkEnd w:id="0"/>
    </w:p>
    <w:p w14:paraId="2CD781FE" w14:textId="4B305819" w:rsidR="0036726A" w:rsidRPr="00A81658" w:rsidRDefault="0036726A" w:rsidP="0036726A">
      <w:pPr>
        <w:rPr>
          <w:sz w:val="24"/>
          <w:szCs w:val="24"/>
          <w:lang w:val="en-NZ"/>
        </w:rPr>
      </w:pPr>
      <w:r w:rsidRPr="00A81658">
        <w:rPr>
          <w:sz w:val="24"/>
          <w:szCs w:val="24"/>
          <w:lang w:val="en-NZ"/>
        </w:rPr>
        <w:t>Th</w:t>
      </w:r>
      <w:r w:rsidR="003628ED" w:rsidRPr="00A81658">
        <w:rPr>
          <w:sz w:val="24"/>
          <w:szCs w:val="24"/>
          <w:lang w:val="en-NZ"/>
        </w:rPr>
        <w:t>ese</w:t>
      </w:r>
      <w:r w:rsidRPr="00A81658">
        <w:rPr>
          <w:sz w:val="24"/>
          <w:szCs w:val="24"/>
          <w:lang w:val="en-NZ"/>
        </w:rPr>
        <w:t xml:space="preserve"> </w:t>
      </w:r>
      <w:r w:rsidR="003628ED" w:rsidRPr="00A81658">
        <w:rPr>
          <w:sz w:val="24"/>
          <w:szCs w:val="24"/>
          <w:lang w:val="en-NZ"/>
        </w:rPr>
        <w:t>g</w:t>
      </w:r>
      <w:r w:rsidRPr="00A81658">
        <w:rPr>
          <w:sz w:val="24"/>
          <w:szCs w:val="24"/>
          <w:lang w:val="en-NZ"/>
        </w:rPr>
        <w:t>uid</w:t>
      </w:r>
      <w:r w:rsidR="003628ED" w:rsidRPr="00A81658">
        <w:rPr>
          <w:sz w:val="24"/>
          <w:szCs w:val="24"/>
          <w:lang w:val="en-NZ"/>
        </w:rPr>
        <w:t xml:space="preserve">elines provide advice to </w:t>
      </w:r>
      <w:r w:rsidR="00AF154B" w:rsidRPr="00A81658">
        <w:rPr>
          <w:sz w:val="24"/>
          <w:szCs w:val="24"/>
          <w:lang w:val="en-NZ"/>
        </w:rPr>
        <w:t>p</w:t>
      </w:r>
      <w:r w:rsidRPr="00A81658">
        <w:rPr>
          <w:sz w:val="24"/>
          <w:szCs w:val="24"/>
          <w:lang w:val="en-NZ"/>
        </w:rPr>
        <w:t xml:space="preserve">ublic health </w:t>
      </w:r>
      <w:r w:rsidR="00C773ED" w:rsidRPr="00A81658">
        <w:rPr>
          <w:sz w:val="24"/>
          <w:szCs w:val="24"/>
          <w:lang w:val="en-NZ"/>
        </w:rPr>
        <w:t xml:space="preserve">officers </w:t>
      </w:r>
      <w:r w:rsidRPr="00A81658">
        <w:rPr>
          <w:sz w:val="24"/>
          <w:szCs w:val="24"/>
          <w:lang w:val="en-NZ"/>
        </w:rPr>
        <w:t xml:space="preserve">on the environmental case management of people </w:t>
      </w:r>
      <w:r w:rsidR="00781C28" w:rsidRPr="00A81658">
        <w:rPr>
          <w:sz w:val="24"/>
          <w:szCs w:val="24"/>
          <w:lang w:val="en-NZ"/>
        </w:rPr>
        <w:t xml:space="preserve">who </w:t>
      </w:r>
      <w:r w:rsidR="00962924" w:rsidRPr="00A81658">
        <w:rPr>
          <w:sz w:val="24"/>
          <w:szCs w:val="24"/>
          <w:lang w:val="en-NZ"/>
        </w:rPr>
        <w:t xml:space="preserve">may have been </w:t>
      </w:r>
      <w:r w:rsidRPr="00A81658">
        <w:rPr>
          <w:sz w:val="24"/>
          <w:szCs w:val="24"/>
          <w:lang w:val="en-NZ"/>
        </w:rPr>
        <w:t xml:space="preserve">exposed to harmful </w:t>
      </w:r>
      <w:r w:rsidR="00CC6CB3" w:rsidRPr="00A81658">
        <w:rPr>
          <w:sz w:val="24"/>
          <w:szCs w:val="24"/>
          <w:lang w:val="en-NZ"/>
        </w:rPr>
        <w:t xml:space="preserve">algae or cyanobacteria </w:t>
      </w:r>
      <w:r w:rsidRPr="00A81658">
        <w:rPr>
          <w:sz w:val="24"/>
          <w:szCs w:val="24"/>
          <w:lang w:val="en-NZ"/>
        </w:rPr>
        <w:t>in recreational water in New Zealand.</w:t>
      </w:r>
    </w:p>
    <w:p w14:paraId="51E32478" w14:textId="3DF16B45" w:rsidR="00141B9B" w:rsidRPr="00955E44" w:rsidRDefault="00141B9B" w:rsidP="00141B9B">
      <w:pPr>
        <w:pStyle w:val="Heading2"/>
        <w:rPr>
          <w:lang w:val="en-NZ"/>
        </w:rPr>
      </w:pPr>
      <w:bookmarkStart w:id="1" w:name="_Toc181101750"/>
      <w:r w:rsidRPr="00955E44">
        <w:rPr>
          <w:lang w:val="en-NZ"/>
        </w:rPr>
        <w:t>Background</w:t>
      </w:r>
      <w:bookmarkEnd w:id="1"/>
    </w:p>
    <w:p w14:paraId="11FAFC78" w14:textId="3465BD27" w:rsidR="00141B9B" w:rsidRPr="00A81658" w:rsidRDefault="00141B9B" w:rsidP="00141B9B">
      <w:pPr>
        <w:rPr>
          <w:sz w:val="24"/>
          <w:szCs w:val="24"/>
          <w:lang w:val="en-NZ"/>
        </w:rPr>
      </w:pPr>
      <w:r w:rsidRPr="00A81658">
        <w:rPr>
          <w:sz w:val="24"/>
          <w:szCs w:val="24"/>
          <w:lang w:val="en-NZ"/>
        </w:rPr>
        <w:t xml:space="preserve">Algae and cyanobacteria are an essential part of food webs in aquatic ecosystems, but at times they can produce biotoxins that pose a health hazard for humans and animals. Both algae and cyanobacteria exist in planktonic </w:t>
      </w:r>
      <w:r w:rsidR="00D715AF" w:rsidRPr="00A81658">
        <w:rPr>
          <w:sz w:val="24"/>
          <w:szCs w:val="24"/>
          <w:lang w:val="en-NZ"/>
        </w:rPr>
        <w:t xml:space="preserve">environments </w:t>
      </w:r>
      <w:r w:rsidRPr="00A81658">
        <w:rPr>
          <w:sz w:val="24"/>
          <w:szCs w:val="24"/>
          <w:lang w:val="en-NZ"/>
        </w:rPr>
        <w:t xml:space="preserve">(free-floating in water) and benthic </w:t>
      </w:r>
      <w:r w:rsidR="00734F4C" w:rsidRPr="00A81658">
        <w:rPr>
          <w:sz w:val="24"/>
          <w:szCs w:val="24"/>
          <w:lang w:val="en-NZ"/>
        </w:rPr>
        <w:t xml:space="preserve">environments </w:t>
      </w:r>
      <w:r w:rsidRPr="00A81658">
        <w:rPr>
          <w:sz w:val="24"/>
          <w:szCs w:val="24"/>
          <w:lang w:val="en-NZ"/>
        </w:rPr>
        <w:t>(mat-forming or attached to the substrate of rivers, lakes, estuaries, and other bodies of water). When potentially hazardous algae or cyanobacteria</w:t>
      </w:r>
      <w:r w:rsidR="000A19BF" w:rsidRPr="00A81658">
        <w:rPr>
          <w:sz w:val="24"/>
          <w:szCs w:val="24"/>
          <w:lang w:val="en-NZ"/>
        </w:rPr>
        <w:t xml:space="preserve"> </w:t>
      </w:r>
      <w:r w:rsidRPr="00A81658">
        <w:rPr>
          <w:sz w:val="24"/>
          <w:szCs w:val="24"/>
          <w:lang w:val="en-NZ"/>
        </w:rPr>
        <w:t>grow too fast or bloom</w:t>
      </w:r>
      <w:r w:rsidR="001A4147">
        <w:rPr>
          <w:sz w:val="24"/>
          <w:szCs w:val="24"/>
          <w:lang w:val="en-NZ"/>
        </w:rPr>
        <w:t>,</w:t>
      </w:r>
      <w:r w:rsidRPr="00A81658">
        <w:rPr>
          <w:sz w:val="24"/>
          <w:szCs w:val="24"/>
          <w:lang w:val="en-NZ"/>
        </w:rPr>
        <w:t xml:space="preserve"> they are termed harmful algal blooms (HABs</w:t>
      </w:r>
      <w:r w:rsidR="00D3196F" w:rsidRPr="00A81658">
        <w:rPr>
          <w:sz w:val="24"/>
          <w:szCs w:val="24"/>
          <w:lang w:val="en-NZ"/>
        </w:rPr>
        <w:t>)</w:t>
      </w:r>
      <w:r w:rsidRPr="00A81658">
        <w:rPr>
          <w:sz w:val="24"/>
          <w:szCs w:val="24"/>
          <w:lang w:val="en-NZ"/>
        </w:rPr>
        <w:t>.</w:t>
      </w:r>
    </w:p>
    <w:p w14:paraId="4AD0D9CD" w14:textId="2D998762" w:rsidR="00753C9F" w:rsidRPr="00A81658" w:rsidRDefault="00141B9B" w:rsidP="00141B9B">
      <w:pPr>
        <w:rPr>
          <w:sz w:val="24"/>
          <w:szCs w:val="24"/>
          <w:lang w:val="en-NZ"/>
        </w:rPr>
      </w:pPr>
      <w:r w:rsidRPr="00A81658">
        <w:rPr>
          <w:sz w:val="24"/>
          <w:szCs w:val="24"/>
          <w:lang w:val="en-NZ"/>
        </w:rPr>
        <w:t>Biotoxin producing microalgae such as dinoflagellates and diatoms occur in marine environments</w:t>
      </w:r>
      <w:r w:rsidR="00C157F3" w:rsidRPr="00A81658">
        <w:rPr>
          <w:sz w:val="24"/>
          <w:szCs w:val="24"/>
          <w:lang w:val="en-NZ"/>
        </w:rPr>
        <w:t>. C</w:t>
      </w:r>
      <w:r w:rsidRPr="00A81658">
        <w:rPr>
          <w:sz w:val="24"/>
          <w:szCs w:val="24"/>
          <w:lang w:val="en-NZ"/>
        </w:rPr>
        <w:t>yanobacteria can occur in both fresh water and marine environments. Many of the health effects from recreational exposure to fresh, brackish</w:t>
      </w:r>
      <w:r w:rsidR="00076A17" w:rsidRPr="00A81658">
        <w:rPr>
          <w:sz w:val="24"/>
          <w:szCs w:val="24"/>
          <w:lang w:val="en-NZ"/>
        </w:rPr>
        <w:t>,</w:t>
      </w:r>
      <w:r w:rsidRPr="00A81658">
        <w:rPr>
          <w:sz w:val="24"/>
          <w:szCs w:val="24"/>
          <w:lang w:val="en-NZ"/>
        </w:rPr>
        <w:t xml:space="preserve"> and marine cyanobacteria are similar to those from exposure to marine algae. Th</w:t>
      </w:r>
      <w:r w:rsidR="00C3653A" w:rsidRPr="00A81658">
        <w:rPr>
          <w:sz w:val="24"/>
          <w:szCs w:val="24"/>
          <w:lang w:val="en-NZ"/>
        </w:rPr>
        <w:t>erefore</w:t>
      </w:r>
      <w:r w:rsidRPr="00A81658">
        <w:rPr>
          <w:sz w:val="24"/>
          <w:szCs w:val="24"/>
          <w:lang w:val="en-NZ"/>
        </w:rPr>
        <w:t xml:space="preserve">, public health risk management for recreational water is similar for </w:t>
      </w:r>
      <w:r w:rsidR="00320D50" w:rsidRPr="00A81658">
        <w:rPr>
          <w:sz w:val="24"/>
          <w:szCs w:val="24"/>
          <w:lang w:val="en-NZ"/>
        </w:rPr>
        <w:t xml:space="preserve">both </w:t>
      </w:r>
      <w:r w:rsidRPr="00A81658">
        <w:rPr>
          <w:sz w:val="24"/>
          <w:szCs w:val="24"/>
          <w:lang w:val="en-NZ"/>
        </w:rPr>
        <w:t xml:space="preserve">marine </w:t>
      </w:r>
      <w:r w:rsidR="00753C9F" w:rsidRPr="00A81658">
        <w:rPr>
          <w:sz w:val="24"/>
          <w:szCs w:val="24"/>
          <w:lang w:val="en-NZ"/>
        </w:rPr>
        <w:t>and</w:t>
      </w:r>
      <w:r w:rsidRPr="00A81658">
        <w:rPr>
          <w:sz w:val="24"/>
          <w:szCs w:val="24"/>
          <w:lang w:val="en-NZ"/>
        </w:rPr>
        <w:t xml:space="preserve"> freshwater HABs. </w:t>
      </w:r>
    </w:p>
    <w:p w14:paraId="64B43825" w14:textId="75AE29BB" w:rsidR="00141B9B" w:rsidRPr="00A81658" w:rsidRDefault="00141B9B" w:rsidP="00141B9B">
      <w:pPr>
        <w:rPr>
          <w:sz w:val="24"/>
          <w:szCs w:val="24"/>
          <w:lang w:val="en-NZ"/>
        </w:rPr>
      </w:pPr>
      <w:r w:rsidRPr="00A81658">
        <w:rPr>
          <w:sz w:val="24"/>
          <w:szCs w:val="24"/>
          <w:lang w:val="en-NZ"/>
        </w:rPr>
        <w:t>The most significant exposure route for marine HABs is via food (not covered in any detail in this guidance)</w:t>
      </w:r>
      <w:r w:rsidR="009F4A72" w:rsidRPr="00A81658">
        <w:rPr>
          <w:sz w:val="24"/>
          <w:szCs w:val="24"/>
          <w:lang w:val="en-NZ"/>
        </w:rPr>
        <w:t>. I</w:t>
      </w:r>
      <w:r w:rsidRPr="00A81658">
        <w:rPr>
          <w:sz w:val="24"/>
          <w:szCs w:val="24"/>
          <w:lang w:val="en-NZ"/>
        </w:rPr>
        <w:t xml:space="preserve">nternationally there are </w:t>
      </w:r>
      <w:r w:rsidR="009F4A72" w:rsidRPr="00A81658">
        <w:rPr>
          <w:sz w:val="24"/>
          <w:szCs w:val="24"/>
          <w:lang w:val="en-NZ"/>
        </w:rPr>
        <w:t xml:space="preserve">also </w:t>
      </w:r>
      <w:r w:rsidRPr="00A81658">
        <w:rPr>
          <w:sz w:val="24"/>
          <w:szCs w:val="24"/>
          <w:lang w:val="en-NZ"/>
        </w:rPr>
        <w:t>reports of dermal, accidental water ingestion</w:t>
      </w:r>
      <w:r w:rsidR="009F4A72" w:rsidRPr="00A81658">
        <w:rPr>
          <w:sz w:val="24"/>
          <w:szCs w:val="24"/>
          <w:lang w:val="en-NZ"/>
        </w:rPr>
        <w:t>,</w:t>
      </w:r>
      <w:r w:rsidRPr="00A81658">
        <w:rPr>
          <w:sz w:val="24"/>
          <w:szCs w:val="24"/>
          <w:lang w:val="en-NZ"/>
        </w:rPr>
        <w:t xml:space="preserve"> and aerosolised exposure to marine HAB biotoxins</w:t>
      </w:r>
      <w:r w:rsidR="000A2709" w:rsidRPr="00A81658">
        <w:rPr>
          <w:sz w:val="24"/>
          <w:szCs w:val="24"/>
          <w:lang w:val="en-NZ"/>
        </w:rPr>
        <w:t xml:space="preserve"> – </w:t>
      </w:r>
      <w:r w:rsidRPr="00A81658">
        <w:rPr>
          <w:sz w:val="24"/>
          <w:szCs w:val="24"/>
          <w:lang w:val="en-NZ"/>
        </w:rPr>
        <w:t xml:space="preserve">although </w:t>
      </w:r>
      <w:r w:rsidR="000A2709" w:rsidRPr="00A81658">
        <w:rPr>
          <w:sz w:val="24"/>
          <w:szCs w:val="24"/>
          <w:lang w:val="en-NZ"/>
        </w:rPr>
        <w:t xml:space="preserve">such reports </w:t>
      </w:r>
      <w:r w:rsidRPr="00A81658">
        <w:rPr>
          <w:sz w:val="24"/>
          <w:szCs w:val="24"/>
          <w:lang w:val="en-NZ"/>
        </w:rPr>
        <w:t>are generally associated with less serious consequences than toxic seafood poisoning.</w:t>
      </w:r>
    </w:p>
    <w:p w14:paraId="16A71646" w14:textId="7FC9F5A0" w:rsidR="00141B9B" w:rsidRPr="00955E44" w:rsidRDefault="00141B9B" w:rsidP="00141B9B">
      <w:pPr>
        <w:pStyle w:val="Heading2"/>
        <w:rPr>
          <w:lang w:val="en-NZ"/>
        </w:rPr>
      </w:pPr>
      <w:bookmarkStart w:id="2" w:name="_Toc181101751"/>
      <w:r w:rsidRPr="00955E44">
        <w:rPr>
          <w:lang w:val="en-NZ"/>
        </w:rPr>
        <w:t xml:space="preserve">Hazard </w:t>
      </w:r>
      <w:r w:rsidR="00A847DE" w:rsidRPr="00955E44">
        <w:rPr>
          <w:lang w:val="en-NZ"/>
        </w:rPr>
        <w:t>i</w:t>
      </w:r>
      <w:r w:rsidRPr="00955E44">
        <w:rPr>
          <w:lang w:val="en-NZ"/>
        </w:rPr>
        <w:t>dentification</w:t>
      </w:r>
      <w:bookmarkEnd w:id="2"/>
    </w:p>
    <w:p w14:paraId="621B3470" w14:textId="5371CF4E" w:rsidR="00446BA6" w:rsidRDefault="00141B9B" w:rsidP="00141B9B">
      <w:pPr>
        <w:rPr>
          <w:sz w:val="24"/>
          <w:szCs w:val="24"/>
          <w:lang w:val="en-NZ"/>
        </w:rPr>
      </w:pPr>
      <w:r w:rsidRPr="00A81658">
        <w:rPr>
          <w:sz w:val="24"/>
          <w:szCs w:val="24"/>
          <w:lang w:val="en-NZ"/>
        </w:rPr>
        <w:t xml:space="preserve">Freshwater cyanobacterial blooms often contain a mixture of toxin and non-toxin producing strains and their relative proportions may vary during the bloom. The factors that affect toxin production </w:t>
      </w:r>
      <w:r w:rsidR="00236760">
        <w:rPr>
          <w:sz w:val="24"/>
          <w:szCs w:val="24"/>
          <w:lang w:val="en-NZ"/>
        </w:rPr>
        <w:t>is</w:t>
      </w:r>
      <w:r w:rsidR="00236760" w:rsidRPr="00A81658">
        <w:rPr>
          <w:sz w:val="24"/>
          <w:szCs w:val="24"/>
          <w:lang w:val="en-NZ"/>
        </w:rPr>
        <w:t xml:space="preserve"> </w:t>
      </w:r>
      <w:r w:rsidRPr="00A81658">
        <w:rPr>
          <w:sz w:val="24"/>
          <w:szCs w:val="24"/>
          <w:lang w:val="en-NZ"/>
        </w:rPr>
        <w:t>not well understood</w:t>
      </w:r>
      <w:r w:rsidR="00554E13" w:rsidRPr="00A81658">
        <w:rPr>
          <w:sz w:val="24"/>
          <w:szCs w:val="24"/>
          <w:lang w:val="en-NZ"/>
        </w:rPr>
        <w:t>,</w:t>
      </w:r>
      <w:r w:rsidRPr="00A81658">
        <w:rPr>
          <w:sz w:val="24"/>
          <w:szCs w:val="24"/>
          <w:lang w:val="en-NZ"/>
        </w:rPr>
        <w:t xml:space="preserve"> making it difficult to predict how much biotoxin will be produced in a bloom. Additionally, not all species form blooms or scums visible to the naked eye.</w:t>
      </w:r>
    </w:p>
    <w:p w14:paraId="230E3B32" w14:textId="502AD514" w:rsidR="00141B9B" w:rsidRPr="00A81658" w:rsidRDefault="00141B9B" w:rsidP="00141B9B">
      <w:pPr>
        <w:rPr>
          <w:sz w:val="24"/>
          <w:szCs w:val="24"/>
          <w:lang w:val="en-NZ"/>
        </w:rPr>
      </w:pPr>
      <w:r w:rsidRPr="00A81658">
        <w:rPr>
          <w:sz w:val="24"/>
          <w:szCs w:val="24"/>
          <w:lang w:val="en-NZ"/>
        </w:rPr>
        <w:t>Cyanobacteria produce a range of cyanotoxins with different mechanisms of action. In New Zealand these biotoxins include microcystins, nodularins, anatoxins, saxitoxins</w:t>
      </w:r>
      <w:r w:rsidR="00AB2C63" w:rsidRPr="00A81658">
        <w:rPr>
          <w:sz w:val="24"/>
          <w:szCs w:val="24"/>
          <w:lang w:val="en-NZ"/>
        </w:rPr>
        <w:t>,</w:t>
      </w:r>
      <w:r w:rsidRPr="00A81658">
        <w:rPr>
          <w:sz w:val="24"/>
          <w:szCs w:val="24"/>
          <w:lang w:val="en-NZ"/>
        </w:rPr>
        <w:t xml:space="preserve"> and cylindrospermopsins. Marine cyanobacterial species that produce lyngbyatoxins have also been identified in New Zealand.</w:t>
      </w:r>
    </w:p>
    <w:p w14:paraId="7401B6BE" w14:textId="35C9A008" w:rsidR="00141B9B" w:rsidRPr="00A81658" w:rsidRDefault="00141B9B" w:rsidP="00141B9B">
      <w:pPr>
        <w:rPr>
          <w:sz w:val="24"/>
          <w:szCs w:val="24"/>
          <w:lang w:val="en-NZ"/>
        </w:rPr>
      </w:pPr>
      <w:r w:rsidRPr="00A81658">
        <w:rPr>
          <w:sz w:val="24"/>
          <w:szCs w:val="24"/>
          <w:lang w:val="en-NZ"/>
        </w:rPr>
        <w:t>Environmental conditions, such as wind or turbulence in water, can affect human exposure to HABs in recreational water depending on where and</w:t>
      </w:r>
      <w:r w:rsidR="001234F7" w:rsidRPr="00A81658">
        <w:rPr>
          <w:sz w:val="24"/>
          <w:szCs w:val="24"/>
          <w:lang w:val="en-NZ"/>
        </w:rPr>
        <w:t xml:space="preserve"> when</w:t>
      </w:r>
      <w:r w:rsidRPr="00A81658">
        <w:rPr>
          <w:sz w:val="24"/>
          <w:szCs w:val="24"/>
          <w:lang w:val="en-NZ"/>
        </w:rPr>
        <w:t xml:space="preserve"> HABs accumulate or dissipate.</w:t>
      </w:r>
    </w:p>
    <w:p w14:paraId="3D9AA890" w14:textId="77777777" w:rsidR="00236760" w:rsidRDefault="00141B9B" w:rsidP="00141B9B">
      <w:pPr>
        <w:rPr>
          <w:sz w:val="24"/>
          <w:szCs w:val="24"/>
          <w:lang w:val="en-NZ"/>
        </w:rPr>
      </w:pPr>
      <w:r w:rsidRPr="00A81658">
        <w:rPr>
          <w:sz w:val="24"/>
          <w:szCs w:val="24"/>
          <w:lang w:val="en-NZ"/>
        </w:rPr>
        <w:lastRenderedPageBreak/>
        <w:t>Changing environmental conditions can present challenges with sampling, quantifying</w:t>
      </w:r>
      <w:r w:rsidR="00625915" w:rsidRPr="00A81658">
        <w:rPr>
          <w:sz w:val="24"/>
          <w:szCs w:val="24"/>
          <w:lang w:val="en-NZ"/>
        </w:rPr>
        <w:t>,</w:t>
      </w:r>
      <w:r w:rsidRPr="00A81658">
        <w:rPr>
          <w:sz w:val="24"/>
          <w:szCs w:val="24"/>
          <w:lang w:val="en-NZ"/>
        </w:rPr>
        <w:t xml:space="preserve"> or specifying biotoxins that would have been present during exposure events.</w:t>
      </w:r>
    </w:p>
    <w:p w14:paraId="7809D5B4" w14:textId="163D2FC4" w:rsidR="00400293" w:rsidRDefault="00141B9B" w:rsidP="00141B9B">
      <w:pPr>
        <w:rPr>
          <w:sz w:val="24"/>
          <w:szCs w:val="24"/>
          <w:lang w:val="en-NZ"/>
        </w:rPr>
      </w:pPr>
      <w:r w:rsidRPr="00A81658">
        <w:rPr>
          <w:sz w:val="24"/>
          <w:szCs w:val="24"/>
          <w:lang w:val="en-NZ"/>
        </w:rPr>
        <w:t>Other challenges include the coexistence of multiple potential biotoxins and the potential for exposure to previously unidentified biotoxins or biotoxin producing species. Many of the existing observational studies acknowledge challenges with attributing causation</w:t>
      </w:r>
      <w:r w:rsidR="00380FFD" w:rsidRPr="00A81658">
        <w:rPr>
          <w:sz w:val="24"/>
          <w:szCs w:val="24"/>
          <w:lang w:val="en-NZ"/>
        </w:rPr>
        <w:t>,</w:t>
      </w:r>
      <w:r w:rsidRPr="00A81658">
        <w:rPr>
          <w:sz w:val="24"/>
          <w:szCs w:val="24"/>
          <w:lang w:val="en-NZ"/>
        </w:rPr>
        <w:t xml:space="preserve"> but there is a reasonable body of literature demonstrating associations between adverse health effects and biotoxin exposures. Some observational studies also show an association between increased dose and route of exposure with adverse health effects, although this is more evident in animal studies.</w:t>
      </w:r>
    </w:p>
    <w:p w14:paraId="00CC7F1A" w14:textId="445E4154" w:rsidR="00141B9B" w:rsidRPr="00A81658" w:rsidRDefault="00141B9B" w:rsidP="00141B9B">
      <w:pPr>
        <w:rPr>
          <w:sz w:val="24"/>
          <w:szCs w:val="24"/>
          <w:lang w:val="en-NZ"/>
        </w:rPr>
      </w:pPr>
      <w:r w:rsidRPr="00A81658">
        <w:rPr>
          <w:sz w:val="24"/>
          <w:szCs w:val="24"/>
          <w:lang w:val="en-NZ"/>
        </w:rPr>
        <w:t>As evidence regarding toxic strains of cyanobacteria and marine microalgae continues to evolve, a clear cause of symptoms may not be obvious at times and the potential for new biotoxin-producing strains may need to be investigated.</w:t>
      </w:r>
    </w:p>
    <w:p w14:paraId="43D4CA7E" w14:textId="60952758" w:rsidR="00141B9B" w:rsidRPr="00955E44" w:rsidRDefault="00141B9B" w:rsidP="00955E44">
      <w:pPr>
        <w:pStyle w:val="Heading2"/>
        <w:rPr>
          <w:lang w:val="en-NZ"/>
        </w:rPr>
      </w:pPr>
      <w:bookmarkStart w:id="3" w:name="_Toc181101752"/>
      <w:r w:rsidRPr="00955E44">
        <w:rPr>
          <w:lang w:val="en-NZ"/>
        </w:rPr>
        <w:t xml:space="preserve">Exposure and </w:t>
      </w:r>
      <w:r w:rsidR="00A847DE" w:rsidRPr="00955E44">
        <w:rPr>
          <w:lang w:val="en-NZ"/>
        </w:rPr>
        <w:t>h</w:t>
      </w:r>
      <w:r w:rsidRPr="00955E44">
        <w:rPr>
          <w:lang w:val="en-NZ"/>
        </w:rPr>
        <w:t xml:space="preserve">ealth </w:t>
      </w:r>
      <w:r w:rsidR="00A847DE" w:rsidRPr="00955E44">
        <w:rPr>
          <w:lang w:val="en-NZ"/>
        </w:rPr>
        <w:t>e</w:t>
      </w:r>
      <w:r w:rsidRPr="00955E44">
        <w:rPr>
          <w:lang w:val="en-NZ"/>
        </w:rPr>
        <w:t>ffects</w:t>
      </w:r>
      <w:bookmarkEnd w:id="3"/>
    </w:p>
    <w:p w14:paraId="45C75DA6" w14:textId="77777777" w:rsidR="002D6280" w:rsidRDefault="00141B9B" w:rsidP="00141B9B">
      <w:pPr>
        <w:rPr>
          <w:sz w:val="24"/>
          <w:szCs w:val="24"/>
          <w:lang w:val="en-NZ"/>
        </w:rPr>
      </w:pPr>
      <w:r w:rsidRPr="00A81658">
        <w:rPr>
          <w:sz w:val="24"/>
          <w:szCs w:val="24"/>
          <w:lang w:val="en-NZ"/>
        </w:rPr>
        <w:t>It can be difficult to determine the type of biotoxin that caused illness based on self-reported symptoms and multiple exposure routes. Symptoms associated with exposure to HABs include dermal, eye, ear, and allergy symptoms from direct contact with contaminated water or from touching algal mats. Respiratory, nose</w:t>
      </w:r>
      <w:r w:rsidR="000841A1" w:rsidRPr="00A81658">
        <w:rPr>
          <w:sz w:val="24"/>
          <w:szCs w:val="24"/>
          <w:lang w:val="en-NZ"/>
        </w:rPr>
        <w:t>,</w:t>
      </w:r>
      <w:r w:rsidRPr="00A81658">
        <w:rPr>
          <w:sz w:val="24"/>
          <w:szCs w:val="24"/>
          <w:lang w:val="en-NZ"/>
        </w:rPr>
        <w:t xml:space="preserve"> and throat symptoms can be associated with inhalation of contaminated water spray or aerosolised toxins. Vomiting and diarrhoea are common following recreational water cyanotoxin exposure. Swallowing contaminated water containing high concentrations of HAB species could cause neurological, gastroenterological, and liver symptoms.</w:t>
      </w:r>
    </w:p>
    <w:p w14:paraId="3B548678" w14:textId="6EFD0629" w:rsidR="00141B9B" w:rsidRPr="00A81658" w:rsidRDefault="00141B9B" w:rsidP="00141B9B">
      <w:pPr>
        <w:rPr>
          <w:sz w:val="24"/>
          <w:szCs w:val="24"/>
          <w:lang w:val="en-NZ"/>
        </w:rPr>
      </w:pPr>
      <w:r w:rsidRPr="00A81658">
        <w:rPr>
          <w:sz w:val="24"/>
          <w:szCs w:val="24"/>
          <w:lang w:val="en-NZ"/>
        </w:rPr>
        <w:t>The duration of time from exposure to symptom onset varies depending on the type of biotoxin</w:t>
      </w:r>
      <w:r w:rsidR="00FA4DBC" w:rsidRPr="00A81658">
        <w:rPr>
          <w:sz w:val="24"/>
          <w:szCs w:val="24"/>
          <w:lang w:val="en-NZ"/>
        </w:rPr>
        <w:t>. U</w:t>
      </w:r>
      <w:r w:rsidRPr="00A81658">
        <w:rPr>
          <w:sz w:val="24"/>
          <w:szCs w:val="24"/>
          <w:lang w:val="en-NZ"/>
        </w:rPr>
        <w:t>sually</w:t>
      </w:r>
      <w:r w:rsidR="002D6280">
        <w:rPr>
          <w:sz w:val="24"/>
          <w:szCs w:val="24"/>
          <w:lang w:val="en-NZ"/>
        </w:rPr>
        <w:t>,</w:t>
      </w:r>
      <w:r w:rsidRPr="00A81658">
        <w:rPr>
          <w:sz w:val="24"/>
          <w:szCs w:val="24"/>
          <w:lang w:val="en-NZ"/>
        </w:rPr>
        <w:t xml:space="preserve"> symptoms will appear within 24 hours of exposure. Neurotoxins such as anatoxins and saxitoxins are quick acting (within minutes to hours). Gastrointestinal and skin symptoms typically occur within three to five hours.</w:t>
      </w:r>
    </w:p>
    <w:p w14:paraId="34B76D1B" w14:textId="0CD64306" w:rsidR="00141B9B" w:rsidRPr="00A81658" w:rsidRDefault="00141B9B" w:rsidP="00141B9B">
      <w:pPr>
        <w:rPr>
          <w:sz w:val="24"/>
          <w:szCs w:val="24"/>
          <w:lang w:val="en-NZ"/>
        </w:rPr>
      </w:pPr>
      <w:r w:rsidRPr="00A81658">
        <w:rPr>
          <w:sz w:val="24"/>
          <w:szCs w:val="24"/>
          <w:lang w:val="en-NZ"/>
        </w:rPr>
        <w:t xml:space="preserve">Children and people who have underlying health </w:t>
      </w:r>
      <w:r w:rsidR="003461F8" w:rsidRPr="00A81658">
        <w:rPr>
          <w:sz w:val="24"/>
          <w:szCs w:val="24"/>
          <w:lang w:val="en-NZ"/>
        </w:rPr>
        <w:t>conditions</w:t>
      </w:r>
      <w:r w:rsidRPr="00A81658">
        <w:rPr>
          <w:sz w:val="24"/>
          <w:szCs w:val="24"/>
          <w:lang w:val="en-NZ"/>
        </w:rPr>
        <w:t xml:space="preserve"> are likely to be more vulnerable to the adverse effects of biotoxins</w:t>
      </w:r>
      <w:r w:rsidRPr="001E32B2">
        <w:rPr>
          <w:sz w:val="24"/>
          <w:szCs w:val="24"/>
          <w:lang w:val="en-NZ"/>
        </w:rPr>
        <w:t>. Māori and Pacific peoples disproportionately carry an increased burden of underlying co-morbidities perpetuated by the social determinants of health. People</w:t>
      </w:r>
      <w:r w:rsidRPr="00A81658">
        <w:rPr>
          <w:sz w:val="24"/>
          <w:szCs w:val="24"/>
          <w:lang w:val="en-NZ"/>
        </w:rPr>
        <w:t xml:space="preserve"> whose lifestyle or occupation predisposes them to more frequent contact with recreational water could lead to repeated exposures to HABs.</w:t>
      </w:r>
    </w:p>
    <w:p w14:paraId="7BE17188" w14:textId="6C9ADE14" w:rsidR="00141B9B" w:rsidRPr="00A81658" w:rsidRDefault="00141B9B" w:rsidP="00141B9B">
      <w:pPr>
        <w:rPr>
          <w:sz w:val="24"/>
          <w:szCs w:val="24"/>
          <w:lang w:val="en-NZ"/>
        </w:rPr>
      </w:pPr>
      <w:r w:rsidRPr="00A81658">
        <w:rPr>
          <w:sz w:val="24"/>
          <w:szCs w:val="24"/>
          <w:lang w:val="en-NZ"/>
        </w:rPr>
        <w:t xml:space="preserve">Most of the symptoms reported in recent epidemiological studies of acute health risks from short-term recreational exposure to low levels of cyanobacterial blooms were mild and self- limiting. This is likely </w:t>
      </w:r>
      <w:r w:rsidR="003461F8" w:rsidRPr="00A81658">
        <w:rPr>
          <w:sz w:val="24"/>
          <w:szCs w:val="24"/>
          <w:lang w:val="en-NZ"/>
        </w:rPr>
        <w:t>because</w:t>
      </w:r>
      <w:r w:rsidRPr="00A81658">
        <w:rPr>
          <w:sz w:val="24"/>
          <w:szCs w:val="24"/>
          <w:lang w:val="en-NZ"/>
        </w:rPr>
        <w:t xml:space="preserve"> the dose from recreational exposures is lower than from other exposures. However, there are multiple indicators of the toxicity of some of these biotoxins via other exposure routes, such as toxic seafood poisoning, drinking water</w:t>
      </w:r>
      <w:r w:rsidR="00B32DC7" w:rsidRPr="00A81658">
        <w:rPr>
          <w:sz w:val="24"/>
          <w:szCs w:val="24"/>
          <w:lang w:val="en-NZ"/>
        </w:rPr>
        <w:t>,</w:t>
      </w:r>
      <w:r w:rsidRPr="00A81658">
        <w:rPr>
          <w:sz w:val="24"/>
          <w:szCs w:val="24"/>
          <w:lang w:val="en-NZ"/>
        </w:rPr>
        <w:t xml:space="preserve"> or historic tragedies of contaminated haemodialysis water. Animal deaths associated with </w:t>
      </w:r>
      <w:r w:rsidR="003461F8" w:rsidRPr="00A81658">
        <w:rPr>
          <w:sz w:val="24"/>
          <w:szCs w:val="24"/>
          <w:lang w:val="en-NZ"/>
        </w:rPr>
        <w:t>biotoxins</w:t>
      </w:r>
      <w:r w:rsidRPr="00A81658">
        <w:rPr>
          <w:sz w:val="24"/>
          <w:szCs w:val="24"/>
          <w:lang w:val="en-NZ"/>
        </w:rPr>
        <w:t xml:space="preserve"> also indicate the toxic potential of biotoxins.</w:t>
      </w:r>
    </w:p>
    <w:p w14:paraId="2FD36C68" w14:textId="77777777" w:rsidR="0008344F" w:rsidRDefault="0008344F">
      <w:pPr>
        <w:rPr>
          <w:b/>
          <w:bCs/>
          <w:color w:val="15284C"/>
          <w:sz w:val="32"/>
          <w:szCs w:val="32"/>
          <w:lang w:val="en-NZ"/>
        </w:rPr>
      </w:pPr>
      <w:r>
        <w:rPr>
          <w:lang w:val="en-NZ"/>
        </w:rPr>
        <w:br w:type="page"/>
      </w:r>
    </w:p>
    <w:p w14:paraId="6E19286B" w14:textId="7D5137B7" w:rsidR="00141B9B" w:rsidRPr="00955E44" w:rsidRDefault="00141B9B" w:rsidP="00141B9B">
      <w:pPr>
        <w:pStyle w:val="Heading2"/>
        <w:rPr>
          <w:lang w:val="en-NZ"/>
        </w:rPr>
      </w:pPr>
      <w:bookmarkStart w:id="4" w:name="_Toc181101753"/>
      <w:r w:rsidRPr="00955E44">
        <w:rPr>
          <w:lang w:val="en-NZ"/>
        </w:rPr>
        <w:lastRenderedPageBreak/>
        <w:t xml:space="preserve">Public </w:t>
      </w:r>
      <w:r w:rsidR="00A847DE" w:rsidRPr="00955E44">
        <w:rPr>
          <w:lang w:val="en-NZ"/>
        </w:rPr>
        <w:t>h</w:t>
      </w:r>
      <w:r w:rsidRPr="00955E44">
        <w:rPr>
          <w:lang w:val="en-NZ"/>
        </w:rPr>
        <w:t xml:space="preserve">ealth </w:t>
      </w:r>
      <w:r w:rsidR="00A847DE" w:rsidRPr="00955E44">
        <w:rPr>
          <w:lang w:val="en-NZ"/>
        </w:rPr>
        <w:t>i</w:t>
      </w:r>
      <w:r w:rsidRPr="00955E44">
        <w:rPr>
          <w:lang w:val="en-NZ"/>
        </w:rPr>
        <w:t xml:space="preserve">nvestigation and </w:t>
      </w:r>
      <w:r w:rsidR="00A847DE" w:rsidRPr="00955E44">
        <w:rPr>
          <w:lang w:val="en-NZ"/>
        </w:rPr>
        <w:t>m</w:t>
      </w:r>
      <w:r w:rsidRPr="00955E44">
        <w:rPr>
          <w:lang w:val="en-NZ"/>
        </w:rPr>
        <w:t xml:space="preserve">anagement of HAB </w:t>
      </w:r>
      <w:r w:rsidR="00A847DE" w:rsidRPr="00955E44">
        <w:rPr>
          <w:lang w:val="en-NZ"/>
        </w:rPr>
        <w:t>e</w:t>
      </w:r>
      <w:r w:rsidRPr="00955E44">
        <w:rPr>
          <w:lang w:val="en-NZ"/>
        </w:rPr>
        <w:t>xposure</w:t>
      </w:r>
      <w:bookmarkEnd w:id="4"/>
    </w:p>
    <w:p w14:paraId="6BC5CCA6" w14:textId="77777777" w:rsidR="0008344F" w:rsidRDefault="00141B9B" w:rsidP="00141B9B">
      <w:pPr>
        <w:rPr>
          <w:sz w:val="24"/>
          <w:szCs w:val="24"/>
          <w:lang w:val="en-NZ"/>
        </w:rPr>
      </w:pPr>
      <w:r w:rsidRPr="00A81658">
        <w:rPr>
          <w:sz w:val="24"/>
          <w:szCs w:val="24"/>
          <w:lang w:val="en-NZ"/>
        </w:rPr>
        <w:t>All suspected cases of biotoxin poisoning from HABs must be notified to the public health system as they are classified as poisoning arising from chemical contamination of the environment under Schedule 2 of the Health Act 1956.</w:t>
      </w:r>
    </w:p>
    <w:p w14:paraId="4E2AAE09" w14:textId="70D01987" w:rsidR="00941DD4" w:rsidRDefault="00141B9B" w:rsidP="00141B9B">
      <w:pPr>
        <w:rPr>
          <w:sz w:val="24"/>
          <w:szCs w:val="24"/>
          <w:lang w:val="en-NZ"/>
        </w:rPr>
      </w:pPr>
      <w:r w:rsidRPr="00A81658">
        <w:rPr>
          <w:sz w:val="24"/>
          <w:szCs w:val="24"/>
          <w:lang w:val="en-NZ"/>
        </w:rPr>
        <w:t>Case investigation of exposure to HABs requires a detailed history of the exposure and the timing of subsequent symptoms to determine the likelihood that symptoms are associated with HAB exposure in recreational water. Other potential causes of illness should be considered during the investigation.</w:t>
      </w:r>
    </w:p>
    <w:p w14:paraId="5630713A" w14:textId="03D1895C" w:rsidR="00141B9B" w:rsidRPr="00A81658" w:rsidRDefault="00141B9B" w:rsidP="00141B9B">
      <w:pPr>
        <w:rPr>
          <w:sz w:val="24"/>
          <w:szCs w:val="24"/>
          <w:lang w:val="en-NZ"/>
        </w:rPr>
      </w:pPr>
      <w:r w:rsidRPr="00A81658">
        <w:rPr>
          <w:sz w:val="24"/>
          <w:szCs w:val="24"/>
          <w:lang w:val="en-NZ"/>
        </w:rPr>
        <w:t>Most cases, with a plausible exposure and clinical history will likely be classified as probable cases, as there is not yet any clinical laboratory testing available to confirm a non-foodborne cyanobacterial or marine HAB biotoxin poisoning diagnosis in humans. Cases can be classified as confirmed if several criteria are met</w:t>
      </w:r>
      <w:r w:rsidR="00CF099F">
        <w:rPr>
          <w:sz w:val="24"/>
          <w:szCs w:val="24"/>
          <w:lang w:val="en-NZ"/>
        </w:rPr>
        <w:t xml:space="preserve">. This </w:t>
      </w:r>
      <w:r w:rsidRPr="00A81658">
        <w:rPr>
          <w:sz w:val="24"/>
          <w:szCs w:val="24"/>
          <w:lang w:val="en-NZ"/>
        </w:rPr>
        <w:t>includ</w:t>
      </w:r>
      <w:r w:rsidR="00CF099F">
        <w:rPr>
          <w:sz w:val="24"/>
          <w:szCs w:val="24"/>
          <w:lang w:val="en-NZ"/>
        </w:rPr>
        <w:t>es</w:t>
      </w:r>
      <w:r w:rsidRPr="00A81658">
        <w:rPr>
          <w:sz w:val="24"/>
          <w:szCs w:val="24"/>
          <w:lang w:val="en-NZ"/>
        </w:rPr>
        <w:t xml:space="preserve"> that there is more than one affected person exposed to the same recreational waterbody and laboratory tests of the water confirm levels of HABs or HAB biotoxins that are associated with adverse health effects.</w:t>
      </w:r>
    </w:p>
    <w:p w14:paraId="1B74AEB1" w14:textId="188F2E58" w:rsidR="00141B9B" w:rsidRPr="00A81658" w:rsidRDefault="00141B9B" w:rsidP="00141B9B">
      <w:pPr>
        <w:rPr>
          <w:sz w:val="24"/>
          <w:szCs w:val="24"/>
          <w:lang w:val="en-NZ"/>
        </w:rPr>
      </w:pPr>
      <w:r w:rsidRPr="00A81658">
        <w:rPr>
          <w:sz w:val="24"/>
          <w:szCs w:val="24"/>
          <w:lang w:val="en-NZ"/>
        </w:rPr>
        <w:t>Additional environmental testing is not routinely required for classifying a case of HAB poisoning</w:t>
      </w:r>
      <w:r w:rsidR="001559B5">
        <w:rPr>
          <w:sz w:val="24"/>
          <w:szCs w:val="24"/>
          <w:lang w:val="en-NZ"/>
        </w:rPr>
        <w:t xml:space="preserve">. However, </w:t>
      </w:r>
      <w:r w:rsidRPr="00A81658">
        <w:rPr>
          <w:sz w:val="24"/>
          <w:szCs w:val="24"/>
          <w:lang w:val="en-NZ"/>
        </w:rPr>
        <w:t>if there is more than one person potentially exposed to HAB biotoxins or if there is probable public health risk at a recreational water site (not already known about) then further testing may aid public health risk assessment.</w:t>
      </w:r>
    </w:p>
    <w:p w14:paraId="41467833" w14:textId="47F1A7FB" w:rsidR="001173B5" w:rsidRPr="00A81658" w:rsidRDefault="00141B9B" w:rsidP="00141B9B">
      <w:pPr>
        <w:rPr>
          <w:sz w:val="24"/>
          <w:szCs w:val="24"/>
          <w:lang w:val="en-NZ"/>
        </w:rPr>
      </w:pPr>
      <w:r w:rsidRPr="00A81658">
        <w:rPr>
          <w:sz w:val="24"/>
          <w:szCs w:val="24"/>
          <w:lang w:val="en-NZ"/>
        </w:rPr>
        <w:t xml:space="preserve">Case management involves communicating the public health risk to the exposed person and their whānau with the intention to prevent further HAB exposures and advising them to seek medical advice from their usual health care practitioner. It is important to understand the exposed person’s cultural and social context and to ensure advice and public health responses are tailored to the person. </w:t>
      </w:r>
    </w:p>
    <w:p w14:paraId="0B8EDC82" w14:textId="77777777" w:rsidR="009D3B17" w:rsidRDefault="00141B9B" w:rsidP="00141B9B">
      <w:pPr>
        <w:rPr>
          <w:sz w:val="24"/>
          <w:szCs w:val="24"/>
          <w:lang w:val="en-NZ"/>
        </w:rPr>
      </w:pPr>
      <w:r w:rsidRPr="00A81658">
        <w:rPr>
          <w:sz w:val="24"/>
          <w:szCs w:val="24"/>
          <w:lang w:val="en-NZ"/>
        </w:rPr>
        <w:t>There are no contact tracing requirements as there is no person to person spread of illness from HABs. However, there may be other people exposed to HABs at the same recreational waterbody who may benefit from public health advice about HABs. It is important to understand if other people were exposed to the same waterbody and whether they became unwell, as it is likely to influence the public health risk assessment.</w:t>
      </w:r>
    </w:p>
    <w:p w14:paraId="01CC78CC" w14:textId="1CC62300" w:rsidR="00141B9B" w:rsidRPr="00A81658" w:rsidRDefault="00141B9B" w:rsidP="00141B9B">
      <w:pPr>
        <w:rPr>
          <w:sz w:val="24"/>
          <w:szCs w:val="24"/>
          <w:lang w:val="en-NZ"/>
        </w:rPr>
      </w:pPr>
      <w:r w:rsidRPr="00A81658">
        <w:rPr>
          <w:sz w:val="24"/>
          <w:szCs w:val="24"/>
          <w:lang w:val="en-NZ"/>
        </w:rPr>
        <w:t xml:space="preserve">If case investigation, reports of animal deaths, or water monitoring and surveillance indicates HAB or HAB biotoxin levels meet the threshold for potential adverse health effects then </w:t>
      </w:r>
      <w:r w:rsidR="00BA4DAF" w:rsidRPr="00A81658">
        <w:rPr>
          <w:sz w:val="24"/>
          <w:szCs w:val="24"/>
          <w:lang w:val="en-NZ"/>
        </w:rPr>
        <w:t xml:space="preserve">a </w:t>
      </w:r>
      <w:r w:rsidRPr="00A81658">
        <w:rPr>
          <w:sz w:val="24"/>
          <w:szCs w:val="24"/>
          <w:lang w:val="en-NZ"/>
        </w:rPr>
        <w:t xml:space="preserve">public health </w:t>
      </w:r>
      <w:r w:rsidR="00BA4DAF" w:rsidRPr="00A81658">
        <w:rPr>
          <w:sz w:val="24"/>
          <w:szCs w:val="24"/>
          <w:lang w:val="en-NZ"/>
        </w:rPr>
        <w:t xml:space="preserve">officer </w:t>
      </w:r>
      <w:r w:rsidRPr="00A81658">
        <w:rPr>
          <w:sz w:val="24"/>
          <w:szCs w:val="24"/>
          <w:lang w:val="en-NZ"/>
        </w:rPr>
        <w:t>must alert the community of the public health risk.</w:t>
      </w:r>
    </w:p>
    <w:p w14:paraId="1C42D319" w14:textId="4E91122A" w:rsidR="00141B9B" w:rsidRPr="00A81658" w:rsidRDefault="00141B9B" w:rsidP="00141B9B">
      <w:pPr>
        <w:rPr>
          <w:sz w:val="24"/>
          <w:szCs w:val="24"/>
          <w:lang w:val="en-NZ"/>
        </w:rPr>
      </w:pPr>
      <w:r w:rsidRPr="00A81658">
        <w:rPr>
          <w:sz w:val="24"/>
          <w:szCs w:val="24"/>
          <w:lang w:val="en-NZ"/>
        </w:rPr>
        <w:t xml:space="preserve">The </w:t>
      </w:r>
      <w:r w:rsidRPr="00A81658">
        <w:rPr>
          <w:i/>
          <w:iCs/>
          <w:sz w:val="24"/>
          <w:szCs w:val="24"/>
          <w:lang w:val="en-NZ"/>
        </w:rPr>
        <w:t>New Zealand Guidelines for Cyanobacteria in Recreational Fresh</w:t>
      </w:r>
      <w:r w:rsidR="00341AB6">
        <w:rPr>
          <w:i/>
          <w:iCs/>
          <w:sz w:val="24"/>
          <w:szCs w:val="24"/>
          <w:lang w:val="en-NZ"/>
        </w:rPr>
        <w:t xml:space="preserve"> W</w:t>
      </w:r>
      <w:r w:rsidRPr="00A81658">
        <w:rPr>
          <w:i/>
          <w:iCs/>
          <w:sz w:val="24"/>
          <w:szCs w:val="24"/>
          <w:lang w:val="en-NZ"/>
        </w:rPr>
        <w:t>aters</w:t>
      </w:r>
      <w:r w:rsidR="009A1BFA" w:rsidRPr="00A81658">
        <w:rPr>
          <w:i/>
          <w:iCs/>
          <w:sz w:val="24"/>
          <w:szCs w:val="24"/>
          <w:lang w:val="en-NZ"/>
        </w:rPr>
        <w:t xml:space="preserve"> </w:t>
      </w:r>
      <w:r w:rsidR="00866A2E" w:rsidRPr="00A81658">
        <w:rPr>
          <w:sz w:val="24"/>
          <w:szCs w:val="24"/>
          <w:lang w:val="en-NZ"/>
        </w:rPr>
        <w:t>(Ministry for the Environment &amp; Ministry of Health 2009)</w:t>
      </w:r>
      <w:r w:rsidRPr="00A81658">
        <w:rPr>
          <w:sz w:val="24"/>
          <w:szCs w:val="24"/>
          <w:lang w:val="en-NZ"/>
        </w:rPr>
        <w:t xml:space="preserve"> provide two three-tier alert-level frameworks that identify monitoring thresholds for public health action based on increasing potential exposure risks from planktonic and benthic freshwater cyanobacteria. The frameworks are based on indicators of increased potential exposure risk such as greater biomass or cyanotoxin concentrations, dictating the need for increased frequency of monitoring and depending on the threshold, public </w:t>
      </w:r>
      <w:r w:rsidRPr="00A81658">
        <w:rPr>
          <w:sz w:val="24"/>
          <w:szCs w:val="24"/>
          <w:lang w:val="en-NZ"/>
        </w:rPr>
        <w:lastRenderedPageBreak/>
        <w:t>health action to communicate the health risk. There is no alert level framework for HABs in recreational marine water to guide safe recreation.</w:t>
      </w:r>
    </w:p>
    <w:p w14:paraId="4AA92746" w14:textId="35337B5D" w:rsidR="00141B9B" w:rsidRPr="00A81658" w:rsidRDefault="00141B9B" w:rsidP="00141B9B">
      <w:pPr>
        <w:rPr>
          <w:sz w:val="24"/>
          <w:szCs w:val="24"/>
          <w:lang w:val="en-NZ"/>
        </w:rPr>
      </w:pPr>
      <w:r w:rsidRPr="00A81658">
        <w:rPr>
          <w:sz w:val="24"/>
          <w:szCs w:val="24"/>
          <w:lang w:val="en-NZ"/>
        </w:rPr>
        <w:t xml:space="preserve">Communicating the public health risk via media releases, warning signs, </w:t>
      </w:r>
      <w:r w:rsidR="00082D8B" w:rsidRPr="00A81658">
        <w:rPr>
          <w:sz w:val="24"/>
          <w:szCs w:val="24"/>
          <w:lang w:val="en-NZ"/>
        </w:rPr>
        <w:t xml:space="preserve">engaging </w:t>
      </w:r>
      <w:r w:rsidRPr="00A81658">
        <w:rPr>
          <w:sz w:val="24"/>
          <w:szCs w:val="24"/>
          <w:lang w:val="en-NZ"/>
        </w:rPr>
        <w:t>with primary care, and engaging and partnering with iwi and hapū are important for encouraging the public to avoid exposure to HABs in recreational water. Once monitoring shows HAB levels have reduced to meet lower alert levels and there are no other public health risks, then public health alerts can be downgraded.</w:t>
      </w:r>
    </w:p>
    <w:p w14:paraId="3B3F603A" w14:textId="77777777" w:rsidR="00DA224D" w:rsidRDefault="00141B9B" w:rsidP="00141B9B">
      <w:pPr>
        <w:rPr>
          <w:sz w:val="24"/>
          <w:szCs w:val="24"/>
          <w:lang w:val="en-NZ"/>
        </w:rPr>
      </w:pPr>
      <w:r w:rsidRPr="00A81658">
        <w:rPr>
          <w:sz w:val="24"/>
          <w:szCs w:val="24"/>
          <w:lang w:val="en-NZ"/>
        </w:rPr>
        <w:t xml:space="preserve">Surveillance and monitoring of recreational freshwater is the responsibility of local councils under the </w:t>
      </w:r>
      <w:r w:rsidRPr="00BD7E7F">
        <w:rPr>
          <w:i/>
          <w:iCs/>
          <w:sz w:val="24"/>
          <w:szCs w:val="24"/>
          <w:lang w:val="en-NZ"/>
        </w:rPr>
        <w:t>National Policy Statement for Freshwater Management</w:t>
      </w:r>
      <w:r w:rsidR="00B33779" w:rsidRPr="00A81658">
        <w:rPr>
          <w:sz w:val="24"/>
          <w:szCs w:val="24"/>
          <w:lang w:val="en-NZ"/>
        </w:rPr>
        <w:t xml:space="preserve"> </w:t>
      </w:r>
      <w:r w:rsidR="00DD250E" w:rsidRPr="00A81658">
        <w:rPr>
          <w:sz w:val="24"/>
          <w:szCs w:val="24"/>
          <w:lang w:val="en-NZ"/>
        </w:rPr>
        <w:t>(Ministry for the Environment 2020</w:t>
      </w:r>
      <w:r w:rsidR="00B33779" w:rsidRPr="00A81658">
        <w:rPr>
          <w:sz w:val="24"/>
          <w:szCs w:val="24"/>
          <w:lang w:val="en-NZ"/>
        </w:rPr>
        <w:t>)</w:t>
      </w:r>
      <w:r w:rsidRPr="00A81658">
        <w:rPr>
          <w:sz w:val="24"/>
          <w:szCs w:val="24"/>
          <w:lang w:val="en-NZ"/>
        </w:rPr>
        <w:t xml:space="preserve">, with advice from </w:t>
      </w:r>
      <w:r w:rsidR="00235071" w:rsidRPr="00A81658">
        <w:rPr>
          <w:sz w:val="24"/>
          <w:szCs w:val="24"/>
          <w:lang w:val="en-NZ"/>
        </w:rPr>
        <w:t>local public health of</w:t>
      </w:r>
      <w:r w:rsidR="004C4471" w:rsidRPr="00A81658">
        <w:rPr>
          <w:sz w:val="24"/>
          <w:szCs w:val="24"/>
          <w:lang w:val="en-NZ"/>
        </w:rPr>
        <w:t>f</w:t>
      </w:r>
      <w:r w:rsidR="00235071" w:rsidRPr="00A81658">
        <w:rPr>
          <w:sz w:val="24"/>
          <w:szCs w:val="24"/>
          <w:lang w:val="en-NZ"/>
        </w:rPr>
        <w:t>icers</w:t>
      </w:r>
      <w:r w:rsidRPr="00A81658">
        <w:rPr>
          <w:sz w:val="24"/>
          <w:szCs w:val="24"/>
          <w:lang w:val="en-NZ"/>
        </w:rPr>
        <w:t>. The Ministry for Primary Industries (MPI) is the lead agency for issuing and directing warnings for HAB biotoxins at recreational shellfish harvesting areas.</w:t>
      </w:r>
    </w:p>
    <w:p w14:paraId="565473F5" w14:textId="2E72A881" w:rsidR="00141B9B" w:rsidRPr="00A81658" w:rsidRDefault="00141B9B" w:rsidP="00141B9B">
      <w:pPr>
        <w:rPr>
          <w:sz w:val="24"/>
          <w:szCs w:val="24"/>
          <w:lang w:val="en-NZ"/>
        </w:rPr>
      </w:pPr>
      <w:r w:rsidRPr="00A81658">
        <w:rPr>
          <w:sz w:val="24"/>
          <w:szCs w:val="24"/>
          <w:lang w:val="en-NZ"/>
        </w:rPr>
        <w:t>Monitoring and surveillance do not guarantee a waterbody is safe for recreation as environmental conditions and subsequently HAB biotoxin activity can change between monitoring intervals and other (unmonitored) environmental hazards may exist.</w:t>
      </w:r>
    </w:p>
    <w:p w14:paraId="464DC4EF" w14:textId="003A5141" w:rsidR="00141B9B" w:rsidRPr="00955E44" w:rsidRDefault="00141B9B" w:rsidP="00141B9B">
      <w:pPr>
        <w:pStyle w:val="Heading2"/>
        <w:rPr>
          <w:lang w:val="en-NZ"/>
        </w:rPr>
      </w:pPr>
      <w:bookmarkStart w:id="5" w:name="_Toc181101754"/>
      <w:r w:rsidRPr="00955E44">
        <w:rPr>
          <w:lang w:val="en-NZ"/>
        </w:rPr>
        <w:t xml:space="preserve">Public </w:t>
      </w:r>
      <w:r w:rsidR="00A847DE" w:rsidRPr="00955E44">
        <w:rPr>
          <w:lang w:val="en-NZ"/>
        </w:rPr>
        <w:t>h</w:t>
      </w:r>
      <w:r w:rsidRPr="00955E44">
        <w:rPr>
          <w:lang w:val="en-NZ"/>
        </w:rPr>
        <w:t xml:space="preserve">ealth </w:t>
      </w:r>
      <w:r w:rsidR="00A847DE" w:rsidRPr="00955E44">
        <w:rPr>
          <w:lang w:val="en-NZ"/>
        </w:rPr>
        <w:t>a</w:t>
      </w:r>
      <w:r w:rsidRPr="00955E44">
        <w:rPr>
          <w:lang w:val="en-NZ"/>
        </w:rPr>
        <w:t xml:space="preserve">dvocacy for </w:t>
      </w:r>
      <w:r w:rsidR="00A847DE" w:rsidRPr="00955E44">
        <w:rPr>
          <w:lang w:val="en-NZ"/>
        </w:rPr>
        <w:t>l</w:t>
      </w:r>
      <w:r w:rsidRPr="00955E44">
        <w:rPr>
          <w:lang w:val="en-NZ"/>
        </w:rPr>
        <w:t>onger-</w:t>
      </w:r>
      <w:r w:rsidR="00A847DE" w:rsidRPr="00955E44">
        <w:rPr>
          <w:lang w:val="en-NZ"/>
        </w:rPr>
        <w:t>t</w:t>
      </w:r>
      <w:r w:rsidRPr="00955E44">
        <w:rPr>
          <w:lang w:val="en-NZ"/>
        </w:rPr>
        <w:t xml:space="preserve">erm </w:t>
      </w:r>
      <w:r w:rsidR="00A847DE" w:rsidRPr="00955E44">
        <w:rPr>
          <w:lang w:val="en-NZ"/>
        </w:rPr>
        <w:t>m</w:t>
      </w:r>
      <w:r w:rsidRPr="00955E44">
        <w:rPr>
          <w:lang w:val="en-NZ"/>
        </w:rPr>
        <w:t>anagement of HAB</w:t>
      </w:r>
      <w:r w:rsidR="00A847DE" w:rsidRPr="00955E44">
        <w:rPr>
          <w:lang w:val="en-NZ"/>
        </w:rPr>
        <w:t>s</w:t>
      </w:r>
      <w:bookmarkEnd w:id="5"/>
    </w:p>
    <w:p w14:paraId="3088D839" w14:textId="77777777" w:rsidR="00141B9B" w:rsidRPr="00A81658" w:rsidRDefault="00141B9B" w:rsidP="00141B9B">
      <w:pPr>
        <w:rPr>
          <w:sz w:val="24"/>
          <w:szCs w:val="24"/>
          <w:lang w:val="en-NZ"/>
        </w:rPr>
      </w:pPr>
      <w:r w:rsidRPr="00A81658">
        <w:rPr>
          <w:sz w:val="24"/>
          <w:szCs w:val="24"/>
          <w:lang w:val="en-NZ"/>
        </w:rPr>
        <w:t>Given the toxic potential of HAB biotoxins in recreational water, preventing them occurring is key, otherwise alerts and advisories to avoid contact with recreational water are required.</w:t>
      </w:r>
    </w:p>
    <w:p w14:paraId="0CDBC805" w14:textId="31981620" w:rsidR="00141B9B" w:rsidRPr="00A81658" w:rsidRDefault="00141B9B" w:rsidP="00141B9B">
      <w:pPr>
        <w:rPr>
          <w:sz w:val="24"/>
          <w:szCs w:val="24"/>
          <w:lang w:val="en-NZ"/>
        </w:rPr>
      </w:pPr>
      <w:r w:rsidRPr="00A81658">
        <w:rPr>
          <w:sz w:val="24"/>
          <w:szCs w:val="24"/>
          <w:lang w:val="en-NZ"/>
        </w:rPr>
        <w:t xml:space="preserve">Whilst cyanobacteria and microalgae are naturally occurring, they are greatly exacerbated by human activities such as nutrient runoff from agriculture and reduced water flows from extraction or drought and climate change. </w:t>
      </w:r>
      <w:r w:rsidR="00500A83">
        <w:rPr>
          <w:sz w:val="24"/>
          <w:szCs w:val="24"/>
          <w:lang w:val="en-NZ"/>
        </w:rPr>
        <w:t>T</w:t>
      </w:r>
      <w:r w:rsidRPr="00A81658">
        <w:rPr>
          <w:sz w:val="24"/>
          <w:szCs w:val="24"/>
          <w:lang w:val="en-NZ"/>
        </w:rPr>
        <w:t>here is considerable scope for reducing the risk in the first place, which is the most important step in the hierarchy of controls.</w:t>
      </w:r>
    </w:p>
    <w:p w14:paraId="48A98816" w14:textId="74FF74EB" w:rsidR="007C0B8C" w:rsidRDefault="00141B9B" w:rsidP="00141B9B">
      <w:pPr>
        <w:rPr>
          <w:sz w:val="24"/>
          <w:szCs w:val="24"/>
          <w:lang w:val="en-NZ"/>
        </w:rPr>
      </w:pPr>
      <w:r w:rsidRPr="00A81658">
        <w:rPr>
          <w:sz w:val="24"/>
          <w:szCs w:val="24"/>
          <w:lang w:val="en-NZ"/>
        </w:rPr>
        <w:t>In te ao Māori</w:t>
      </w:r>
      <w:r w:rsidR="007C0B8C">
        <w:rPr>
          <w:sz w:val="24"/>
          <w:szCs w:val="24"/>
          <w:lang w:val="en-NZ"/>
        </w:rPr>
        <w:t xml:space="preserve"> |</w:t>
      </w:r>
      <w:r w:rsidRPr="00A81658">
        <w:rPr>
          <w:sz w:val="24"/>
          <w:szCs w:val="24"/>
          <w:lang w:val="en-NZ"/>
        </w:rPr>
        <w:t xml:space="preserve"> the Māori world, connection to te taiao</w:t>
      </w:r>
      <w:r w:rsidR="007C0B8C">
        <w:rPr>
          <w:sz w:val="24"/>
          <w:szCs w:val="24"/>
          <w:lang w:val="en-NZ"/>
        </w:rPr>
        <w:t xml:space="preserve"> |</w:t>
      </w:r>
      <w:r w:rsidRPr="00A81658">
        <w:rPr>
          <w:sz w:val="24"/>
          <w:szCs w:val="24"/>
          <w:lang w:val="en-NZ"/>
        </w:rPr>
        <w:t xml:space="preserve"> the environment is of deep and spiritual importance to tangata whenua. Te Mana o Te Wai is a mātauranga</w:t>
      </w:r>
      <w:r w:rsidR="007C0B8C">
        <w:rPr>
          <w:sz w:val="24"/>
          <w:szCs w:val="24"/>
          <w:lang w:val="en-NZ"/>
        </w:rPr>
        <w:t xml:space="preserve"> |</w:t>
      </w:r>
      <w:r w:rsidRPr="00A81658">
        <w:rPr>
          <w:sz w:val="24"/>
          <w:szCs w:val="24"/>
          <w:lang w:val="en-NZ"/>
        </w:rPr>
        <w:t xml:space="preserve"> Māori knowledge concept that describes the importance of freshwater. It recognises that water is a taonga with its own mauri</w:t>
      </w:r>
      <w:r w:rsidR="007C0B8C">
        <w:rPr>
          <w:sz w:val="24"/>
          <w:szCs w:val="24"/>
          <w:lang w:val="en-NZ"/>
        </w:rPr>
        <w:t xml:space="preserve"> |</w:t>
      </w:r>
      <w:r w:rsidRPr="00A81658">
        <w:rPr>
          <w:sz w:val="24"/>
          <w:szCs w:val="24"/>
          <w:lang w:val="en-NZ"/>
        </w:rPr>
        <w:t xml:space="preserve"> lifeforce and recognises the interconnectedness of water and the wider ecosystem.</w:t>
      </w:r>
    </w:p>
    <w:p w14:paraId="00493F39" w14:textId="69F61DB0" w:rsidR="00EB3422" w:rsidRPr="00A81658" w:rsidRDefault="00141B9B" w:rsidP="00141B9B">
      <w:pPr>
        <w:rPr>
          <w:sz w:val="24"/>
          <w:szCs w:val="24"/>
          <w:lang w:val="en-NZ"/>
        </w:rPr>
      </w:pPr>
      <w:r w:rsidRPr="00A81658">
        <w:rPr>
          <w:sz w:val="24"/>
          <w:szCs w:val="24"/>
          <w:lang w:val="en-NZ"/>
        </w:rPr>
        <w:t>Te Mana o Te Wai highlights the importance of protecting the health and wellbeing of freshwater, to contribute to the protection of the health and wellbeing of people. Preventative action provides an opportunity for meaningful partnership and shared decision making with Māori to focus on both environmental and health outcomes.</w:t>
      </w:r>
    </w:p>
    <w:p w14:paraId="37FA953F" w14:textId="77777777" w:rsidR="004B1C68" w:rsidRPr="00CC0F9B" w:rsidRDefault="004B1C68" w:rsidP="004B1C68">
      <w:pPr>
        <w:rPr>
          <w:lang w:val="en-NZ"/>
        </w:rPr>
      </w:pPr>
    </w:p>
    <w:p w14:paraId="271EDB7B" w14:textId="6205FCBB" w:rsidR="00141B9B" w:rsidRPr="00CC0F9B" w:rsidRDefault="00141B9B">
      <w:pPr>
        <w:rPr>
          <w:lang w:val="en-NZ"/>
        </w:rPr>
      </w:pPr>
      <w:r w:rsidRPr="00CC0F9B">
        <w:rPr>
          <w:lang w:val="en-NZ"/>
        </w:rPr>
        <w:br w:type="page"/>
      </w:r>
    </w:p>
    <w:p w14:paraId="78A7BFF1" w14:textId="0FB13AA8" w:rsidR="00EB3422" w:rsidRPr="00A5088B" w:rsidRDefault="007F3756" w:rsidP="00EB3422">
      <w:pPr>
        <w:pStyle w:val="Heading1"/>
        <w:rPr>
          <w:sz w:val="44"/>
          <w:szCs w:val="44"/>
          <w:lang w:val="en-NZ"/>
        </w:rPr>
      </w:pPr>
      <w:bookmarkStart w:id="6" w:name="_Toc181101755"/>
      <w:r w:rsidRPr="00A5088B">
        <w:rPr>
          <w:sz w:val="44"/>
          <w:szCs w:val="44"/>
          <w:lang w:val="en-NZ"/>
        </w:rPr>
        <w:lastRenderedPageBreak/>
        <w:t>Introduction</w:t>
      </w:r>
      <w:bookmarkEnd w:id="6"/>
    </w:p>
    <w:p w14:paraId="741859F7" w14:textId="744A5CAB" w:rsidR="00141B9B" w:rsidRPr="00A5088B" w:rsidRDefault="008E7039" w:rsidP="00141B9B">
      <w:pPr>
        <w:pStyle w:val="Heading2"/>
        <w:rPr>
          <w:lang w:val="en-NZ"/>
        </w:rPr>
      </w:pPr>
      <w:bookmarkStart w:id="7" w:name="_Toc181101756"/>
      <w:r w:rsidRPr="00A5088B">
        <w:rPr>
          <w:lang w:val="en-NZ"/>
        </w:rPr>
        <w:t xml:space="preserve">Purpose and </w:t>
      </w:r>
      <w:r w:rsidR="00A847DE" w:rsidRPr="00A5088B">
        <w:rPr>
          <w:lang w:val="en-NZ"/>
        </w:rPr>
        <w:t>s</w:t>
      </w:r>
      <w:r w:rsidR="007F3756" w:rsidRPr="00A5088B">
        <w:rPr>
          <w:lang w:val="en-NZ"/>
        </w:rPr>
        <w:t>cope</w:t>
      </w:r>
      <w:bookmarkEnd w:id="7"/>
      <w:r w:rsidR="007F3756" w:rsidRPr="00A5088B">
        <w:rPr>
          <w:lang w:val="en-NZ"/>
        </w:rPr>
        <w:t xml:space="preserve"> </w:t>
      </w:r>
    </w:p>
    <w:p w14:paraId="732E644B" w14:textId="77777777" w:rsidR="00247FF1" w:rsidRDefault="00141B9B" w:rsidP="00141B9B">
      <w:pPr>
        <w:rPr>
          <w:sz w:val="24"/>
          <w:szCs w:val="24"/>
          <w:lang w:val="en-NZ"/>
        </w:rPr>
      </w:pPr>
      <w:r w:rsidRPr="00A81658">
        <w:rPr>
          <w:sz w:val="24"/>
          <w:szCs w:val="24"/>
          <w:lang w:val="en-NZ"/>
        </w:rPr>
        <w:t xml:space="preserve">The purpose of this document is to provide guidance to public health </w:t>
      </w:r>
      <w:r w:rsidR="008F1A80" w:rsidRPr="00A81658">
        <w:rPr>
          <w:sz w:val="24"/>
          <w:szCs w:val="24"/>
          <w:lang w:val="en-NZ"/>
        </w:rPr>
        <w:t>officers</w:t>
      </w:r>
      <w:r w:rsidRPr="00A81658">
        <w:rPr>
          <w:sz w:val="24"/>
          <w:szCs w:val="24"/>
          <w:lang w:val="en-NZ"/>
        </w:rPr>
        <w:t xml:space="preserve"> on the environmental case investigation and management of people exposed to harmful algal blooms (HABs) in recreational water. It outlines the public health risks and management principles associated with recreational exposure to HABs, in marine and freshwater environments in New Zealand</w:t>
      </w:r>
      <w:r w:rsidR="008F1A80" w:rsidRPr="00A81658">
        <w:rPr>
          <w:sz w:val="24"/>
          <w:szCs w:val="24"/>
          <w:lang w:val="en-NZ"/>
        </w:rPr>
        <w:t xml:space="preserve"> – </w:t>
      </w:r>
      <w:r w:rsidRPr="00A81658">
        <w:rPr>
          <w:sz w:val="24"/>
          <w:szCs w:val="24"/>
          <w:lang w:val="en-NZ"/>
        </w:rPr>
        <w:t>although freshwater cyanobacteria are the</w:t>
      </w:r>
      <w:r w:rsidR="008F1A80" w:rsidRPr="00A81658">
        <w:rPr>
          <w:sz w:val="24"/>
          <w:szCs w:val="24"/>
          <w:lang w:val="en-NZ"/>
        </w:rPr>
        <w:t xml:space="preserve"> main </w:t>
      </w:r>
      <w:r w:rsidRPr="00A81658">
        <w:rPr>
          <w:sz w:val="24"/>
          <w:szCs w:val="24"/>
          <w:lang w:val="en-NZ"/>
        </w:rPr>
        <w:t>focus of this guidance.</w:t>
      </w:r>
    </w:p>
    <w:p w14:paraId="65405004" w14:textId="21DDCA92" w:rsidR="00141B9B" w:rsidRPr="00A81658" w:rsidRDefault="00141B9B" w:rsidP="00141B9B">
      <w:pPr>
        <w:rPr>
          <w:sz w:val="24"/>
          <w:szCs w:val="24"/>
          <w:lang w:val="en-NZ"/>
        </w:rPr>
      </w:pPr>
      <w:r w:rsidRPr="00A81658">
        <w:rPr>
          <w:sz w:val="24"/>
          <w:szCs w:val="24"/>
          <w:lang w:val="en-NZ"/>
        </w:rPr>
        <w:t>Toxin-producing marine cyanobacteria and microalgae also pose a health risk to recreational water users but guidance material for this setting is currently limited and foodborne exposures pose a potentially more significant public health risk in that setting.</w:t>
      </w:r>
    </w:p>
    <w:p w14:paraId="6F4A89E2" w14:textId="32BEB5F9" w:rsidR="00141B9B" w:rsidRPr="00A81658" w:rsidRDefault="00141B9B" w:rsidP="00141B9B">
      <w:pPr>
        <w:rPr>
          <w:sz w:val="24"/>
          <w:szCs w:val="24"/>
          <w:lang w:val="en-NZ"/>
        </w:rPr>
      </w:pPr>
      <w:r w:rsidRPr="00A81658">
        <w:rPr>
          <w:sz w:val="24"/>
          <w:szCs w:val="24"/>
          <w:lang w:val="en-NZ"/>
        </w:rPr>
        <w:t>This document covers direct dermal contact, inhalation, and accidental ingestion exposure to HABs from recreational water, but not exposures through drinking water or foodborne ingestion. Guidance on cyanobacteria and drinking water is provided by Taumata Arowai</w:t>
      </w:r>
      <w:r w:rsidR="00721800" w:rsidRPr="00A81658">
        <w:rPr>
          <w:sz w:val="24"/>
          <w:szCs w:val="24"/>
          <w:lang w:val="en-NZ"/>
        </w:rPr>
        <w:t xml:space="preserve"> (2020)</w:t>
      </w:r>
      <w:r w:rsidRPr="00A81658">
        <w:rPr>
          <w:sz w:val="24"/>
          <w:szCs w:val="24"/>
          <w:lang w:val="en-NZ"/>
        </w:rPr>
        <w:t>.</w:t>
      </w:r>
    </w:p>
    <w:p w14:paraId="19989A8A" w14:textId="77777777" w:rsidR="00141B9B" w:rsidRPr="00A81658" w:rsidRDefault="00141B9B" w:rsidP="00141B9B">
      <w:pPr>
        <w:rPr>
          <w:sz w:val="24"/>
          <w:szCs w:val="24"/>
          <w:lang w:val="en-NZ"/>
        </w:rPr>
      </w:pPr>
      <w:r w:rsidRPr="00A81658">
        <w:rPr>
          <w:sz w:val="24"/>
          <w:szCs w:val="24"/>
          <w:lang w:val="en-NZ"/>
        </w:rPr>
        <w:t>Information on food borne exposure to HAB biotoxins is provided by the Ministry for Primary Industries (MPI), though currently, MPI focus on marine algal toxins and shellfish.</w:t>
      </w:r>
    </w:p>
    <w:p w14:paraId="0E6D684B" w14:textId="74B31692" w:rsidR="00141B9B" w:rsidRPr="00A81658" w:rsidRDefault="00141B9B" w:rsidP="00141B9B">
      <w:pPr>
        <w:rPr>
          <w:sz w:val="24"/>
          <w:szCs w:val="24"/>
          <w:lang w:val="en-NZ"/>
        </w:rPr>
      </w:pPr>
      <w:r w:rsidRPr="00A81658">
        <w:rPr>
          <w:sz w:val="24"/>
          <w:szCs w:val="24"/>
          <w:lang w:val="en-NZ"/>
        </w:rPr>
        <w:t>This guidance is intended for use by public health</w:t>
      </w:r>
      <w:r w:rsidR="00721800" w:rsidRPr="00A81658">
        <w:rPr>
          <w:sz w:val="24"/>
          <w:szCs w:val="24"/>
          <w:lang w:val="en-NZ"/>
        </w:rPr>
        <w:t xml:space="preserve"> officers </w:t>
      </w:r>
      <w:r w:rsidRPr="00A81658">
        <w:rPr>
          <w:sz w:val="24"/>
          <w:szCs w:val="24"/>
          <w:lang w:val="en-NZ"/>
        </w:rPr>
        <w:t>(eg, Medical Officers of Health</w:t>
      </w:r>
      <w:r w:rsidR="00721800" w:rsidRPr="00A81658">
        <w:rPr>
          <w:sz w:val="24"/>
          <w:szCs w:val="24"/>
          <w:lang w:val="en-NZ"/>
        </w:rPr>
        <w:t xml:space="preserve"> and </w:t>
      </w:r>
      <w:r w:rsidRPr="00A81658">
        <w:rPr>
          <w:sz w:val="24"/>
          <w:szCs w:val="24"/>
          <w:lang w:val="en-NZ"/>
        </w:rPr>
        <w:t xml:space="preserve">Health Protection Officers) to investigate suspected exposure to harmful algae/cyanobacteria and manage subsequent public health risks. This guidance does not </w:t>
      </w:r>
      <w:r w:rsidR="00045873">
        <w:rPr>
          <w:sz w:val="24"/>
          <w:szCs w:val="24"/>
          <w:lang w:val="en-NZ"/>
        </w:rPr>
        <w:t>apply</w:t>
      </w:r>
      <w:r w:rsidR="00045873" w:rsidRPr="00A81658">
        <w:rPr>
          <w:sz w:val="24"/>
          <w:szCs w:val="24"/>
          <w:lang w:val="en-NZ"/>
        </w:rPr>
        <w:t xml:space="preserve"> </w:t>
      </w:r>
      <w:r w:rsidRPr="00A81658">
        <w:rPr>
          <w:sz w:val="24"/>
          <w:szCs w:val="24"/>
          <w:lang w:val="en-NZ"/>
        </w:rPr>
        <w:t>to clinical management of ill people, occupational exposures, nor animal exposures.</w:t>
      </w:r>
    </w:p>
    <w:p w14:paraId="31B3882F" w14:textId="4D7FE71B" w:rsidR="00141B9B" w:rsidRPr="00CC0F9B" w:rsidRDefault="007F3756" w:rsidP="00141B9B">
      <w:pPr>
        <w:pStyle w:val="Heading2"/>
        <w:rPr>
          <w:rFonts w:ascii="Arial" w:hAnsi="Arial" w:cs="Arial"/>
          <w:lang w:val="en-NZ"/>
        </w:rPr>
      </w:pPr>
      <w:bookmarkStart w:id="8" w:name="_Toc181101757"/>
      <w:r w:rsidRPr="00A5088B">
        <w:rPr>
          <w:lang w:val="en-NZ"/>
        </w:rPr>
        <w:t>Background</w:t>
      </w:r>
      <w:bookmarkEnd w:id="8"/>
      <w:r w:rsidR="008F1A80">
        <w:rPr>
          <w:rFonts w:ascii="Arial" w:hAnsi="Arial" w:cs="Arial"/>
          <w:lang w:val="en-NZ"/>
        </w:rPr>
        <w:t xml:space="preserve">  </w:t>
      </w:r>
    </w:p>
    <w:p w14:paraId="4F7C359C" w14:textId="77777777" w:rsidR="00141B9B" w:rsidRPr="00A5088B" w:rsidRDefault="00141B9B" w:rsidP="00141B9B">
      <w:pPr>
        <w:pStyle w:val="Heading3"/>
        <w:rPr>
          <w:lang w:val="en-NZ"/>
        </w:rPr>
      </w:pPr>
      <w:r w:rsidRPr="00A5088B">
        <w:rPr>
          <w:lang w:val="en-NZ"/>
        </w:rPr>
        <w:t>Terminology</w:t>
      </w:r>
    </w:p>
    <w:p w14:paraId="6B2186E6" w14:textId="4D40214B" w:rsidR="00141B9B" w:rsidRPr="00A81658" w:rsidRDefault="00141B9B" w:rsidP="00141B9B">
      <w:pPr>
        <w:rPr>
          <w:sz w:val="24"/>
          <w:szCs w:val="24"/>
          <w:lang w:val="en-NZ"/>
        </w:rPr>
      </w:pPr>
      <w:r w:rsidRPr="00A81658">
        <w:rPr>
          <w:sz w:val="24"/>
          <w:szCs w:val="24"/>
          <w:lang w:val="en-NZ"/>
        </w:rPr>
        <w:t xml:space="preserve">Cyanobacteria (also referred to as blue-green algae) are prokaryotic organisms that inhabit rivers, lakes, reservoirs, brackish, marine, and terrestrial environments. Cyanobacteria are technically bacteria but are often grouped with algae as they perform some of the same ecological functions as algae, such as using chlorophyll </w:t>
      </w:r>
      <w:r w:rsidR="005A3B89" w:rsidRPr="00A81658">
        <w:rPr>
          <w:sz w:val="24"/>
          <w:szCs w:val="24"/>
          <w:lang w:val="en-NZ"/>
        </w:rPr>
        <w:t xml:space="preserve">to </w:t>
      </w:r>
      <w:r w:rsidRPr="00A81658">
        <w:rPr>
          <w:sz w:val="24"/>
          <w:szCs w:val="24"/>
          <w:lang w:val="en-NZ"/>
        </w:rPr>
        <w:t>produc</w:t>
      </w:r>
      <w:r w:rsidR="005A3B89" w:rsidRPr="00A81658">
        <w:rPr>
          <w:sz w:val="24"/>
          <w:szCs w:val="24"/>
          <w:lang w:val="en-NZ"/>
        </w:rPr>
        <w:t>e</w:t>
      </w:r>
      <w:r w:rsidRPr="00A81658">
        <w:rPr>
          <w:sz w:val="24"/>
          <w:szCs w:val="24"/>
          <w:lang w:val="en-NZ"/>
        </w:rPr>
        <w:t xml:space="preserve"> energy through photosynthesis (</w:t>
      </w:r>
      <w:r w:rsidR="00CB3F4D" w:rsidRPr="00A81658">
        <w:rPr>
          <w:sz w:val="24"/>
          <w:szCs w:val="24"/>
        </w:rPr>
        <w:t>Land, Air, Water Aotearoa (LAWA)</w:t>
      </w:r>
      <w:r w:rsidRPr="00A81658">
        <w:rPr>
          <w:sz w:val="24"/>
          <w:szCs w:val="24"/>
          <w:lang w:val="en-NZ"/>
        </w:rPr>
        <w:t xml:space="preserve"> 2021).</w:t>
      </w:r>
    </w:p>
    <w:p w14:paraId="00410E9C" w14:textId="7D683538" w:rsidR="00141B9B" w:rsidRPr="00A81658" w:rsidRDefault="00141B9B" w:rsidP="00141B9B">
      <w:pPr>
        <w:rPr>
          <w:sz w:val="24"/>
          <w:szCs w:val="24"/>
          <w:lang w:val="en-NZ"/>
        </w:rPr>
      </w:pPr>
      <w:r w:rsidRPr="00A81658">
        <w:rPr>
          <w:sz w:val="24"/>
          <w:szCs w:val="24"/>
          <w:lang w:val="en-NZ"/>
        </w:rPr>
        <w:t>Microalgae are usually found in aquatic environments, including freshwater, salt water</w:t>
      </w:r>
      <w:r w:rsidR="00CB3F4D" w:rsidRPr="00A81658">
        <w:rPr>
          <w:sz w:val="24"/>
          <w:szCs w:val="24"/>
          <w:lang w:val="en-NZ"/>
        </w:rPr>
        <w:t>,</w:t>
      </w:r>
      <w:r w:rsidRPr="00A81658">
        <w:rPr>
          <w:sz w:val="24"/>
          <w:szCs w:val="24"/>
          <w:lang w:val="en-NZ"/>
        </w:rPr>
        <w:t xml:space="preserve"> and brackish water (a mixture of salt- and fresh-water). Like cyanobacteria, microalgae also harvest light from the sun to produce energy but are eukaryotes (have an enclosed nucleus) and have organelles (structures) such as chloroplasts. Diatoms and dinoflagellates are common types of microalgae.</w:t>
      </w:r>
    </w:p>
    <w:p w14:paraId="50523DA9" w14:textId="1575E28B" w:rsidR="00496185" w:rsidRPr="00CC0F9B" w:rsidRDefault="00141B9B">
      <w:pPr>
        <w:rPr>
          <w:b/>
          <w:bCs/>
          <w:i/>
          <w:iCs/>
          <w:color w:val="15284C"/>
          <w:sz w:val="28"/>
          <w:szCs w:val="28"/>
          <w:lang w:val="en-NZ"/>
        </w:rPr>
      </w:pPr>
      <w:r w:rsidRPr="00A81658">
        <w:rPr>
          <w:sz w:val="24"/>
          <w:szCs w:val="24"/>
          <w:lang w:val="en-NZ"/>
        </w:rPr>
        <w:lastRenderedPageBreak/>
        <w:t xml:space="preserve">Phytoplankton is a term that is commonly used in reference to cyanobacteria and microalgae </w:t>
      </w:r>
      <w:r w:rsidR="00EF1477" w:rsidRPr="00A81658">
        <w:rPr>
          <w:sz w:val="24"/>
          <w:szCs w:val="24"/>
          <w:lang w:val="en-NZ"/>
        </w:rPr>
        <w:t>–</w:t>
      </w:r>
      <w:r w:rsidRPr="00A81658">
        <w:rPr>
          <w:sz w:val="24"/>
          <w:szCs w:val="24"/>
          <w:lang w:val="en-NZ"/>
        </w:rPr>
        <w:t xml:space="preserve"> microscopic, single-celled photosynthetic organisms that live suspended in water. Periphyton refers to benthic mats made up of photosynthetic organisms as well as many other microbes. Both microalgae and cyanobacteria encompass both planktonic (free-floating in water) and benthic / epiphytic (mat-forming or attached to / associated with the substrate of rivers, lakes, estuaries, and other bodies of water) environments.</w:t>
      </w:r>
    </w:p>
    <w:p w14:paraId="55489BE7" w14:textId="74DFFF4E" w:rsidR="00141B9B" w:rsidRPr="00A5088B" w:rsidRDefault="00141B9B" w:rsidP="00141B9B">
      <w:pPr>
        <w:pStyle w:val="Heading3"/>
        <w:rPr>
          <w:lang w:val="en-NZ"/>
        </w:rPr>
      </w:pPr>
      <w:r w:rsidRPr="00A5088B">
        <w:rPr>
          <w:lang w:val="en-NZ"/>
        </w:rPr>
        <w:t>Harmful algal blooms</w:t>
      </w:r>
    </w:p>
    <w:p w14:paraId="3BE79922" w14:textId="105BA459" w:rsidR="00141B9B" w:rsidRPr="00A81658" w:rsidRDefault="00141B9B" w:rsidP="00141B9B">
      <w:pPr>
        <w:rPr>
          <w:sz w:val="24"/>
          <w:szCs w:val="24"/>
          <w:lang w:val="en-NZ"/>
        </w:rPr>
      </w:pPr>
      <w:r w:rsidRPr="00A81658">
        <w:rPr>
          <w:sz w:val="24"/>
          <w:szCs w:val="24"/>
          <w:lang w:val="en-NZ"/>
        </w:rPr>
        <w:t xml:space="preserve">When biotoxin-producing microalgae or </w:t>
      </w:r>
      <w:r w:rsidR="003461F8" w:rsidRPr="00A81658">
        <w:rPr>
          <w:sz w:val="24"/>
          <w:szCs w:val="24"/>
          <w:lang w:val="en-NZ"/>
        </w:rPr>
        <w:t>cyanobacteria</w:t>
      </w:r>
      <w:r w:rsidRPr="00A81658">
        <w:rPr>
          <w:sz w:val="24"/>
          <w:szCs w:val="24"/>
          <w:lang w:val="en-NZ"/>
        </w:rPr>
        <w:t xml:space="preserve"> grow too abundant, they can be harmful to human and animal health and such events are termed harmful algal blooms (HABs) (Centers for Disease Control and Prevention 2022b). For the</w:t>
      </w:r>
      <w:r w:rsidR="00EF1477" w:rsidRPr="00A81658">
        <w:rPr>
          <w:sz w:val="24"/>
          <w:szCs w:val="24"/>
          <w:lang w:val="en-NZ"/>
        </w:rPr>
        <w:t>se guidelines,</w:t>
      </w:r>
      <w:r w:rsidRPr="00A81658">
        <w:rPr>
          <w:sz w:val="24"/>
          <w:szCs w:val="24"/>
          <w:lang w:val="en-NZ"/>
        </w:rPr>
        <w:t xml:space="preserve"> HAB refers to any potentially harmful growth of microalgae or cyanobacteria, in fresh, brackish</w:t>
      </w:r>
      <w:r w:rsidR="00EF1477" w:rsidRPr="00A81658">
        <w:rPr>
          <w:sz w:val="24"/>
          <w:szCs w:val="24"/>
          <w:lang w:val="en-NZ"/>
        </w:rPr>
        <w:t>,</w:t>
      </w:r>
      <w:r w:rsidRPr="00A81658">
        <w:rPr>
          <w:sz w:val="24"/>
          <w:szCs w:val="24"/>
          <w:lang w:val="en-NZ"/>
        </w:rPr>
        <w:t xml:space="preserve"> or marine environments. </w:t>
      </w:r>
    </w:p>
    <w:p w14:paraId="67B0F9DC" w14:textId="77777777" w:rsidR="00795612" w:rsidRDefault="00141B9B" w:rsidP="00141B9B">
      <w:pPr>
        <w:rPr>
          <w:sz w:val="24"/>
          <w:szCs w:val="24"/>
          <w:lang w:val="en-NZ"/>
        </w:rPr>
      </w:pPr>
      <w:r w:rsidRPr="00A81658">
        <w:rPr>
          <w:sz w:val="24"/>
          <w:szCs w:val="24"/>
          <w:lang w:val="en-NZ"/>
        </w:rPr>
        <w:t>Microalgae and cyanobacteria themselves are not a health hazard and are an essential part of the food web for aquatic life. However, some cyanobacteria and microalgae can produce toxins, termed biotoxins or phycotoxins, which are hazardous to human and animal health.</w:t>
      </w:r>
    </w:p>
    <w:p w14:paraId="3EEA7F19" w14:textId="66809994" w:rsidR="00141B9B" w:rsidRPr="00A81658" w:rsidRDefault="00141B9B" w:rsidP="00141B9B">
      <w:pPr>
        <w:rPr>
          <w:sz w:val="24"/>
          <w:szCs w:val="24"/>
          <w:lang w:val="en-NZ"/>
        </w:rPr>
      </w:pPr>
      <w:r w:rsidRPr="00A81658">
        <w:rPr>
          <w:sz w:val="24"/>
          <w:szCs w:val="24"/>
          <w:lang w:val="en-NZ"/>
        </w:rPr>
        <w:t>The public health risks from microalgae and cyanobacteria exposure are greatest during blooms when there are greater cell densities and potentially greater production of biotoxins (Taumata Arowai 2020; Wisconsin Department of Health Services Division of Public Health 2018).</w:t>
      </w:r>
    </w:p>
    <w:p w14:paraId="451AC271" w14:textId="77777777" w:rsidR="00141B9B" w:rsidRPr="00A5088B" w:rsidRDefault="00141B9B" w:rsidP="00141B9B">
      <w:pPr>
        <w:pStyle w:val="Heading3"/>
        <w:rPr>
          <w:lang w:val="en-NZ"/>
        </w:rPr>
      </w:pPr>
      <w:r w:rsidRPr="00A5088B">
        <w:rPr>
          <w:lang w:val="en-NZ"/>
        </w:rPr>
        <w:t>Marine versus freshwater environments</w:t>
      </w:r>
    </w:p>
    <w:p w14:paraId="2EA23328" w14:textId="4DA70581" w:rsidR="00141B9B" w:rsidRPr="00A81658" w:rsidRDefault="00141B9B" w:rsidP="00141B9B">
      <w:pPr>
        <w:rPr>
          <w:sz w:val="24"/>
          <w:szCs w:val="24"/>
          <w:lang w:val="en-NZ"/>
        </w:rPr>
      </w:pPr>
      <w:r w:rsidRPr="00A81658">
        <w:rPr>
          <w:sz w:val="24"/>
          <w:szCs w:val="24"/>
          <w:lang w:val="en-NZ"/>
        </w:rPr>
        <w:t>Generally, toxin producing microalgae, such as dinoflagellates and diatoms, occur in marine environments whereas cyanobacteria occur in both freshwater and marine environments.</w:t>
      </w:r>
    </w:p>
    <w:p w14:paraId="2EB500FD" w14:textId="6E90AD9C" w:rsidR="006C48A1" w:rsidRDefault="00141B9B" w:rsidP="00141B9B">
      <w:pPr>
        <w:rPr>
          <w:sz w:val="24"/>
          <w:szCs w:val="24"/>
          <w:lang w:val="en-NZ"/>
        </w:rPr>
      </w:pPr>
      <w:r w:rsidRPr="00A81658">
        <w:rPr>
          <w:sz w:val="24"/>
          <w:szCs w:val="24"/>
          <w:lang w:val="en-NZ"/>
        </w:rPr>
        <w:t>Many of the health effects from fresh, brackish</w:t>
      </w:r>
      <w:r w:rsidR="00CC5AFA" w:rsidRPr="00A81658">
        <w:rPr>
          <w:sz w:val="24"/>
          <w:szCs w:val="24"/>
          <w:lang w:val="en-NZ"/>
        </w:rPr>
        <w:t>,</w:t>
      </w:r>
      <w:r w:rsidRPr="00A81658">
        <w:rPr>
          <w:sz w:val="24"/>
          <w:szCs w:val="24"/>
          <w:lang w:val="en-NZ"/>
        </w:rPr>
        <w:t xml:space="preserve"> and marine cyanobacteria are similar to those from marine microalgae, excluding effects mediated through food consumption (Carmichael &amp; Boyer 2016). Th</w:t>
      </w:r>
      <w:r w:rsidR="00377612">
        <w:rPr>
          <w:sz w:val="24"/>
          <w:szCs w:val="24"/>
          <w:lang w:val="en-NZ"/>
        </w:rPr>
        <w:t>erefore</w:t>
      </w:r>
      <w:r w:rsidRPr="00A81658">
        <w:rPr>
          <w:sz w:val="24"/>
          <w:szCs w:val="24"/>
          <w:lang w:val="en-NZ"/>
        </w:rPr>
        <w:t>, public health risk management principles for recreational water are similar for marine or freshwater HABs.</w:t>
      </w:r>
    </w:p>
    <w:p w14:paraId="1F9151A9" w14:textId="3F613AA0" w:rsidR="00141B9B" w:rsidRPr="00A81658" w:rsidRDefault="00141B9B" w:rsidP="00141B9B">
      <w:pPr>
        <w:rPr>
          <w:sz w:val="24"/>
          <w:szCs w:val="24"/>
          <w:lang w:val="en-NZ"/>
        </w:rPr>
      </w:pPr>
      <w:r w:rsidRPr="00A81658">
        <w:rPr>
          <w:sz w:val="24"/>
          <w:szCs w:val="24"/>
          <w:lang w:val="en-NZ"/>
        </w:rPr>
        <w:t xml:space="preserve">Marine HABs can affect the colour of the water, often turning it red or brown (termed red tides) or </w:t>
      </w:r>
      <w:r w:rsidR="003461F8" w:rsidRPr="00A81658">
        <w:rPr>
          <w:sz w:val="24"/>
          <w:szCs w:val="24"/>
          <w:lang w:val="en-NZ"/>
        </w:rPr>
        <w:t>green or</w:t>
      </w:r>
      <w:r w:rsidRPr="00A81658">
        <w:rPr>
          <w:sz w:val="24"/>
          <w:szCs w:val="24"/>
          <w:lang w:val="en-NZ"/>
        </w:rPr>
        <w:t xml:space="preserve"> produce surface scums (Centers for Disease Control and Prevention 2022b). However, scums occur less frequently in marine waters than in fresh waters (World Health Organization 2021). When HABs die off, biotoxins can be released into the environment and the degradation process of the bloom can also cause aquatic animal deaths due to low oxygen levels.</w:t>
      </w:r>
    </w:p>
    <w:p w14:paraId="24F688DA" w14:textId="77777777" w:rsidR="00141B9B" w:rsidRPr="00A5088B" w:rsidRDefault="00141B9B" w:rsidP="00141B9B">
      <w:pPr>
        <w:pStyle w:val="Heading3"/>
        <w:rPr>
          <w:lang w:val="en-NZ"/>
        </w:rPr>
      </w:pPr>
      <w:r w:rsidRPr="00A5088B">
        <w:rPr>
          <w:lang w:val="en-NZ"/>
        </w:rPr>
        <w:t>Cyanobacteria</w:t>
      </w:r>
    </w:p>
    <w:p w14:paraId="20ECDF79" w14:textId="1012D6D5" w:rsidR="00141B9B" w:rsidRPr="00A81658" w:rsidRDefault="00141B9B" w:rsidP="00141B9B">
      <w:pPr>
        <w:rPr>
          <w:sz w:val="24"/>
          <w:szCs w:val="24"/>
          <w:lang w:val="en-NZ"/>
        </w:rPr>
      </w:pPr>
      <w:r w:rsidRPr="00A81658">
        <w:rPr>
          <w:sz w:val="24"/>
          <w:szCs w:val="24"/>
          <w:lang w:val="en-NZ"/>
        </w:rPr>
        <w:t xml:space="preserve">The biotoxins produced by cyanobacteria are called cyanotoxins. Cyanotoxins are made (biosynthesised) and stored in cyanobacterial cells. When cyanobacterial cells die, and rupture (lyse) cyanotoxins are released into the water. However, some species of cyanobacteria, like cylindrospermopsin-producing Raphidiopsis </w:t>
      </w:r>
      <w:r w:rsidRPr="00A81658">
        <w:rPr>
          <w:sz w:val="24"/>
          <w:szCs w:val="24"/>
          <w:lang w:val="en-NZ"/>
        </w:rPr>
        <w:lastRenderedPageBreak/>
        <w:t>raciborskii, can release cyanotoxins into the water without cell death or rupture (Chiswell et al. 1999; United States Environmental Protection Agency 2022b). Anatoxin-producing Microcoleus autumnalis, has also been shown to continuously release toxins into the surrounding water (Wood</w:t>
      </w:r>
      <w:r w:rsidR="00CE43CC" w:rsidRPr="00A81658">
        <w:rPr>
          <w:sz w:val="24"/>
          <w:szCs w:val="24"/>
          <w:lang w:val="en-NZ"/>
        </w:rPr>
        <w:t xml:space="preserve"> SA </w:t>
      </w:r>
      <w:r w:rsidRPr="00A81658">
        <w:rPr>
          <w:sz w:val="24"/>
          <w:szCs w:val="24"/>
          <w:lang w:val="en-NZ"/>
        </w:rPr>
        <w:t>et al 2018). Thus, at the end of a bloom, there can be high concentrations of cyanotoxins, even if the bloom looks like it is subsiding.</w:t>
      </w:r>
    </w:p>
    <w:p w14:paraId="3A45FB5A" w14:textId="7840CD4F" w:rsidR="00141B9B" w:rsidRPr="00A81658" w:rsidRDefault="00141B9B" w:rsidP="00141B9B">
      <w:pPr>
        <w:rPr>
          <w:sz w:val="24"/>
          <w:szCs w:val="24"/>
          <w:lang w:val="en-NZ"/>
        </w:rPr>
      </w:pPr>
      <w:r w:rsidRPr="00A81658">
        <w:rPr>
          <w:sz w:val="24"/>
          <w:szCs w:val="24"/>
          <w:lang w:val="en-NZ"/>
        </w:rPr>
        <w:t xml:space="preserve">Both planktonic and benthic cyanobacterial species are widespread in New Zealand. Cyanobacterial blooms can be identified visually in water by the presence of filaments, mats, blue, brown, or green discolouration of water and/or scum on the surface of the water. </w:t>
      </w:r>
      <w:r w:rsidR="003461F8" w:rsidRPr="00A81658">
        <w:rPr>
          <w:sz w:val="24"/>
          <w:szCs w:val="24"/>
          <w:lang w:val="en-NZ"/>
        </w:rPr>
        <w:t>However,</w:t>
      </w:r>
      <w:r w:rsidRPr="00A81658">
        <w:rPr>
          <w:sz w:val="24"/>
          <w:szCs w:val="24"/>
          <w:lang w:val="en-NZ"/>
        </w:rPr>
        <w:t xml:space="preserve"> cyanotoxins can be present despite no visible bloom as not all species form blooms or scums visible to the naked eye (Ministry for the Environment &amp; Ministry of Health 2009).</w:t>
      </w:r>
    </w:p>
    <w:p w14:paraId="0820A73B" w14:textId="77777777" w:rsidR="00222689" w:rsidRDefault="00141B9B" w:rsidP="00141B9B">
      <w:pPr>
        <w:rPr>
          <w:sz w:val="24"/>
          <w:szCs w:val="24"/>
          <w:lang w:val="en-NZ"/>
        </w:rPr>
      </w:pPr>
      <w:r w:rsidRPr="00A81658">
        <w:rPr>
          <w:sz w:val="24"/>
          <w:szCs w:val="24"/>
          <w:lang w:val="en-NZ"/>
        </w:rPr>
        <w:t>Some benthic cyanobacteria can be visually confused with freshwater algae groups. Furthermore, in California, toxin-producing cyanobacteria have been found growing amongst other benthic cyanobacteria and algal mats that would not traditionally be considered as dangerous (Kelly et al 2019).</w:t>
      </w:r>
    </w:p>
    <w:p w14:paraId="29C86FBB" w14:textId="3DC86087" w:rsidR="00141B9B" w:rsidRPr="00A81658" w:rsidRDefault="00141B9B" w:rsidP="00141B9B">
      <w:pPr>
        <w:rPr>
          <w:sz w:val="24"/>
          <w:szCs w:val="24"/>
          <w:lang w:val="en-NZ"/>
        </w:rPr>
      </w:pPr>
      <w:r w:rsidRPr="00A81658">
        <w:rPr>
          <w:sz w:val="24"/>
          <w:szCs w:val="24"/>
          <w:lang w:val="en-NZ"/>
        </w:rPr>
        <w:t>Consequently, it is important that surveillance and monitoring of recreational water includes a component of microscopic examination (World Health Organization 2020b) or the measurement of cyanobacteria-specific pigments such as phycocyanin (Thomson-Laing et al 2020). Sampling of other periphyton besides cyanobacteria-dominated mats could be considered in an outbreak situation if clinical symptoms and environmental sampling results are mismatched.</w:t>
      </w:r>
    </w:p>
    <w:p w14:paraId="23082C42" w14:textId="66229CEA" w:rsidR="00141B9B" w:rsidRPr="00A81658" w:rsidRDefault="00141B9B" w:rsidP="00141B9B">
      <w:pPr>
        <w:rPr>
          <w:sz w:val="24"/>
          <w:szCs w:val="24"/>
          <w:lang w:val="en-NZ"/>
        </w:rPr>
      </w:pPr>
      <w:r w:rsidRPr="00A81658">
        <w:rPr>
          <w:sz w:val="24"/>
          <w:szCs w:val="24"/>
          <w:lang w:val="en-NZ"/>
        </w:rPr>
        <w:t xml:space="preserve">To date, there is limited information on toxic metabolites or health impacts from freshwater microalgae, but the detection of new toxin-producing microalgae in freshwater environments is a possibility that may need to be investigated in serious outbreaks where other illness causing organisms cannot be identified.  </w:t>
      </w:r>
    </w:p>
    <w:p w14:paraId="0B96B446" w14:textId="77777777" w:rsidR="00141B9B" w:rsidRPr="00A5088B" w:rsidRDefault="00141B9B" w:rsidP="002C06C0">
      <w:pPr>
        <w:pStyle w:val="Heading3"/>
        <w:rPr>
          <w:lang w:val="en-NZ"/>
        </w:rPr>
      </w:pPr>
      <w:r w:rsidRPr="00A5088B">
        <w:rPr>
          <w:lang w:val="en-NZ"/>
        </w:rPr>
        <w:t>Anthropogenic acceleration of HABs</w:t>
      </w:r>
    </w:p>
    <w:p w14:paraId="14E557A8" w14:textId="77777777" w:rsidR="00815E53" w:rsidRDefault="00141B9B" w:rsidP="00141B9B">
      <w:pPr>
        <w:rPr>
          <w:sz w:val="24"/>
          <w:szCs w:val="24"/>
          <w:lang w:val="en-NZ"/>
        </w:rPr>
      </w:pPr>
      <w:r w:rsidRPr="00A81658">
        <w:rPr>
          <w:sz w:val="24"/>
          <w:szCs w:val="24"/>
          <w:lang w:val="en-NZ"/>
        </w:rPr>
        <w:t>It is useful to understand conditions in which HABs occur to prioritise monitoring and surveillance and to support risk assessments (Chorus &amp; Welker 2021). The conditions for HABs are complex and although they can occur naturally, HABs can be accelerated by human activity.</w:t>
      </w:r>
    </w:p>
    <w:p w14:paraId="2F8EA22B" w14:textId="4B2BE8E5" w:rsidR="00141B9B" w:rsidRPr="00A81658" w:rsidRDefault="00141B9B" w:rsidP="00141B9B">
      <w:pPr>
        <w:rPr>
          <w:sz w:val="24"/>
          <w:szCs w:val="24"/>
          <w:lang w:val="en-NZ"/>
        </w:rPr>
      </w:pPr>
      <w:r w:rsidRPr="00A81658">
        <w:rPr>
          <w:sz w:val="24"/>
          <w:szCs w:val="24"/>
          <w:lang w:val="en-NZ"/>
        </w:rPr>
        <w:t>Agricultural intensification resulting in run-off from fertilisers and manure spread on agricultural areas and other human activities such as wastewater discharges can increase the concentrations of nutrients and minerals, particularly phosphate and nitrogen, in rivers, lakes</w:t>
      </w:r>
      <w:r w:rsidR="005B20CF" w:rsidRPr="00A81658">
        <w:rPr>
          <w:sz w:val="24"/>
          <w:szCs w:val="24"/>
          <w:lang w:val="en-NZ"/>
        </w:rPr>
        <w:t>,</w:t>
      </w:r>
      <w:r w:rsidRPr="00A81658">
        <w:rPr>
          <w:sz w:val="24"/>
          <w:szCs w:val="24"/>
          <w:lang w:val="en-NZ"/>
        </w:rPr>
        <w:t xml:space="preserve"> and marine environments. This process is known as eutrophication and can subsequently exacerbate HABs. However, some species of cyanobacteria can store phosphate and nitrogen, so cyanobacterial growth can still occur for a period after dissolved nutrient levels in the water have reduced (Chorus et al 2021; Chorus &amp; Welker 2021).</w:t>
      </w:r>
    </w:p>
    <w:p w14:paraId="6D05DE47" w14:textId="77777777" w:rsidR="00C57F9B" w:rsidRDefault="00141B9B" w:rsidP="00141B9B">
      <w:pPr>
        <w:rPr>
          <w:sz w:val="24"/>
          <w:szCs w:val="24"/>
          <w:lang w:val="en-NZ"/>
        </w:rPr>
      </w:pPr>
      <w:r w:rsidRPr="00A81658">
        <w:rPr>
          <w:sz w:val="24"/>
          <w:szCs w:val="24"/>
          <w:lang w:val="en-NZ"/>
        </w:rPr>
        <w:t xml:space="preserve">It is well established that marine and freshwater ecosystems are warming, acidifying, and deoxygenating due to anthropogenic climate change (Gobler 2020; Griffith &amp; Gobler 2020). The effects of climate change on cyanobacterial blooms are strongly </w:t>
      </w:r>
      <w:r w:rsidRPr="00A81658">
        <w:rPr>
          <w:sz w:val="24"/>
          <w:szCs w:val="24"/>
          <w:lang w:val="en-NZ"/>
        </w:rPr>
        <w:lastRenderedPageBreak/>
        <w:t>dependent on the conditions in the particular waterbody and the species of cyanobacteria present (Chorus et al 2021).</w:t>
      </w:r>
    </w:p>
    <w:p w14:paraId="0DF02311" w14:textId="6E926877" w:rsidR="00141B9B" w:rsidRPr="00A81658" w:rsidRDefault="00141B9B" w:rsidP="00141B9B">
      <w:pPr>
        <w:rPr>
          <w:sz w:val="24"/>
          <w:szCs w:val="24"/>
          <w:lang w:val="en-NZ"/>
        </w:rPr>
      </w:pPr>
      <w:r w:rsidRPr="00A81658">
        <w:rPr>
          <w:sz w:val="24"/>
          <w:szCs w:val="24"/>
          <w:lang w:val="en-NZ"/>
        </w:rPr>
        <w:t xml:space="preserve">Warmer temperatures and reduced river flows in </w:t>
      </w:r>
      <w:r w:rsidR="002A5435">
        <w:rPr>
          <w:sz w:val="24"/>
          <w:szCs w:val="24"/>
          <w:lang w:val="en-NZ"/>
        </w:rPr>
        <w:t>New Zealand</w:t>
      </w:r>
      <w:r w:rsidR="00C57F9B">
        <w:rPr>
          <w:sz w:val="24"/>
          <w:szCs w:val="24"/>
          <w:lang w:val="en-NZ"/>
        </w:rPr>
        <w:t xml:space="preserve"> </w:t>
      </w:r>
      <w:r w:rsidRPr="00A81658">
        <w:rPr>
          <w:sz w:val="24"/>
          <w:szCs w:val="24"/>
          <w:lang w:val="en-NZ"/>
        </w:rPr>
        <w:t xml:space="preserve">related to climate change and water extraction could plausibly promote increased growth of freshwater cyanobacteria if nutrient concentrations are optimal for cyanobacterial growth (Puddick, Kelly, et al 2022). Other factors which affect the rate of growth of freshwater cyanobacteria include intensity of </w:t>
      </w:r>
      <w:r w:rsidR="003461F8" w:rsidRPr="00A81658">
        <w:rPr>
          <w:sz w:val="24"/>
          <w:szCs w:val="24"/>
          <w:lang w:val="en-NZ"/>
        </w:rPr>
        <w:t>daylight</w:t>
      </w:r>
      <w:r w:rsidRPr="00A81658">
        <w:rPr>
          <w:sz w:val="24"/>
          <w:szCs w:val="24"/>
          <w:lang w:val="en-NZ"/>
        </w:rPr>
        <w:t>, water alkalinity and pH, and atmospheric carbon dioxide (Taumata Arowai 2020). Warming ocean temperatures are also likely to increase the occurrence and intensity of marine microalgae and cyanobacteria (Rhodes &amp; Smith 2022).</w:t>
      </w:r>
    </w:p>
    <w:p w14:paraId="507DF5AD" w14:textId="2545E618" w:rsidR="00141B9B" w:rsidRPr="00A81658" w:rsidRDefault="00141B9B" w:rsidP="00141B9B">
      <w:pPr>
        <w:rPr>
          <w:sz w:val="24"/>
          <w:szCs w:val="24"/>
          <w:lang w:val="en-NZ"/>
        </w:rPr>
      </w:pPr>
      <w:r w:rsidRPr="00A81658">
        <w:rPr>
          <w:sz w:val="24"/>
          <w:szCs w:val="24"/>
          <w:lang w:val="en-NZ"/>
        </w:rPr>
        <w:t>HABs usually occur during the summer months into autumn in New Zealand</w:t>
      </w:r>
      <w:r w:rsidR="005B20CF" w:rsidRPr="00A81658">
        <w:rPr>
          <w:sz w:val="24"/>
          <w:szCs w:val="24"/>
          <w:lang w:val="en-NZ"/>
        </w:rPr>
        <w:t>. H</w:t>
      </w:r>
      <w:r w:rsidRPr="00A81658">
        <w:rPr>
          <w:sz w:val="24"/>
          <w:szCs w:val="24"/>
          <w:lang w:val="en-NZ"/>
        </w:rPr>
        <w:t>owever, with climate change induced warmer temperatures this may mean the peak season for blooms may last longer. Climate change may also result in different biotoxin producing cyanobacteria and microalgae being introduced to New Zealand and different HAB species being observed in regions where they have not previously grown.</w:t>
      </w:r>
    </w:p>
    <w:p w14:paraId="0B46D806" w14:textId="77777777" w:rsidR="00141B9B" w:rsidRPr="00A5088B" w:rsidRDefault="00141B9B" w:rsidP="00A5088B">
      <w:pPr>
        <w:pStyle w:val="Heading3"/>
        <w:rPr>
          <w:lang w:val="en-NZ"/>
        </w:rPr>
      </w:pPr>
      <w:r w:rsidRPr="00A5088B">
        <w:rPr>
          <w:lang w:val="en-NZ"/>
        </w:rPr>
        <w:t>The importance of the environment in te ao Māori</w:t>
      </w:r>
    </w:p>
    <w:p w14:paraId="37DA206B" w14:textId="77A3EFF7" w:rsidR="00141B9B" w:rsidRPr="00A81658" w:rsidRDefault="00141B9B" w:rsidP="00141B9B">
      <w:pPr>
        <w:rPr>
          <w:sz w:val="24"/>
          <w:szCs w:val="24"/>
          <w:lang w:val="en-NZ"/>
        </w:rPr>
      </w:pPr>
      <w:r w:rsidRPr="00A81658">
        <w:rPr>
          <w:sz w:val="24"/>
          <w:szCs w:val="24"/>
          <w:lang w:val="en-NZ"/>
        </w:rPr>
        <w:t>In te ao Māori</w:t>
      </w:r>
      <w:r w:rsidR="00FB68DA">
        <w:rPr>
          <w:sz w:val="24"/>
          <w:szCs w:val="24"/>
          <w:lang w:val="en-NZ"/>
        </w:rPr>
        <w:t xml:space="preserve"> | </w:t>
      </w:r>
      <w:r w:rsidRPr="00A81658">
        <w:rPr>
          <w:sz w:val="24"/>
          <w:szCs w:val="24"/>
          <w:lang w:val="en-NZ"/>
        </w:rPr>
        <w:t>the Māori world, connection to te taiao</w:t>
      </w:r>
      <w:r w:rsidR="00FB68DA">
        <w:rPr>
          <w:sz w:val="24"/>
          <w:szCs w:val="24"/>
          <w:lang w:val="en-NZ"/>
        </w:rPr>
        <w:t xml:space="preserve"> |</w:t>
      </w:r>
      <w:r w:rsidRPr="00A81658">
        <w:rPr>
          <w:sz w:val="24"/>
          <w:szCs w:val="24"/>
          <w:lang w:val="en-NZ"/>
        </w:rPr>
        <w:t xml:space="preserve"> the environment is of deep and spiritual importance to tangata whenua (Harmsworth &amp; Awatere 2013; Ministry for the Environment 2021). Whakapapa </w:t>
      </w:r>
      <w:r w:rsidR="00593FB1">
        <w:rPr>
          <w:sz w:val="24"/>
          <w:szCs w:val="24"/>
          <w:lang w:val="en-NZ"/>
        </w:rPr>
        <w:t xml:space="preserve">| </w:t>
      </w:r>
      <w:r w:rsidRPr="00A81658">
        <w:rPr>
          <w:sz w:val="24"/>
          <w:szCs w:val="24"/>
          <w:lang w:val="en-NZ"/>
        </w:rPr>
        <w:t>ancestral lineage and connection encompasses personal relationships with mountains, rivers, land, the surrounding ecosystem and the species that inhabit them (Ministry for the Environment 2021; Te Aho 2018).</w:t>
      </w:r>
    </w:p>
    <w:p w14:paraId="461A723A" w14:textId="35EA45DA" w:rsidR="00141B9B" w:rsidRPr="00A81658" w:rsidRDefault="00141B9B" w:rsidP="00141B9B">
      <w:pPr>
        <w:rPr>
          <w:sz w:val="24"/>
          <w:szCs w:val="24"/>
          <w:lang w:val="en-NZ"/>
        </w:rPr>
      </w:pPr>
      <w:r w:rsidRPr="00A81658">
        <w:rPr>
          <w:sz w:val="24"/>
          <w:szCs w:val="24"/>
          <w:lang w:val="en-NZ"/>
        </w:rPr>
        <w:t xml:space="preserve">Māori models of health promotion, such as Te Pae Mahutonga are holistic and emphasise the connection between wai ora (healthy physical environments) and healthy people (Durie 1999). Pae ora is the overarching aim of He Korowai Oranga: Māori Health Strategy and includes three interconnected elements: mauri ora </w:t>
      </w:r>
      <w:r w:rsidR="00BA4A38">
        <w:rPr>
          <w:sz w:val="24"/>
          <w:szCs w:val="24"/>
          <w:lang w:val="en-NZ"/>
        </w:rPr>
        <w:t xml:space="preserve">| </w:t>
      </w:r>
      <w:r w:rsidRPr="00A81658">
        <w:rPr>
          <w:sz w:val="24"/>
          <w:szCs w:val="24"/>
          <w:lang w:val="en-NZ"/>
        </w:rPr>
        <w:t xml:space="preserve">healthy individuals, whānau ora </w:t>
      </w:r>
      <w:r w:rsidR="00BA4A38">
        <w:rPr>
          <w:sz w:val="24"/>
          <w:szCs w:val="24"/>
          <w:lang w:val="en-NZ"/>
        </w:rPr>
        <w:t xml:space="preserve">| </w:t>
      </w:r>
      <w:r w:rsidRPr="00A81658">
        <w:rPr>
          <w:sz w:val="24"/>
          <w:szCs w:val="24"/>
          <w:lang w:val="en-NZ"/>
        </w:rPr>
        <w:t xml:space="preserve">healthy families and wai ora </w:t>
      </w:r>
      <w:r w:rsidR="00BA4A38">
        <w:rPr>
          <w:sz w:val="24"/>
          <w:szCs w:val="24"/>
          <w:lang w:val="en-NZ"/>
        </w:rPr>
        <w:t xml:space="preserve">| </w:t>
      </w:r>
      <w:r w:rsidRPr="00A81658">
        <w:rPr>
          <w:sz w:val="24"/>
          <w:szCs w:val="24"/>
          <w:lang w:val="en-NZ"/>
        </w:rPr>
        <w:t>healthy environments. Wai ora acknowledges the importance of Māori connections to te taiao and the significant impact te taiao and access to resources (eg, healthy housing, air, water and food) has on the health and wellbeing of individuals, whānau, hapū, iwi and Māori communities (Ministry of Health 2014).</w:t>
      </w:r>
    </w:p>
    <w:p w14:paraId="6F774ED8" w14:textId="77777777" w:rsidR="000C78A5" w:rsidRDefault="00141B9B" w:rsidP="00141B9B">
      <w:pPr>
        <w:rPr>
          <w:sz w:val="24"/>
          <w:szCs w:val="24"/>
          <w:lang w:val="en-NZ"/>
        </w:rPr>
      </w:pPr>
      <w:r w:rsidRPr="00A81658">
        <w:rPr>
          <w:sz w:val="24"/>
          <w:szCs w:val="24"/>
          <w:lang w:val="en-NZ"/>
        </w:rPr>
        <w:t>Whakamaua: Māori Health Action Plan 2020 – 2025 describes intended outcomes and priority actions that will contribute to pae ora. Enabling Māori health and wellbeing aspirations continues to be a condition for achieving pae ora.</w:t>
      </w:r>
    </w:p>
    <w:p w14:paraId="593D0C9F" w14:textId="77869D4D" w:rsidR="00141B9B" w:rsidRPr="00A81658" w:rsidRDefault="00141B9B" w:rsidP="00141B9B">
      <w:pPr>
        <w:rPr>
          <w:sz w:val="24"/>
          <w:szCs w:val="24"/>
          <w:lang w:val="en-NZ"/>
        </w:rPr>
      </w:pPr>
      <w:r w:rsidRPr="00A81658">
        <w:rPr>
          <w:sz w:val="24"/>
          <w:szCs w:val="24"/>
          <w:lang w:val="en-NZ"/>
        </w:rPr>
        <w:t>Māori have the right to manage their own health and wellbeing aspirations. This requires changes to systems (such as addressing racism and including mātauranga Māori and Māori leadership) that better enable Māori to thrive, create healthy and sustainable environments and communities in which to live and raise children. Amongst other priority actions, Whakamaua highlights the importance</w:t>
      </w:r>
      <w:r w:rsidR="0022305B" w:rsidRPr="00A81658">
        <w:rPr>
          <w:sz w:val="24"/>
          <w:szCs w:val="24"/>
          <w:lang w:val="en-NZ"/>
        </w:rPr>
        <w:t xml:space="preserve"> </w:t>
      </w:r>
      <w:r w:rsidRPr="00A81658">
        <w:rPr>
          <w:sz w:val="24"/>
          <w:szCs w:val="24"/>
          <w:lang w:val="en-NZ"/>
        </w:rPr>
        <w:t>of cross-sector action to address the broader determinants of health and to ensure Māori have access to healthy environments (Ministry of Health 2020).</w:t>
      </w:r>
    </w:p>
    <w:p w14:paraId="7CA2B6EC" w14:textId="13C279A3" w:rsidR="000C78A5" w:rsidRDefault="00141B9B" w:rsidP="00141B9B">
      <w:pPr>
        <w:rPr>
          <w:sz w:val="24"/>
          <w:szCs w:val="24"/>
          <w:lang w:val="en-NZ"/>
        </w:rPr>
      </w:pPr>
      <w:r w:rsidRPr="00A81658">
        <w:rPr>
          <w:sz w:val="24"/>
          <w:szCs w:val="24"/>
          <w:lang w:val="en-NZ"/>
        </w:rPr>
        <w:lastRenderedPageBreak/>
        <w:t xml:space="preserve">Te Mana o Te Wai is a mātauranga Māori </w:t>
      </w:r>
      <w:r w:rsidR="000C78A5">
        <w:rPr>
          <w:sz w:val="24"/>
          <w:szCs w:val="24"/>
          <w:lang w:val="en-NZ"/>
        </w:rPr>
        <w:t xml:space="preserve">| </w:t>
      </w:r>
      <w:r w:rsidRPr="00A81658">
        <w:rPr>
          <w:sz w:val="24"/>
          <w:szCs w:val="24"/>
          <w:lang w:val="en-NZ"/>
        </w:rPr>
        <w:t>Māori knowledge concept that describes the importance of freshwater. It recognises that water is a taonga  with its own mauri</w:t>
      </w:r>
      <w:r w:rsidR="000C78A5">
        <w:rPr>
          <w:sz w:val="24"/>
          <w:szCs w:val="24"/>
          <w:lang w:val="en-NZ"/>
        </w:rPr>
        <w:t xml:space="preserve"> |</w:t>
      </w:r>
      <w:r w:rsidRPr="00A81658">
        <w:rPr>
          <w:sz w:val="24"/>
          <w:szCs w:val="24"/>
          <w:lang w:val="en-NZ"/>
        </w:rPr>
        <w:t xml:space="preserve"> lifeforce and recognises the interconnectedness of water and the wider ecosystem.</w:t>
      </w:r>
    </w:p>
    <w:p w14:paraId="161A09FA" w14:textId="1832A848" w:rsidR="00141B9B" w:rsidRPr="00A81658" w:rsidRDefault="00141B9B" w:rsidP="00141B9B">
      <w:pPr>
        <w:rPr>
          <w:sz w:val="24"/>
          <w:szCs w:val="24"/>
          <w:lang w:val="en-NZ"/>
        </w:rPr>
      </w:pPr>
      <w:r w:rsidRPr="00A81658">
        <w:rPr>
          <w:sz w:val="24"/>
          <w:szCs w:val="24"/>
          <w:lang w:val="en-NZ"/>
        </w:rPr>
        <w:t xml:space="preserve">Te Mana o Te Wai highlights the importance of protecting the health and wellbeing of freshwater, to contribute to the protection of the health and wellbeing of people. The </w:t>
      </w:r>
      <w:r w:rsidRPr="00BD7E7F">
        <w:rPr>
          <w:i/>
          <w:iCs/>
          <w:sz w:val="24"/>
          <w:szCs w:val="24"/>
          <w:lang w:val="en-NZ"/>
        </w:rPr>
        <w:t>National Policy Statement on Freshwater 2020</w:t>
      </w:r>
      <w:r w:rsidRPr="00A81658">
        <w:rPr>
          <w:sz w:val="24"/>
          <w:szCs w:val="24"/>
          <w:lang w:val="en-NZ"/>
        </w:rPr>
        <w:t xml:space="preserve"> requires that management of freshwater must give effect to Te Mana o Te Wai through active engagement with tangata whenua and communities (Ministry for the Environment 2020). Shared decision-making power and meaningful co-governance of te taiao with Māori is also a vitally important part of upholding crown obligations under Te Tiriti o Waitangi.</w:t>
      </w:r>
    </w:p>
    <w:p w14:paraId="7FFD89F8" w14:textId="77777777" w:rsidR="00141B9B" w:rsidRPr="00A5088B" w:rsidRDefault="00141B9B" w:rsidP="005F672E">
      <w:pPr>
        <w:pStyle w:val="Heading3"/>
        <w:rPr>
          <w:lang w:val="en-NZ"/>
        </w:rPr>
      </w:pPr>
      <w:r w:rsidRPr="00A5088B">
        <w:rPr>
          <w:lang w:val="en-NZ"/>
        </w:rPr>
        <w:t>The importance of prevention</w:t>
      </w:r>
    </w:p>
    <w:p w14:paraId="1E9BA062" w14:textId="77777777" w:rsidR="00256969" w:rsidRDefault="00141B9B" w:rsidP="00141B9B">
      <w:pPr>
        <w:rPr>
          <w:sz w:val="24"/>
          <w:szCs w:val="24"/>
          <w:lang w:val="en-NZ"/>
        </w:rPr>
      </w:pPr>
      <w:r w:rsidRPr="00A81658">
        <w:rPr>
          <w:sz w:val="24"/>
          <w:szCs w:val="24"/>
          <w:lang w:val="en-NZ"/>
        </w:rPr>
        <w:t>The hierarchy of controls is an approach to risk management. Eliminating the hazard is the most effective control, followed by substitution, engineering controls, administrative controls and personal protective equipment (Centers for Disease Control and Prevention 2022c).</w:t>
      </w:r>
    </w:p>
    <w:p w14:paraId="51CB64FF" w14:textId="649E8637" w:rsidR="0017350D" w:rsidRDefault="00141B9B" w:rsidP="00141B9B">
      <w:pPr>
        <w:rPr>
          <w:sz w:val="24"/>
          <w:szCs w:val="24"/>
          <w:lang w:val="en-NZ"/>
        </w:rPr>
      </w:pPr>
      <w:r w:rsidRPr="00A81658">
        <w:rPr>
          <w:sz w:val="24"/>
          <w:szCs w:val="24"/>
          <w:lang w:val="en-NZ"/>
        </w:rPr>
        <w:t>In line with the concept of elimination as the most effective control, human activity should not exacerbate proliferation of HABs in the first place. If HABs do occur, preventing exposure to the hazard eg, communicating the health risks to the population, via alerts and warnings to avoid water with HABs, is the next priority along with ongoing public education about avoiding exposure to HABs.</w:t>
      </w:r>
    </w:p>
    <w:p w14:paraId="3CA2DA3E" w14:textId="308FE225" w:rsidR="00141B9B" w:rsidRPr="00A81658" w:rsidRDefault="00141B9B" w:rsidP="00141B9B">
      <w:pPr>
        <w:rPr>
          <w:sz w:val="24"/>
          <w:szCs w:val="24"/>
          <w:lang w:val="en-NZ"/>
        </w:rPr>
      </w:pPr>
      <w:r w:rsidRPr="00A81658">
        <w:rPr>
          <w:sz w:val="24"/>
          <w:szCs w:val="24"/>
          <w:lang w:val="en-NZ"/>
        </w:rPr>
        <w:t>The use of personal protective equipment for those who do have contact with the hazard also contributes to mitigating the exposure. If exposures occur before controls can be implemented, the next priority is to prevent future human exposures to the hazard.</w:t>
      </w:r>
    </w:p>
    <w:p w14:paraId="4E9B4CC5" w14:textId="77777777" w:rsidR="00141B9B" w:rsidRPr="00A81658" w:rsidRDefault="00141B9B" w:rsidP="005F672E">
      <w:pPr>
        <w:pStyle w:val="Heading4"/>
        <w:rPr>
          <w:rFonts w:ascii="Arial" w:hAnsi="Arial" w:cs="Arial"/>
          <w:sz w:val="24"/>
          <w:szCs w:val="24"/>
          <w:lang w:val="en-NZ"/>
        </w:rPr>
      </w:pPr>
      <w:r w:rsidRPr="00A81658">
        <w:rPr>
          <w:rFonts w:ascii="Arial" w:hAnsi="Arial" w:cs="Arial"/>
          <w:sz w:val="24"/>
          <w:szCs w:val="24"/>
          <w:lang w:val="en-NZ"/>
        </w:rPr>
        <w:t>Other guiding principles</w:t>
      </w:r>
    </w:p>
    <w:p w14:paraId="36DD1003" w14:textId="77777777" w:rsidR="00141B9B" w:rsidRPr="00A81658" w:rsidRDefault="00141B9B" w:rsidP="00141B9B">
      <w:pPr>
        <w:rPr>
          <w:sz w:val="24"/>
          <w:szCs w:val="24"/>
          <w:lang w:val="en-NZ"/>
        </w:rPr>
      </w:pPr>
      <w:r w:rsidRPr="00A81658">
        <w:rPr>
          <w:sz w:val="24"/>
          <w:szCs w:val="24"/>
          <w:lang w:val="en-NZ"/>
        </w:rPr>
        <w:t>The precautionary principle can be valuable in environmental health decision management especially when the evidence base is still evolving. The four components to this have been described as:</w:t>
      </w:r>
    </w:p>
    <w:p w14:paraId="59BC12E3" w14:textId="5F5BEBC4" w:rsidR="00141B9B" w:rsidRPr="00A81658" w:rsidRDefault="00141B9B" w:rsidP="00A81658">
      <w:pPr>
        <w:pStyle w:val="ListParagraph"/>
        <w:numPr>
          <w:ilvl w:val="0"/>
          <w:numId w:val="9"/>
        </w:numPr>
        <w:ind w:left="426" w:hanging="426"/>
        <w:rPr>
          <w:sz w:val="24"/>
          <w:szCs w:val="24"/>
          <w:lang w:val="en-NZ"/>
        </w:rPr>
      </w:pPr>
      <w:r w:rsidRPr="00A81658">
        <w:rPr>
          <w:sz w:val="24"/>
          <w:szCs w:val="24"/>
          <w:lang w:val="en-NZ"/>
        </w:rPr>
        <w:t>Take preventive action until risks are better understood.</w:t>
      </w:r>
    </w:p>
    <w:p w14:paraId="1F2D7977" w14:textId="634885FC" w:rsidR="00141B9B" w:rsidRPr="00A81658" w:rsidRDefault="00141B9B" w:rsidP="00A81658">
      <w:pPr>
        <w:pStyle w:val="ListParagraph"/>
        <w:numPr>
          <w:ilvl w:val="0"/>
          <w:numId w:val="9"/>
        </w:numPr>
        <w:ind w:left="426" w:hanging="426"/>
        <w:rPr>
          <w:sz w:val="24"/>
          <w:szCs w:val="24"/>
          <w:lang w:val="en-NZ"/>
        </w:rPr>
      </w:pPr>
      <w:r w:rsidRPr="00A81658">
        <w:rPr>
          <w:sz w:val="24"/>
          <w:szCs w:val="24"/>
          <w:lang w:val="en-NZ"/>
        </w:rPr>
        <w:t>Ensure that the burden of proof rests with the proponents of risk.</w:t>
      </w:r>
    </w:p>
    <w:p w14:paraId="2E998C65" w14:textId="48F932D2" w:rsidR="00141B9B" w:rsidRPr="00A81658" w:rsidRDefault="00141B9B" w:rsidP="00A81658">
      <w:pPr>
        <w:pStyle w:val="ListParagraph"/>
        <w:numPr>
          <w:ilvl w:val="0"/>
          <w:numId w:val="9"/>
        </w:numPr>
        <w:ind w:left="426" w:hanging="426"/>
        <w:rPr>
          <w:sz w:val="24"/>
          <w:szCs w:val="24"/>
          <w:lang w:val="en-NZ"/>
        </w:rPr>
      </w:pPr>
      <w:r w:rsidRPr="00A81658">
        <w:rPr>
          <w:sz w:val="24"/>
          <w:szCs w:val="24"/>
          <w:lang w:val="en-NZ"/>
        </w:rPr>
        <w:t>Explore alternatives to the risk.</w:t>
      </w:r>
    </w:p>
    <w:p w14:paraId="53ABC114" w14:textId="4DE87FA8" w:rsidR="00141B9B" w:rsidRPr="00A81658" w:rsidRDefault="00141B9B" w:rsidP="00A81658">
      <w:pPr>
        <w:pStyle w:val="ListParagraph"/>
        <w:numPr>
          <w:ilvl w:val="0"/>
          <w:numId w:val="9"/>
        </w:numPr>
        <w:ind w:left="426" w:hanging="426"/>
        <w:rPr>
          <w:sz w:val="24"/>
          <w:szCs w:val="24"/>
          <w:lang w:val="en-NZ"/>
        </w:rPr>
      </w:pPr>
      <w:r w:rsidRPr="00A81658">
        <w:rPr>
          <w:sz w:val="24"/>
          <w:szCs w:val="24"/>
          <w:lang w:val="en-NZ"/>
        </w:rPr>
        <w:t>Use participatory approaches to decision-making (David et al 2001).</w:t>
      </w:r>
    </w:p>
    <w:p w14:paraId="339DA0A8" w14:textId="77777777" w:rsidR="00DA1068" w:rsidRDefault="00141B9B" w:rsidP="00DA1068">
      <w:pPr>
        <w:rPr>
          <w:sz w:val="24"/>
          <w:szCs w:val="24"/>
          <w:lang w:val="en-NZ"/>
        </w:rPr>
      </w:pPr>
      <w:r w:rsidRPr="00A81658">
        <w:rPr>
          <w:sz w:val="24"/>
          <w:szCs w:val="24"/>
          <w:lang w:val="en-NZ"/>
        </w:rPr>
        <w:t>The principle of proportionality is also useful to complement the precautionary principle, such that preventative actions during uncertainty are still proportional to the potential risk.</w:t>
      </w:r>
    </w:p>
    <w:p w14:paraId="47FE7FE1" w14:textId="1C423951" w:rsidR="00141B9B" w:rsidRPr="00DA1068" w:rsidRDefault="00141B9B" w:rsidP="00DA1068">
      <w:pPr>
        <w:pStyle w:val="Heading3"/>
        <w:rPr>
          <w:sz w:val="24"/>
          <w:szCs w:val="24"/>
          <w:lang w:val="en-NZ"/>
        </w:rPr>
      </w:pPr>
      <w:r w:rsidRPr="00A5088B">
        <w:rPr>
          <w:lang w:val="en-NZ"/>
        </w:rPr>
        <w:t>Key concepts in this guidance</w:t>
      </w:r>
    </w:p>
    <w:p w14:paraId="692DDC78" w14:textId="097CA6CB" w:rsidR="00141B9B" w:rsidRDefault="00141B9B" w:rsidP="00141B9B">
      <w:pPr>
        <w:rPr>
          <w:sz w:val="24"/>
          <w:szCs w:val="24"/>
          <w:lang w:val="en-NZ"/>
        </w:rPr>
      </w:pPr>
      <w:r w:rsidRPr="00A81658">
        <w:rPr>
          <w:sz w:val="24"/>
          <w:szCs w:val="24"/>
          <w:lang w:val="en-NZ"/>
        </w:rPr>
        <w:t xml:space="preserve">The key concepts that will be outlined in this guidance include hazard identification, exposure assessment and reducing the public health risk, which includes case investigation and management, and risk communication to the public. The roles and </w:t>
      </w:r>
      <w:r w:rsidRPr="00A81658">
        <w:rPr>
          <w:sz w:val="24"/>
          <w:szCs w:val="24"/>
          <w:lang w:val="en-NZ"/>
        </w:rPr>
        <w:lastRenderedPageBreak/>
        <w:t>responsibilities of local organisations involved in immediate public health risk management are also considered as well as longer term prevention of HABs.</w:t>
      </w:r>
    </w:p>
    <w:p w14:paraId="07D23D30" w14:textId="3BC8EC99" w:rsidR="00C07505" w:rsidRDefault="00C07505">
      <w:pPr>
        <w:rPr>
          <w:sz w:val="24"/>
          <w:szCs w:val="24"/>
          <w:lang w:val="en-NZ"/>
        </w:rPr>
      </w:pPr>
      <w:r>
        <w:rPr>
          <w:sz w:val="24"/>
          <w:szCs w:val="24"/>
          <w:lang w:val="en-NZ"/>
        </w:rPr>
        <w:br w:type="page"/>
      </w:r>
    </w:p>
    <w:p w14:paraId="081EA543" w14:textId="697BC1D9" w:rsidR="005F672E" w:rsidRPr="00A5088B" w:rsidRDefault="007F3756" w:rsidP="005F672E">
      <w:pPr>
        <w:pStyle w:val="Heading1"/>
        <w:rPr>
          <w:sz w:val="44"/>
          <w:szCs w:val="44"/>
          <w:lang w:val="en-NZ"/>
        </w:rPr>
      </w:pPr>
      <w:bookmarkStart w:id="9" w:name="_Toc181101758"/>
      <w:r w:rsidRPr="00A5088B">
        <w:rPr>
          <w:sz w:val="44"/>
          <w:szCs w:val="44"/>
          <w:lang w:val="en-NZ"/>
        </w:rPr>
        <w:lastRenderedPageBreak/>
        <w:t xml:space="preserve">Hazard </w:t>
      </w:r>
      <w:r w:rsidR="007779FE" w:rsidRPr="00A5088B">
        <w:rPr>
          <w:sz w:val="44"/>
          <w:szCs w:val="44"/>
          <w:lang w:val="en-NZ"/>
        </w:rPr>
        <w:t>i</w:t>
      </w:r>
      <w:r w:rsidRPr="00A5088B">
        <w:rPr>
          <w:sz w:val="44"/>
          <w:szCs w:val="44"/>
          <w:lang w:val="en-NZ"/>
        </w:rPr>
        <w:t>dentification</w:t>
      </w:r>
      <w:bookmarkEnd w:id="9"/>
    </w:p>
    <w:p w14:paraId="1958653F" w14:textId="1330102B" w:rsidR="005F672E" w:rsidRPr="00A5088B" w:rsidRDefault="007F3756" w:rsidP="005F672E">
      <w:pPr>
        <w:pStyle w:val="Heading2"/>
        <w:rPr>
          <w:lang w:val="en-NZ"/>
        </w:rPr>
      </w:pPr>
      <w:bookmarkStart w:id="10" w:name="_Toc181101759"/>
      <w:r w:rsidRPr="00A5088B">
        <w:rPr>
          <w:lang w:val="en-NZ"/>
        </w:rPr>
        <w:t>Biotoxins associated with risk to public health from recreational water exposure</w:t>
      </w:r>
      <w:bookmarkEnd w:id="10"/>
    </w:p>
    <w:p w14:paraId="6F30DCDA" w14:textId="77777777" w:rsidR="005F672E" w:rsidRPr="00A5088B" w:rsidRDefault="005F672E" w:rsidP="005F672E">
      <w:pPr>
        <w:pStyle w:val="Heading3"/>
        <w:rPr>
          <w:lang w:val="en-NZ"/>
        </w:rPr>
      </w:pPr>
      <w:r w:rsidRPr="00A5088B">
        <w:rPr>
          <w:lang w:val="en-NZ"/>
        </w:rPr>
        <w:t>Marine biotoxins – dinoflagellates and diatoms</w:t>
      </w:r>
    </w:p>
    <w:p w14:paraId="40959586" w14:textId="788C04F9" w:rsidR="005F672E" w:rsidRPr="00800DDD" w:rsidRDefault="005F672E" w:rsidP="005F672E">
      <w:pPr>
        <w:rPr>
          <w:sz w:val="24"/>
          <w:szCs w:val="24"/>
          <w:lang w:val="en-NZ"/>
        </w:rPr>
      </w:pPr>
      <w:r w:rsidRPr="00800DDD">
        <w:rPr>
          <w:sz w:val="24"/>
          <w:szCs w:val="24"/>
          <w:lang w:val="en-NZ"/>
        </w:rPr>
        <w:t>Common biotoxins produced by marine HABs include: saxitoxins, brevetoxins, azaspiracids, ciguatoxins, and the okadaic acid group of biotoxins. These biotoxins are produced by dinoflagellates and are associated with paralytic shellfish poisoning (PSP), neurotoxic shellfish poisoning, azaspiracid shellfish poisoning, ciguatera poisoning, and diarrhetic shellfish poisoning, respectively. Domoic acid is a common marine biotoxin produced by diatoms and is associated with domoic acid poisoning and amnesiac shellfish poisoning (Centers for Disease Control and Prevention 2022e).</w:t>
      </w:r>
    </w:p>
    <w:p w14:paraId="4596191C" w14:textId="0FC40761" w:rsidR="005F672E" w:rsidRPr="00800DDD" w:rsidRDefault="005F672E" w:rsidP="005F672E">
      <w:pPr>
        <w:rPr>
          <w:sz w:val="24"/>
          <w:szCs w:val="24"/>
          <w:lang w:val="en-NZ"/>
        </w:rPr>
      </w:pPr>
      <w:r w:rsidRPr="00800DDD">
        <w:rPr>
          <w:sz w:val="24"/>
          <w:szCs w:val="24"/>
          <w:lang w:val="en-NZ"/>
        </w:rPr>
        <w:t>The main exposure route for humans to marine HABs in recreational water is via food. Biotoxins can bioaccumulate up the food chain in fish or bivalve molluscan shellfish, which filter large quantities of water and can concentrate contaminants from the water column in which they grow (Lee et al 2008).</w:t>
      </w:r>
    </w:p>
    <w:p w14:paraId="2A4E2270" w14:textId="1B0F9DC2" w:rsidR="005F672E" w:rsidRPr="00800DDD" w:rsidRDefault="005F672E" w:rsidP="005F672E">
      <w:pPr>
        <w:rPr>
          <w:sz w:val="24"/>
          <w:szCs w:val="24"/>
          <w:lang w:val="en-NZ"/>
        </w:rPr>
      </w:pPr>
      <w:r w:rsidRPr="00800DDD">
        <w:rPr>
          <w:sz w:val="24"/>
          <w:szCs w:val="24"/>
          <w:lang w:val="en-NZ"/>
        </w:rPr>
        <w:t xml:space="preserve">Internationally there are reports of dermal, accidental water ingestion, and aerosolised exposure to marine HAB toxins (Centers for Disease Control and Prevention 2022e; Durando et al 2007; Fleming et al 2009; O’Keeffe 2022; Todd 2002). </w:t>
      </w:r>
      <w:r w:rsidR="004A7FEB" w:rsidRPr="00800DDD">
        <w:rPr>
          <w:sz w:val="24"/>
          <w:szCs w:val="24"/>
          <w:lang w:val="en-NZ"/>
        </w:rPr>
        <w:t>However, t</w:t>
      </w:r>
      <w:r w:rsidRPr="00800DDD">
        <w:rPr>
          <w:sz w:val="24"/>
          <w:szCs w:val="24"/>
          <w:lang w:val="en-NZ"/>
        </w:rPr>
        <w:t>hese exposure routes are generally associated with less serious consequences than toxic seafood poisoning, probably due to the ability of shellfish and fish to concentrate the toxins.</w:t>
      </w:r>
    </w:p>
    <w:p w14:paraId="128BDF4F" w14:textId="437355B5" w:rsidR="005F672E" w:rsidRPr="00800DDD" w:rsidRDefault="005F672E" w:rsidP="005F672E">
      <w:pPr>
        <w:rPr>
          <w:sz w:val="24"/>
          <w:szCs w:val="24"/>
          <w:lang w:val="en-NZ"/>
        </w:rPr>
      </w:pPr>
      <w:r w:rsidRPr="00800DDD">
        <w:rPr>
          <w:sz w:val="24"/>
          <w:szCs w:val="24"/>
          <w:lang w:val="en-NZ"/>
        </w:rPr>
        <w:t xml:space="preserve">Overall, marine seafood poisoning is typically caused by dinoflagellate blooms rather than cyanobacterial blooms, although cyanotoxin accumulation in marine organisms does occur (BPAC 2020). The biotoxin group of most concern in </w:t>
      </w:r>
      <w:r w:rsidR="002A5435">
        <w:rPr>
          <w:sz w:val="24"/>
          <w:szCs w:val="24"/>
          <w:lang w:val="en-NZ"/>
        </w:rPr>
        <w:t>New Zealand</w:t>
      </w:r>
      <w:r w:rsidR="00F0295D">
        <w:rPr>
          <w:sz w:val="24"/>
          <w:szCs w:val="24"/>
          <w:lang w:val="en-NZ"/>
        </w:rPr>
        <w:t xml:space="preserve"> </w:t>
      </w:r>
      <w:r w:rsidRPr="00800DDD">
        <w:rPr>
          <w:sz w:val="24"/>
          <w:szCs w:val="24"/>
          <w:lang w:val="en-NZ"/>
        </w:rPr>
        <w:t>in the marine environment is saxitoxins, which can be produced by both marine dinoflagellates and freshwater cyanobacteria and are discussed in more detail below.</w:t>
      </w:r>
    </w:p>
    <w:p w14:paraId="1B028B28" w14:textId="77777777" w:rsidR="005F672E" w:rsidRPr="00BE0B20" w:rsidRDefault="005F672E" w:rsidP="005F672E">
      <w:pPr>
        <w:pStyle w:val="Heading3"/>
        <w:rPr>
          <w:lang w:val="en-NZ"/>
        </w:rPr>
      </w:pPr>
      <w:r w:rsidRPr="00BE0B20">
        <w:rPr>
          <w:lang w:val="en-NZ"/>
        </w:rPr>
        <w:t>Cyanotoxins</w:t>
      </w:r>
    </w:p>
    <w:p w14:paraId="4BA12C83" w14:textId="2169436E" w:rsidR="005F672E" w:rsidRPr="00800DDD" w:rsidRDefault="005F672E" w:rsidP="005F672E">
      <w:pPr>
        <w:rPr>
          <w:sz w:val="24"/>
          <w:szCs w:val="24"/>
          <w:lang w:val="en-NZ"/>
        </w:rPr>
      </w:pPr>
      <w:r w:rsidRPr="00800DDD">
        <w:rPr>
          <w:sz w:val="24"/>
          <w:szCs w:val="24"/>
          <w:lang w:val="en-NZ"/>
        </w:rPr>
        <w:t xml:space="preserve">Most species of cyanobacteria consist of both toxin and non-toxin producing strains. As a result, cyanobacterial blooms often contain a mixture of toxin and non-toxin producing strains, with their relative proportions varying during the bloom. The factors that affect toxin production </w:t>
      </w:r>
      <w:r w:rsidR="00107E38">
        <w:rPr>
          <w:sz w:val="24"/>
          <w:szCs w:val="24"/>
          <w:lang w:val="en-NZ"/>
        </w:rPr>
        <w:t xml:space="preserve">is </w:t>
      </w:r>
      <w:r w:rsidRPr="00800DDD">
        <w:rPr>
          <w:sz w:val="24"/>
          <w:szCs w:val="24"/>
          <w:lang w:val="en-NZ"/>
        </w:rPr>
        <w:t>not well understood making it difficult to predict whether toxin producing strains will produce toxin, or how much toxin will be in a bloom (Taumata Arowai 2020).</w:t>
      </w:r>
    </w:p>
    <w:p w14:paraId="0135732A" w14:textId="70D71C21" w:rsidR="000C0ED5" w:rsidRDefault="005F672E" w:rsidP="005F672E">
      <w:pPr>
        <w:rPr>
          <w:sz w:val="24"/>
          <w:szCs w:val="24"/>
          <w:lang w:val="en-NZ"/>
        </w:rPr>
      </w:pPr>
      <w:r w:rsidRPr="00800DDD">
        <w:rPr>
          <w:sz w:val="24"/>
          <w:szCs w:val="24"/>
          <w:lang w:val="en-NZ"/>
        </w:rPr>
        <w:t>However, testing for the biotoxin itself or genes related to the production of the biotoxin can determine whether a bloom is toxic.</w:t>
      </w:r>
    </w:p>
    <w:p w14:paraId="7A8FB000" w14:textId="77777777" w:rsidR="005F672E" w:rsidRPr="00BE0B20" w:rsidRDefault="005F672E" w:rsidP="005F672E">
      <w:pPr>
        <w:pStyle w:val="Heading3"/>
        <w:rPr>
          <w:lang w:val="en-NZ"/>
        </w:rPr>
      </w:pPr>
      <w:r w:rsidRPr="00BE0B20">
        <w:rPr>
          <w:lang w:val="en-NZ"/>
        </w:rPr>
        <w:lastRenderedPageBreak/>
        <w:t>Marine cyanotoxins</w:t>
      </w:r>
    </w:p>
    <w:p w14:paraId="755FF479" w14:textId="15771B0E" w:rsidR="005F672E" w:rsidRPr="00800DDD" w:rsidRDefault="005F672E" w:rsidP="005F672E">
      <w:pPr>
        <w:rPr>
          <w:sz w:val="24"/>
          <w:szCs w:val="24"/>
          <w:lang w:val="en-NZ"/>
        </w:rPr>
      </w:pPr>
      <w:r w:rsidRPr="00800DDD">
        <w:rPr>
          <w:sz w:val="24"/>
          <w:szCs w:val="24"/>
          <w:lang w:val="en-NZ"/>
        </w:rPr>
        <w:t>There is a lack of research on marine cyanobacteria in Aotearoa New Zealand</w:t>
      </w:r>
      <w:r w:rsidR="009C2A63">
        <w:rPr>
          <w:sz w:val="24"/>
          <w:szCs w:val="24"/>
          <w:lang w:val="en-NZ"/>
        </w:rPr>
        <w:t xml:space="preserve"> and </w:t>
      </w:r>
      <w:r w:rsidR="009C2A63" w:rsidRPr="00800DDD">
        <w:rPr>
          <w:sz w:val="24"/>
          <w:szCs w:val="24"/>
          <w:lang w:val="en-NZ"/>
        </w:rPr>
        <w:t>internationally</w:t>
      </w:r>
      <w:r w:rsidRPr="00800DDD">
        <w:rPr>
          <w:sz w:val="24"/>
          <w:szCs w:val="24"/>
          <w:lang w:val="en-NZ"/>
        </w:rPr>
        <w:t xml:space="preserve">. Not much is known about the toxins produced by marine cyanobacteria in </w:t>
      </w:r>
      <w:r w:rsidR="007524ED">
        <w:rPr>
          <w:sz w:val="24"/>
          <w:szCs w:val="24"/>
          <w:lang w:val="en-NZ"/>
        </w:rPr>
        <w:t>New Zealand</w:t>
      </w:r>
      <w:r w:rsidRPr="00800DDD">
        <w:rPr>
          <w:sz w:val="24"/>
          <w:szCs w:val="24"/>
          <w:lang w:val="en-NZ"/>
        </w:rPr>
        <w:t>. However, international data includes studies on lyngbyatoxins produced by Moorea producens – previously Lyngbya majuscula (Osborne et al 2001). Marine cyanobacterial species that produce microcystins, anatoxins and saxitoxins have also been reported in marine environments internationally (Carmichael &amp; Li 2006; Kerbrat et al 2011; Mohamed &amp; Al-Shehri 2015).</w:t>
      </w:r>
    </w:p>
    <w:p w14:paraId="1CB2C9A2" w14:textId="77777777" w:rsidR="005F672E" w:rsidRPr="00BE0B20" w:rsidRDefault="005F672E" w:rsidP="005F672E">
      <w:pPr>
        <w:pStyle w:val="Heading3"/>
        <w:rPr>
          <w:lang w:val="en-NZ"/>
        </w:rPr>
      </w:pPr>
      <w:r w:rsidRPr="00BE0B20">
        <w:rPr>
          <w:lang w:val="en-NZ"/>
        </w:rPr>
        <w:t>Freshwater cyanotoxins</w:t>
      </w:r>
    </w:p>
    <w:p w14:paraId="11EDFB49" w14:textId="1555B424" w:rsidR="005F672E" w:rsidRPr="00800DDD" w:rsidRDefault="005F672E" w:rsidP="005F672E">
      <w:pPr>
        <w:rPr>
          <w:sz w:val="24"/>
          <w:szCs w:val="24"/>
          <w:lang w:val="en-NZ"/>
        </w:rPr>
      </w:pPr>
      <w:r w:rsidRPr="00800DDD">
        <w:rPr>
          <w:sz w:val="24"/>
          <w:szCs w:val="24"/>
          <w:lang w:val="en-NZ"/>
        </w:rPr>
        <w:t xml:space="preserve">Freshwater cyanobacteria produce a range of cyanotoxins with different mechanisms of action. In </w:t>
      </w:r>
      <w:r w:rsidR="002A5435">
        <w:rPr>
          <w:sz w:val="24"/>
          <w:szCs w:val="24"/>
          <w:lang w:val="en-NZ"/>
        </w:rPr>
        <w:t xml:space="preserve">New Zealand </w:t>
      </w:r>
      <w:r w:rsidRPr="00800DDD">
        <w:rPr>
          <w:sz w:val="24"/>
          <w:szCs w:val="24"/>
          <w:lang w:val="en-NZ"/>
        </w:rPr>
        <w:t xml:space="preserve">these include microcystins, nodularins, anatoxins, and saxitoxins. Cylindrospermopsins have been detected at times in </w:t>
      </w:r>
      <w:r w:rsidR="002A5435">
        <w:rPr>
          <w:sz w:val="24"/>
          <w:szCs w:val="24"/>
          <w:lang w:val="en-NZ"/>
        </w:rPr>
        <w:t>New Zealand</w:t>
      </w:r>
      <w:r w:rsidR="003E063B">
        <w:rPr>
          <w:sz w:val="24"/>
          <w:szCs w:val="24"/>
          <w:lang w:val="en-NZ"/>
        </w:rPr>
        <w:t xml:space="preserve"> </w:t>
      </w:r>
      <w:r w:rsidRPr="00800DDD">
        <w:rPr>
          <w:sz w:val="24"/>
          <w:szCs w:val="24"/>
          <w:lang w:val="en-NZ"/>
        </w:rPr>
        <w:t>(Wood et al 2006). The main exposure routes for humans to cyanotoxins are direct contact, inhalation, or ingestion of water (cyanotoxins can accumulate in freshwater organisms but HAB food poisoning is more commonly due to marine seafood exposure) (BPAC 2020).</w:t>
      </w:r>
    </w:p>
    <w:p w14:paraId="71CDD22B" w14:textId="77777777" w:rsidR="005F672E" w:rsidRPr="00BE0B20" w:rsidRDefault="005F672E" w:rsidP="005F672E">
      <w:pPr>
        <w:pStyle w:val="Heading3"/>
        <w:rPr>
          <w:lang w:val="en-NZ"/>
        </w:rPr>
      </w:pPr>
      <w:r w:rsidRPr="00BE0B20">
        <w:rPr>
          <w:lang w:val="en-NZ"/>
        </w:rPr>
        <w:t>WHO recreational guideline values</w:t>
      </w:r>
    </w:p>
    <w:p w14:paraId="0004B3BC" w14:textId="77777777" w:rsidR="005F672E" w:rsidRPr="00800DDD" w:rsidRDefault="005F672E" w:rsidP="005F672E">
      <w:pPr>
        <w:rPr>
          <w:sz w:val="24"/>
          <w:szCs w:val="24"/>
          <w:lang w:val="en-NZ"/>
        </w:rPr>
      </w:pPr>
      <w:r w:rsidRPr="00800DDD">
        <w:rPr>
          <w:sz w:val="24"/>
          <w:szCs w:val="24"/>
          <w:lang w:val="en-NZ"/>
        </w:rPr>
        <w:t>The World Health Organization (WHO) has derived provisional guideline values for recreational water exposure to microcystins, cylindrospermopsins and anatoxins based on no-observed-adverse-effect levels (NOAEL) identified from animal toxicological data. The WHO guideline value for saxitoxins is based on a lowest observed-adverse-effect level (LOAEL) derived from human poisoning data.</w:t>
      </w:r>
    </w:p>
    <w:p w14:paraId="519765E6" w14:textId="13EC8A92" w:rsidR="00AD0D6F" w:rsidRDefault="005F672E" w:rsidP="005F672E">
      <w:pPr>
        <w:rPr>
          <w:sz w:val="24"/>
          <w:szCs w:val="24"/>
          <w:lang w:val="en-NZ"/>
        </w:rPr>
      </w:pPr>
      <w:r w:rsidRPr="00800DDD">
        <w:rPr>
          <w:sz w:val="24"/>
          <w:szCs w:val="24"/>
          <w:lang w:val="en-NZ"/>
        </w:rPr>
        <w:t>Guideline values are used for assessing the health risks from exposure to recreational water. In New Zealand, the WHO guideline values have been used to develop cell concentration alert-level thresholds for freshwater planktonic cyanobacteria.</w:t>
      </w:r>
    </w:p>
    <w:p w14:paraId="4F6FED5E" w14:textId="53D887EB" w:rsidR="005F672E" w:rsidRPr="00800DDD" w:rsidRDefault="005F672E" w:rsidP="005F672E">
      <w:pPr>
        <w:rPr>
          <w:sz w:val="24"/>
          <w:szCs w:val="24"/>
          <w:lang w:val="en-NZ"/>
        </w:rPr>
      </w:pPr>
      <w:r w:rsidRPr="00800DDD">
        <w:rPr>
          <w:sz w:val="24"/>
          <w:szCs w:val="24"/>
          <w:lang w:val="en-NZ"/>
        </w:rPr>
        <w:t>Biotoxin quota data (the amount of toxin produced per cell) were used to estimate the cell concentrations of toxin</w:t>
      </w:r>
      <w:r w:rsidR="00AD0D6F">
        <w:rPr>
          <w:sz w:val="24"/>
          <w:szCs w:val="24"/>
          <w:lang w:val="en-NZ"/>
        </w:rPr>
        <w:t xml:space="preserve"> </w:t>
      </w:r>
      <w:r w:rsidRPr="00800DDD">
        <w:rPr>
          <w:sz w:val="24"/>
          <w:szCs w:val="24"/>
          <w:lang w:val="en-NZ"/>
        </w:rPr>
        <w:t>producing cyanobacteria that would lead to health-adverse levels of cyanotoxins in a waterbody. This provides a more user-friendly means of evaluating the potential risk rather than routinely measuring biotoxin concentrations in samples from recreational freshwaters (Puddick, Wood, et al 2022).</w:t>
      </w:r>
    </w:p>
    <w:p w14:paraId="13F2003A" w14:textId="4083B30F" w:rsidR="005F672E" w:rsidRPr="00BE0B20" w:rsidRDefault="005F672E" w:rsidP="005F672E">
      <w:pPr>
        <w:pStyle w:val="Heading3"/>
        <w:rPr>
          <w:lang w:val="en-NZ"/>
        </w:rPr>
      </w:pPr>
      <w:r w:rsidRPr="00BE0B20">
        <w:rPr>
          <w:lang w:val="en-NZ"/>
        </w:rPr>
        <w:t>Microcystins</w:t>
      </w:r>
    </w:p>
    <w:p w14:paraId="742987C0" w14:textId="0AC072A2" w:rsidR="002508D1" w:rsidRDefault="005F672E" w:rsidP="005F672E">
      <w:pPr>
        <w:rPr>
          <w:sz w:val="24"/>
          <w:szCs w:val="24"/>
          <w:lang w:val="en-NZ"/>
        </w:rPr>
      </w:pPr>
      <w:r w:rsidRPr="00800DDD">
        <w:rPr>
          <w:sz w:val="24"/>
          <w:szCs w:val="24"/>
          <w:lang w:val="en-NZ"/>
        </w:rPr>
        <w:t>Microcystins are commonly occurring cyanotoxins produced by a range of both planktonic and benthic cyanobacterial species. Microcystins are cyclic peptides and are hepatotoxic,</w:t>
      </w:r>
      <w:r w:rsidR="007F3756" w:rsidRPr="00800DDD">
        <w:rPr>
          <w:sz w:val="24"/>
          <w:szCs w:val="24"/>
          <w:lang w:val="en-NZ"/>
        </w:rPr>
        <w:t xml:space="preserve"> </w:t>
      </w:r>
      <w:r w:rsidRPr="00800DDD">
        <w:rPr>
          <w:sz w:val="24"/>
          <w:szCs w:val="24"/>
          <w:lang w:val="en-NZ"/>
        </w:rPr>
        <w:t>ie</w:t>
      </w:r>
      <w:r w:rsidR="007F3756" w:rsidRPr="00800DDD">
        <w:rPr>
          <w:sz w:val="24"/>
          <w:szCs w:val="24"/>
          <w:lang w:val="en-NZ"/>
        </w:rPr>
        <w:t xml:space="preserve"> t</w:t>
      </w:r>
      <w:r w:rsidRPr="00800DDD">
        <w:rPr>
          <w:sz w:val="24"/>
          <w:szCs w:val="24"/>
          <w:lang w:val="en-NZ"/>
        </w:rPr>
        <w:t>oxic to the liver (Ministry for the Environment &amp; Ministry of Health 2009). There are marked differences in toxicity depending on the structural variant, but many microcystin variants (congeners) are highly toxic (Bouaicha et al 2019), for example, microcystin-LR (TOXINZ 2011).</w:t>
      </w:r>
    </w:p>
    <w:p w14:paraId="7128C762" w14:textId="13FA6BF9" w:rsidR="005F672E" w:rsidRPr="00800DDD" w:rsidRDefault="005F672E" w:rsidP="005F672E">
      <w:pPr>
        <w:rPr>
          <w:sz w:val="24"/>
          <w:szCs w:val="24"/>
          <w:lang w:val="en-NZ"/>
        </w:rPr>
      </w:pPr>
      <w:r w:rsidRPr="00800DDD">
        <w:rPr>
          <w:sz w:val="24"/>
          <w:szCs w:val="24"/>
          <w:lang w:val="en-NZ"/>
        </w:rPr>
        <w:lastRenderedPageBreak/>
        <w:t>In animal studies intra-peritoneal and intranasal microcystin exposure was more toxic than oral exposure, this may be relevant for potential inhalation exposures from contaminated water spray (Ministry for the Environment &amp; Ministry of Health 2009).</w:t>
      </w:r>
    </w:p>
    <w:p w14:paraId="4475EE97" w14:textId="77FA9FA2" w:rsidR="005F672E" w:rsidRPr="00800DDD" w:rsidRDefault="005F672E" w:rsidP="005F672E">
      <w:pPr>
        <w:rPr>
          <w:sz w:val="24"/>
          <w:szCs w:val="24"/>
          <w:lang w:val="en-NZ"/>
        </w:rPr>
      </w:pPr>
      <w:r w:rsidRPr="00800DDD">
        <w:rPr>
          <w:sz w:val="24"/>
          <w:szCs w:val="24"/>
          <w:lang w:val="en-NZ"/>
        </w:rPr>
        <w:t>Based on animal toxicity data, the no observed adverse effect level (NOAEL) for microcystin- LR has been determined as 40 µg/kg body weight per day (Carmichael &amp; Boyer 2016; Weirich &amp; Miller 2014). This NOAEL was the basis for the tolerable daily intake (TDI) of 0.04 μg/kg body weight per day (World Health Organization, 2020c).</w:t>
      </w:r>
    </w:p>
    <w:p w14:paraId="7B4EF796" w14:textId="77777777" w:rsidR="005F672E" w:rsidRPr="00BE0B20" w:rsidRDefault="005F672E" w:rsidP="005F672E">
      <w:pPr>
        <w:pStyle w:val="Heading3"/>
        <w:rPr>
          <w:lang w:val="en-NZ"/>
        </w:rPr>
      </w:pPr>
      <w:r w:rsidRPr="00BE0B20">
        <w:rPr>
          <w:lang w:val="en-NZ"/>
        </w:rPr>
        <w:t>Nodularins</w:t>
      </w:r>
    </w:p>
    <w:p w14:paraId="1E9F00BA" w14:textId="090CEF00" w:rsidR="005F672E" w:rsidRPr="00800DDD" w:rsidRDefault="005F672E" w:rsidP="005F672E">
      <w:pPr>
        <w:rPr>
          <w:sz w:val="24"/>
          <w:szCs w:val="24"/>
          <w:lang w:val="en-NZ"/>
        </w:rPr>
      </w:pPr>
      <w:r w:rsidRPr="00800DDD">
        <w:rPr>
          <w:sz w:val="24"/>
          <w:szCs w:val="24"/>
          <w:lang w:val="en-NZ"/>
        </w:rPr>
        <w:t xml:space="preserve">Nodularins are primarily found in brackish water where they are commonly produced by Nodularia spumigena (a bloom-forming planktonic cyanobacterium). However, nodularins have also been detected in benthic cyanobacteria from </w:t>
      </w:r>
      <w:r w:rsidR="002A5435">
        <w:rPr>
          <w:sz w:val="24"/>
          <w:szCs w:val="24"/>
          <w:lang w:val="en-NZ"/>
        </w:rPr>
        <w:t>New Zealand</w:t>
      </w:r>
      <w:r w:rsidR="0082520A">
        <w:rPr>
          <w:sz w:val="24"/>
          <w:szCs w:val="24"/>
          <w:lang w:val="en-NZ"/>
        </w:rPr>
        <w:t xml:space="preserve"> </w:t>
      </w:r>
      <w:r w:rsidRPr="00800DDD">
        <w:rPr>
          <w:sz w:val="24"/>
          <w:szCs w:val="24"/>
          <w:lang w:val="en-NZ"/>
        </w:rPr>
        <w:t>and Australia (McGregor &amp; Sendall 2017; Wood</w:t>
      </w:r>
      <w:r w:rsidR="00E22353" w:rsidRPr="00800DDD">
        <w:rPr>
          <w:sz w:val="24"/>
          <w:szCs w:val="24"/>
          <w:lang w:val="en-NZ"/>
        </w:rPr>
        <w:t xml:space="preserve"> SA</w:t>
      </w:r>
      <w:r w:rsidRPr="00800DDD">
        <w:rPr>
          <w:sz w:val="24"/>
          <w:szCs w:val="24"/>
          <w:lang w:val="en-NZ"/>
        </w:rPr>
        <w:t xml:space="preserve"> et al 2012</w:t>
      </w:r>
      <w:r w:rsidR="00E22353" w:rsidRPr="00800DDD">
        <w:rPr>
          <w:sz w:val="24"/>
          <w:szCs w:val="24"/>
          <w:lang w:val="en-NZ"/>
        </w:rPr>
        <w:t>a</w:t>
      </w:r>
      <w:r w:rsidRPr="00800DDD">
        <w:rPr>
          <w:sz w:val="24"/>
          <w:szCs w:val="24"/>
          <w:lang w:val="en-NZ"/>
        </w:rPr>
        <w:t>; Wood et al 2012</w:t>
      </w:r>
      <w:r w:rsidR="00E22353" w:rsidRPr="00800DDD">
        <w:rPr>
          <w:sz w:val="24"/>
          <w:szCs w:val="24"/>
          <w:lang w:val="en-NZ"/>
        </w:rPr>
        <w:t>b</w:t>
      </w:r>
      <w:r w:rsidRPr="00800DDD">
        <w:rPr>
          <w:sz w:val="24"/>
          <w:szCs w:val="24"/>
          <w:lang w:val="en-NZ"/>
        </w:rPr>
        <w:t xml:space="preserve">). Nodularins have a similar structure and mechanism of action to microcystins and are also hepatotoxic (Ministry for the Environment &amp; Ministry of Health 2009). Aerosolised nodularin toxin has been detected at Lake Forsyth </w:t>
      </w:r>
      <w:r w:rsidR="007564D3">
        <w:rPr>
          <w:sz w:val="24"/>
          <w:szCs w:val="24"/>
          <w:lang w:val="en-NZ"/>
        </w:rPr>
        <w:t xml:space="preserve">| </w:t>
      </w:r>
      <w:r w:rsidR="007564D3" w:rsidRPr="00800DDD">
        <w:rPr>
          <w:sz w:val="24"/>
          <w:szCs w:val="24"/>
          <w:lang w:val="en-NZ"/>
        </w:rPr>
        <w:t>Wairewa</w:t>
      </w:r>
      <w:r w:rsidR="007564D3">
        <w:rPr>
          <w:sz w:val="24"/>
          <w:szCs w:val="24"/>
          <w:lang w:val="en-NZ"/>
        </w:rPr>
        <w:t xml:space="preserve"> </w:t>
      </w:r>
      <w:r w:rsidRPr="00800DDD">
        <w:rPr>
          <w:sz w:val="24"/>
          <w:szCs w:val="24"/>
          <w:lang w:val="en-NZ"/>
        </w:rPr>
        <w:t>but only at low levels that were not deemed to be a health risk (Wood</w:t>
      </w:r>
      <w:r w:rsidR="00E22353" w:rsidRPr="00800DDD">
        <w:rPr>
          <w:sz w:val="24"/>
          <w:szCs w:val="24"/>
          <w:lang w:val="en-NZ"/>
        </w:rPr>
        <w:t xml:space="preserve"> S</w:t>
      </w:r>
      <w:r w:rsidRPr="00800DDD">
        <w:rPr>
          <w:sz w:val="24"/>
          <w:szCs w:val="24"/>
          <w:lang w:val="en-NZ"/>
        </w:rPr>
        <w:t xml:space="preserve"> et al 2018). </w:t>
      </w:r>
    </w:p>
    <w:p w14:paraId="6C38A7BF" w14:textId="4B234D1C" w:rsidR="005F672E" w:rsidRPr="00800DDD" w:rsidRDefault="005F672E" w:rsidP="005F672E">
      <w:pPr>
        <w:rPr>
          <w:sz w:val="24"/>
          <w:szCs w:val="24"/>
          <w:lang w:val="en-NZ"/>
        </w:rPr>
      </w:pPr>
      <w:r w:rsidRPr="00800DDD">
        <w:rPr>
          <w:sz w:val="24"/>
          <w:szCs w:val="24"/>
          <w:lang w:val="en-NZ"/>
        </w:rPr>
        <w:t xml:space="preserve">There is insufficient toxicological information to establish a NOAEL or TDI for nodularins, but nodularins can be treated as a part of the microcystin load in a waterbody due to their similar structure, mode of action and toxicity. </w:t>
      </w:r>
    </w:p>
    <w:p w14:paraId="54882D97" w14:textId="77777777" w:rsidR="005F672E" w:rsidRPr="00BE0B20" w:rsidRDefault="005F672E" w:rsidP="005F672E">
      <w:pPr>
        <w:pStyle w:val="Heading3"/>
        <w:rPr>
          <w:lang w:val="en-NZ"/>
        </w:rPr>
      </w:pPr>
      <w:r w:rsidRPr="00BE0B20">
        <w:rPr>
          <w:lang w:val="en-NZ"/>
        </w:rPr>
        <w:t>Cylindrospermopsins</w:t>
      </w:r>
    </w:p>
    <w:p w14:paraId="0749E695" w14:textId="7A226E54" w:rsidR="005F672E" w:rsidRPr="00800DDD" w:rsidRDefault="005F672E" w:rsidP="005F672E">
      <w:pPr>
        <w:rPr>
          <w:sz w:val="24"/>
          <w:szCs w:val="24"/>
          <w:lang w:val="en-NZ"/>
        </w:rPr>
      </w:pPr>
      <w:r w:rsidRPr="00800DDD">
        <w:rPr>
          <w:sz w:val="24"/>
          <w:szCs w:val="24"/>
          <w:lang w:val="en-NZ"/>
        </w:rPr>
        <w:t>Cylindrospermopsin-producing cyanobacteria are predominately found in freshwater environments (World Health Organization 2020b). Cylindrospermopsin inhibits protein synthesis causing extensive damage to the liver and kidney and to a lesser extent thymus, spleen, heart, and gastrointestinal tract lining (Weirich &amp; Miller 2014). It may be several days after exposure before symptoms become apparent, this makes it more difficult to determine a cause–effect relationship.</w:t>
      </w:r>
    </w:p>
    <w:p w14:paraId="391F84BF" w14:textId="7F5B27A8" w:rsidR="005F672E" w:rsidRPr="00800DDD" w:rsidRDefault="005F672E" w:rsidP="005F672E">
      <w:pPr>
        <w:rPr>
          <w:sz w:val="24"/>
          <w:szCs w:val="24"/>
          <w:lang w:val="en-NZ"/>
        </w:rPr>
      </w:pPr>
      <w:r w:rsidRPr="00800DDD">
        <w:rPr>
          <w:sz w:val="24"/>
          <w:szCs w:val="24"/>
          <w:lang w:val="en-NZ"/>
        </w:rPr>
        <w:t>Contamination of a local drinking water supply in Australia with a cylindrospermopsin producing cyanobacteria resulted in a significant human gastroenteritis outbreak in 1979. Cylindrospermopsin has also been deemed the cause of some cattle deaths (Ministry for the Environment &amp; Ministry of Health 2009).</w:t>
      </w:r>
    </w:p>
    <w:p w14:paraId="09346A15" w14:textId="503987AD" w:rsidR="005F672E" w:rsidRPr="00800DDD" w:rsidRDefault="005F672E" w:rsidP="005F672E">
      <w:pPr>
        <w:rPr>
          <w:sz w:val="24"/>
          <w:szCs w:val="24"/>
          <w:lang w:val="en-NZ"/>
        </w:rPr>
      </w:pPr>
      <w:r w:rsidRPr="00800DDD">
        <w:rPr>
          <w:sz w:val="24"/>
          <w:szCs w:val="24"/>
          <w:lang w:val="en-NZ"/>
        </w:rPr>
        <w:t>When present, cylindrospermopsin can persist in the water for weeks after the cylindrospermopsin producing cyanobacteria is no longer detected in the water and toxin testing is recommended for determining when the health risk has subsided (World Health Organization 2021).</w:t>
      </w:r>
    </w:p>
    <w:p w14:paraId="3AD6612D" w14:textId="5D97F11A" w:rsidR="000C0ED5" w:rsidRDefault="005F672E" w:rsidP="005F672E">
      <w:pPr>
        <w:rPr>
          <w:sz w:val="24"/>
          <w:szCs w:val="24"/>
          <w:lang w:val="en-NZ"/>
        </w:rPr>
      </w:pPr>
      <w:r w:rsidRPr="00800DDD">
        <w:rPr>
          <w:sz w:val="24"/>
          <w:szCs w:val="24"/>
          <w:lang w:val="en-NZ"/>
        </w:rPr>
        <w:t>A NOAEL of 30 μg/kg body weight per day has been established, based on increases in relative kidney weight in an 11-week mouse study. This NOAEL was the basis for the tolerable daily intake (TDI) of 0.03 μg/kg body weight per day (World Health Organization 2020b).</w:t>
      </w:r>
    </w:p>
    <w:p w14:paraId="29095ABF" w14:textId="77777777" w:rsidR="000C0ED5" w:rsidRDefault="000C0ED5">
      <w:pPr>
        <w:rPr>
          <w:sz w:val="24"/>
          <w:szCs w:val="24"/>
          <w:lang w:val="en-NZ"/>
        </w:rPr>
      </w:pPr>
      <w:r>
        <w:rPr>
          <w:sz w:val="24"/>
          <w:szCs w:val="24"/>
          <w:lang w:val="en-NZ"/>
        </w:rPr>
        <w:br w:type="page"/>
      </w:r>
    </w:p>
    <w:p w14:paraId="4D5AC201" w14:textId="77777777" w:rsidR="005F672E" w:rsidRPr="00BE0B20" w:rsidRDefault="005F672E" w:rsidP="005F672E">
      <w:pPr>
        <w:pStyle w:val="Heading3"/>
        <w:rPr>
          <w:lang w:val="en-NZ"/>
        </w:rPr>
      </w:pPr>
      <w:r w:rsidRPr="00BE0B20">
        <w:rPr>
          <w:lang w:val="en-NZ"/>
        </w:rPr>
        <w:lastRenderedPageBreak/>
        <w:t>Anatoxins</w:t>
      </w:r>
    </w:p>
    <w:p w14:paraId="2DD18538" w14:textId="270E1522" w:rsidR="005F672E" w:rsidRPr="00800DDD" w:rsidRDefault="005F672E" w:rsidP="005F672E">
      <w:pPr>
        <w:rPr>
          <w:sz w:val="24"/>
          <w:szCs w:val="24"/>
          <w:lang w:val="en-NZ"/>
        </w:rPr>
      </w:pPr>
      <w:r w:rsidRPr="00800DDD">
        <w:rPr>
          <w:sz w:val="24"/>
          <w:szCs w:val="24"/>
          <w:lang w:val="en-NZ"/>
        </w:rPr>
        <w:t>Anatoxins are produced by both benthic and planktonic cyanobacterial species, some of which have an intermediate propensity to form surface scums (World Health Organization 2020a). Anatoxins are fast-acting neurotoxins that disrupt signalling at neuromuscular junctions causing over stimulation of muscles resulting in muscle fatigue and paralysis.</w:t>
      </w:r>
    </w:p>
    <w:p w14:paraId="59F07B8D" w14:textId="624D71FF" w:rsidR="005F672E" w:rsidRPr="00800DDD" w:rsidRDefault="005F672E" w:rsidP="005F672E">
      <w:pPr>
        <w:rPr>
          <w:sz w:val="24"/>
          <w:szCs w:val="24"/>
          <w:lang w:val="en-NZ"/>
        </w:rPr>
      </w:pPr>
      <w:r w:rsidRPr="00800DDD">
        <w:rPr>
          <w:sz w:val="24"/>
          <w:szCs w:val="24"/>
          <w:lang w:val="en-NZ"/>
        </w:rPr>
        <w:t>Anatoxins are small molecules, so they are rapidly absorbed when ingested orally (Ministry for the Environment &amp; Ministry of Health 2009).</w:t>
      </w:r>
    </w:p>
    <w:p w14:paraId="79C0B1A0" w14:textId="48E32997" w:rsidR="005F672E" w:rsidRPr="00800DDD" w:rsidRDefault="005F672E" w:rsidP="005F672E">
      <w:pPr>
        <w:rPr>
          <w:sz w:val="24"/>
          <w:szCs w:val="24"/>
          <w:lang w:val="en-NZ"/>
        </w:rPr>
      </w:pPr>
      <w:r w:rsidRPr="00800DDD">
        <w:rPr>
          <w:sz w:val="24"/>
          <w:szCs w:val="24"/>
          <w:lang w:val="en-NZ"/>
        </w:rPr>
        <w:t>Whil</w:t>
      </w:r>
      <w:r w:rsidR="00E22353" w:rsidRPr="00800DDD">
        <w:rPr>
          <w:sz w:val="24"/>
          <w:szCs w:val="24"/>
          <w:lang w:val="en-NZ"/>
        </w:rPr>
        <w:t>e</w:t>
      </w:r>
      <w:r w:rsidRPr="00800DDD">
        <w:rPr>
          <w:sz w:val="24"/>
          <w:szCs w:val="24"/>
          <w:lang w:val="en-NZ"/>
        </w:rPr>
        <w:t xml:space="preserve"> anatoxins (and saxitoxins, see below) are not volatile, exposure via inhalation is possible through spray from cyanotoxin contaminated water. However, there is insufficient data on the concentration of cyanotoxins in sprays to develop risk assessments on the risks to human health from inhalation (World Health Organization 2020a).</w:t>
      </w:r>
    </w:p>
    <w:p w14:paraId="706B4C6B" w14:textId="436C9ABC" w:rsidR="005F672E" w:rsidRPr="00800DDD" w:rsidRDefault="005F672E" w:rsidP="005F672E">
      <w:pPr>
        <w:rPr>
          <w:sz w:val="24"/>
          <w:szCs w:val="24"/>
          <w:lang w:val="en-NZ"/>
        </w:rPr>
      </w:pPr>
      <w:r w:rsidRPr="00800DDD">
        <w:rPr>
          <w:sz w:val="24"/>
          <w:szCs w:val="24"/>
          <w:lang w:val="en-NZ"/>
        </w:rPr>
        <w:t>Anatoxins include anatoxin-a (ATX) and its methyl derivative homoanatoxin-a (HTX) and dihydro-derivates of ATX and HTX (dhATX and dhHTX) and dihydro-derivates of ATX and HTX (dhATX and dhHTX). Anatoxin-a is often linked with animal and wildfowl poisonings but there have not been reported human fatalities (World Health Organization 2020a).</w:t>
      </w:r>
    </w:p>
    <w:p w14:paraId="5F5FAA77" w14:textId="3878EBB3" w:rsidR="005F672E" w:rsidRPr="00800DDD" w:rsidRDefault="005F672E" w:rsidP="005F672E">
      <w:pPr>
        <w:rPr>
          <w:sz w:val="24"/>
          <w:szCs w:val="24"/>
          <w:lang w:val="en-NZ"/>
        </w:rPr>
      </w:pPr>
      <w:r w:rsidRPr="00800DDD">
        <w:rPr>
          <w:sz w:val="24"/>
          <w:szCs w:val="24"/>
          <w:lang w:val="en-NZ"/>
        </w:rPr>
        <w:t>There is insufficient information to develop a chronic health-based guidance value for anatoxins. A conservative short-term NOAEL of 98 μg/kg body weight per day was established, based on a 28-day mouse study (World Health Organization 2020a).</w:t>
      </w:r>
    </w:p>
    <w:p w14:paraId="741B9256" w14:textId="77777777" w:rsidR="005F672E" w:rsidRPr="00BE0B20" w:rsidRDefault="005F672E" w:rsidP="005F672E">
      <w:pPr>
        <w:pStyle w:val="Heading3"/>
        <w:rPr>
          <w:lang w:val="en-NZ"/>
        </w:rPr>
      </w:pPr>
      <w:r w:rsidRPr="00BE0B20">
        <w:rPr>
          <w:lang w:val="en-NZ"/>
        </w:rPr>
        <w:t>Guanitoxin / Anatoxin-a(S)</w:t>
      </w:r>
    </w:p>
    <w:p w14:paraId="60C9D7CA" w14:textId="7850156E" w:rsidR="005F672E" w:rsidRPr="00800DDD" w:rsidRDefault="005F672E" w:rsidP="005F672E">
      <w:pPr>
        <w:rPr>
          <w:sz w:val="24"/>
          <w:szCs w:val="24"/>
          <w:lang w:val="en-NZ"/>
        </w:rPr>
      </w:pPr>
      <w:r w:rsidRPr="00800DDD">
        <w:rPr>
          <w:sz w:val="24"/>
          <w:szCs w:val="24"/>
          <w:lang w:val="en-NZ"/>
        </w:rPr>
        <w:t xml:space="preserve">Anatoxin-a(S), now called guanitoxin is structurally different to anatoxin-a but has a similar neurotoxic effect, although more potent and has been found to cause salivation in animals (Weirich &amp; Miller 2014). Anatoxin-a(S) has not yet been detected in </w:t>
      </w:r>
      <w:r w:rsidR="002A5435">
        <w:rPr>
          <w:sz w:val="24"/>
          <w:szCs w:val="24"/>
          <w:lang w:val="en-NZ"/>
        </w:rPr>
        <w:t>New Zealand</w:t>
      </w:r>
      <w:r w:rsidR="00306B97">
        <w:rPr>
          <w:sz w:val="24"/>
          <w:szCs w:val="24"/>
          <w:lang w:val="en-NZ"/>
        </w:rPr>
        <w:t xml:space="preserve"> </w:t>
      </w:r>
      <w:r w:rsidRPr="00800DDD">
        <w:rPr>
          <w:sz w:val="24"/>
          <w:szCs w:val="24"/>
          <w:lang w:val="en-NZ"/>
        </w:rPr>
        <w:t xml:space="preserve">(Ministry for the Environment </w:t>
      </w:r>
      <w:r w:rsidR="00E131FE">
        <w:rPr>
          <w:sz w:val="24"/>
          <w:szCs w:val="24"/>
          <w:lang w:val="en-NZ"/>
        </w:rPr>
        <w:t xml:space="preserve">&amp; </w:t>
      </w:r>
      <w:r w:rsidRPr="00800DDD">
        <w:rPr>
          <w:sz w:val="24"/>
          <w:szCs w:val="24"/>
          <w:lang w:val="en-NZ"/>
        </w:rPr>
        <w:t>Ministry of Health 2009; Wood</w:t>
      </w:r>
      <w:r w:rsidR="00E22353" w:rsidRPr="00800DDD">
        <w:rPr>
          <w:sz w:val="24"/>
          <w:szCs w:val="24"/>
          <w:lang w:val="en-NZ"/>
        </w:rPr>
        <w:t xml:space="preserve"> S, </w:t>
      </w:r>
      <w:r w:rsidRPr="00800DDD">
        <w:rPr>
          <w:sz w:val="24"/>
          <w:szCs w:val="24"/>
          <w:lang w:val="en-NZ"/>
        </w:rPr>
        <w:t>et al., 2018).</w:t>
      </w:r>
    </w:p>
    <w:p w14:paraId="4D435AB9" w14:textId="189E5847" w:rsidR="005F672E" w:rsidRPr="00800DDD" w:rsidRDefault="005F672E" w:rsidP="005F672E">
      <w:pPr>
        <w:rPr>
          <w:sz w:val="24"/>
          <w:szCs w:val="24"/>
          <w:lang w:val="en-NZ"/>
        </w:rPr>
      </w:pPr>
      <w:r w:rsidRPr="00800DDD">
        <w:rPr>
          <w:sz w:val="24"/>
          <w:szCs w:val="24"/>
          <w:lang w:val="en-NZ"/>
        </w:rPr>
        <w:t xml:space="preserve">No health-based guidance values have been established for guanitoxin / anatoxin-a(S) to- date. </w:t>
      </w:r>
    </w:p>
    <w:p w14:paraId="2BFC3803" w14:textId="77777777" w:rsidR="005F672E" w:rsidRPr="00BE0B20" w:rsidRDefault="005F672E" w:rsidP="005F672E">
      <w:pPr>
        <w:pStyle w:val="Heading3"/>
        <w:rPr>
          <w:lang w:val="en-NZ"/>
        </w:rPr>
      </w:pPr>
      <w:r w:rsidRPr="00BE0B20">
        <w:rPr>
          <w:lang w:val="en-NZ"/>
        </w:rPr>
        <w:t>Saxitoxins</w:t>
      </w:r>
    </w:p>
    <w:p w14:paraId="05FD858A" w14:textId="77777777" w:rsidR="005F672E" w:rsidRPr="00800DDD" w:rsidRDefault="005F672E" w:rsidP="005F672E">
      <w:pPr>
        <w:rPr>
          <w:sz w:val="24"/>
          <w:szCs w:val="24"/>
          <w:lang w:val="en-NZ"/>
        </w:rPr>
      </w:pPr>
      <w:r w:rsidRPr="00800DDD">
        <w:rPr>
          <w:sz w:val="24"/>
          <w:szCs w:val="24"/>
          <w:lang w:val="en-NZ"/>
        </w:rPr>
        <w:t>There are many variants (congeners) of saxitoxins which are produced by cyanobacteria as well as marine dinoflagellates (a type of microalgae) which can accumulate in shellfish and cause paralytic shellfish poisoning (PSP). For this reason, saxitoxins are sometimes referred to as paralytic shellfish toxins (PSTs). Food and drinking water exposures to saxitoxins are more common than recreational exposures.</w:t>
      </w:r>
    </w:p>
    <w:p w14:paraId="69F8A651" w14:textId="3856322F" w:rsidR="005F672E" w:rsidRPr="00800DDD" w:rsidRDefault="005F672E" w:rsidP="005F672E">
      <w:pPr>
        <w:rPr>
          <w:sz w:val="24"/>
          <w:szCs w:val="24"/>
          <w:lang w:val="en-NZ"/>
        </w:rPr>
      </w:pPr>
      <w:r w:rsidRPr="00800DDD">
        <w:rPr>
          <w:sz w:val="24"/>
          <w:szCs w:val="24"/>
          <w:lang w:val="en-NZ"/>
        </w:rPr>
        <w:t xml:space="preserve">Saxitoxins are fast acting neurotoxins which block nerve transmission causing muscle weakness, paraesthesia (tingling or numbness), loss of motor control, twitching and in severe cases convulsions or respiratory paralysis and death </w:t>
      </w:r>
      <w:r w:rsidRPr="00800DDD">
        <w:rPr>
          <w:sz w:val="24"/>
          <w:szCs w:val="24"/>
          <w:lang w:val="en-NZ"/>
        </w:rPr>
        <w:lastRenderedPageBreak/>
        <w:t>(Weirich &amp; Miller 2014; World Health Organization 2020d). If a person fully recovers from acute PSP, there does not appear to be any lasting health effects (Metcalf et al 2021; World Health Organization 2020d).</w:t>
      </w:r>
    </w:p>
    <w:p w14:paraId="0311718F" w14:textId="5DD015CE" w:rsidR="005F672E" w:rsidRPr="00800DDD" w:rsidRDefault="005F672E" w:rsidP="005F672E">
      <w:pPr>
        <w:rPr>
          <w:sz w:val="24"/>
          <w:szCs w:val="24"/>
          <w:lang w:val="en-NZ"/>
        </w:rPr>
      </w:pPr>
      <w:r w:rsidRPr="00800DDD">
        <w:rPr>
          <w:sz w:val="24"/>
          <w:szCs w:val="24"/>
          <w:lang w:val="en-NZ"/>
        </w:rPr>
        <w:t>A lowest observed adverse effect level (LOAEL) of 1.5 μg/kg body weight has been established for saxitoxins from review of human cases of PSP. As some cases are asymptomatic at higher dose levels, it was assumed that this dose level was close to the NOAEL and an acute reference dose (ARfD) of 0.5 μg/kg body weight was established (World Health Organization 2020d).</w:t>
      </w:r>
    </w:p>
    <w:p w14:paraId="4F3E1F4A" w14:textId="77777777" w:rsidR="005F672E" w:rsidRPr="00F42BD5" w:rsidRDefault="005F672E" w:rsidP="005F672E">
      <w:pPr>
        <w:pStyle w:val="Heading3"/>
        <w:rPr>
          <w:lang w:val="en-NZ"/>
        </w:rPr>
      </w:pPr>
      <w:r w:rsidRPr="00F42BD5">
        <w:rPr>
          <w:lang w:val="en-NZ"/>
        </w:rPr>
        <w:t>Lyngbyatoxins</w:t>
      </w:r>
    </w:p>
    <w:p w14:paraId="1D433766" w14:textId="113E07B0" w:rsidR="005F672E" w:rsidRPr="00800DDD" w:rsidRDefault="005F672E" w:rsidP="005F672E">
      <w:pPr>
        <w:rPr>
          <w:sz w:val="24"/>
          <w:szCs w:val="24"/>
          <w:lang w:val="en-NZ"/>
        </w:rPr>
      </w:pPr>
      <w:r w:rsidRPr="00800DDD">
        <w:rPr>
          <w:sz w:val="24"/>
          <w:szCs w:val="24"/>
          <w:lang w:val="en-NZ"/>
        </w:rPr>
        <w:t>Lyngbyatoxins are a severe skin irritant and can cause smooth muscle contraction. The symptoms of lynbyatoxin exposure include skin, eye</w:t>
      </w:r>
      <w:r w:rsidR="00D008F1" w:rsidRPr="00800DDD">
        <w:rPr>
          <w:sz w:val="24"/>
          <w:szCs w:val="24"/>
          <w:lang w:val="en-NZ"/>
        </w:rPr>
        <w:t>,</w:t>
      </w:r>
      <w:r w:rsidRPr="00800DDD">
        <w:rPr>
          <w:sz w:val="24"/>
          <w:szCs w:val="24"/>
          <w:lang w:val="en-NZ"/>
        </w:rPr>
        <w:t xml:space="preserve"> and respiratory irritation (Weirich &amp; Miller 2014), as well as gastric irritation if ingested (Osborne &amp; Shaw 2008). Lyngbyatoxins can be produced by freshwater or marine cyanobacteria and have caused animal deaths (Chorus &amp; Welker 2021; Weirich &amp; Miller 2014).</w:t>
      </w:r>
    </w:p>
    <w:p w14:paraId="36B1028C" w14:textId="293DC187" w:rsidR="005F672E" w:rsidRPr="00800DDD" w:rsidRDefault="005F672E" w:rsidP="005F672E">
      <w:pPr>
        <w:rPr>
          <w:sz w:val="24"/>
          <w:szCs w:val="24"/>
          <w:lang w:val="en-NZ"/>
        </w:rPr>
      </w:pPr>
      <w:r w:rsidRPr="00800DDD">
        <w:rPr>
          <w:sz w:val="24"/>
          <w:szCs w:val="24"/>
          <w:lang w:val="en-NZ"/>
        </w:rPr>
        <w:t>The marine cyanobacterium Moorea producens (previously Lyngbya majuscula), which produces a wide range of lynbyatoxins, has been identified at times at Ōmana Beach (Auckland region) and reported from Waiheke Island to Hawke’s Bay. It is most prevalent in warm temperate to tropical regions (Biessey 2023; Nelson et al 2015; Tricklebank &amp; Hay 2007). No health-based guidance values have been established for lyngbyatoxins.</w:t>
      </w:r>
    </w:p>
    <w:p w14:paraId="3FBB7B11" w14:textId="77777777" w:rsidR="005F672E" w:rsidRPr="00F42BD5" w:rsidRDefault="005F672E" w:rsidP="005F672E">
      <w:pPr>
        <w:pStyle w:val="Heading3"/>
        <w:rPr>
          <w:lang w:val="en-NZ"/>
        </w:rPr>
      </w:pPr>
      <w:r w:rsidRPr="00F42BD5">
        <w:rPr>
          <w:lang w:val="en-NZ"/>
        </w:rPr>
        <w:t>Lipopolysaccharides</w:t>
      </w:r>
    </w:p>
    <w:p w14:paraId="166D1C96" w14:textId="1BAF2F3B" w:rsidR="005F672E" w:rsidRPr="00800DDD" w:rsidRDefault="005F672E" w:rsidP="005F672E">
      <w:pPr>
        <w:rPr>
          <w:sz w:val="24"/>
          <w:szCs w:val="24"/>
          <w:lang w:val="en-NZ"/>
        </w:rPr>
      </w:pPr>
      <w:r w:rsidRPr="00800DDD">
        <w:rPr>
          <w:sz w:val="24"/>
          <w:szCs w:val="24"/>
          <w:lang w:val="en-NZ"/>
        </w:rPr>
        <w:t xml:space="preserve">Lipopolysaccharides, also called endotoxins, are part of </w:t>
      </w:r>
      <w:r w:rsidR="0058271E">
        <w:rPr>
          <w:sz w:val="24"/>
          <w:szCs w:val="24"/>
          <w:lang w:val="en-NZ"/>
        </w:rPr>
        <w:t xml:space="preserve">the </w:t>
      </w:r>
      <w:r w:rsidRPr="00800DDD">
        <w:rPr>
          <w:sz w:val="24"/>
          <w:szCs w:val="24"/>
          <w:lang w:val="en-NZ"/>
        </w:rPr>
        <w:t>cell walls in cyanobacteria and other gram-negative bacteria. Lipopolysaccharides are less well studied than other cyanotoxins but lipopolysaccharides from cyanobacteria may be linked to skin rashes and eye irritation (Pilotto et al 1997; Torokne et al 2001). Although cyanotoxins and gram-negative bacteria such as Escherichia coli may be more toxic than cyanobacterial lipopolysaccharides (Chorus &amp; Welker 2021; Keleti &amp; Sykora 1982; Ministry for the Environment &amp; Ministry of Health 2009; Weirich &amp; Miller, 2014).</w:t>
      </w:r>
    </w:p>
    <w:p w14:paraId="72EE5F0F" w14:textId="2AB3A434" w:rsidR="005F672E" w:rsidRPr="00800DDD" w:rsidRDefault="005F672E" w:rsidP="005F672E">
      <w:pPr>
        <w:rPr>
          <w:sz w:val="24"/>
          <w:szCs w:val="24"/>
          <w:lang w:val="en-NZ"/>
        </w:rPr>
      </w:pPr>
      <w:r w:rsidRPr="00800DDD">
        <w:rPr>
          <w:sz w:val="24"/>
          <w:szCs w:val="24"/>
          <w:lang w:val="en-NZ"/>
        </w:rPr>
        <w:t>In New Zealand, the potential risk of health effects from lipopolysaccharides is managed through a total biovolume threshold for all freshwater planktonic cyanobacteria in a waterbody (Ministry for the Environment &amp; Ministry of Health 2009).</w:t>
      </w:r>
    </w:p>
    <w:p w14:paraId="3DC1C7F9" w14:textId="77777777" w:rsidR="005F672E" w:rsidRPr="00F42BD5" w:rsidRDefault="005F672E" w:rsidP="005F672E">
      <w:pPr>
        <w:pStyle w:val="Heading3"/>
        <w:rPr>
          <w:lang w:val="en-NZ"/>
        </w:rPr>
      </w:pPr>
      <w:r w:rsidRPr="00F42BD5">
        <w:rPr>
          <w:lang w:val="en-NZ"/>
        </w:rPr>
        <w:t>ß-N-methylamino-l-alanine</w:t>
      </w:r>
    </w:p>
    <w:p w14:paraId="2E69C5B8" w14:textId="4065AD4A" w:rsidR="005F672E" w:rsidRPr="00800DDD" w:rsidRDefault="005F672E" w:rsidP="005F672E">
      <w:pPr>
        <w:rPr>
          <w:sz w:val="24"/>
          <w:szCs w:val="24"/>
          <w:lang w:val="en-NZ"/>
        </w:rPr>
      </w:pPr>
      <w:r w:rsidRPr="00800DDD">
        <w:rPr>
          <w:sz w:val="24"/>
          <w:szCs w:val="24"/>
          <w:lang w:val="en-NZ"/>
        </w:rPr>
        <w:t>ß-N-methylamino-l-alanine (BMAA) is a non-proteinogenic amino acid produced by some cyanobacteria, as well as by diatoms and dinoflagellates. There has been some concern that exposure to BMAA could contribute to neurodegenerative diseases such as amyotrophic lateral sclerosis (a form of motor neurone disease) /</w:t>
      </w:r>
      <w:r w:rsidR="00D008F1" w:rsidRPr="00800DDD">
        <w:rPr>
          <w:sz w:val="24"/>
          <w:szCs w:val="24"/>
          <w:lang w:val="en-NZ"/>
        </w:rPr>
        <w:t xml:space="preserve"> </w:t>
      </w:r>
      <w:r w:rsidRPr="00800DDD">
        <w:rPr>
          <w:sz w:val="24"/>
          <w:szCs w:val="24"/>
          <w:lang w:val="en-NZ"/>
        </w:rPr>
        <w:t>Parkinsonism</w:t>
      </w:r>
      <w:r w:rsidR="00D008F1" w:rsidRPr="00800DDD">
        <w:rPr>
          <w:sz w:val="24"/>
          <w:szCs w:val="24"/>
          <w:lang w:val="en-NZ"/>
        </w:rPr>
        <w:t xml:space="preserve"> </w:t>
      </w:r>
      <w:r w:rsidRPr="00800DDD">
        <w:rPr>
          <w:sz w:val="24"/>
          <w:szCs w:val="24"/>
          <w:lang w:val="en-NZ"/>
        </w:rPr>
        <w:t xml:space="preserve">– dementia through accumulation in the food chain or proximity to freshwater. However, this link has not yet been confirmed and the methods used to </w:t>
      </w:r>
      <w:r w:rsidRPr="00800DDD">
        <w:rPr>
          <w:sz w:val="24"/>
          <w:szCs w:val="24"/>
          <w:lang w:val="en-NZ"/>
        </w:rPr>
        <w:lastRenderedPageBreak/>
        <w:t>quantify BMAA in environmental and human tissue samples in some research studies have not been specific enough (Centers for Disease Control and Prevention 2022d; Chorus et al 2021; Chorus &amp; Welker 2021). Further research into BMAA is warranted.</w:t>
      </w:r>
      <w:r w:rsidR="007B0EBA">
        <w:rPr>
          <w:sz w:val="24"/>
          <w:szCs w:val="24"/>
          <w:lang w:val="en-NZ"/>
        </w:rPr>
        <w:t xml:space="preserve"> </w:t>
      </w:r>
      <w:r w:rsidRPr="00800DDD">
        <w:rPr>
          <w:sz w:val="24"/>
          <w:szCs w:val="24"/>
          <w:lang w:val="en-NZ"/>
        </w:rPr>
        <w:t>No NOAELs have been established for BMAA due to a lack of toxicological data (Jiang et al 2014; Ministry for the Environment &amp; Ministry of Health 2009; Weirich &amp; Miller 2014).</w:t>
      </w:r>
    </w:p>
    <w:p w14:paraId="2AD2EAA7" w14:textId="77777777" w:rsidR="005F672E" w:rsidRPr="00F42BD5" w:rsidRDefault="005F672E" w:rsidP="005F672E">
      <w:pPr>
        <w:pStyle w:val="Heading3"/>
        <w:rPr>
          <w:lang w:val="en-NZ"/>
        </w:rPr>
      </w:pPr>
      <w:r w:rsidRPr="00F42BD5">
        <w:rPr>
          <w:lang w:val="en-NZ"/>
        </w:rPr>
        <w:t>Further information on freshwater cyanotoxins</w:t>
      </w:r>
    </w:p>
    <w:p w14:paraId="717CDBE2" w14:textId="06AC0C17" w:rsidR="00306794" w:rsidRPr="00306794" w:rsidRDefault="00306794" w:rsidP="005F672E">
      <w:pPr>
        <w:rPr>
          <w:b/>
          <w:bCs/>
          <w:sz w:val="24"/>
          <w:szCs w:val="24"/>
          <w:lang w:val="en-NZ"/>
        </w:rPr>
      </w:pPr>
      <w:r>
        <w:rPr>
          <w:sz w:val="24"/>
          <w:szCs w:val="24"/>
          <w:lang w:val="en-NZ"/>
        </w:rPr>
        <w:t xml:space="preserve">A summary of the cyanotoxins discussed in this section, their health effects and genera known to produce these toxins is provided in </w:t>
      </w:r>
      <w:hyperlink w:anchor="_Appendix_B:_Table" w:history="1">
        <w:r w:rsidRPr="0021710A">
          <w:rPr>
            <w:rStyle w:val="Hyperlink"/>
            <w:sz w:val="24"/>
            <w:szCs w:val="24"/>
            <w:lang w:val="en-NZ"/>
          </w:rPr>
          <w:t>Appendix B</w:t>
        </w:r>
      </w:hyperlink>
      <w:r>
        <w:rPr>
          <w:b/>
          <w:bCs/>
          <w:sz w:val="24"/>
          <w:szCs w:val="24"/>
          <w:lang w:val="en-NZ"/>
        </w:rPr>
        <w:t>.</w:t>
      </w:r>
    </w:p>
    <w:p w14:paraId="48225D06" w14:textId="5E28536E" w:rsidR="00141B9B" w:rsidRDefault="00306794" w:rsidP="005F672E">
      <w:pPr>
        <w:rPr>
          <w:sz w:val="24"/>
          <w:szCs w:val="24"/>
          <w:lang w:val="en-NZ"/>
        </w:rPr>
      </w:pPr>
      <w:r>
        <w:rPr>
          <w:sz w:val="24"/>
          <w:szCs w:val="24"/>
          <w:lang w:val="en-NZ"/>
        </w:rPr>
        <w:t>For further information p</w:t>
      </w:r>
      <w:r w:rsidR="005F672E" w:rsidRPr="00800DDD">
        <w:rPr>
          <w:sz w:val="24"/>
          <w:szCs w:val="24"/>
          <w:lang w:val="en-NZ"/>
        </w:rPr>
        <w:t xml:space="preserve">lease refer to The New Zealand Guidelines for Cyanobacteria in Recreational Fresh Waters for a list of freshwater cyanotoxin-producing species and their prevalence in </w:t>
      </w:r>
      <w:r w:rsidR="002A5435">
        <w:rPr>
          <w:sz w:val="24"/>
          <w:szCs w:val="24"/>
          <w:lang w:val="en-NZ"/>
        </w:rPr>
        <w:t>New Zealand</w:t>
      </w:r>
      <w:r w:rsidR="00CC2C41">
        <w:rPr>
          <w:sz w:val="24"/>
          <w:szCs w:val="24"/>
          <w:lang w:val="en-NZ"/>
        </w:rPr>
        <w:t xml:space="preserve"> </w:t>
      </w:r>
      <w:r w:rsidR="005F672E" w:rsidRPr="00800DDD">
        <w:rPr>
          <w:sz w:val="24"/>
          <w:szCs w:val="24"/>
          <w:lang w:val="en-NZ"/>
        </w:rPr>
        <w:t>and more in-depth information on freshwater cyanotoxins and their measurement</w:t>
      </w:r>
      <w:r w:rsidR="00D008F1" w:rsidRPr="00800DDD">
        <w:rPr>
          <w:sz w:val="24"/>
          <w:szCs w:val="24"/>
          <w:lang w:val="en-NZ"/>
        </w:rPr>
        <w:t xml:space="preserve"> (Ministry for the Environment &amp; Ministry of Health 2009)</w:t>
      </w:r>
      <w:r w:rsidR="005F672E" w:rsidRPr="00800DDD">
        <w:rPr>
          <w:sz w:val="24"/>
          <w:szCs w:val="24"/>
          <w:lang w:val="en-NZ"/>
        </w:rPr>
        <w:t>.</w:t>
      </w:r>
    </w:p>
    <w:p w14:paraId="074482C7" w14:textId="48AF3A74" w:rsidR="00306794" w:rsidRDefault="00306794" w:rsidP="00BD7E7F">
      <w:pPr>
        <w:pStyle w:val="Heading3"/>
        <w:rPr>
          <w:sz w:val="24"/>
          <w:szCs w:val="24"/>
          <w:lang w:val="en-NZ"/>
        </w:rPr>
      </w:pPr>
    </w:p>
    <w:p w14:paraId="047C2C12" w14:textId="77777777" w:rsidR="00C40770" w:rsidRDefault="00C40770" w:rsidP="00C40770">
      <w:pPr>
        <w:rPr>
          <w:lang w:val="en-NZ"/>
        </w:rPr>
      </w:pPr>
    </w:p>
    <w:p w14:paraId="3E3CEB34" w14:textId="77777777" w:rsidR="00C40770" w:rsidRDefault="00C40770" w:rsidP="00C40770">
      <w:pPr>
        <w:rPr>
          <w:lang w:val="en-NZ"/>
        </w:rPr>
      </w:pPr>
    </w:p>
    <w:p w14:paraId="1A3F9361" w14:textId="77777777" w:rsidR="00C40770" w:rsidRDefault="00C40770" w:rsidP="00C40770">
      <w:pPr>
        <w:rPr>
          <w:lang w:val="en-NZ"/>
        </w:rPr>
      </w:pPr>
    </w:p>
    <w:p w14:paraId="04EA0AC2" w14:textId="77777777" w:rsidR="00C40770" w:rsidRDefault="00C40770" w:rsidP="00C40770">
      <w:pPr>
        <w:rPr>
          <w:lang w:val="en-NZ"/>
        </w:rPr>
      </w:pPr>
    </w:p>
    <w:p w14:paraId="3F83D786" w14:textId="77777777" w:rsidR="00C40770" w:rsidRDefault="00C40770" w:rsidP="00C40770">
      <w:pPr>
        <w:rPr>
          <w:lang w:val="en-NZ"/>
        </w:rPr>
      </w:pPr>
    </w:p>
    <w:p w14:paraId="0B6A3A16" w14:textId="77777777" w:rsidR="00C40770" w:rsidRDefault="00C40770" w:rsidP="00C40770">
      <w:pPr>
        <w:rPr>
          <w:lang w:val="en-NZ"/>
        </w:rPr>
      </w:pPr>
    </w:p>
    <w:p w14:paraId="5CC69C74" w14:textId="77777777" w:rsidR="00C40770" w:rsidRDefault="00C40770" w:rsidP="00C40770">
      <w:pPr>
        <w:rPr>
          <w:lang w:val="en-NZ"/>
        </w:rPr>
      </w:pPr>
    </w:p>
    <w:p w14:paraId="699CC0CE" w14:textId="77777777" w:rsidR="00C40770" w:rsidRDefault="00C40770" w:rsidP="00C40770">
      <w:pPr>
        <w:rPr>
          <w:lang w:val="en-NZ"/>
        </w:rPr>
      </w:pPr>
    </w:p>
    <w:p w14:paraId="0D873699" w14:textId="77777777" w:rsidR="00C40770" w:rsidRDefault="00C40770" w:rsidP="00C40770">
      <w:pPr>
        <w:rPr>
          <w:lang w:val="en-NZ"/>
        </w:rPr>
      </w:pPr>
    </w:p>
    <w:p w14:paraId="1CAF82F3" w14:textId="77777777" w:rsidR="00C40770" w:rsidRDefault="00C40770" w:rsidP="00C40770">
      <w:pPr>
        <w:rPr>
          <w:lang w:val="en-NZ"/>
        </w:rPr>
      </w:pPr>
    </w:p>
    <w:p w14:paraId="0397E38D" w14:textId="77777777" w:rsidR="00C40770" w:rsidRDefault="00C40770" w:rsidP="00C40770">
      <w:pPr>
        <w:rPr>
          <w:lang w:val="en-NZ"/>
        </w:rPr>
      </w:pPr>
    </w:p>
    <w:p w14:paraId="3560F0EC" w14:textId="77777777" w:rsidR="00C40770" w:rsidRDefault="00C40770" w:rsidP="00C40770">
      <w:pPr>
        <w:rPr>
          <w:lang w:val="en-NZ"/>
        </w:rPr>
      </w:pPr>
    </w:p>
    <w:p w14:paraId="77C80DB0" w14:textId="77777777" w:rsidR="00C40770" w:rsidRDefault="00C40770" w:rsidP="00C40770">
      <w:pPr>
        <w:rPr>
          <w:lang w:val="en-NZ"/>
        </w:rPr>
      </w:pPr>
    </w:p>
    <w:p w14:paraId="05CAB0D5" w14:textId="77777777" w:rsidR="00C40770" w:rsidRDefault="00C40770" w:rsidP="00C40770">
      <w:pPr>
        <w:rPr>
          <w:lang w:val="en-NZ"/>
        </w:rPr>
      </w:pPr>
    </w:p>
    <w:p w14:paraId="64B1CC00" w14:textId="77777777" w:rsidR="00C40770" w:rsidRDefault="00C40770" w:rsidP="00C40770">
      <w:pPr>
        <w:rPr>
          <w:lang w:val="en-NZ"/>
        </w:rPr>
      </w:pPr>
    </w:p>
    <w:p w14:paraId="55383B43" w14:textId="77777777" w:rsidR="00C40770" w:rsidRPr="00C40770" w:rsidRDefault="00C40770" w:rsidP="00C40770">
      <w:pPr>
        <w:rPr>
          <w:lang w:val="en-NZ"/>
        </w:rPr>
      </w:pPr>
    </w:p>
    <w:p w14:paraId="78695683" w14:textId="577F9085" w:rsidR="005F672E" w:rsidRPr="00F42BD5" w:rsidRDefault="005F672E" w:rsidP="00306794">
      <w:pPr>
        <w:pStyle w:val="Heading1"/>
        <w:rPr>
          <w:sz w:val="44"/>
          <w:szCs w:val="44"/>
          <w:lang w:val="en-NZ"/>
        </w:rPr>
      </w:pPr>
      <w:bookmarkStart w:id="11" w:name="_Toc181101760"/>
      <w:r w:rsidRPr="00F42BD5">
        <w:rPr>
          <w:sz w:val="44"/>
          <w:szCs w:val="44"/>
          <w:lang w:val="en-NZ"/>
        </w:rPr>
        <w:lastRenderedPageBreak/>
        <w:t>E</w:t>
      </w:r>
      <w:r w:rsidR="007F3756" w:rsidRPr="00F42BD5">
        <w:rPr>
          <w:sz w:val="44"/>
          <w:szCs w:val="44"/>
          <w:lang w:val="en-NZ"/>
        </w:rPr>
        <w:t>xposure and health effects</w:t>
      </w:r>
      <w:bookmarkEnd w:id="11"/>
    </w:p>
    <w:p w14:paraId="300CE8AB" w14:textId="77777777" w:rsidR="005F672E" w:rsidRDefault="005F672E" w:rsidP="00306794">
      <w:pPr>
        <w:keepNext/>
        <w:rPr>
          <w:sz w:val="24"/>
          <w:szCs w:val="24"/>
          <w:lang w:val="en-NZ"/>
        </w:rPr>
      </w:pPr>
      <w:r w:rsidRPr="00800DDD">
        <w:rPr>
          <w:sz w:val="24"/>
          <w:szCs w:val="24"/>
          <w:lang w:val="en-NZ"/>
        </w:rPr>
        <w:t>When considering potential health impacts of exposure to HABs it is useful to think about the person’s underlying health and behaviour as well as the dose and type of biotoxin from the biomass. Figure 1 shows how all three components (agent, host, and environment) interact and contribute to health outcomes for HAB exposure.</w:t>
      </w:r>
    </w:p>
    <w:p w14:paraId="23A518A6" w14:textId="57C18EED" w:rsidR="007779FE" w:rsidRPr="007779FE" w:rsidRDefault="007779FE" w:rsidP="00306794">
      <w:pPr>
        <w:pStyle w:val="Caption"/>
        <w:keepNext/>
        <w:rPr>
          <w:sz w:val="24"/>
          <w:szCs w:val="24"/>
          <w:lang w:val="en-NZ"/>
        </w:rPr>
      </w:pPr>
      <w:r w:rsidRPr="007779FE">
        <w:rPr>
          <w:sz w:val="24"/>
          <w:szCs w:val="24"/>
          <w:lang w:val="en-NZ"/>
        </w:rPr>
        <w:t xml:space="preserve">Figure </w:t>
      </w:r>
      <w:r w:rsidRPr="007779FE">
        <w:rPr>
          <w:sz w:val="24"/>
          <w:szCs w:val="24"/>
          <w:lang w:val="en-NZ"/>
        </w:rPr>
        <w:fldChar w:fldCharType="begin"/>
      </w:r>
      <w:r w:rsidRPr="007779FE">
        <w:rPr>
          <w:sz w:val="24"/>
          <w:szCs w:val="24"/>
          <w:lang w:val="en-NZ"/>
        </w:rPr>
        <w:instrText xml:space="preserve"> SEQ Figure \* ARABIC </w:instrText>
      </w:r>
      <w:r w:rsidRPr="007779FE">
        <w:rPr>
          <w:sz w:val="24"/>
          <w:szCs w:val="24"/>
          <w:lang w:val="en-NZ"/>
        </w:rPr>
        <w:fldChar w:fldCharType="separate"/>
      </w:r>
      <w:r w:rsidR="007643FB">
        <w:rPr>
          <w:noProof/>
          <w:sz w:val="24"/>
          <w:szCs w:val="24"/>
          <w:lang w:val="en-NZ"/>
        </w:rPr>
        <w:t>1</w:t>
      </w:r>
      <w:r w:rsidRPr="007779FE">
        <w:rPr>
          <w:sz w:val="24"/>
          <w:szCs w:val="24"/>
          <w:lang w:val="en-NZ"/>
        </w:rPr>
        <w:fldChar w:fldCharType="end"/>
      </w:r>
      <w:r w:rsidRPr="007779FE">
        <w:rPr>
          <w:sz w:val="24"/>
          <w:szCs w:val="24"/>
          <w:lang w:val="en-NZ"/>
        </w:rPr>
        <w:t xml:space="preserve"> Epidemiological triangle for harmful algal blooms</w:t>
      </w:r>
    </w:p>
    <w:p w14:paraId="67818E3F" w14:textId="77777777" w:rsidR="0053084A" w:rsidRDefault="005F672E" w:rsidP="007B0EBA">
      <w:pPr>
        <w:keepNext/>
        <w:rPr>
          <w:lang w:val="en-NZ"/>
        </w:rPr>
      </w:pPr>
      <w:r w:rsidRPr="00CC0F9B">
        <w:rPr>
          <w:noProof/>
          <w:lang w:val="en-NZ"/>
        </w:rPr>
        <mc:AlternateContent>
          <mc:Choice Requires="wpg">
            <w:drawing>
              <wp:inline distT="0" distB="0" distL="0" distR="0" wp14:anchorId="11D49608" wp14:editId="26276957">
                <wp:extent cx="5788025" cy="4643120"/>
                <wp:effectExtent l="0" t="0" r="22225" b="24130"/>
                <wp:docPr id="7" name="Group 7" descr="Figure 1 - Epidemiological triangle for harmful algal bloo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025" cy="4643120"/>
                          <a:chOff x="1398" y="233"/>
                          <a:chExt cx="9115" cy="7312"/>
                        </a:xfrm>
                      </wpg:grpSpPr>
                      <wps:wsp>
                        <wps:cNvPr id="8" name="Freeform 7"/>
                        <wps:cNvSpPr>
                          <a:spLocks/>
                        </wps:cNvSpPr>
                        <wps:spPr bwMode="auto">
                          <a:xfrm>
                            <a:off x="1465" y="260"/>
                            <a:ext cx="9048" cy="7285"/>
                          </a:xfrm>
                          <a:custGeom>
                            <a:avLst/>
                            <a:gdLst>
                              <a:gd name="T0" fmla="+- 0 2612 1398"/>
                              <a:gd name="T1" fmla="*/ T0 w 9048"/>
                              <a:gd name="T2" fmla="+- 0 234 234"/>
                              <a:gd name="T3" fmla="*/ 234 h 7285"/>
                              <a:gd name="T4" fmla="+- 0 2460 1398"/>
                              <a:gd name="T5" fmla="*/ T4 w 9048"/>
                              <a:gd name="T6" fmla="+- 0 243 234"/>
                              <a:gd name="T7" fmla="*/ 243 h 7285"/>
                              <a:gd name="T8" fmla="+- 0 2313 1398"/>
                              <a:gd name="T9" fmla="*/ T8 w 9048"/>
                              <a:gd name="T10" fmla="+- 0 271 234"/>
                              <a:gd name="T11" fmla="*/ 271 h 7285"/>
                              <a:gd name="T12" fmla="+- 0 2173 1398"/>
                              <a:gd name="T13" fmla="*/ T12 w 9048"/>
                              <a:gd name="T14" fmla="+- 0 315 234"/>
                              <a:gd name="T15" fmla="*/ 315 h 7285"/>
                              <a:gd name="T16" fmla="+- 0 2041 1398"/>
                              <a:gd name="T17" fmla="*/ T16 w 9048"/>
                              <a:gd name="T18" fmla="+- 0 376 234"/>
                              <a:gd name="T19" fmla="*/ 376 h 7285"/>
                              <a:gd name="T20" fmla="+- 0 1918 1398"/>
                              <a:gd name="T21" fmla="*/ T20 w 9048"/>
                              <a:gd name="T22" fmla="+- 0 451 234"/>
                              <a:gd name="T23" fmla="*/ 451 h 7285"/>
                              <a:gd name="T24" fmla="+- 0 1806 1398"/>
                              <a:gd name="T25" fmla="*/ T24 w 9048"/>
                              <a:gd name="T26" fmla="+- 0 540 234"/>
                              <a:gd name="T27" fmla="*/ 540 h 7285"/>
                              <a:gd name="T28" fmla="+- 0 1704 1398"/>
                              <a:gd name="T29" fmla="*/ T28 w 9048"/>
                              <a:gd name="T30" fmla="+- 0 641 234"/>
                              <a:gd name="T31" fmla="*/ 641 h 7285"/>
                              <a:gd name="T32" fmla="+- 0 1616 1398"/>
                              <a:gd name="T33" fmla="*/ T32 w 9048"/>
                              <a:gd name="T34" fmla="+- 0 754 234"/>
                              <a:gd name="T35" fmla="*/ 754 h 7285"/>
                              <a:gd name="T36" fmla="+- 0 1540 1398"/>
                              <a:gd name="T37" fmla="*/ T36 w 9048"/>
                              <a:gd name="T38" fmla="+- 0 877 234"/>
                              <a:gd name="T39" fmla="*/ 877 h 7285"/>
                              <a:gd name="T40" fmla="+- 0 1480 1398"/>
                              <a:gd name="T41" fmla="*/ T40 w 9048"/>
                              <a:gd name="T42" fmla="+- 0 1009 234"/>
                              <a:gd name="T43" fmla="*/ 1009 h 7285"/>
                              <a:gd name="T44" fmla="+- 0 1435 1398"/>
                              <a:gd name="T45" fmla="*/ T44 w 9048"/>
                              <a:gd name="T46" fmla="+- 0 1149 234"/>
                              <a:gd name="T47" fmla="*/ 1149 h 7285"/>
                              <a:gd name="T48" fmla="+- 0 1407 1398"/>
                              <a:gd name="T49" fmla="*/ T48 w 9048"/>
                              <a:gd name="T50" fmla="+- 0 1295 234"/>
                              <a:gd name="T51" fmla="*/ 1295 h 7285"/>
                              <a:gd name="T52" fmla="+- 0 1398 1398"/>
                              <a:gd name="T53" fmla="*/ T52 w 9048"/>
                              <a:gd name="T54" fmla="+- 0 1448 234"/>
                              <a:gd name="T55" fmla="*/ 1448 h 7285"/>
                              <a:gd name="T56" fmla="+- 0 1400 1398"/>
                              <a:gd name="T57" fmla="*/ T56 w 9048"/>
                              <a:gd name="T58" fmla="+- 0 6381 234"/>
                              <a:gd name="T59" fmla="*/ 6381 h 7285"/>
                              <a:gd name="T60" fmla="+- 0 1419 1398"/>
                              <a:gd name="T61" fmla="*/ T60 w 9048"/>
                              <a:gd name="T62" fmla="+- 0 6531 234"/>
                              <a:gd name="T63" fmla="*/ 6531 h 7285"/>
                              <a:gd name="T64" fmla="+- 0 1455 1398"/>
                              <a:gd name="T65" fmla="*/ T64 w 9048"/>
                              <a:gd name="T66" fmla="+- 0 6674 234"/>
                              <a:gd name="T67" fmla="*/ 6674 h 7285"/>
                              <a:gd name="T68" fmla="+- 0 1508 1398"/>
                              <a:gd name="T69" fmla="*/ T68 w 9048"/>
                              <a:gd name="T70" fmla="+- 0 6810 234"/>
                              <a:gd name="T71" fmla="*/ 6810 h 7285"/>
                              <a:gd name="T72" fmla="+- 0 1576 1398"/>
                              <a:gd name="T73" fmla="*/ T72 w 9048"/>
                              <a:gd name="T74" fmla="+- 0 6938 234"/>
                              <a:gd name="T75" fmla="*/ 6938 h 7285"/>
                              <a:gd name="T76" fmla="+- 0 1658 1398"/>
                              <a:gd name="T77" fmla="*/ T76 w 9048"/>
                              <a:gd name="T78" fmla="+- 0 7056 234"/>
                              <a:gd name="T79" fmla="*/ 7056 h 7285"/>
                              <a:gd name="T80" fmla="+- 0 1754 1398"/>
                              <a:gd name="T81" fmla="*/ T80 w 9048"/>
                              <a:gd name="T82" fmla="+- 0 7163 234"/>
                              <a:gd name="T83" fmla="*/ 7163 h 7285"/>
                              <a:gd name="T84" fmla="+- 0 1861 1398"/>
                              <a:gd name="T85" fmla="*/ T84 w 9048"/>
                              <a:gd name="T86" fmla="+- 0 7258 234"/>
                              <a:gd name="T87" fmla="*/ 7258 h 7285"/>
                              <a:gd name="T88" fmla="+- 0 1979 1398"/>
                              <a:gd name="T89" fmla="*/ T88 w 9048"/>
                              <a:gd name="T90" fmla="+- 0 7341 234"/>
                              <a:gd name="T91" fmla="*/ 7341 h 7285"/>
                              <a:gd name="T92" fmla="+- 0 2106 1398"/>
                              <a:gd name="T93" fmla="*/ T92 w 9048"/>
                              <a:gd name="T94" fmla="+- 0 7409 234"/>
                              <a:gd name="T95" fmla="*/ 7409 h 7285"/>
                              <a:gd name="T96" fmla="+- 0 2242 1398"/>
                              <a:gd name="T97" fmla="*/ T96 w 9048"/>
                              <a:gd name="T98" fmla="+- 0 7461 234"/>
                              <a:gd name="T99" fmla="*/ 7461 h 7285"/>
                              <a:gd name="T100" fmla="+- 0 2386 1398"/>
                              <a:gd name="T101" fmla="*/ T100 w 9048"/>
                              <a:gd name="T102" fmla="+- 0 7498 234"/>
                              <a:gd name="T103" fmla="*/ 7498 h 7285"/>
                              <a:gd name="T104" fmla="+- 0 2535 1398"/>
                              <a:gd name="T105" fmla="*/ T104 w 9048"/>
                              <a:gd name="T106" fmla="+- 0 7516 234"/>
                              <a:gd name="T107" fmla="*/ 7516 h 7285"/>
                              <a:gd name="T108" fmla="+- 0 9232 1398"/>
                              <a:gd name="T109" fmla="*/ T108 w 9048"/>
                              <a:gd name="T110" fmla="+- 0 7519 234"/>
                              <a:gd name="T111" fmla="*/ 7519 h 7285"/>
                              <a:gd name="T112" fmla="+- 0 9384 1398"/>
                              <a:gd name="T113" fmla="*/ T112 w 9048"/>
                              <a:gd name="T114" fmla="+- 0 7509 234"/>
                              <a:gd name="T115" fmla="*/ 7509 h 7285"/>
                              <a:gd name="T116" fmla="+- 0 9531 1398"/>
                              <a:gd name="T117" fmla="*/ T116 w 9048"/>
                              <a:gd name="T118" fmla="+- 0 7482 234"/>
                              <a:gd name="T119" fmla="*/ 7482 h 7285"/>
                              <a:gd name="T120" fmla="+- 0 9671 1398"/>
                              <a:gd name="T121" fmla="*/ T120 w 9048"/>
                              <a:gd name="T122" fmla="+- 0 7437 234"/>
                              <a:gd name="T123" fmla="*/ 7437 h 7285"/>
                              <a:gd name="T124" fmla="+- 0 9803 1398"/>
                              <a:gd name="T125" fmla="*/ T124 w 9048"/>
                              <a:gd name="T126" fmla="+- 0 7376 234"/>
                              <a:gd name="T127" fmla="*/ 7376 h 7285"/>
                              <a:gd name="T128" fmla="+- 0 9926 1398"/>
                              <a:gd name="T129" fmla="*/ T128 w 9048"/>
                              <a:gd name="T130" fmla="+- 0 7301 234"/>
                              <a:gd name="T131" fmla="*/ 7301 h 7285"/>
                              <a:gd name="T132" fmla="+- 0 10038 1398"/>
                              <a:gd name="T133" fmla="*/ T132 w 9048"/>
                              <a:gd name="T134" fmla="+- 0 7212 234"/>
                              <a:gd name="T135" fmla="*/ 7212 h 7285"/>
                              <a:gd name="T136" fmla="+- 0 10140 1398"/>
                              <a:gd name="T137" fmla="*/ T136 w 9048"/>
                              <a:gd name="T138" fmla="+- 0 7111 234"/>
                              <a:gd name="T139" fmla="*/ 7111 h 7285"/>
                              <a:gd name="T140" fmla="+- 0 10228 1398"/>
                              <a:gd name="T141" fmla="*/ T140 w 9048"/>
                              <a:gd name="T142" fmla="+- 0 6998 234"/>
                              <a:gd name="T143" fmla="*/ 6998 h 7285"/>
                              <a:gd name="T144" fmla="+- 0 10304 1398"/>
                              <a:gd name="T145" fmla="*/ T144 w 9048"/>
                              <a:gd name="T146" fmla="+- 0 6875 234"/>
                              <a:gd name="T147" fmla="*/ 6875 h 7285"/>
                              <a:gd name="T148" fmla="+- 0 10364 1398"/>
                              <a:gd name="T149" fmla="*/ T148 w 9048"/>
                              <a:gd name="T150" fmla="+- 0 6743 234"/>
                              <a:gd name="T151" fmla="*/ 6743 h 7285"/>
                              <a:gd name="T152" fmla="+- 0 10409 1398"/>
                              <a:gd name="T153" fmla="*/ T152 w 9048"/>
                              <a:gd name="T154" fmla="+- 0 6603 234"/>
                              <a:gd name="T155" fmla="*/ 6603 h 7285"/>
                              <a:gd name="T156" fmla="+- 0 10437 1398"/>
                              <a:gd name="T157" fmla="*/ T156 w 9048"/>
                              <a:gd name="T158" fmla="+- 0 6457 234"/>
                              <a:gd name="T159" fmla="*/ 6457 h 7285"/>
                              <a:gd name="T160" fmla="+- 0 10446 1398"/>
                              <a:gd name="T161" fmla="*/ T160 w 9048"/>
                              <a:gd name="T162" fmla="+- 0 6305 234"/>
                              <a:gd name="T163" fmla="*/ 6305 h 7285"/>
                              <a:gd name="T164" fmla="+- 0 10444 1398"/>
                              <a:gd name="T165" fmla="*/ T164 w 9048"/>
                              <a:gd name="T166" fmla="+- 0 1371 234"/>
                              <a:gd name="T167" fmla="*/ 1371 h 7285"/>
                              <a:gd name="T168" fmla="+- 0 10425 1398"/>
                              <a:gd name="T169" fmla="*/ T168 w 9048"/>
                              <a:gd name="T170" fmla="+- 0 1221 234"/>
                              <a:gd name="T171" fmla="*/ 1221 h 7285"/>
                              <a:gd name="T172" fmla="+- 0 10389 1398"/>
                              <a:gd name="T173" fmla="*/ T172 w 9048"/>
                              <a:gd name="T174" fmla="+- 0 1078 234"/>
                              <a:gd name="T175" fmla="*/ 1078 h 7285"/>
                              <a:gd name="T176" fmla="+- 0 10336 1398"/>
                              <a:gd name="T177" fmla="*/ T176 w 9048"/>
                              <a:gd name="T178" fmla="+- 0 942 234"/>
                              <a:gd name="T179" fmla="*/ 942 h 7285"/>
                              <a:gd name="T180" fmla="+- 0 10268 1398"/>
                              <a:gd name="T181" fmla="*/ T180 w 9048"/>
                              <a:gd name="T182" fmla="+- 0 814 234"/>
                              <a:gd name="T183" fmla="*/ 814 h 7285"/>
                              <a:gd name="T184" fmla="+- 0 10186 1398"/>
                              <a:gd name="T185" fmla="*/ T184 w 9048"/>
                              <a:gd name="T186" fmla="+- 0 696 234"/>
                              <a:gd name="T187" fmla="*/ 696 h 7285"/>
                              <a:gd name="T188" fmla="+- 0 10090 1398"/>
                              <a:gd name="T189" fmla="*/ T188 w 9048"/>
                              <a:gd name="T190" fmla="+- 0 589 234"/>
                              <a:gd name="T191" fmla="*/ 589 h 7285"/>
                              <a:gd name="T192" fmla="+- 0 9983 1398"/>
                              <a:gd name="T193" fmla="*/ T192 w 9048"/>
                              <a:gd name="T194" fmla="+- 0 494 234"/>
                              <a:gd name="T195" fmla="*/ 494 h 7285"/>
                              <a:gd name="T196" fmla="+- 0 9865 1398"/>
                              <a:gd name="T197" fmla="*/ T196 w 9048"/>
                              <a:gd name="T198" fmla="+- 0 412 234"/>
                              <a:gd name="T199" fmla="*/ 412 h 7285"/>
                              <a:gd name="T200" fmla="+- 0 9738 1398"/>
                              <a:gd name="T201" fmla="*/ T200 w 9048"/>
                              <a:gd name="T202" fmla="+- 0 344 234"/>
                              <a:gd name="T203" fmla="*/ 344 h 7285"/>
                              <a:gd name="T204" fmla="+- 0 9602 1398"/>
                              <a:gd name="T205" fmla="*/ T204 w 9048"/>
                              <a:gd name="T206" fmla="+- 0 291 234"/>
                              <a:gd name="T207" fmla="*/ 291 h 7285"/>
                              <a:gd name="T208" fmla="+- 0 9458 1398"/>
                              <a:gd name="T209" fmla="*/ T208 w 9048"/>
                              <a:gd name="T210" fmla="+- 0 255 234"/>
                              <a:gd name="T211" fmla="*/ 255 h 7285"/>
                              <a:gd name="T212" fmla="+- 0 9309 1398"/>
                              <a:gd name="T213" fmla="*/ T212 w 9048"/>
                              <a:gd name="T214" fmla="+- 0 236 234"/>
                              <a:gd name="T215" fmla="*/ 236 h 7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48" h="7285">
                                <a:moveTo>
                                  <a:pt x="7834" y="0"/>
                                </a:moveTo>
                                <a:lnTo>
                                  <a:pt x="1214" y="0"/>
                                </a:lnTo>
                                <a:lnTo>
                                  <a:pt x="1137" y="2"/>
                                </a:lnTo>
                                <a:lnTo>
                                  <a:pt x="1062" y="9"/>
                                </a:lnTo>
                                <a:lnTo>
                                  <a:pt x="988" y="21"/>
                                </a:lnTo>
                                <a:lnTo>
                                  <a:pt x="915" y="37"/>
                                </a:lnTo>
                                <a:lnTo>
                                  <a:pt x="844" y="57"/>
                                </a:lnTo>
                                <a:lnTo>
                                  <a:pt x="775" y="81"/>
                                </a:lnTo>
                                <a:lnTo>
                                  <a:pt x="708" y="110"/>
                                </a:lnTo>
                                <a:lnTo>
                                  <a:pt x="643" y="142"/>
                                </a:lnTo>
                                <a:lnTo>
                                  <a:pt x="581" y="178"/>
                                </a:lnTo>
                                <a:lnTo>
                                  <a:pt x="520" y="217"/>
                                </a:lnTo>
                                <a:lnTo>
                                  <a:pt x="463" y="260"/>
                                </a:lnTo>
                                <a:lnTo>
                                  <a:pt x="408" y="306"/>
                                </a:lnTo>
                                <a:lnTo>
                                  <a:pt x="356" y="355"/>
                                </a:lnTo>
                                <a:lnTo>
                                  <a:pt x="306" y="407"/>
                                </a:lnTo>
                                <a:lnTo>
                                  <a:pt x="260" y="462"/>
                                </a:lnTo>
                                <a:lnTo>
                                  <a:pt x="218" y="520"/>
                                </a:lnTo>
                                <a:lnTo>
                                  <a:pt x="178" y="580"/>
                                </a:lnTo>
                                <a:lnTo>
                                  <a:pt x="142" y="643"/>
                                </a:lnTo>
                                <a:lnTo>
                                  <a:pt x="110" y="708"/>
                                </a:lnTo>
                                <a:lnTo>
                                  <a:pt x="82" y="775"/>
                                </a:lnTo>
                                <a:lnTo>
                                  <a:pt x="57" y="844"/>
                                </a:lnTo>
                                <a:lnTo>
                                  <a:pt x="37" y="915"/>
                                </a:lnTo>
                                <a:lnTo>
                                  <a:pt x="21" y="987"/>
                                </a:lnTo>
                                <a:lnTo>
                                  <a:pt x="9" y="1061"/>
                                </a:lnTo>
                                <a:lnTo>
                                  <a:pt x="2" y="1137"/>
                                </a:lnTo>
                                <a:lnTo>
                                  <a:pt x="0" y="1214"/>
                                </a:lnTo>
                                <a:lnTo>
                                  <a:pt x="0" y="6071"/>
                                </a:lnTo>
                                <a:lnTo>
                                  <a:pt x="2" y="6147"/>
                                </a:lnTo>
                                <a:lnTo>
                                  <a:pt x="9" y="6223"/>
                                </a:lnTo>
                                <a:lnTo>
                                  <a:pt x="21" y="6297"/>
                                </a:lnTo>
                                <a:lnTo>
                                  <a:pt x="37" y="6369"/>
                                </a:lnTo>
                                <a:lnTo>
                                  <a:pt x="57" y="6440"/>
                                </a:lnTo>
                                <a:lnTo>
                                  <a:pt x="82" y="6509"/>
                                </a:lnTo>
                                <a:lnTo>
                                  <a:pt x="110" y="6576"/>
                                </a:lnTo>
                                <a:lnTo>
                                  <a:pt x="142" y="6641"/>
                                </a:lnTo>
                                <a:lnTo>
                                  <a:pt x="178" y="6704"/>
                                </a:lnTo>
                                <a:lnTo>
                                  <a:pt x="218" y="6764"/>
                                </a:lnTo>
                                <a:lnTo>
                                  <a:pt x="260" y="6822"/>
                                </a:lnTo>
                                <a:lnTo>
                                  <a:pt x="306" y="6877"/>
                                </a:lnTo>
                                <a:lnTo>
                                  <a:pt x="356" y="6929"/>
                                </a:lnTo>
                                <a:lnTo>
                                  <a:pt x="408" y="6978"/>
                                </a:lnTo>
                                <a:lnTo>
                                  <a:pt x="463" y="7024"/>
                                </a:lnTo>
                                <a:lnTo>
                                  <a:pt x="520" y="7067"/>
                                </a:lnTo>
                                <a:lnTo>
                                  <a:pt x="581" y="7107"/>
                                </a:lnTo>
                                <a:lnTo>
                                  <a:pt x="643" y="7142"/>
                                </a:lnTo>
                                <a:lnTo>
                                  <a:pt x="708" y="7175"/>
                                </a:lnTo>
                                <a:lnTo>
                                  <a:pt x="775" y="7203"/>
                                </a:lnTo>
                                <a:lnTo>
                                  <a:pt x="844" y="7227"/>
                                </a:lnTo>
                                <a:lnTo>
                                  <a:pt x="915" y="7248"/>
                                </a:lnTo>
                                <a:lnTo>
                                  <a:pt x="988" y="7264"/>
                                </a:lnTo>
                                <a:lnTo>
                                  <a:pt x="1062" y="7275"/>
                                </a:lnTo>
                                <a:lnTo>
                                  <a:pt x="1137" y="7282"/>
                                </a:lnTo>
                                <a:lnTo>
                                  <a:pt x="1214" y="7285"/>
                                </a:lnTo>
                                <a:lnTo>
                                  <a:pt x="7834" y="7285"/>
                                </a:lnTo>
                                <a:lnTo>
                                  <a:pt x="7911" y="7282"/>
                                </a:lnTo>
                                <a:lnTo>
                                  <a:pt x="7986" y="7275"/>
                                </a:lnTo>
                                <a:lnTo>
                                  <a:pt x="8060" y="7264"/>
                                </a:lnTo>
                                <a:lnTo>
                                  <a:pt x="8133" y="7248"/>
                                </a:lnTo>
                                <a:lnTo>
                                  <a:pt x="8204" y="7227"/>
                                </a:lnTo>
                                <a:lnTo>
                                  <a:pt x="8273" y="7203"/>
                                </a:lnTo>
                                <a:lnTo>
                                  <a:pt x="8340" y="7175"/>
                                </a:lnTo>
                                <a:lnTo>
                                  <a:pt x="8405" y="7142"/>
                                </a:lnTo>
                                <a:lnTo>
                                  <a:pt x="8467" y="7107"/>
                                </a:lnTo>
                                <a:lnTo>
                                  <a:pt x="8528" y="7067"/>
                                </a:lnTo>
                                <a:lnTo>
                                  <a:pt x="8585" y="7024"/>
                                </a:lnTo>
                                <a:lnTo>
                                  <a:pt x="8640" y="6978"/>
                                </a:lnTo>
                                <a:lnTo>
                                  <a:pt x="8692" y="6929"/>
                                </a:lnTo>
                                <a:lnTo>
                                  <a:pt x="8742" y="6877"/>
                                </a:lnTo>
                                <a:lnTo>
                                  <a:pt x="8788" y="6822"/>
                                </a:lnTo>
                                <a:lnTo>
                                  <a:pt x="8830" y="6764"/>
                                </a:lnTo>
                                <a:lnTo>
                                  <a:pt x="8870" y="6704"/>
                                </a:lnTo>
                                <a:lnTo>
                                  <a:pt x="8906" y="6641"/>
                                </a:lnTo>
                                <a:lnTo>
                                  <a:pt x="8938" y="6576"/>
                                </a:lnTo>
                                <a:lnTo>
                                  <a:pt x="8966" y="6509"/>
                                </a:lnTo>
                                <a:lnTo>
                                  <a:pt x="8991" y="6440"/>
                                </a:lnTo>
                                <a:lnTo>
                                  <a:pt x="9011" y="6369"/>
                                </a:lnTo>
                                <a:lnTo>
                                  <a:pt x="9027" y="6297"/>
                                </a:lnTo>
                                <a:lnTo>
                                  <a:pt x="9039" y="6223"/>
                                </a:lnTo>
                                <a:lnTo>
                                  <a:pt x="9046" y="6147"/>
                                </a:lnTo>
                                <a:lnTo>
                                  <a:pt x="9048" y="6071"/>
                                </a:lnTo>
                                <a:lnTo>
                                  <a:pt x="9048" y="1214"/>
                                </a:lnTo>
                                <a:lnTo>
                                  <a:pt x="9046" y="1137"/>
                                </a:lnTo>
                                <a:lnTo>
                                  <a:pt x="9039" y="1061"/>
                                </a:lnTo>
                                <a:lnTo>
                                  <a:pt x="9027" y="987"/>
                                </a:lnTo>
                                <a:lnTo>
                                  <a:pt x="9011" y="915"/>
                                </a:lnTo>
                                <a:lnTo>
                                  <a:pt x="8991" y="844"/>
                                </a:lnTo>
                                <a:lnTo>
                                  <a:pt x="8966" y="775"/>
                                </a:lnTo>
                                <a:lnTo>
                                  <a:pt x="8938" y="708"/>
                                </a:lnTo>
                                <a:lnTo>
                                  <a:pt x="8906" y="643"/>
                                </a:lnTo>
                                <a:lnTo>
                                  <a:pt x="8870" y="580"/>
                                </a:lnTo>
                                <a:lnTo>
                                  <a:pt x="8830" y="520"/>
                                </a:lnTo>
                                <a:lnTo>
                                  <a:pt x="8788" y="462"/>
                                </a:lnTo>
                                <a:lnTo>
                                  <a:pt x="8742" y="407"/>
                                </a:lnTo>
                                <a:lnTo>
                                  <a:pt x="8692" y="355"/>
                                </a:lnTo>
                                <a:lnTo>
                                  <a:pt x="8640" y="306"/>
                                </a:lnTo>
                                <a:lnTo>
                                  <a:pt x="8585" y="260"/>
                                </a:lnTo>
                                <a:lnTo>
                                  <a:pt x="8528" y="217"/>
                                </a:lnTo>
                                <a:lnTo>
                                  <a:pt x="8467" y="178"/>
                                </a:lnTo>
                                <a:lnTo>
                                  <a:pt x="8405" y="142"/>
                                </a:lnTo>
                                <a:lnTo>
                                  <a:pt x="8340" y="110"/>
                                </a:lnTo>
                                <a:lnTo>
                                  <a:pt x="8273" y="81"/>
                                </a:lnTo>
                                <a:lnTo>
                                  <a:pt x="8204" y="57"/>
                                </a:lnTo>
                                <a:lnTo>
                                  <a:pt x="8133" y="37"/>
                                </a:lnTo>
                                <a:lnTo>
                                  <a:pt x="8060" y="21"/>
                                </a:lnTo>
                                <a:lnTo>
                                  <a:pt x="7986" y="9"/>
                                </a:lnTo>
                                <a:lnTo>
                                  <a:pt x="7911" y="2"/>
                                </a:lnTo>
                                <a:lnTo>
                                  <a:pt x="7834" y="0"/>
                                </a:lnTo>
                                <a:close/>
                              </a:path>
                            </a:pathLst>
                          </a:custGeom>
                          <a:solidFill>
                            <a:srgbClr val="30A1AC"/>
                          </a:solidFill>
                          <a:ln w="9525">
                            <a:solidFill>
                              <a:srgbClr val="000000"/>
                            </a:solidFill>
                            <a:round/>
                            <a:headEnd/>
                            <a:tailEnd/>
                          </a:ln>
                        </wps:spPr>
                        <wps:bodyPr rot="0" vert="horz" wrap="square" lIns="91440" tIns="45720" rIns="91440" bIns="45720" anchor="t" anchorCtr="0" upright="1">
                          <a:noAutofit/>
                        </wps:bodyPr>
                      </wps:wsp>
                      <wps:wsp>
                        <wps:cNvPr id="9" name="Freeform 8"/>
                        <wps:cNvSpPr>
                          <a:spLocks/>
                        </wps:cNvSpPr>
                        <wps:spPr bwMode="auto">
                          <a:xfrm>
                            <a:off x="1398" y="233"/>
                            <a:ext cx="9048" cy="7285"/>
                          </a:xfrm>
                          <a:custGeom>
                            <a:avLst/>
                            <a:gdLst>
                              <a:gd name="T0" fmla="+- 0 1400 1398"/>
                              <a:gd name="T1" fmla="*/ T0 w 9048"/>
                              <a:gd name="T2" fmla="+- 0 1371 234"/>
                              <a:gd name="T3" fmla="*/ 1371 h 7285"/>
                              <a:gd name="T4" fmla="+- 0 1419 1398"/>
                              <a:gd name="T5" fmla="*/ T4 w 9048"/>
                              <a:gd name="T6" fmla="+- 0 1221 234"/>
                              <a:gd name="T7" fmla="*/ 1221 h 7285"/>
                              <a:gd name="T8" fmla="+- 0 1455 1398"/>
                              <a:gd name="T9" fmla="*/ T8 w 9048"/>
                              <a:gd name="T10" fmla="+- 0 1078 234"/>
                              <a:gd name="T11" fmla="*/ 1078 h 7285"/>
                              <a:gd name="T12" fmla="+- 0 1508 1398"/>
                              <a:gd name="T13" fmla="*/ T12 w 9048"/>
                              <a:gd name="T14" fmla="+- 0 942 234"/>
                              <a:gd name="T15" fmla="*/ 942 h 7285"/>
                              <a:gd name="T16" fmla="+- 0 1576 1398"/>
                              <a:gd name="T17" fmla="*/ T16 w 9048"/>
                              <a:gd name="T18" fmla="+- 0 814 234"/>
                              <a:gd name="T19" fmla="*/ 814 h 7285"/>
                              <a:gd name="T20" fmla="+- 0 1658 1398"/>
                              <a:gd name="T21" fmla="*/ T20 w 9048"/>
                              <a:gd name="T22" fmla="+- 0 696 234"/>
                              <a:gd name="T23" fmla="*/ 696 h 7285"/>
                              <a:gd name="T24" fmla="+- 0 1754 1398"/>
                              <a:gd name="T25" fmla="*/ T24 w 9048"/>
                              <a:gd name="T26" fmla="+- 0 589 234"/>
                              <a:gd name="T27" fmla="*/ 589 h 7285"/>
                              <a:gd name="T28" fmla="+- 0 1861 1398"/>
                              <a:gd name="T29" fmla="*/ T28 w 9048"/>
                              <a:gd name="T30" fmla="+- 0 494 234"/>
                              <a:gd name="T31" fmla="*/ 494 h 7285"/>
                              <a:gd name="T32" fmla="+- 0 1979 1398"/>
                              <a:gd name="T33" fmla="*/ T32 w 9048"/>
                              <a:gd name="T34" fmla="+- 0 412 234"/>
                              <a:gd name="T35" fmla="*/ 412 h 7285"/>
                              <a:gd name="T36" fmla="+- 0 2106 1398"/>
                              <a:gd name="T37" fmla="*/ T36 w 9048"/>
                              <a:gd name="T38" fmla="+- 0 344 234"/>
                              <a:gd name="T39" fmla="*/ 344 h 7285"/>
                              <a:gd name="T40" fmla="+- 0 2242 1398"/>
                              <a:gd name="T41" fmla="*/ T40 w 9048"/>
                              <a:gd name="T42" fmla="+- 0 291 234"/>
                              <a:gd name="T43" fmla="*/ 291 h 7285"/>
                              <a:gd name="T44" fmla="+- 0 2386 1398"/>
                              <a:gd name="T45" fmla="*/ T44 w 9048"/>
                              <a:gd name="T46" fmla="+- 0 255 234"/>
                              <a:gd name="T47" fmla="*/ 255 h 7285"/>
                              <a:gd name="T48" fmla="+- 0 2535 1398"/>
                              <a:gd name="T49" fmla="*/ T48 w 9048"/>
                              <a:gd name="T50" fmla="+- 0 236 234"/>
                              <a:gd name="T51" fmla="*/ 236 h 7285"/>
                              <a:gd name="T52" fmla="+- 0 9232 1398"/>
                              <a:gd name="T53" fmla="*/ T52 w 9048"/>
                              <a:gd name="T54" fmla="+- 0 234 234"/>
                              <a:gd name="T55" fmla="*/ 234 h 7285"/>
                              <a:gd name="T56" fmla="+- 0 9384 1398"/>
                              <a:gd name="T57" fmla="*/ T56 w 9048"/>
                              <a:gd name="T58" fmla="+- 0 243 234"/>
                              <a:gd name="T59" fmla="*/ 243 h 7285"/>
                              <a:gd name="T60" fmla="+- 0 9531 1398"/>
                              <a:gd name="T61" fmla="*/ T60 w 9048"/>
                              <a:gd name="T62" fmla="+- 0 271 234"/>
                              <a:gd name="T63" fmla="*/ 271 h 7285"/>
                              <a:gd name="T64" fmla="+- 0 9671 1398"/>
                              <a:gd name="T65" fmla="*/ T64 w 9048"/>
                              <a:gd name="T66" fmla="+- 0 315 234"/>
                              <a:gd name="T67" fmla="*/ 315 h 7285"/>
                              <a:gd name="T68" fmla="+- 0 9803 1398"/>
                              <a:gd name="T69" fmla="*/ T68 w 9048"/>
                              <a:gd name="T70" fmla="+- 0 376 234"/>
                              <a:gd name="T71" fmla="*/ 376 h 7285"/>
                              <a:gd name="T72" fmla="+- 0 9926 1398"/>
                              <a:gd name="T73" fmla="*/ T72 w 9048"/>
                              <a:gd name="T74" fmla="+- 0 451 234"/>
                              <a:gd name="T75" fmla="*/ 451 h 7285"/>
                              <a:gd name="T76" fmla="+- 0 10038 1398"/>
                              <a:gd name="T77" fmla="*/ T76 w 9048"/>
                              <a:gd name="T78" fmla="+- 0 540 234"/>
                              <a:gd name="T79" fmla="*/ 540 h 7285"/>
                              <a:gd name="T80" fmla="+- 0 10140 1398"/>
                              <a:gd name="T81" fmla="*/ T80 w 9048"/>
                              <a:gd name="T82" fmla="+- 0 641 234"/>
                              <a:gd name="T83" fmla="*/ 641 h 7285"/>
                              <a:gd name="T84" fmla="+- 0 10228 1398"/>
                              <a:gd name="T85" fmla="*/ T84 w 9048"/>
                              <a:gd name="T86" fmla="+- 0 754 234"/>
                              <a:gd name="T87" fmla="*/ 754 h 7285"/>
                              <a:gd name="T88" fmla="+- 0 10304 1398"/>
                              <a:gd name="T89" fmla="*/ T88 w 9048"/>
                              <a:gd name="T90" fmla="+- 0 877 234"/>
                              <a:gd name="T91" fmla="*/ 877 h 7285"/>
                              <a:gd name="T92" fmla="+- 0 10364 1398"/>
                              <a:gd name="T93" fmla="*/ T92 w 9048"/>
                              <a:gd name="T94" fmla="+- 0 1009 234"/>
                              <a:gd name="T95" fmla="*/ 1009 h 7285"/>
                              <a:gd name="T96" fmla="+- 0 10409 1398"/>
                              <a:gd name="T97" fmla="*/ T96 w 9048"/>
                              <a:gd name="T98" fmla="+- 0 1149 234"/>
                              <a:gd name="T99" fmla="*/ 1149 h 7285"/>
                              <a:gd name="T100" fmla="+- 0 10437 1398"/>
                              <a:gd name="T101" fmla="*/ T100 w 9048"/>
                              <a:gd name="T102" fmla="+- 0 1295 234"/>
                              <a:gd name="T103" fmla="*/ 1295 h 7285"/>
                              <a:gd name="T104" fmla="+- 0 10446 1398"/>
                              <a:gd name="T105" fmla="*/ T104 w 9048"/>
                              <a:gd name="T106" fmla="+- 0 1448 234"/>
                              <a:gd name="T107" fmla="*/ 1448 h 7285"/>
                              <a:gd name="T108" fmla="+- 0 10444 1398"/>
                              <a:gd name="T109" fmla="*/ T108 w 9048"/>
                              <a:gd name="T110" fmla="+- 0 6381 234"/>
                              <a:gd name="T111" fmla="*/ 6381 h 7285"/>
                              <a:gd name="T112" fmla="+- 0 10425 1398"/>
                              <a:gd name="T113" fmla="*/ T112 w 9048"/>
                              <a:gd name="T114" fmla="+- 0 6531 234"/>
                              <a:gd name="T115" fmla="*/ 6531 h 7285"/>
                              <a:gd name="T116" fmla="+- 0 10389 1398"/>
                              <a:gd name="T117" fmla="*/ T116 w 9048"/>
                              <a:gd name="T118" fmla="+- 0 6674 234"/>
                              <a:gd name="T119" fmla="*/ 6674 h 7285"/>
                              <a:gd name="T120" fmla="+- 0 10336 1398"/>
                              <a:gd name="T121" fmla="*/ T120 w 9048"/>
                              <a:gd name="T122" fmla="+- 0 6810 234"/>
                              <a:gd name="T123" fmla="*/ 6810 h 7285"/>
                              <a:gd name="T124" fmla="+- 0 10268 1398"/>
                              <a:gd name="T125" fmla="*/ T124 w 9048"/>
                              <a:gd name="T126" fmla="+- 0 6938 234"/>
                              <a:gd name="T127" fmla="*/ 6938 h 7285"/>
                              <a:gd name="T128" fmla="+- 0 10186 1398"/>
                              <a:gd name="T129" fmla="*/ T128 w 9048"/>
                              <a:gd name="T130" fmla="+- 0 7056 234"/>
                              <a:gd name="T131" fmla="*/ 7056 h 7285"/>
                              <a:gd name="T132" fmla="+- 0 10090 1398"/>
                              <a:gd name="T133" fmla="*/ T132 w 9048"/>
                              <a:gd name="T134" fmla="+- 0 7163 234"/>
                              <a:gd name="T135" fmla="*/ 7163 h 7285"/>
                              <a:gd name="T136" fmla="+- 0 9983 1398"/>
                              <a:gd name="T137" fmla="*/ T136 w 9048"/>
                              <a:gd name="T138" fmla="+- 0 7258 234"/>
                              <a:gd name="T139" fmla="*/ 7258 h 7285"/>
                              <a:gd name="T140" fmla="+- 0 9865 1398"/>
                              <a:gd name="T141" fmla="*/ T140 w 9048"/>
                              <a:gd name="T142" fmla="+- 0 7341 234"/>
                              <a:gd name="T143" fmla="*/ 7341 h 7285"/>
                              <a:gd name="T144" fmla="+- 0 9738 1398"/>
                              <a:gd name="T145" fmla="*/ T144 w 9048"/>
                              <a:gd name="T146" fmla="+- 0 7409 234"/>
                              <a:gd name="T147" fmla="*/ 7409 h 7285"/>
                              <a:gd name="T148" fmla="+- 0 9602 1398"/>
                              <a:gd name="T149" fmla="*/ T148 w 9048"/>
                              <a:gd name="T150" fmla="+- 0 7461 234"/>
                              <a:gd name="T151" fmla="*/ 7461 h 7285"/>
                              <a:gd name="T152" fmla="+- 0 9458 1398"/>
                              <a:gd name="T153" fmla="*/ T152 w 9048"/>
                              <a:gd name="T154" fmla="+- 0 7498 234"/>
                              <a:gd name="T155" fmla="*/ 7498 h 7285"/>
                              <a:gd name="T156" fmla="+- 0 9309 1398"/>
                              <a:gd name="T157" fmla="*/ T156 w 9048"/>
                              <a:gd name="T158" fmla="+- 0 7516 234"/>
                              <a:gd name="T159" fmla="*/ 7516 h 7285"/>
                              <a:gd name="T160" fmla="+- 0 2612 1398"/>
                              <a:gd name="T161" fmla="*/ T160 w 9048"/>
                              <a:gd name="T162" fmla="+- 0 7519 234"/>
                              <a:gd name="T163" fmla="*/ 7519 h 7285"/>
                              <a:gd name="T164" fmla="+- 0 2460 1398"/>
                              <a:gd name="T165" fmla="*/ T164 w 9048"/>
                              <a:gd name="T166" fmla="+- 0 7509 234"/>
                              <a:gd name="T167" fmla="*/ 7509 h 7285"/>
                              <a:gd name="T168" fmla="+- 0 2313 1398"/>
                              <a:gd name="T169" fmla="*/ T168 w 9048"/>
                              <a:gd name="T170" fmla="+- 0 7482 234"/>
                              <a:gd name="T171" fmla="*/ 7482 h 7285"/>
                              <a:gd name="T172" fmla="+- 0 2173 1398"/>
                              <a:gd name="T173" fmla="*/ T172 w 9048"/>
                              <a:gd name="T174" fmla="+- 0 7437 234"/>
                              <a:gd name="T175" fmla="*/ 7437 h 7285"/>
                              <a:gd name="T176" fmla="+- 0 2041 1398"/>
                              <a:gd name="T177" fmla="*/ T176 w 9048"/>
                              <a:gd name="T178" fmla="+- 0 7376 234"/>
                              <a:gd name="T179" fmla="*/ 7376 h 7285"/>
                              <a:gd name="T180" fmla="+- 0 1918 1398"/>
                              <a:gd name="T181" fmla="*/ T180 w 9048"/>
                              <a:gd name="T182" fmla="+- 0 7301 234"/>
                              <a:gd name="T183" fmla="*/ 7301 h 7285"/>
                              <a:gd name="T184" fmla="+- 0 1806 1398"/>
                              <a:gd name="T185" fmla="*/ T184 w 9048"/>
                              <a:gd name="T186" fmla="+- 0 7212 234"/>
                              <a:gd name="T187" fmla="*/ 7212 h 7285"/>
                              <a:gd name="T188" fmla="+- 0 1704 1398"/>
                              <a:gd name="T189" fmla="*/ T188 w 9048"/>
                              <a:gd name="T190" fmla="+- 0 7111 234"/>
                              <a:gd name="T191" fmla="*/ 7111 h 7285"/>
                              <a:gd name="T192" fmla="+- 0 1616 1398"/>
                              <a:gd name="T193" fmla="*/ T192 w 9048"/>
                              <a:gd name="T194" fmla="+- 0 6998 234"/>
                              <a:gd name="T195" fmla="*/ 6998 h 7285"/>
                              <a:gd name="T196" fmla="+- 0 1540 1398"/>
                              <a:gd name="T197" fmla="*/ T196 w 9048"/>
                              <a:gd name="T198" fmla="+- 0 6875 234"/>
                              <a:gd name="T199" fmla="*/ 6875 h 7285"/>
                              <a:gd name="T200" fmla="+- 0 1480 1398"/>
                              <a:gd name="T201" fmla="*/ T200 w 9048"/>
                              <a:gd name="T202" fmla="+- 0 6743 234"/>
                              <a:gd name="T203" fmla="*/ 6743 h 7285"/>
                              <a:gd name="T204" fmla="+- 0 1435 1398"/>
                              <a:gd name="T205" fmla="*/ T204 w 9048"/>
                              <a:gd name="T206" fmla="+- 0 6603 234"/>
                              <a:gd name="T207" fmla="*/ 6603 h 7285"/>
                              <a:gd name="T208" fmla="+- 0 1407 1398"/>
                              <a:gd name="T209" fmla="*/ T208 w 9048"/>
                              <a:gd name="T210" fmla="+- 0 6457 234"/>
                              <a:gd name="T211" fmla="*/ 6457 h 7285"/>
                              <a:gd name="T212" fmla="+- 0 1398 1398"/>
                              <a:gd name="T213" fmla="*/ T212 w 9048"/>
                              <a:gd name="T214" fmla="+- 0 6305 234"/>
                              <a:gd name="T215" fmla="*/ 6305 h 7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48" h="7285">
                                <a:moveTo>
                                  <a:pt x="0" y="1214"/>
                                </a:moveTo>
                                <a:lnTo>
                                  <a:pt x="2" y="1137"/>
                                </a:lnTo>
                                <a:lnTo>
                                  <a:pt x="9" y="1061"/>
                                </a:lnTo>
                                <a:lnTo>
                                  <a:pt x="21" y="987"/>
                                </a:lnTo>
                                <a:lnTo>
                                  <a:pt x="37" y="915"/>
                                </a:lnTo>
                                <a:lnTo>
                                  <a:pt x="57" y="844"/>
                                </a:lnTo>
                                <a:lnTo>
                                  <a:pt x="82" y="775"/>
                                </a:lnTo>
                                <a:lnTo>
                                  <a:pt x="110" y="708"/>
                                </a:lnTo>
                                <a:lnTo>
                                  <a:pt x="142" y="643"/>
                                </a:lnTo>
                                <a:lnTo>
                                  <a:pt x="178" y="580"/>
                                </a:lnTo>
                                <a:lnTo>
                                  <a:pt x="218" y="520"/>
                                </a:lnTo>
                                <a:lnTo>
                                  <a:pt x="260" y="462"/>
                                </a:lnTo>
                                <a:lnTo>
                                  <a:pt x="306" y="407"/>
                                </a:lnTo>
                                <a:lnTo>
                                  <a:pt x="356" y="355"/>
                                </a:lnTo>
                                <a:lnTo>
                                  <a:pt x="408" y="306"/>
                                </a:lnTo>
                                <a:lnTo>
                                  <a:pt x="463" y="260"/>
                                </a:lnTo>
                                <a:lnTo>
                                  <a:pt x="520" y="217"/>
                                </a:lnTo>
                                <a:lnTo>
                                  <a:pt x="581" y="178"/>
                                </a:lnTo>
                                <a:lnTo>
                                  <a:pt x="643" y="142"/>
                                </a:lnTo>
                                <a:lnTo>
                                  <a:pt x="708" y="110"/>
                                </a:lnTo>
                                <a:lnTo>
                                  <a:pt x="775" y="81"/>
                                </a:lnTo>
                                <a:lnTo>
                                  <a:pt x="844" y="57"/>
                                </a:lnTo>
                                <a:lnTo>
                                  <a:pt x="915" y="37"/>
                                </a:lnTo>
                                <a:lnTo>
                                  <a:pt x="988" y="21"/>
                                </a:lnTo>
                                <a:lnTo>
                                  <a:pt x="1062" y="9"/>
                                </a:lnTo>
                                <a:lnTo>
                                  <a:pt x="1137" y="2"/>
                                </a:lnTo>
                                <a:lnTo>
                                  <a:pt x="1214" y="0"/>
                                </a:lnTo>
                                <a:lnTo>
                                  <a:pt x="7834" y="0"/>
                                </a:lnTo>
                                <a:lnTo>
                                  <a:pt x="7911" y="2"/>
                                </a:lnTo>
                                <a:lnTo>
                                  <a:pt x="7986" y="9"/>
                                </a:lnTo>
                                <a:lnTo>
                                  <a:pt x="8060" y="21"/>
                                </a:lnTo>
                                <a:lnTo>
                                  <a:pt x="8133" y="37"/>
                                </a:lnTo>
                                <a:lnTo>
                                  <a:pt x="8204" y="57"/>
                                </a:lnTo>
                                <a:lnTo>
                                  <a:pt x="8273" y="81"/>
                                </a:lnTo>
                                <a:lnTo>
                                  <a:pt x="8340" y="110"/>
                                </a:lnTo>
                                <a:lnTo>
                                  <a:pt x="8405" y="142"/>
                                </a:lnTo>
                                <a:lnTo>
                                  <a:pt x="8467" y="178"/>
                                </a:lnTo>
                                <a:lnTo>
                                  <a:pt x="8528" y="217"/>
                                </a:lnTo>
                                <a:lnTo>
                                  <a:pt x="8585" y="260"/>
                                </a:lnTo>
                                <a:lnTo>
                                  <a:pt x="8640" y="306"/>
                                </a:lnTo>
                                <a:lnTo>
                                  <a:pt x="8692" y="355"/>
                                </a:lnTo>
                                <a:lnTo>
                                  <a:pt x="8742" y="407"/>
                                </a:lnTo>
                                <a:lnTo>
                                  <a:pt x="8788" y="462"/>
                                </a:lnTo>
                                <a:lnTo>
                                  <a:pt x="8830" y="520"/>
                                </a:lnTo>
                                <a:lnTo>
                                  <a:pt x="8870" y="580"/>
                                </a:lnTo>
                                <a:lnTo>
                                  <a:pt x="8906" y="643"/>
                                </a:lnTo>
                                <a:lnTo>
                                  <a:pt x="8938" y="708"/>
                                </a:lnTo>
                                <a:lnTo>
                                  <a:pt x="8966" y="775"/>
                                </a:lnTo>
                                <a:lnTo>
                                  <a:pt x="8991" y="844"/>
                                </a:lnTo>
                                <a:lnTo>
                                  <a:pt x="9011" y="915"/>
                                </a:lnTo>
                                <a:lnTo>
                                  <a:pt x="9027" y="987"/>
                                </a:lnTo>
                                <a:lnTo>
                                  <a:pt x="9039" y="1061"/>
                                </a:lnTo>
                                <a:lnTo>
                                  <a:pt x="9046" y="1137"/>
                                </a:lnTo>
                                <a:lnTo>
                                  <a:pt x="9048" y="1214"/>
                                </a:lnTo>
                                <a:lnTo>
                                  <a:pt x="9048" y="6071"/>
                                </a:lnTo>
                                <a:lnTo>
                                  <a:pt x="9046" y="6147"/>
                                </a:lnTo>
                                <a:lnTo>
                                  <a:pt x="9039" y="6223"/>
                                </a:lnTo>
                                <a:lnTo>
                                  <a:pt x="9027" y="6297"/>
                                </a:lnTo>
                                <a:lnTo>
                                  <a:pt x="9011" y="6369"/>
                                </a:lnTo>
                                <a:lnTo>
                                  <a:pt x="8991" y="6440"/>
                                </a:lnTo>
                                <a:lnTo>
                                  <a:pt x="8966" y="6509"/>
                                </a:lnTo>
                                <a:lnTo>
                                  <a:pt x="8938" y="6576"/>
                                </a:lnTo>
                                <a:lnTo>
                                  <a:pt x="8906" y="6641"/>
                                </a:lnTo>
                                <a:lnTo>
                                  <a:pt x="8870" y="6704"/>
                                </a:lnTo>
                                <a:lnTo>
                                  <a:pt x="8830" y="6764"/>
                                </a:lnTo>
                                <a:lnTo>
                                  <a:pt x="8788" y="6822"/>
                                </a:lnTo>
                                <a:lnTo>
                                  <a:pt x="8742" y="6877"/>
                                </a:lnTo>
                                <a:lnTo>
                                  <a:pt x="8692" y="6929"/>
                                </a:lnTo>
                                <a:lnTo>
                                  <a:pt x="8640" y="6978"/>
                                </a:lnTo>
                                <a:lnTo>
                                  <a:pt x="8585" y="7024"/>
                                </a:lnTo>
                                <a:lnTo>
                                  <a:pt x="8528" y="7067"/>
                                </a:lnTo>
                                <a:lnTo>
                                  <a:pt x="8467" y="7107"/>
                                </a:lnTo>
                                <a:lnTo>
                                  <a:pt x="8405" y="7142"/>
                                </a:lnTo>
                                <a:lnTo>
                                  <a:pt x="8340" y="7175"/>
                                </a:lnTo>
                                <a:lnTo>
                                  <a:pt x="8273" y="7203"/>
                                </a:lnTo>
                                <a:lnTo>
                                  <a:pt x="8204" y="7227"/>
                                </a:lnTo>
                                <a:lnTo>
                                  <a:pt x="8133" y="7248"/>
                                </a:lnTo>
                                <a:lnTo>
                                  <a:pt x="8060" y="7264"/>
                                </a:lnTo>
                                <a:lnTo>
                                  <a:pt x="7986" y="7275"/>
                                </a:lnTo>
                                <a:lnTo>
                                  <a:pt x="7911" y="7282"/>
                                </a:lnTo>
                                <a:lnTo>
                                  <a:pt x="7834" y="7285"/>
                                </a:lnTo>
                                <a:lnTo>
                                  <a:pt x="1214" y="7285"/>
                                </a:lnTo>
                                <a:lnTo>
                                  <a:pt x="1137" y="7282"/>
                                </a:lnTo>
                                <a:lnTo>
                                  <a:pt x="1062" y="7275"/>
                                </a:lnTo>
                                <a:lnTo>
                                  <a:pt x="988" y="7264"/>
                                </a:lnTo>
                                <a:lnTo>
                                  <a:pt x="915" y="7248"/>
                                </a:lnTo>
                                <a:lnTo>
                                  <a:pt x="844" y="7227"/>
                                </a:lnTo>
                                <a:lnTo>
                                  <a:pt x="775" y="7203"/>
                                </a:lnTo>
                                <a:lnTo>
                                  <a:pt x="708" y="7175"/>
                                </a:lnTo>
                                <a:lnTo>
                                  <a:pt x="643" y="7142"/>
                                </a:lnTo>
                                <a:lnTo>
                                  <a:pt x="581" y="7107"/>
                                </a:lnTo>
                                <a:lnTo>
                                  <a:pt x="520" y="7067"/>
                                </a:lnTo>
                                <a:lnTo>
                                  <a:pt x="463" y="7024"/>
                                </a:lnTo>
                                <a:lnTo>
                                  <a:pt x="408" y="6978"/>
                                </a:lnTo>
                                <a:lnTo>
                                  <a:pt x="356" y="6929"/>
                                </a:lnTo>
                                <a:lnTo>
                                  <a:pt x="306" y="6877"/>
                                </a:lnTo>
                                <a:lnTo>
                                  <a:pt x="260" y="6822"/>
                                </a:lnTo>
                                <a:lnTo>
                                  <a:pt x="218" y="6764"/>
                                </a:lnTo>
                                <a:lnTo>
                                  <a:pt x="178" y="6704"/>
                                </a:lnTo>
                                <a:lnTo>
                                  <a:pt x="142" y="6641"/>
                                </a:lnTo>
                                <a:lnTo>
                                  <a:pt x="110" y="6576"/>
                                </a:lnTo>
                                <a:lnTo>
                                  <a:pt x="82" y="6509"/>
                                </a:lnTo>
                                <a:lnTo>
                                  <a:pt x="57" y="6440"/>
                                </a:lnTo>
                                <a:lnTo>
                                  <a:pt x="37" y="6369"/>
                                </a:lnTo>
                                <a:lnTo>
                                  <a:pt x="21" y="6297"/>
                                </a:lnTo>
                                <a:lnTo>
                                  <a:pt x="9" y="6223"/>
                                </a:lnTo>
                                <a:lnTo>
                                  <a:pt x="2" y="6147"/>
                                </a:lnTo>
                                <a:lnTo>
                                  <a:pt x="0" y="6071"/>
                                </a:lnTo>
                                <a:lnTo>
                                  <a:pt x="0" y="1214"/>
                                </a:lnTo>
                                <a:close/>
                              </a:path>
                            </a:pathLst>
                          </a:custGeom>
                          <a:noFill/>
                          <a:ln w="12700">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
                        <wps:cNvSpPr>
                          <a:spLocks/>
                        </wps:cNvSpPr>
                        <wps:spPr bwMode="auto">
                          <a:xfrm>
                            <a:off x="4525" y="3296"/>
                            <a:ext cx="2687" cy="2385"/>
                          </a:xfrm>
                          <a:custGeom>
                            <a:avLst/>
                            <a:gdLst>
                              <a:gd name="T0" fmla="+- 0 5936 4633"/>
                              <a:gd name="T1" fmla="*/ T0 w 2607"/>
                              <a:gd name="T2" fmla="+- 0 3460 3460"/>
                              <a:gd name="T3" fmla="*/ 3460 h 2237"/>
                              <a:gd name="T4" fmla="+- 0 4633 4633"/>
                              <a:gd name="T5" fmla="*/ T4 w 2607"/>
                              <a:gd name="T6" fmla="+- 0 5697 3460"/>
                              <a:gd name="T7" fmla="*/ 5697 h 2237"/>
                              <a:gd name="T8" fmla="+- 0 7240 4633"/>
                              <a:gd name="T9" fmla="*/ T8 w 2607"/>
                              <a:gd name="T10" fmla="+- 0 5697 3460"/>
                              <a:gd name="T11" fmla="*/ 5697 h 2237"/>
                              <a:gd name="T12" fmla="+- 0 5936 4633"/>
                              <a:gd name="T13" fmla="*/ T12 w 2607"/>
                              <a:gd name="T14" fmla="+- 0 3460 3460"/>
                              <a:gd name="T15" fmla="*/ 3460 h 2237"/>
                            </a:gdLst>
                            <a:ahLst/>
                            <a:cxnLst>
                              <a:cxn ang="0">
                                <a:pos x="T1" y="T3"/>
                              </a:cxn>
                              <a:cxn ang="0">
                                <a:pos x="T5" y="T7"/>
                              </a:cxn>
                              <a:cxn ang="0">
                                <a:pos x="T9" y="T11"/>
                              </a:cxn>
                              <a:cxn ang="0">
                                <a:pos x="T13" y="T15"/>
                              </a:cxn>
                            </a:cxnLst>
                            <a:rect l="0" t="0" r="r" b="b"/>
                            <a:pathLst>
                              <a:path w="2607" h="2237">
                                <a:moveTo>
                                  <a:pt x="1303" y="0"/>
                                </a:moveTo>
                                <a:lnTo>
                                  <a:pt x="0" y="2237"/>
                                </a:lnTo>
                                <a:lnTo>
                                  <a:pt x="2607" y="2237"/>
                                </a:lnTo>
                                <a:lnTo>
                                  <a:pt x="1303" y="0"/>
                                </a:lnTo>
                                <a:close/>
                              </a:path>
                            </a:pathLst>
                          </a:custGeom>
                          <a:solidFill>
                            <a:srgbClr val="1528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1"/>
                        <wps:cNvSpPr>
                          <a:spLocks/>
                        </wps:cNvSpPr>
                        <wps:spPr bwMode="auto">
                          <a:xfrm>
                            <a:off x="2542" y="1632"/>
                            <a:ext cx="1214" cy="1525"/>
                          </a:xfrm>
                          <a:custGeom>
                            <a:avLst/>
                            <a:gdLst>
                              <a:gd name="T0" fmla="+- 0 2422 2394"/>
                              <a:gd name="T1" fmla="*/ T0 w 1214"/>
                              <a:gd name="T2" fmla="+- 0 3189 1796"/>
                              <a:gd name="T3" fmla="*/ 3189 h 1525"/>
                              <a:gd name="T4" fmla="+- 0 2394 2394"/>
                              <a:gd name="T5" fmla="*/ T4 w 1214"/>
                              <a:gd name="T6" fmla="+- 0 3321 1796"/>
                              <a:gd name="T7" fmla="*/ 3321 h 1525"/>
                              <a:gd name="T8" fmla="+- 0 2516 2394"/>
                              <a:gd name="T9" fmla="*/ T8 w 1214"/>
                              <a:gd name="T10" fmla="+- 0 3264 1796"/>
                              <a:gd name="T11" fmla="*/ 3264 h 1525"/>
                              <a:gd name="T12" fmla="+- 0 2492 2394"/>
                              <a:gd name="T13" fmla="*/ T12 w 1214"/>
                              <a:gd name="T14" fmla="+- 0 3245 1796"/>
                              <a:gd name="T15" fmla="*/ 3245 h 1525"/>
                              <a:gd name="T16" fmla="+- 0 2460 2394"/>
                              <a:gd name="T17" fmla="*/ T16 w 1214"/>
                              <a:gd name="T18" fmla="+- 0 3245 1796"/>
                              <a:gd name="T19" fmla="*/ 3245 h 1525"/>
                              <a:gd name="T20" fmla="+- 0 2452 2394"/>
                              <a:gd name="T21" fmla="*/ T20 w 1214"/>
                              <a:gd name="T22" fmla="+- 0 3239 1796"/>
                              <a:gd name="T23" fmla="*/ 3239 h 1525"/>
                              <a:gd name="T24" fmla="+- 0 2465 2394"/>
                              <a:gd name="T25" fmla="*/ T24 w 1214"/>
                              <a:gd name="T26" fmla="+- 0 3224 1796"/>
                              <a:gd name="T27" fmla="*/ 3224 h 1525"/>
                              <a:gd name="T28" fmla="+- 0 2422 2394"/>
                              <a:gd name="T29" fmla="*/ T28 w 1214"/>
                              <a:gd name="T30" fmla="+- 0 3189 1796"/>
                              <a:gd name="T31" fmla="*/ 3189 h 1525"/>
                              <a:gd name="T32" fmla="+- 0 2465 2394"/>
                              <a:gd name="T33" fmla="*/ T32 w 1214"/>
                              <a:gd name="T34" fmla="+- 0 3224 1796"/>
                              <a:gd name="T35" fmla="*/ 3224 h 1525"/>
                              <a:gd name="T36" fmla="+- 0 2452 2394"/>
                              <a:gd name="T37" fmla="*/ T36 w 1214"/>
                              <a:gd name="T38" fmla="+- 0 3239 1796"/>
                              <a:gd name="T39" fmla="*/ 3239 h 1525"/>
                              <a:gd name="T40" fmla="+- 0 2460 2394"/>
                              <a:gd name="T41" fmla="*/ T40 w 1214"/>
                              <a:gd name="T42" fmla="+- 0 3245 1796"/>
                              <a:gd name="T43" fmla="*/ 3245 h 1525"/>
                              <a:gd name="T44" fmla="+- 0 2473 2394"/>
                              <a:gd name="T45" fmla="*/ T44 w 1214"/>
                              <a:gd name="T46" fmla="+- 0 3230 1796"/>
                              <a:gd name="T47" fmla="*/ 3230 h 1525"/>
                              <a:gd name="T48" fmla="+- 0 2465 2394"/>
                              <a:gd name="T49" fmla="*/ T48 w 1214"/>
                              <a:gd name="T50" fmla="+- 0 3224 1796"/>
                              <a:gd name="T51" fmla="*/ 3224 h 1525"/>
                              <a:gd name="T52" fmla="+- 0 2473 2394"/>
                              <a:gd name="T53" fmla="*/ T52 w 1214"/>
                              <a:gd name="T54" fmla="+- 0 3230 1796"/>
                              <a:gd name="T55" fmla="*/ 3230 h 1525"/>
                              <a:gd name="T56" fmla="+- 0 2460 2394"/>
                              <a:gd name="T57" fmla="*/ T56 w 1214"/>
                              <a:gd name="T58" fmla="+- 0 3245 1796"/>
                              <a:gd name="T59" fmla="*/ 3245 h 1525"/>
                              <a:gd name="T60" fmla="+- 0 2492 2394"/>
                              <a:gd name="T61" fmla="*/ T60 w 1214"/>
                              <a:gd name="T62" fmla="+- 0 3245 1796"/>
                              <a:gd name="T63" fmla="*/ 3245 h 1525"/>
                              <a:gd name="T64" fmla="+- 0 2473 2394"/>
                              <a:gd name="T65" fmla="*/ T64 w 1214"/>
                              <a:gd name="T66" fmla="+- 0 3230 1796"/>
                              <a:gd name="T67" fmla="*/ 3230 h 1525"/>
                              <a:gd name="T68" fmla="+- 0 3529 2394"/>
                              <a:gd name="T69" fmla="*/ T68 w 1214"/>
                              <a:gd name="T70" fmla="+- 0 1886 1796"/>
                              <a:gd name="T71" fmla="*/ 1886 h 1525"/>
                              <a:gd name="T72" fmla="+- 0 2465 2394"/>
                              <a:gd name="T73" fmla="*/ T72 w 1214"/>
                              <a:gd name="T74" fmla="+- 0 3224 1796"/>
                              <a:gd name="T75" fmla="*/ 3224 h 1525"/>
                              <a:gd name="T76" fmla="+- 0 2473 2394"/>
                              <a:gd name="T77" fmla="*/ T76 w 1214"/>
                              <a:gd name="T78" fmla="+- 0 3230 1796"/>
                              <a:gd name="T79" fmla="*/ 3230 h 1525"/>
                              <a:gd name="T80" fmla="+- 0 3537 2394"/>
                              <a:gd name="T81" fmla="*/ T80 w 1214"/>
                              <a:gd name="T82" fmla="+- 0 1893 1796"/>
                              <a:gd name="T83" fmla="*/ 1893 h 1525"/>
                              <a:gd name="T84" fmla="+- 0 3529 2394"/>
                              <a:gd name="T85" fmla="*/ T84 w 1214"/>
                              <a:gd name="T86" fmla="+- 0 1886 1796"/>
                              <a:gd name="T87" fmla="*/ 1886 h 1525"/>
                              <a:gd name="T88" fmla="+- 0 3592 2394"/>
                              <a:gd name="T89" fmla="*/ T88 w 1214"/>
                              <a:gd name="T90" fmla="+- 0 1871 1796"/>
                              <a:gd name="T91" fmla="*/ 1871 h 1525"/>
                              <a:gd name="T92" fmla="+- 0 3542 2394"/>
                              <a:gd name="T93" fmla="*/ T92 w 1214"/>
                              <a:gd name="T94" fmla="+- 0 1871 1796"/>
                              <a:gd name="T95" fmla="*/ 1871 h 1525"/>
                              <a:gd name="T96" fmla="+- 0 3550 2394"/>
                              <a:gd name="T97" fmla="*/ T96 w 1214"/>
                              <a:gd name="T98" fmla="+- 0 1877 1796"/>
                              <a:gd name="T99" fmla="*/ 1877 h 1525"/>
                              <a:gd name="T100" fmla="+- 0 3537 2394"/>
                              <a:gd name="T101" fmla="*/ T100 w 1214"/>
                              <a:gd name="T102" fmla="+- 0 1893 1796"/>
                              <a:gd name="T103" fmla="*/ 1893 h 1525"/>
                              <a:gd name="T104" fmla="+- 0 3580 2394"/>
                              <a:gd name="T105" fmla="*/ T104 w 1214"/>
                              <a:gd name="T106" fmla="+- 0 1927 1796"/>
                              <a:gd name="T107" fmla="*/ 1927 h 1525"/>
                              <a:gd name="T108" fmla="+- 0 3592 2394"/>
                              <a:gd name="T109" fmla="*/ T108 w 1214"/>
                              <a:gd name="T110" fmla="+- 0 1871 1796"/>
                              <a:gd name="T111" fmla="*/ 1871 h 1525"/>
                              <a:gd name="T112" fmla="+- 0 3542 2394"/>
                              <a:gd name="T113" fmla="*/ T112 w 1214"/>
                              <a:gd name="T114" fmla="+- 0 1871 1796"/>
                              <a:gd name="T115" fmla="*/ 1871 h 1525"/>
                              <a:gd name="T116" fmla="+- 0 3529 2394"/>
                              <a:gd name="T117" fmla="*/ T116 w 1214"/>
                              <a:gd name="T118" fmla="+- 0 1886 1796"/>
                              <a:gd name="T119" fmla="*/ 1886 h 1525"/>
                              <a:gd name="T120" fmla="+- 0 3537 2394"/>
                              <a:gd name="T121" fmla="*/ T120 w 1214"/>
                              <a:gd name="T122" fmla="+- 0 1893 1796"/>
                              <a:gd name="T123" fmla="*/ 1893 h 1525"/>
                              <a:gd name="T124" fmla="+- 0 3550 2394"/>
                              <a:gd name="T125" fmla="*/ T124 w 1214"/>
                              <a:gd name="T126" fmla="+- 0 1877 1796"/>
                              <a:gd name="T127" fmla="*/ 1877 h 1525"/>
                              <a:gd name="T128" fmla="+- 0 3542 2394"/>
                              <a:gd name="T129" fmla="*/ T128 w 1214"/>
                              <a:gd name="T130" fmla="+- 0 1871 1796"/>
                              <a:gd name="T131" fmla="*/ 1871 h 1525"/>
                              <a:gd name="T132" fmla="+- 0 3608 2394"/>
                              <a:gd name="T133" fmla="*/ T132 w 1214"/>
                              <a:gd name="T134" fmla="+- 0 1796 1796"/>
                              <a:gd name="T135" fmla="*/ 1796 h 1525"/>
                              <a:gd name="T136" fmla="+- 0 3486 2394"/>
                              <a:gd name="T137" fmla="*/ T136 w 1214"/>
                              <a:gd name="T138" fmla="+- 0 1852 1796"/>
                              <a:gd name="T139" fmla="*/ 1852 h 1525"/>
                              <a:gd name="T140" fmla="+- 0 3529 2394"/>
                              <a:gd name="T141" fmla="*/ T140 w 1214"/>
                              <a:gd name="T142" fmla="+- 0 1886 1796"/>
                              <a:gd name="T143" fmla="*/ 1886 h 1525"/>
                              <a:gd name="T144" fmla="+- 0 3542 2394"/>
                              <a:gd name="T145" fmla="*/ T144 w 1214"/>
                              <a:gd name="T146" fmla="+- 0 1871 1796"/>
                              <a:gd name="T147" fmla="*/ 1871 h 1525"/>
                              <a:gd name="T148" fmla="+- 0 3592 2394"/>
                              <a:gd name="T149" fmla="*/ T148 w 1214"/>
                              <a:gd name="T150" fmla="+- 0 1871 1796"/>
                              <a:gd name="T151" fmla="*/ 1871 h 1525"/>
                              <a:gd name="T152" fmla="+- 0 3608 2394"/>
                              <a:gd name="T153" fmla="*/ T152 w 1214"/>
                              <a:gd name="T154" fmla="+- 0 1796 1796"/>
                              <a:gd name="T155" fmla="*/ 1796 h 15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14" h="1525">
                                <a:moveTo>
                                  <a:pt x="28" y="1393"/>
                                </a:moveTo>
                                <a:lnTo>
                                  <a:pt x="0" y="1525"/>
                                </a:lnTo>
                                <a:lnTo>
                                  <a:pt x="122" y="1468"/>
                                </a:lnTo>
                                <a:lnTo>
                                  <a:pt x="98" y="1449"/>
                                </a:lnTo>
                                <a:lnTo>
                                  <a:pt x="66" y="1449"/>
                                </a:lnTo>
                                <a:lnTo>
                                  <a:pt x="58" y="1443"/>
                                </a:lnTo>
                                <a:lnTo>
                                  <a:pt x="71" y="1428"/>
                                </a:lnTo>
                                <a:lnTo>
                                  <a:pt x="28" y="1393"/>
                                </a:lnTo>
                                <a:close/>
                                <a:moveTo>
                                  <a:pt x="71" y="1428"/>
                                </a:moveTo>
                                <a:lnTo>
                                  <a:pt x="58" y="1443"/>
                                </a:lnTo>
                                <a:lnTo>
                                  <a:pt x="66" y="1449"/>
                                </a:lnTo>
                                <a:lnTo>
                                  <a:pt x="79" y="1434"/>
                                </a:lnTo>
                                <a:lnTo>
                                  <a:pt x="71" y="1428"/>
                                </a:lnTo>
                                <a:close/>
                                <a:moveTo>
                                  <a:pt x="79" y="1434"/>
                                </a:moveTo>
                                <a:lnTo>
                                  <a:pt x="66" y="1449"/>
                                </a:lnTo>
                                <a:lnTo>
                                  <a:pt x="98" y="1449"/>
                                </a:lnTo>
                                <a:lnTo>
                                  <a:pt x="79" y="1434"/>
                                </a:lnTo>
                                <a:close/>
                                <a:moveTo>
                                  <a:pt x="1135" y="90"/>
                                </a:moveTo>
                                <a:lnTo>
                                  <a:pt x="71" y="1428"/>
                                </a:lnTo>
                                <a:lnTo>
                                  <a:pt x="79" y="1434"/>
                                </a:lnTo>
                                <a:lnTo>
                                  <a:pt x="1143" y="97"/>
                                </a:lnTo>
                                <a:lnTo>
                                  <a:pt x="1135" y="90"/>
                                </a:lnTo>
                                <a:close/>
                                <a:moveTo>
                                  <a:pt x="1198" y="75"/>
                                </a:moveTo>
                                <a:lnTo>
                                  <a:pt x="1148" y="75"/>
                                </a:lnTo>
                                <a:lnTo>
                                  <a:pt x="1156" y="81"/>
                                </a:lnTo>
                                <a:lnTo>
                                  <a:pt x="1143" y="97"/>
                                </a:lnTo>
                                <a:lnTo>
                                  <a:pt x="1186" y="131"/>
                                </a:lnTo>
                                <a:lnTo>
                                  <a:pt x="1198" y="75"/>
                                </a:lnTo>
                                <a:close/>
                                <a:moveTo>
                                  <a:pt x="1148" y="75"/>
                                </a:moveTo>
                                <a:lnTo>
                                  <a:pt x="1135" y="90"/>
                                </a:lnTo>
                                <a:lnTo>
                                  <a:pt x="1143" y="97"/>
                                </a:lnTo>
                                <a:lnTo>
                                  <a:pt x="1156" y="81"/>
                                </a:lnTo>
                                <a:lnTo>
                                  <a:pt x="1148" y="75"/>
                                </a:lnTo>
                                <a:close/>
                                <a:moveTo>
                                  <a:pt x="1214" y="0"/>
                                </a:moveTo>
                                <a:lnTo>
                                  <a:pt x="1092" y="56"/>
                                </a:lnTo>
                                <a:lnTo>
                                  <a:pt x="1135" y="90"/>
                                </a:lnTo>
                                <a:lnTo>
                                  <a:pt x="1148" y="75"/>
                                </a:lnTo>
                                <a:lnTo>
                                  <a:pt x="1198" y="75"/>
                                </a:lnTo>
                                <a:lnTo>
                                  <a:pt x="1214"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12"/>
                        <wps:cNvSpPr>
                          <a:spLocks/>
                        </wps:cNvSpPr>
                        <wps:spPr bwMode="auto">
                          <a:xfrm>
                            <a:off x="8192" y="1594"/>
                            <a:ext cx="1440" cy="1440"/>
                          </a:xfrm>
                          <a:custGeom>
                            <a:avLst/>
                            <a:gdLst>
                              <a:gd name="T0" fmla="+- 0 9948 8596"/>
                              <a:gd name="T1" fmla="*/ T0 w 1440"/>
                              <a:gd name="T2" fmla="+- 0 2789 1431"/>
                              <a:gd name="T3" fmla="*/ 2789 h 1440"/>
                              <a:gd name="T4" fmla="+- 0 9909 8596"/>
                              <a:gd name="T5" fmla="*/ T4 w 1440"/>
                              <a:gd name="T6" fmla="+- 0 2828 1431"/>
                              <a:gd name="T7" fmla="*/ 2828 h 1440"/>
                              <a:gd name="T8" fmla="+- 0 10036 8596"/>
                              <a:gd name="T9" fmla="*/ T8 w 1440"/>
                              <a:gd name="T10" fmla="+- 0 2871 1431"/>
                              <a:gd name="T11" fmla="*/ 2871 h 1440"/>
                              <a:gd name="T12" fmla="+- 0 10014 8596"/>
                              <a:gd name="T13" fmla="*/ T12 w 1440"/>
                              <a:gd name="T14" fmla="+- 0 2803 1431"/>
                              <a:gd name="T15" fmla="*/ 2803 h 1440"/>
                              <a:gd name="T16" fmla="+- 0 9962 8596"/>
                              <a:gd name="T17" fmla="*/ T16 w 1440"/>
                              <a:gd name="T18" fmla="+- 0 2803 1431"/>
                              <a:gd name="T19" fmla="*/ 2803 h 1440"/>
                              <a:gd name="T20" fmla="+- 0 9948 8596"/>
                              <a:gd name="T21" fmla="*/ T20 w 1440"/>
                              <a:gd name="T22" fmla="+- 0 2789 1431"/>
                              <a:gd name="T23" fmla="*/ 2789 h 1440"/>
                              <a:gd name="T24" fmla="+- 0 9955 8596"/>
                              <a:gd name="T25" fmla="*/ T24 w 1440"/>
                              <a:gd name="T26" fmla="+- 0 2782 1431"/>
                              <a:gd name="T27" fmla="*/ 2782 h 1440"/>
                              <a:gd name="T28" fmla="+- 0 9948 8596"/>
                              <a:gd name="T29" fmla="*/ T28 w 1440"/>
                              <a:gd name="T30" fmla="+- 0 2789 1431"/>
                              <a:gd name="T31" fmla="*/ 2789 h 1440"/>
                              <a:gd name="T32" fmla="+- 0 9962 8596"/>
                              <a:gd name="T33" fmla="*/ T32 w 1440"/>
                              <a:gd name="T34" fmla="+- 0 2803 1431"/>
                              <a:gd name="T35" fmla="*/ 2803 h 1440"/>
                              <a:gd name="T36" fmla="+- 0 9969 8596"/>
                              <a:gd name="T37" fmla="*/ T36 w 1440"/>
                              <a:gd name="T38" fmla="+- 0 2796 1431"/>
                              <a:gd name="T39" fmla="*/ 2796 h 1440"/>
                              <a:gd name="T40" fmla="+- 0 9955 8596"/>
                              <a:gd name="T41" fmla="*/ T40 w 1440"/>
                              <a:gd name="T42" fmla="+- 0 2782 1431"/>
                              <a:gd name="T43" fmla="*/ 2782 h 1440"/>
                              <a:gd name="T44" fmla="+- 0 9994 8596"/>
                              <a:gd name="T45" fmla="*/ T44 w 1440"/>
                              <a:gd name="T46" fmla="+- 0 2743 1431"/>
                              <a:gd name="T47" fmla="*/ 2743 h 1440"/>
                              <a:gd name="T48" fmla="+- 0 9955 8596"/>
                              <a:gd name="T49" fmla="*/ T48 w 1440"/>
                              <a:gd name="T50" fmla="+- 0 2782 1431"/>
                              <a:gd name="T51" fmla="*/ 2782 h 1440"/>
                              <a:gd name="T52" fmla="+- 0 9969 8596"/>
                              <a:gd name="T53" fmla="*/ T52 w 1440"/>
                              <a:gd name="T54" fmla="+- 0 2796 1431"/>
                              <a:gd name="T55" fmla="*/ 2796 h 1440"/>
                              <a:gd name="T56" fmla="+- 0 9962 8596"/>
                              <a:gd name="T57" fmla="*/ T56 w 1440"/>
                              <a:gd name="T58" fmla="+- 0 2803 1431"/>
                              <a:gd name="T59" fmla="*/ 2803 h 1440"/>
                              <a:gd name="T60" fmla="+- 0 10014 8596"/>
                              <a:gd name="T61" fmla="*/ T60 w 1440"/>
                              <a:gd name="T62" fmla="+- 0 2803 1431"/>
                              <a:gd name="T63" fmla="*/ 2803 h 1440"/>
                              <a:gd name="T64" fmla="+- 0 9994 8596"/>
                              <a:gd name="T65" fmla="*/ T64 w 1440"/>
                              <a:gd name="T66" fmla="+- 0 2743 1431"/>
                              <a:gd name="T67" fmla="*/ 2743 h 1440"/>
                              <a:gd name="T68" fmla="+- 0 8684 8596"/>
                              <a:gd name="T69" fmla="*/ T68 w 1440"/>
                              <a:gd name="T70" fmla="+- 0 1512 1431"/>
                              <a:gd name="T71" fmla="*/ 1512 h 1440"/>
                              <a:gd name="T72" fmla="+- 0 8677 8596"/>
                              <a:gd name="T73" fmla="*/ T72 w 1440"/>
                              <a:gd name="T74" fmla="+- 0 1519 1431"/>
                              <a:gd name="T75" fmla="*/ 1519 h 1440"/>
                              <a:gd name="T76" fmla="+- 0 9948 8596"/>
                              <a:gd name="T77" fmla="*/ T76 w 1440"/>
                              <a:gd name="T78" fmla="+- 0 2789 1431"/>
                              <a:gd name="T79" fmla="*/ 2789 h 1440"/>
                              <a:gd name="T80" fmla="+- 0 9955 8596"/>
                              <a:gd name="T81" fmla="*/ T80 w 1440"/>
                              <a:gd name="T82" fmla="+- 0 2782 1431"/>
                              <a:gd name="T83" fmla="*/ 2782 h 1440"/>
                              <a:gd name="T84" fmla="+- 0 8684 8596"/>
                              <a:gd name="T85" fmla="*/ T84 w 1440"/>
                              <a:gd name="T86" fmla="+- 0 1512 1431"/>
                              <a:gd name="T87" fmla="*/ 1512 h 1440"/>
                              <a:gd name="T88" fmla="+- 0 8596 8596"/>
                              <a:gd name="T89" fmla="*/ T88 w 1440"/>
                              <a:gd name="T90" fmla="+- 0 1431 1431"/>
                              <a:gd name="T91" fmla="*/ 1431 h 1440"/>
                              <a:gd name="T92" fmla="+- 0 8638 8596"/>
                              <a:gd name="T93" fmla="*/ T92 w 1440"/>
                              <a:gd name="T94" fmla="+- 0 1558 1431"/>
                              <a:gd name="T95" fmla="*/ 1558 h 1440"/>
                              <a:gd name="T96" fmla="+- 0 8677 8596"/>
                              <a:gd name="T97" fmla="*/ T96 w 1440"/>
                              <a:gd name="T98" fmla="+- 0 1519 1431"/>
                              <a:gd name="T99" fmla="*/ 1519 h 1440"/>
                              <a:gd name="T100" fmla="+- 0 8663 8596"/>
                              <a:gd name="T101" fmla="*/ T100 w 1440"/>
                              <a:gd name="T102" fmla="+- 0 1505 1431"/>
                              <a:gd name="T103" fmla="*/ 1505 h 1440"/>
                              <a:gd name="T104" fmla="+- 0 8670 8596"/>
                              <a:gd name="T105" fmla="*/ T104 w 1440"/>
                              <a:gd name="T106" fmla="+- 0 1498 1431"/>
                              <a:gd name="T107" fmla="*/ 1498 h 1440"/>
                              <a:gd name="T108" fmla="+- 0 8698 8596"/>
                              <a:gd name="T109" fmla="*/ T108 w 1440"/>
                              <a:gd name="T110" fmla="+- 0 1498 1431"/>
                              <a:gd name="T111" fmla="*/ 1498 h 1440"/>
                              <a:gd name="T112" fmla="+- 0 8723 8596"/>
                              <a:gd name="T113" fmla="*/ T112 w 1440"/>
                              <a:gd name="T114" fmla="+- 0 1473 1431"/>
                              <a:gd name="T115" fmla="*/ 1473 h 1440"/>
                              <a:gd name="T116" fmla="+- 0 8596 8596"/>
                              <a:gd name="T117" fmla="*/ T116 w 1440"/>
                              <a:gd name="T118" fmla="+- 0 1431 1431"/>
                              <a:gd name="T119" fmla="*/ 1431 h 1440"/>
                              <a:gd name="T120" fmla="+- 0 8670 8596"/>
                              <a:gd name="T121" fmla="*/ T120 w 1440"/>
                              <a:gd name="T122" fmla="+- 0 1498 1431"/>
                              <a:gd name="T123" fmla="*/ 1498 h 1440"/>
                              <a:gd name="T124" fmla="+- 0 8663 8596"/>
                              <a:gd name="T125" fmla="*/ T124 w 1440"/>
                              <a:gd name="T126" fmla="+- 0 1505 1431"/>
                              <a:gd name="T127" fmla="*/ 1505 h 1440"/>
                              <a:gd name="T128" fmla="+- 0 8677 8596"/>
                              <a:gd name="T129" fmla="*/ T128 w 1440"/>
                              <a:gd name="T130" fmla="+- 0 1519 1431"/>
                              <a:gd name="T131" fmla="*/ 1519 h 1440"/>
                              <a:gd name="T132" fmla="+- 0 8684 8596"/>
                              <a:gd name="T133" fmla="*/ T132 w 1440"/>
                              <a:gd name="T134" fmla="+- 0 1512 1431"/>
                              <a:gd name="T135" fmla="*/ 1512 h 1440"/>
                              <a:gd name="T136" fmla="+- 0 8670 8596"/>
                              <a:gd name="T137" fmla="*/ T136 w 1440"/>
                              <a:gd name="T138" fmla="+- 0 1498 1431"/>
                              <a:gd name="T139" fmla="*/ 1498 h 1440"/>
                              <a:gd name="T140" fmla="+- 0 8698 8596"/>
                              <a:gd name="T141" fmla="*/ T140 w 1440"/>
                              <a:gd name="T142" fmla="+- 0 1498 1431"/>
                              <a:gd name="T143" fmla="*/ 1498 h 1440"/>
                              <a:gd name="T144" fmla="+- 0 8670 8596"/>
                              <a:gd name="T145" fmla="*/ T144 w 1440"/>
                              <a:gd name="T146" fmla="+- 0 1498 1431"/>
                              <a:gd name="T147" fmla="*/ 1498 h 1440"/>
                              <a:gd name="T148" fmla="+- 0 8684 8596"/>
                              <a:gd name="T149" fmla="*/ T148 w 1440"/>
                              <a:gd name="T150" fmla="+- 0 1512 1431"/>
                              <a:gd name="T151" fmla="*/ 1512 h 1440"/>
                              <a:gd name="T152" fmla="+- 0 8698 8596"/>
                              <a:gd name="T153" fmla="*/ T152 w 1440"/>
                              <a:gd name="T154" fmla="+- 0 1498 1431"/>
                              <a:gd name="T155" fmla="*/ 1498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440" h="1440">
                                <a:moveTo>
                                  <a:pt x="1352" y="1358"/>
                                </a:moveTo>
                                <a:lnTo>
                                  <a:pt x="1313" y="1397"/>
                                </a:lnTo>
                                <a:lnTo>
                                  <a:pt x="1440" y="1440"/>
                                </a:lnTo>
                                <a:lnTo>
                                  <a:pt x="1418" y="1372"/>
                                </a:lnTo>
                                <a:lnTo>
                                  <a:pt x="1366" y="1372"/>
                                </a:lnTo>
                                <a:lnTo>
                                  <a:pt x="1352" y="1358"/>
                                </a:lnTo>
                                <a:close/>
                                <a:moveTo>
                                  <a:pt x="1359" y="1351"/>
                                </a:moveTo>
                                <a:lnTo>
                                  <a:pt x="1352" y="1358"/>
                                </a:lnTo>
                                <a:lnTo>
                                  <a:pt x="1366" y="1372"/>
                                </a:lnTo>
                                <a:lnTo>
                                  <a:pt x="1373" y="1365"/>
                                </a:lnTo>
                                <a:lnTo>
                                  <a:pt x="1359" y="1351"/>
                                </a:lnTo>
                                <a:close/>
                                <a:moveTo>
                                  <a:pt x="1398" y="1312"/>
                                </a:moveTo>
                                <a:lnTo>
                                  <a:pt x="1359" y="1351"/>
                                </a:lnTo>
                                <a:lnTo>
                                  <a:pt x="1373" y="1365"/>
                                </a:lnTo>
                                <a:lnTo>
                                  <a:pt x="1366" y="1372"/>
                                </a:lnTo>
                                <a:lnTo>
                                  <a:pt x="1418" y="1372"/>
                                </a:lnTo>
                                <a:lnTo>
                                  <a:pt x="1398" y="1312"/>
                                </a:lnTo>
                                <a:close/>
                                <a:moveTo>
                                  <a:pt x="88" y="81"/>
                                </a:moveTo>
                                <a:lnTo>
                                  <a:pt x="81" y="88"/>
                                </a:lnTo>
                                <a:lnTo>
                                  <a:pt x="1352" y="1358"/>
                                </a:lnTo>
                                <a:lnTo>
                                  <a:pt x="1359" y="1351"/>
                                </a:lnTo>
                                <a:lnTo>
                                  <a:pt x="88" y="81"/>
                                </a:lnTo>
                                <a:close/>
                                <a:moveTo>
                                  <a:pt x="0" y="0"/>
                                </a:moveTo>
                                <a:lnTo>
                                  <a:pt x="42" y="127"/>
                                </a:lnTo>
                                <a:lnTo>
                                  <a:pt x="81" y="88"/>
                                </a:lnTo>
                                <a:lnTo>
                                  <a:pt x="67" y="74"/>
                                </a:lnTo>
                                <a:lnTo>
                                  <a:pt x="74" y="67"/>
                                </a:lnTo>
                                <a:lnTo>
                                  <a:pt x="102" y="67"/>
                                </a:lnTo>
                                <a:lnTo>
                                  <a:pt x="127" y="42"/>
                                </a:lnTo>
                                <a:lnTo>
                                  <a:pt x="0" y="0"/>
                                </a:lnTo>
                                <a:close/>
                                <a:moveTo>
                                  <a:pt x="74" y="67"/>
                                </a:moveTo>
                                <a:lnTo>
                                  <a:pt x="67" y="74"/>
                                </a:lnTo>
                                <a:lnTo>
                                  <a:pt x="81" y="88"/>
                                </a:lnTo>
                                <a:lnTo>
                                  <a:pt x="88" y="81"/>
                                </a:lnTo>
                                <a:lnTo>
                                  <a:pt x="74" y="67"/>
                                </a:lnTo>
                                <a:close/>
                                <a:moveTo>
                                  <a:pt x="102" y="67"/>
                                </a:moveTo>
                                <a:lnTo>
                                  <a:pt x="74" y="67"/>
                                </a:lnTo>
                                <a:lnTo>
                                  <a:pt x="88" y="81"/>
                                </a:lnTo>
                                <a:lnTo>
                                  <a:pt x="102" y="67"/>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AutoShape 13"/>
                        <wps:cNvSpPr>
                          <a:spLocks/>
                        </wps:cNvSpPr>
                        <wps:spPr bwMode="auto">
                          <a:xfrm>
                            <a:off x="4607" y="6641"/>
                            <a:ext cx="2411" cy="129"/>
                          </a:xfrm>
                          <a:custGeom>
                            <a:avLst/>
                            <a:gdLst>
                              <a:gd name="T0" fmla="+- 0 4945 4825"/>
                              <a:gd name="T1" fmla="*/ T0 w 2411"/>
                              <a:gd name="T2" fmla="+- 0 7000 6991"/>
                              <a:gd name="T3" fmla="*/ 7000 h 129"/>
                              <a:gd name="T4" fmla="+- 0 4825 4825"/>
                              <a:gd name="T5" fmla="*/ T4 w 2411"/>
                              <a:gd name="T6" fmla="+- 0 7060 6991"/>
                              <a:gd name="T7" fmla="*/ 7060 h 129"/>
                              <a:gd name="T8" fmla="+- 0 4945 4825"/>
                              <a:gd name="T9" fmla="*/ T8 w 2411"/>
                              <a:gd name="T10" fmla="+- 0 7120 6991"/>
                              <a:gd name="T11" fmla="*/ 7120 h 129"/>
                              <a:gd name="T12" fmla="+- 0 4945 4825"/>
                              <a:gd name="T13" fmla="*/ T12 w 2411"/>
                              <a:gd name="T14" fmla="+- 0 7065 6991"/>
                              <a:gd name="T15" fmla="*/ 7065 h 129"/>
                              <a:gd name="T16" fmla="+- 0 4925 4825"/>
                              <a:gd name="T17" fmla="*/ T16 w 2411"/>
                              <a:gd name="T18" fmla="+- 0 7065 6991"/>
                              <a:gd name="T19" fmla="*/ 7065 h 129"/>
                              <a:gd name="T20" fmla="+- 0 4925 4825"/>
                              <a:gd name="T21" fmla="*/ T20 w 2411"/>
                              <a:gd name="T22" fmla="+- 0 7055 6991"/>
                              <a:gd name="T23" fmla="*/ 7055 h 129"/>
                              <a:gd name="T24" fmla="+- 0 4945 4825"/>
                              <a:gd name="T25" fmla="*/ T24 w 2411"/>
                              <a:gd name="T26" fmla="+- 0 7055 6991"/>
                              <a:gd name="T27" fmla="*/ 7055 h 129"/>
                              <a:gd name="T28" fmla="+- 0 4945 4825"/>
                              <a:gd name="T29" fmla="*/ T28 w 2411"/>
                              <a:gd name="T30" fmla="+- 0 7000 6991"/>
                              <a:gd name="T31" fmla="*/ 7000 h 129"/>
                              <a:gd name="T32" fmla="+- 0 7227 4825"/>
                              <a:gd name="T33" fmla="*/ T32 w 2411"/>
                              <a:gd name="T34" fmla="+- 0 7046 6991"/>
                              <a:gd name="T35" fmla="*/ 7046 h 129"/>
                              <a:gd name="T36" fmla="+- 0 7136 4825"/>
                              <a:gd name="T37" fmla="*/ T36 w 2411"/>
                              <a:gd name="T38" fmla="+- 0 7046 6991"/>
                              <a:gd name="T39" fmla="*/ 7046 h 129"/>
                              <a:gd name="T40" fmla="+- 0 7136 4825"/>
                              <a:gd name="T41" fmla="*/ T40 w 2411"/>
                              <a:gd name="T42" fmla="+- 0 7056 6991"/>
                              <a:gd name="T43" fmla="*/ 7056 h 129"/>
                              <a:gd name="T44" fmla="+- 0 7116 4825"/>
                              <a:gd name="T45" fmla="*/ T44 w 2411"/>
                              <a:gd name="T46" fmla="+- 0 7056 6991"/>
                              <a:gd name="T47" fmla="*/ 7056 h 129"/>
                              <a:gd name="T48" fmla="+- 0 7116 4825"/>
                              <a:gd name="T49" fmla="*/ T48 w 2411"/>
                              <a:gd name="T50" fmla="+- 0 7111 6991"/>
                              <a:gd name="T51" fmla="*/ 7111 h 129"/>
                              <a:gd name="T52" fmla="+- 0 7236 4825"/>
                              <a:gd name="T53" fmla="*/ T52 w 2411"/>
                              <a:gd name="T54" fmla="+- 0 7050 6991"/>
                              <a:gd name="T55" fmla="*/ 7050 h 129"/>
                              <a:gd name="T56" fmla="+- 0 7227 4825"/>
                              <a:gd name="T57" fmla="*/ T56 w 2411"/>
                              <a:gd name="T58" fmla="+- 0 7046 6991"/>
                              <a:gd name="T59" fmla="*/ 7046 h 129"/>
                              <a:gd name="T60" fmla="+- 0 4945 4825"/>
                              <a:gd name="T61" fmla="*/ T60 w 2411"/>
                              <a:gd name="T62" fmla="+- 0 7055 6991"/>
                              <a:gd name="T63" fmla="*/ 7055 h 129"/>
                              <a:gd name="T64" fmla="+- 0 4925 4825"/>
                              <a:gd name="T65" fmla="*/ T64 w 2411"/>
                              <a:gd name="T66" fmla="+- 0 7055 6991"/>
                              <a:gd name="T67" fmla="*/ 7055 h 129"/>
                              <a:gd name="T68" fmla="+- 0 4925 4825"/>
                              <a:gd name="T69" fmla="*/ T68 w 2411"/>
                              <a:gd name="T70" fmla="+- 0 7065 6991"/>
                              <a:gd name="T71" fmla="*/ 7065 h 129"/>
                              <a:gd name="T72" fmla="+- 0 4945 4825"/>
                              <a:gd name="T73" fmla="*/ T72 w 2411"/>
                              <a:gd name="T74" fmla="+- 0 7065 6991"/>
                              <a:gd name="T75" fmla="*/ 7065 h 129"/>
                              <a:gd name="T76" fmla="+- 0 4945 4825"/>
                              <a:gd name="T77" fmla="*/ T76 w 2411"/>
                              <a:gd name="T78" fmla="+- 0 7055 6991"/>
                              <a:gd name="T79" fmla="*/ 7055 h 129"/>
                              <a:gd name="T80" fmla="+- 0 4945 4825"/>
                              <a:gd name="T81" fmla="*/ T80 w 2411"/>
                              <a:gd name="T82" fmla="+- 0 7065 6991"/>
                              <a:gd name="T83" fmla="*/ 7065 h 129"/>
                              <a:gd name="T84" fmla="+- 0 4925 4825"/>
                              <a:gd name="T85" fmla="*/ T84 w 2411"/>
                              <a:gd name="T86" fmla="+- 0 7065 6991"/>
                              <a:gd name="T87" fmla="*/ 7065 h 129"/>
                              <a:gd name="T88" fmla="+- 0 4945 4825"/>
                              <a:gd name="T89" fmla="*/ T88 w 2411"/>
                              <a:gd name="T90" fmla="+- 0 7065 6991"/>
                              <a:gd name="T91" fmla="*/ 7065 h 129"/>
                              <a:gd name="T92" fmla="+- 0 4945 4825"/>
                              <a:gd name="T93" fmla="*/ T92 w 2411"/>
                              <a:gd name="T94" fmla="+- 0 7065 6991"/>
                              <a:gd name="T95" fmla="*/ 7065 h 129"/>
                              <a:gd name="T96" fmla="+- 0 7116 4825"/>
                              <a:gd name="T97" fmla="*/ T96 w 2411"/>
                              <a:gd name="T98" fmla="+- 0 7046 6991"/>
                              <a:gd name="T99" fmla="*/ 7046 h 129"/>
                              <a:gd name="T100" fmla="+- 0 4945 4825"/>
                              <a:gd name="T101" fmla="*/ T100 w 2411"/>
                              <a:gd name="T102" fmla="+- 0 7055 6991"/>
                              <a:gd name="T103" fmla="*/ 7055 h 129"/>
                              <a:gd name="T104" fmla="+- 0 4945 4825"/>
                              <a:gd name="T105" fmla="*/ T104 w 2411"/>
                              <a:gd name="T106" fmla="+- 0 7065 6991"/>
                              <a:gd name="T107" fmla="*/ 7065 h 129"/>
                              <a:gd name="T108" fmla="+- 0 7116 4825"/>
                              <a:gd name="T109" fmla="*/ T108 w 2411"/>
                              <a:gd name="T110" fmla="+- 0 7056 6991"/>
                              <a:gd name="T111" fmla="*/ 7056 h 129"/>
                              <a:gd name="T112" fmla="+- 0 7116 4825"/>
                              <a:gd name="T113" fmla="*/ T112 w 2411"/>
                              <a:gd name="T114" fmla="+- 0 7046 6991"/>
                              <a:gd name="T115" fmla="*/ 7046 h 129"/>
                              <a:gd name="T116" fmla="+- 0 7136 4825"/>
                              <a:gd name="T117" fmla="*/ T116 w 2411"/>
                              <a:gd name="T118" fmla="+- 0 7046 6991"/>
                              <a:gd name="T119" fmla="*/ 7046 h 129"/>
                              <a:gd name="T120" fmla="+- 0 7116 4825"/>
                              <a:gd name="T121" fmla="*/ T120 w 2411"/>
                              <a:gd name="T122" fmla="+- 0 7046 6991"/>
                              <a:gd name="T123" fmla="*/ 7046 h 129"/>
                              <a:gd name="T124" fmla="+- 0 7116 4825"/>
                              <a:gd name="T125" fmla="*/ T124 w 2411"/>
                              <a:gd name="T126" fmla="+- 0 7056 6991"/>
                              <a:gd name="T127" fmla="*/ 7056 h 129"/>
                              <a:gd name="T128" fmla="+- 0 7136 4825"/>
                              <a:gd name="T129" fmla="*/ T128 w 2411"/>
                              <a:gd name="T130" fmla="+- 0 7056 6991"/>
                              <a:gd name="T131" fmla="*/ 7056 h 129"/>
                              <a:gd name="T132" fmla="+- 0 7136 4825"/>
                              <a:gd name="T133" fmla="*/ T132 w 2411"/>
                              <a:gd name="T134" fmla="+- 0 7046 6991"/>
                              <a:gd name="T135" fmla="*/ 7046 h 129"/>
                              <a:gd name="T136" fmla="+- 0 7116 4825"/>
                              <a:gd name="T137" fmla="*/ T136 w 2411"/>
                              <a:gd name="T138" fmla="+- 0 6991 6991"/>
                              <a:gd name="T139" fmla="*/ 6991 h 129"/>
                              <a:gd name="T140" fmla="+- 0 7116 4825"/>
                              <a:gd name="T141" fmla="*/ T140 w 2411"/>
                              <a:gd name="T142" fmla="+- 0 7046 6991"/>
                              <a:gd name="T143" fmla="*/ 7046 h 129"/>
                              <a:gd name="T144" fmla="+- 0 7227 4825"/>
                              <a:gd name="T145" fmla="*/ T144 w 2411"/>
                              <a:gd name="T146" fmla="+- 0 7046 6991"/>
                              <a:gd name="T147" fmla="*/ 7046 h 129"/>
                              <a:gd name="T148" fmla="+- 0 7116 4825"/>
                              <a:gd name="T149" fmla="*/ T148 w 2411"/>
                              <a:gd name="T150" fmla="+- 0 6991 6991"/>
                              <a:gd name="T151" fmla="*/ 6991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411" h="129">
                                <a:moveTo>
                                  <a:pt x="120" y="9"/>
                                </a:moveTo>
                                <a:lnTo>
                                  <a:pt x="0" y="69"/>
                                </a:lnTo>
                                <a:lnTo>
                                  <a:pt x="120" y="129"/>
                                </a:lnTo>
                                <a:lnTo>
                                  <a:pt x="120" y="74"/>
                                </a:lnTo>
                                <a:lnTo>
                                  <a:pt x="100" y="74"/>
                                </a:lnTo>
                                <a:lnTo>
                                  <a:pt x="100" y="64"/>
                                </a:lnTo>
                                <a:lnTo>
                                  <a:pt x="120" y="64"/>
                                </a:lnTo>
                                <a:lnTo>
                                  <a:pt x="120" y="9"/>
                                </a:lnTo>
                                <a:close/>
                                <a:moveTo>
                                  <a:pt x="2402" y="55"/>
                                </a:moveTo>
                                <a:lnTo>
                                  <a:pt x="2311" y="55"/>
                                </a:lnTo>
                                <a:lnTo>
                                  <a:pt x="2311" y="65"/>
                                </a:lnTo>
                                <a:lnTo>
                                  <a:pt x="2291" y="65"/>
                                </a:lnTo>
                                <a:lnTo>
                                  <a:pt x="2291" y="120"/>
                                </a:lnTo>
                                <a:lnTo>
                                  <a:pt x="2411" y="59"/>
                                </a:lnTo>
                                <a:lnTo>
                                  <a:pt x="2402" y="55"/>
                                </a:lnTo>
                                <a:close/>
                                <a:moveTo>
                                  <a:pt x="120" y="64"/>
                                </a:moveTo>
                                <a:lnTo>
                                  <a:pt x="100" y="64"/>
                                </a:lnTo>
                                <a:lnTo>
                                  <a:pt x="100" y="74"/>
                                </a:lnTo>
                                <a:lnTo>
                                  <a:pt x="120" y="74"/>
                                </a:lnTo>
                                <a:lnTo>
                                  <a:pt x="120" y="64"/>
                                </a:lnTo>
                                <a:close/>
                                <a:moveTo>
                                  <a:pt x="120" y="74"/>
                                </a:moveTo>
                                <a:lnTo>
                                  <a:pt x="100" y="74"/>
                                </a:lnTo>
                                <a:lnTo>
                                  <a:pt x="120" y="74"/>
                                </a:lnTo>
                                <a:close/>
                                <a:moveTo>
                                  <a:pt x="2291" y="55"/>
                                </a:moveTo>
                                <a:lnTo>
                                  <a:pt x="120" y="64"/>
                                </a:lnTo>
                                <a:lnTo>
                                  <a:pt x="120" y="74"/>
                                </a:lnTo>
                                <a:lnTo>
                                  <a:pt x="2291" y="65"/>
                                </a:lnTo>
                                <a:lnTo>
                                  <a:pt x="2291" y="55"/>
                                </a:lnTo>
                                <a:close/>
                                <a:moveTo>
                                  <a:pt x="2311" y="55"/>
                                </a:moveTo>
                                <a:lnTo>
                                  <a:pt x="2291" y="55"/>
                                </a:lnTo>
                                <a:lnTo>
                                  <a:pt x="2291" y="65"/>
                                </a:lnTo>
                                <a:lnTo>
                                  <a:pt x="2311" y="65"/>
                                </a:lnTo>
                                <a:lnTo>
                                  <a:pt x="2311" y="55"/>
                                </a:lnTo>
                                <a:close/>
                                <a:moveTo>
                                  <a:pt x="2291" y="0"/>
                                </a:moveTo>
                                <a:lnTo>
                                  <a:pt x="2291" y="55"/>
                                </a:lnTo>
                                <a:lnTo>
                                  <a:pt x="2402" y="55"/>
                                </a:lnTo>
                                <a:lnTo>
                                  <a:pt x="2291" y="0"/>
                                </a:lnTo>
                                <a:close/>
                              </a:path>
                            </a:pathLst>
                          </a:custGeom>
                          <a:solidFill>
                            <a:schemeClr val="accent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4"/>
                        <wps:cNvSpPr txBox="1">
                          <a:spLocks noChangeArrowheads="1"/>
                        </wps:cNvSpPr>
                        <wps:spPr bwMode="auto">
                          <a:xfrm>
                            <a:off x="4933" y="4945"/>
                            <a:ext cx="1843"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AD4C" w14:textId="3F0C4DA5" w:rsidR="00633F20" w:rsidRPr="00A80372" w:rsidRDefault="005F672E" w:rsidP="00633F20">
                              <w:pPr>
                                <w:spacing w:after="0" w:line="240" w:lineRule="auto"/>
                                <w:ind w:left="261" w:hanging="261"/>
                                <w:jc w:val="center"/>
                                <w:rPr>
                                  <w:b/>
                                  <w:bCs/>
                                  <w:color w:val="FFFFFF"/>
                                  <w:w w:val="95"/>
                                  <w:sz w:val="24"/>
                                  <w:szCs w:val="24"/>
                                </w:rPr>
                              </w:pPr>
                              <w:r w:rsidRPr="00A80372">
                                <w:rPr>
                                  <w:b/>
                                  <w:bCs/>
                                  <w:color w:val="FFFFFF"/>
                                  <w:w w:val="95"/>
                                  <w:sz w:val="24"/>
                                  <w:szCs w:val="24"/>
                                </w:rPr>
                                <w:t>Epidemiological</w:t>
                              </w:r>
                            </w:p>
                            <w:p w14:paraId="6E52903A" w14:textId="0078BC55" w:rsidR="005F672E" w:rsidRPr="00A80372" w:rsidRDefault="005F672E" w:rsidP="00633F20">
                              <w:pPr>
                                <w:spacing w:after="0" w:line="240" w:lineRule="auto"/>
                                <w:ind w:left="261" w:hanging="261"/>
                                <w:jc w:val="center"/>
                                <w:rPr>
                                  <w:b/>
                                  <w:bCs/>
                                  <w:sz w:val="24"/>
                                  <w:szCs w:val="24"/>
                                </w:rPr>
                              </w:pPr>
                              <w:r w:rsidRPr="00A80372">
                                <w:rPr>
                                  <w:b/>
                                  <w:bCs/>
                                  <w:color w:val="FFFFFF"/>
                                  <w:sz w:val="24"/>
                                  <w:szCs w:val="24"/>
                                </w:rPr>
                                <w:t>triangle</w:t>
                              </w:r>
                            </w:p>
                          </w:txbxContent>
                        </wps:txbx>
                        <wps:bodyPr rot="0" vert="horz" wrap="square" lIns="0" tIns="0" rIns="0" bIns="0" anchor="t" anchorCtr="0" upright="1">
                          <a:noAutofit/>
                        </wps:bodyPr>
                      </wps:wsp>
                      <wps:wsp>
                        <wps:cNvPr id="17" name="Text Box 15"/>
                        <wps:cNvSpPr txBox="1">
                          <a:spLocks noChangeArrowheads="1"/>
                        </wps:cNvSpPr>
                        <wps:spPr bwMode="auto">
                          <a:xfrm>
                            <a:off x="1701" y="3368"/>
                            <a:ext cx="2577" cy="3402"/>
                          </a:xfrm>
                          <a:prstGeom prst="rect">
                            <a:avLst/>
                          </a:prstGeom>
                          <a:solidFill>
                            <a:srgbClr val="FFFFFF"/>
                          </a:solidFill>
                          <a:ln w="9525">
                            <a:noFill/>
                            <a:miter lim="800000"/>
                            <a:headEnd/>
                            <a:tailEnd/>
                          </a:ln>
                        </wps:spPr>
                        <wps:txbx>
                          <w:txbxContent>
                            <w:p w14:paraId="7073F3EF" w14:textId="77777777" w:rsidR="005F672E" w:rsidRPr="00633F20" w:rsidRDefault="005F672E" w:rsidP="005F672E">
                              <w:pPr>
                                <w:spacing w:before="71"/>
                                <w:ind w:left="143"/>
                                <w:rPr>
                                  <w:b/>
                                </w:rPr>
                              </w:pPr>
                              <w:r w:rsidRPr="00633F20">
                                <w:rPr>
                                  <w:b/>
                                </w:rPr>
                                <w:t>Environment</w:t>
                              </w:r>
                            </w:p>
                            <w:p w14:paraId="2B620333" w14:textId="77777777" w:rsidR="005F672E" w:rsidRPr="00633F20" w:rsidRDefault="005F672E" w:rsidP="005F672E">
                              <w:pPr>
                                <w:spacing w:before="178" w:line="261" w:lineRule="auto"/>
                                <w:ind w:left="143" w:right="151"/>
                              </w:pPr>
                              <w:r w:rsidRPr="00633F20">
                                <w:t>Recreational water and dose response.</w:t>
                              </w:r>
                            </w:p>
                            <w:p w14:paraId="6A217A3D" w14:textId="77777777" w:rsidR="005F672E" w:rsidRPr="00633F20" w:rsidRDefault="005F672E" w:rsidP="005F672E">
                              <w:pPr>
                                <w:spacing w:before="157" w:line="256" w:lineRule="auto"/>
                                <w:ind w:left="143" w:right="373"/>
                              </w:pPr>
                              <w:r w:rsidRPr="00633F20">
                                <w:t>Concentration of HAB and concentration of toxins.</w:t>
                              </w:r>
                            </w:p>
                            <w:p w14:paraId="215B77A3" w14:textId="77777777" w:rsidR="005F672E" w:rsidRPr="00633F20" w:rsidRDefault="005F672E" w:rsidP="005F672E">
                              <w:pPr>
                                <w:spacing w:before="163" w:line="261" w:lineRule="auto"/>
                                <w:ind w:left="143" w:right="517"/>
                              </w:pPr>
                              <w:r w:rsidRPr="00633F20">
                                <w:t>Duration and route of exposure to the biotoxin.</w:t>
                              </w:r>
                            </w:p>
                          </w:txbxContent>
                        </wps:txbx>
                        <wps:bodyPr rot="0" vert="horz" wrap="square" lIns="0" tIns="0" rIns="0" bIns="0" anchor="t" anchorCtr="0" upright="1">
                          <a:noAutofit/>
                        </wps:bodyPr>
                      </wps:wsp>
                      <wps:wsp>
                        <wps:cNvPr id="18" name="Text Box 16"/>
                        <wps:cNvSpPr txBox="1">
                          <a:spLocks noChangeArrowheads="1"/>
                        </wps:cNvSpPr>
                        <wps:spPr bwMode="auto">
                          <a:xfrm>
                            <a:off x="7363" y="3268"/>
                            <a:ext cx="2765" cy="3762"/>
                          </a:xfrm>
                          <a:prstGeom prst="rect">
                            <a:avLst/>
                          </a:prstGeom>
                          <a:solidFill>
                            <a:srgbClr val="FFFFFF"/>
                          </a:solidFill>
                          <a:ln w="9525">
                            <a:noFill/>
                            <a:miter lim="800000"/>
                            <a:headEnd/>
                            <a:tailEnd/>
                          </a:ln>
                        </wps:spPr>
                        <wps:txbx>
                          <w:txbxContent>
                            <w:p w14:paraId="4D097D42" w14:textId="77777777" w:rsidR="005F672E" w:rsidRPr="00633F20" w:rsidRDefault="005F672E" w:rsidP="005F672E">
                              <w:pPr>
                                <w:spacing w:before="72"/>
                                <w:ind w:left="143"/>
                                <w:rPr>
                                  <w:b/>
                                </w:rPr>
                              </w:pPr>
                              <w:r w:rsidRPr="00633F20">
                                <w:rPr>
                                  <w:b/>
                                </w:rPr>
                                <w:t>Host</w:t>
                              </w:r>
                            </w:p>
                            <w:p w14:paraId="00172D0A" w14:textId="77777777" w:rsidR="005F672E" w:rsidRPr="00633F20" w:rsidRDefault="005F672E" w:rsidP="005F672E">
                              <w:pPr>
                                <w:spacing w:before="178" w:line="261" w:lineRule="auto"/>
                                <w:ind w:left="143" w:right="371"/>
                              </w:pPr>
                              <w:r w:rsidRPr="00633F20">
                                <w:t>Co-morbidities of exposed person.</w:t>
                              </w:r>
                            </w:p>
                            <w:p w14:paraId="142786DE" w14:textId="050BDB46" w:rsidR="005F672E" w:rsidRPr="00633F20" w:rsidRDefault="005F672E" w:rsidP="005F672E">
                              <w:pPr>
                                <w:spacing w:before="156"/>
                                <w:ind w:left="143" w:right="193"/>
                              </w:pPr>
                              <w:r w:rsidRPr="00633F20">
                                <w:t>Age of person, eg children are at the greatest risk of adverse health effects from HAB.</w:t>
                              </w:r>
                            </w:p>
                            <w:p w14:paraId="4B6DA8E6" w14:textId="77777777" w:rsidR="005F672E" w:rsidRPr="00633F20" w:rsidRDefault="005F672E" w:rsidP="005F672E">
                              <w:pPr>
                                <w:spacing w:before="159"/>
                                <w:ind w:left="143" w:right="371"/>
                              </w:pPr>
                              <w:r w:rsidRPr="00633F20">
                                <w:t>Populations likely to have more frequent interactions with recreational water.</w:t>
                              </w:r>
                            </w:p>
                          </w:txbxContent>
                        </wps:txbx>
                        <wps:bodyPr rot="0" vert="horz" wrap="square" lIns="0" tIns="0" rIns="0" bIns="0" anchor="t" anchorCtr="0" upright="1">
                          <a:noAutofit/>
                        </wps:bodyPr>
                      </wps:wsp>
                      <wps:wsp>
                        <wps:cNvPr id="19" name="Text Box 17"/>
                        <wps:cNvSpPr txBox="1">
                          <a:spLocks noChangeArrowheads="1"/>
                        </wps:cNvSpPr>
                        <wps:spPr bwMode="auto">
                          <a:xfrm>
                            <a:off x="4133" y="444"/>
                            <a:ext cx="3574" cy="2496"/>
                          </a:xfrm>
                          <a:prstGeom prst="rect">
                            <a:avLst/>
                          </a:prstGeom>
                          <a:solidFill>
                            <a:srgbClr val="FFFFFF"/>
                          </a:solidFill>
                          <a:ln w="9525">
                            <a:noFill/>
                            <a:miter lim="800000"/>
                            <a:headEnd/>
                            <a:tailEnd/>
                          </a:ln>
                        </wps:spPr>
                        <wps:txbx>
                          <w:txbxContent>
                            <w:p w14:paraId="48F5542B" w14:textId="77777777" w:rsidR="005F672E" w:rsidRPr="00633F20" w:rsidRDefault="005F672E" w:rsidP="005F672E">
                              <w:pPr>
                                <w:spacing w:before="70"/>
                                <w:ind w:left="143"/>
                                <w:rPr>
                                  <w:b/>
                                </w:rPr>
                              </w:pPr>
                              <w:r w:rsidRPr="00633F20">
                                <w:rPr>
                                  <w:b/>
                                </w:rPr>
                                <w:t>Agent</w:t>
                              </w:r>
                            </w:p>
                            <w:p w14:paraId="06AACA5E" w14:textId="335D6814" w:rsidR="005F672E" w:rsidRPr="00633F20" w:rsidRDefault="005F672E" w:rsidP="005F672E">
                              <w:pPr>
                                <w:spacing w:before="181"/>
                                <w:ind w:left="143" w:right="209"/>
                              </w:pPr>
                              <w:r w:rsidRPr="00633F20">
                                <w:t xml:space="preserve">Type of HAB </w:t>
                              </w:r>
                              <w:r w:rsidR="009F55A9" w:rsidRPr="00633F20">
                                <w:t>–</w:t>
                              </w:r>
                              <w:r w:rsidRPr="00633F20">
                                <w:t xml:space="preserve"> Some strains of cyanobacteria produce toxins; some do not produce toxins.</w:t>
                              </w:r>
                            </w:p>
                            <w:p w14:paraId="61223C55" w14:textId="77777777" w:rsidR="005F672E" w:rsidRPr="00633F20" w:rsidRDefault="005F672E" w:rsidP="005F672E">
                              <w:pPr>
                                <w:spacing w:before="157" w:line="261" w:lineRule="auto"/>
                                <w:ind w:left="143" w:right="364"/>
                              </w:pPr>
                              <w:r w:rsidRPr="00633F20">
                                <w:t>Type of toxin – different toxins can cause different health effects.</w:t>
                              </w:r>
                            </w:p>
                          </w:txbxContent>
                        </wps:txbx>
                        <wps:bodyPr rot="0" vert="horz" wrap="square" lIns="0" tIns="0" rIns="0" bIns="0" anchor="t" anchorCtr="0" upright="1">
                          <a:noAutofit/>
                        </wps:bodyPr>
                      </wps:wsp>
                    </wpg:wgp>
                  </a:graphicData>
                </a:graphic>
              </wp:inline>
            </w:drawing>
          </mc:Choice>
          <mc:Fallback>
            <w:pict>
              <v:group w14:anchorId="11D49608" id="Group 7" o:spid="_x0000_s1027" alt="Figure 1 - Epidemiological triangle for harmful algal blooms" style="width:455.75pt;height:365.6pt;mso-position-horizontal-relative:char;mso-position-vertical-relative:line" coordorigin="1398,233" coordsize="9115,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vUhGykAAMwMAQAOAAAAZHJzL2Uyb0RvYy54bWzsXW2PI7mN/n7A/QejP+aQHauqXFUeZDbY&#10;22QXAZK7APH9AE+3+wXpbndsz/Rsfv2RVLFapElJM7O3WOQ6H9Y9Ma16RIqSKD1k/e73nx7uFx93&#10;h+Pd/vHdRfhmebHYPV7ur+4eb95d/M/mh9+OF4vjaft4tb3fP+7eXfy0O178/tt//7ffPT+93TX7&#10;2/391e6wgEYej2+fn95d3J5OT2/fvDle3u4etsdv9k+7R/jyen942J7gn4ebN1eH7TO0/nD/plku&#10;+zfP+8PV02F/uTse4f/9Q/zy4ltq//p6d3n67+vr4+60uH93AdhO9N8D/fc9/vfNt7/bvr05bJ9u&#10;7y4nGNsvQPGwvXuEh85N/WF72i4+HO7Omnq4uzzsj/vr0zeX+4c3++vru8sd9QF6E5aqNz8e9h+e&#10;qC83b59vnmY1gWqVnr642cv/+vjj4elvT389RPTw55/3l38/gl7ePD/dvE2/x3/fROHF++e/7K/A&#10;ntsPpz11/NP14QGbgC4tPpF+f5r1u/t0WlzC/7kaxnHZrC4Wl/Bd13dtaCYLXN6CmfB3oV3DiIGv&#10;m7aNxrm8/eP083UI028H+CV++2b7Nj6XsE7Y0PYwmI4v+jp+nb7+drt92pEZjqiPvx4Wd1fvLgDm&#10;4/YBVPDDYbfDAboYEBI+G4RYo8dUnck3KHYErRcVGboeOo0K6SddsTbXyw4woCqHZlwJdWzfXn44&#10;nn7c7ckk249/Pp7iQL+Cv8jQVxP4DTjF9cM9jPn/+O1iuWj60CzIBpM8iwUW+82bxWa5eF7Q05VQ&#10;w0KxrbZbNG0XrXgzP7BlIWgJvl7cLhg+eM8s1bFUbKrrlyYsUE1Ej7A6B1bPQlNbrQVrYCGE1bUO&#10;LFB4qq02tCasNYshrNGBFZTqh2DhCqnmG5Cx9QX+IJCFwUYWUvVvwNi2JYPUfxtWJrZU/SjjYFMG&#10;WHbB1FpIbbAJvYdNGqEdehNbagOUsbHBBJTqLazDaGJrUjNsGtcDpBm6lWnTJjUCyjjYpBHCuOxt&#10;bKkZNo3nBo00w6oDdz93zyY1Aso42KQRwrDsbGypGTaN5wutNEMPI8TA1qZGQBkbWyuNEHoYStac&#10;BitMMnu0ni+AjtIhMqzsaS01Aso42KQRAmrYxJaaYdN6vtBKM4zDYOotNQLK2Ng6aYTQjTa2LjXD&#10;BjpgzyGdMsNyubbAdakVAgo56KQZQteuTM11qSE2necNnTJE6Gx0qR0CCjnopCFCtxxsdKkpNp3n&#10;DytlimZtTsCr1BIBhWx0K2UK2GSZ6FapLTYrzyNW2hTQD8NdV6klQgdCDjplim5pj7tVaovNyvOJ&#10;lTRF347mZLJKLUFCNjrYdqXuH7qwNnXXp7bYwH7F9opemqJftSa6PrUECTnotClWtlfgJvJlp9R7&#10;XtFLU/T9YE52fWoJEnLQSVOE1dIed31qi03vecUgTdGPwVzChtQSJGSjG6Qpwgp2CdZcPKS22Aye&#10;VwzSFP26Nb1iSC1BQg46aYrQr2zdDaktNtAFe9wN0hTDEvzH8NkhtQQJ2ehGaYqAK56luzG1xQYW&#10;FBvdKE0xhN7cpI+pJUjIQSdNEcbe3nFC2JR4xeh5xShNMTRgCkN3Y2oJEnLQSVOE9WDPKGNqi83o&#10;ecVammJo7c3TOrUECdno1tIUTXB2nevUFpu15xVraYqhs3cB69QSJOSgk6Zoms6OV9epLTZrzyvw&#10;sCEJ6IYOBoph2XVqCRKy0cH2RbTXtKM9pYRlao0N/M5xjLCU5hg6WLoNhGGZmoOkPIjSIM3K2UeF&#10;ZWoSgOh5BwwQ0elhBfttE2JqE5LyIEqrrBvYm1uTS1imdgGInosEFWvDw83dXhDRNkk5EFW8DXO9&#10;Pf8FFXD7EbcKuYeV7Sh0Bjav5CTlQZRmWeNOw9Siirv9wDtIuwzd2JiGDqlZSMqBqKLvdQ/nGyZE&#10;GX7DsaHnLo12l9aMiIIIwYcOpDyI0l3W49I5WMFzzdkucLLiuouKwwfvAENE4iTlQZRmWa8bZ9Jp&#10;UrsARNddVDg+tEtzWgwiICcpB6IOyZdL2ByZlpZBeXCj8qDD8gZcy5p12tQuA0p5GKW/wBTtxOah&#10;TSeyTXCj86DC8wHmFxtjahiScjDqEH3ZgBFNPcogHbti77yCCtP7tbPAiDidpDyM0mNgZXLOhoIM&#10;1SFCdDFK0/TjYIbDoUsNQ1IeRukygBFCIluPqWk2cCbiYVQhO0RO5hY2iJidpByMOmhf4tbJxCjD&#10;9uDG7XDaxHMUHYX3PUxmls+IyJ2kPIzSMLBJgJnUxpiaZhPc6D3o8L1b2TO4jN9RysGoA/hl1znz&#10;owzhgxvDBx3Et0t7PMooHqU8jNIwoEdwBlOPMpAPbiQfVCgPk5Y994hYnqQ8jNpnusY+awgynA9u&#10;PA+nxmI8hqaxMYqInqQcjDqkh2XG8RkZ1Ac3qg8qrA/Lwd6Ai7iepDyM2mdaWEBMW8vQPrixfVDB&#10;/RqCIsutRXCPQg5CHdwvGzChiVCG93BD4c2OKsAfg3muFESAj0IeQu0vEOI7CNPlfxPcGB8aEGOx&#10;h5jR0qEI8lHIQ6i9Zbm2TzWDDPODG+cHFeivYGhbCEWgj0IOQhXow7rv7GxlpB/cUD+oWL9b20YW&#10;sT4KeQClRdZj78w3MtgPbrQfVLjfOVtGEe6jkA0Q+CdiyKwHZ1ML1A4WxAth+J3jJo2K9ltYBQwT&#10;NyLYRyEPoHSTdb+0A+lGxvqNG+s3KtZv1uaE3SzT1R6FPIDSS9adc8jZyEi/cSN9OK5iVcfbfjgP&#10;tzQoAv0GhByAZ3G+swdrZJyPYYa9325UnN/A5G8CTOctFHoBCKyXGyZybG+Z23H56XEid8Bfiy3y&#10;r5bEzHnaH5FZs4ExCFyRDdFqoAmQQiaIIwxPR2GitBSFYYuMwqBTIIQUpVFTJM6clTwSPJ0g8XVV&#10;63hSgOIQ4NeAwaidxOt6ihE0ikPgW9M6BrMkXtdVjCtJvK6rGOKhOERmNWAw2iLxuq52U1chXqlp&#10;HWMQbB1Chyrxqauwi68Rx505tg4b6irxqauwt60Sn7oK28wacdw6IhjY8VWJT12F3VeNOG6psHXY&#10;ClWJT12FfUmV+NRV2CTUiOPSj2Bgya4Sn7oKC2iNOJ2CY/N4el33g6m3sL+u/MHUXzzZrXrCPDsB&#10;17DuB1OfA5x6Vv2AZyg8g6z7AXcaTgTrfsCdrpymAs9TAQ7Lqp7AMxUEBXU/4LkKaBuVP+BOw5lO&#10;FSSer/CApeoHPGOFyikL7oejM4TKSQuIR9MPKqctuOPlH1R2GiNtcqDKqQtogfyDSktjDBqfUGlp&#10;nr8wlquyA17C0hMqpzAKmOgHlZNY4FksVE5jcCM7QaqcyGiDj5BwZ17Tadpwxx/UWZo2wPSDyomM&#10;NqTxB8LScXs27RQPwI/XzPjDxQKY8e+xG9u3T9sTbjD5z8Xzu4tIO76dWMf4zcP+426zJ5kT7jSH&#10;Ec/m4dlEWIYHvgjcP6aCgTbDiSB/zZ9P1B7coUV7MOebv+bPSWyJx3LQGg9U/po/o9h6hJgDpGAa&#10;jpbir/lzEkOuOYjBo3NiYxe7CnNDTmzA0yFoDZwjK7aM2PC+MicH1HlqDg/vc3KryRnxgCgrhxdx&#10;pJN8Nzo80ES5yEUH07LS+DMqr5v60UK4mHtuu4IQH5U8T8HcDn/G9rAdlANWXbY9xEVyMBJyz23w&#10;JhPaW0G/c3J0sIZycCKWlcNLFJBDu2TlMDoFuQH0k5PD0zIUm3eYrA7+jGqZFiQcg7nWJu9Zzzsa&#10;boU/Y2vTvmQ9T8P8NX9GsbjiwKV/fijHHpDr5rBFfdBEUBbrl/Myx5j4c+pCtALeA+Vai13om3kD&#10;xq3wp1BI38BykGtu0m/fwmqck5vM1Xdwi5eTm6zfAwMgK0esBhx1QFzLC/LwBM50XhAPkrFFoHNn&#10;BdmB+qEvCE4e2Y9wM5/rNLs43NoVtD3NGf0agvFcizwJ9evC7Mez2rBs8p3B6SK67xxY8ojhzzhy&#10;eN4dXuIUFuDPKMgT+VCayXHGoEcD0y7ba15phpetCD+SP+OjeeUamjmsYAH+jII4b9CjG8g3yimc&#10;V9ahKQwKmDymCa4p9GZe+iFHKD9+5r0EZxO5i9O8PSlLQsbZ1PXC0wc4nJ4kCz2CJI5pEJW0NHJY&#10;NpQUP8KB7fT0gi3HZgoAysOjRa4BLkKlETd2eHpMkoXtyNjhZSNJFhbycdVM431ZcLVxNcUPRe8d&#10;+6lHxQlhhLmFcBbnmHHgqbU0bY2Q+xjbLM2E44j0G5qFC340jniBSpKF+XpcTzuovrQEjEBli22W&#10;VpVxjVfM+PTSQjWu8U4KJUtL33o5eVxxMV0vkR+FbZaW5/USDimiZGHBh9Bm6lFxB0G5l/j00pYk&#10;hksgWdzjzE8vbprmHhV3YbOWirs6VnxplzjbsrTrnIdHaRc7j7jirngexIVt9uwXpX377GqlQGD2&#10;3q4QWcwTQilUmeeYUuwzT1ulYGqeCUvR2Ty5NnC3klvQ5/m6FD/OS0BpGwMnA3HGKkW480JViJjn&#10;pa8QgM+LaSme5+W5cDwwL/j5PejAO4j85mXekujA4PJ+f9xFE+FRDN2uzWcyeJSTpHkf9/d3Vz/c&#10;3d/jSczxcPP++/vD4uMWCh+0y+/Cd99PphZi9490pLOCazD6ldvEkv5nNQE1Ch6vAOL27e1ue/XH&#10;6e/T9u4+/k37MKomEDPeY4r8+/3VT5D9ftjHigxQQQL+uN0f/nmxeIZqDO8ujv/4sD3sLhb3f3qE&#10;9P01kANh4JzoH8D1wo34If3mffrN9vESmnp3cbqAe1D88/tTLPnw4elwd3MLTwrU3cf9d1C+4PoO&#10;k+OhgsDxbUQ1/QMqCPxCpQRgeVKlBGij/bOXEjirrfB/WUoAKKcO4YUv6JEL4TIhWIhu8T3yGpxG&#10;zZTrDHUNNsdJkoebwQe72Lm1jcdFhQ1C2pbDWIOtydxUhq8GO620sc5J3oPxMbe2cQmo4BJpYx5P&#10;DXZic2M5mhrsgNPmvNQ9yXtwaQ+K9eAx1FITZAhqyghe4p5KbPCSgFRag8dNS63gU9NwZkr15qXt&#10;4WnbbIfqggIOKw32tS+N+aQ0ON4Q2LykPZnK0HiuoBIZHD4abtPnjvp0NIz3Ur15KXsyh8FNYVAZ&#10;DA4VTeQv+Ew0nb3gJezJ3AU3dUFlLjgsNJG34JPQWukLbroeHlLOZqguKOAQ0DCgmhvz+We4ZCc2&#10;dZP18HJ4bq66oIDDPcOrkbkxn3qG9zYpNi9TT+YoANXOpnWpcgLIKDNYXSI/wWedYV2fFJuXoodX&#10;3nNXq4sJOIwzkZcgCWdpYR6VleDm5smcBDclQWUkgM4svYl8BJR5IcMJbNIX3KQ8PIh/0ZubiqAy&#10;EbAqkGFTkYfgVw7CU7/Epm42nsxBcFMQ8AA1aQ4LAxnYRP6BXzwIjpnSxtw0PJl74KYeqMwDp3gQ&#10;HgXORvCLB/XSF9z8O5lz4KYcqIwDJ/dO5Bv4xYNUtoGbeCdzDdxUA5Vp4BQPgvPlF735xYPgSii1&#10;KWQYO+RkmWTg5hioFAOnepDIMPCrB50lGHipdnh/PQ+S6vIBTvkgkVzglw8apTdABraTY/eF1QPs&#10;+kEir8CvH4SHyInf+8l1MqvATSpQOQVOASGRUuAXEFIZBX5WncwocBMKVD4BFQcyZjmRT0BC9vKw&#10;1i7hJdTJfAI3nUBlE1B1IAteukpnSggBcmVbN5lO5hPAD51dia4eQCWCDIjIv3zxs0whIUhMY8EY&#10;mPvJdDKloL58ABUKMjGmCwZJ2WaGMgBnGJ1kOplVUF8/wKspJOsHZIoKBZVXAOrxkulUgO1H2CrE&#10;9ioLyQICmdJCIWh/cZPpVKBdXUHAqy+EXNqX8ZgpMIQFRNV86CXTyYC7voSAV2VIlhDIlBmCUgAK&#10;o5tOJwPv+hoCXq2hIILvTLEhqAWgMLoJdTIA/4wiAk7FIVVEAKUcv9ZhONSKc04YZSD+GUUEnLpD&#10;yIt+GY+ZwkNQC4AFaX70k+pkPP4ZNQSc4kPIxE4gopSjRhWV+2l1MiyvLyHgVSBC7ncCEesUeRCl&#10;x7iJdV9cQcArQ4T3vglE3CB4EKXDuKl1UDIwafEzCgh4tYhkAYFcMSIdqnvJdUHG6vX1A9xiRCJe&#10;zxUjQi5Xsp1dt056HXHvXwKB+vIBbjEiEbbnihGpwN2vkCwj9/rqAW4xIhG954oRqfi98aolU35B&#10;okU3gtfFA9xiRCKIzxUjUmF841VO/uLaAW4xIhHL54oRqWgeLsedfGgZzteXDqAyQ9bOVoT0uWJE&#10;KqgH2pdTL0kG9fWVA9xiRCKwzxUj0qG9V1A5yNC+vnSAW4xIhPe5YkQ6wPfqKgcZ4NfXDqAqQ5ah&#10;ZZCfqUWkw3yvvPIXFw9wSxGJUD9XikgH+16VZcq+SSYdN9rX5QPcSkQi3s9VItIBv1dsmfJ9Uoju&#10;TaEK+d1CRKKCQKYQkS4h4NZc/uISAl4dIllDIFOHiLilUTkx5PcKL39xEQGvDJGsIpApQwTlAMQ2&#10;AraqdhWiLy4j0DtViBqkK84jh6Ts/SL4OgtOjAanBPMXFxLonSJEDdK3XyDKIkRAznktJeDVQMAT&#10;AyBuvpYSOCsl8VpKwBsznJA7Jyrli1twOu6cNFAQh+gUR+RrKYGz4iZ4JI6qeS0lgFRMp6pL4HIn&#10;eDAYaaX5AQdXAZNaX0sJZNT6WkqAmMmFsfRaSqBCS6+lBNIKAXC7I1NnvFICMV+rnDkT2ysmL8fF&#10;pJQ0MyX+llJmKtO0K5O+Oeu3lC2DqRiovGJO+pTzW8qV4ZTfUqpMbQ4+J/yWEmVqawRwum8pTYaz&#10;fUtZMpzsW0qS4VzfUo4Mp/qWUmQ407eUIcOJvqUEmboCFZzkW0iP4RRfCI3i9oFThfkzpgzPCb75&#10;7Jg5uzefHTOn9ursGPlQN4lGiVWm5HBGb74LczpvQSPV+UecylvKZ+JE3pL5qxOuOIu3ND7rk8I4&#10;h7fkQfWJa5zBW/Lx+uQ6zt8tzUL1CYCcvVuaJ+uTFKvTHjl1t7Q0fEZq5pS4W0r2nPN2S2vhZySk&#10;Tlm7FTmuU9ZuefXnrN2aXFw4UsTVsyK/F+4wUbKcM1yfh1yf21ybLz3n7RZzsOfRUZHXXZ8rXp1/&#10;Xp/Tzp5WLEIyO2+xCsmcvlssQzJPMeUaATxrlesO1Ncy4Ll1KNZHqK+5wCtAsRjJnMVbrg3By1S5&#10;3gQvfMV6JPNSWq6Lwcm8xYokczrvUKpIMmf0FiuSzPuRYp2ReYNTluRSaMWnz1uwYo94T1dUEu8R&#10;y3qf9pxFU/Ietjg6eFNcHHC8yy6OYd62F0v0cBxQ9DQOLIqFSDhSKc4HHPoUpxiOpYqzFgdnxYmQ&#10;o73i3Mol0oolo+Z4tFSBhAPcYlmr2jpZU/xdXPimcL5YemS6FyoXHon7gmKZsbrtQzwKKe5Hzk5M&#10;OPr5nFICj3usI0BJ/bFCAJwXAzsdT5aTr14z/y8P++P++vTN5f7hzf76+u5y9+Z5f7h6A4d4S/rr&#10;6bC/3B2Pd483f7vdPu1Ag1NSP9Q+uLuCOgRgLpX6T/Hmz53632GFB9yltg2QIsiwnPsPZGS4VbqE&#10;7+BthVxb7NP14YHuEZL6EtuPXGp+vjK+uZrQb6AfCUdgtQYWNsyHVA0xzdBLb8sp9x8mJLqJSIXk&#10;TXmLbDb8T4T98siUTEpCtwtwtbPWJJUUQZnI0ktySv63kEm24gomcBNZyiElIRuZJC3Aqro0kQn+&#10;KGb/W8jUaw9caIKvkMGm6Aq+QVMrbCg5wYQnreDaVHAVlFH/JbkKWMNlfnHDl5TjJW0voBwvjX30&#10;2Zcj8ukwrsXsHvBvPj57EeC1IQrGpYN9iOq2xLN4KRafiPPF5G2uZNBP5oY+Zy0S9WpEWRsgKo+d&#10;U9ZGLFUEcKrqcnz66+G1BM35QgRDJC5EWBKHFqsFzBWwUvzcS1Gzmi4mINeCzn23b3kpinEQLkVg&#10;2p9pKYIXBOPLsCCVkFa9l+XjbCniQ6HMUgR0y0UYeAV9aSudBFsUul1wD9LW5CSIoExkZ0uRhUwu&#10;RW0Lb06zkKVLEQnZyORS1MQ3+J7r7GwpspCppaiFOpcmNLEUkZSNTS1FTQcMUtOgqRXiUmTCk1Zo&#10;mw7eKmXYVC5FKOXAk5Yg8r0JLzXFhlLkTHjSFD681BYkZcNTCXLQD1t7GNTMLMFYj8aCp96v20JP&#10;Te2JijQk5cCT1gDtYeGM85EnM+OoJI0JTxqjhZIjNrzUGCTlwJPWcCcTmRRHVWkseKoqDU0V1tgT&#10;dWkyE4rKiHO1J/PhqDCNCU8aw9WeyIbLaE8lw7ljDwPvl7EHocPzwoQnjeGOPZEJlxl7KhHO9VyZ&#10;B0dv0rXg4bKWxECu54osuIzn6go1HeSjWK5hVKgx4WnXaCF50pj3RAYcaG/pzHu6SI3nuTL/jd6f&#10;a8FTr891x54oU5MZeyr5rfG0J3PfqE6NCU+7hqM9kfmW0Z5KfHPHnlGqxoSnXcNZ1ETWW2bs6aQ3&#10;b82VOW9UrcaCp6rVuK4hMt5y8KQ1XOMaBWtMeJWuIbLdMsZVyW7tqsE3dZ4vakbNGgueqlkDbwiF&#10;d50anisy3UjKXtR0opvnuTLPjcrWmPCkMVzPFVluGc/VSW6e58ocNypcY8LTruF4rshwyxhXJbi1&#10;K3jjtWVcmd9Gb8a14OEhdrJqQPAAWYeGcUV2G0nZxlXJbe7Yk7lt9FpcE550DXfsicy2zNhTiW3t&#10;ytnMG+VrLHiqfE0YoQ6WpT2R1UZStvZUUlsLsappXKOAjQlPuoYPLw35cvCkNaB09NKGJzZUVMDG&#10;hCddAx4MaVPG2BPZbCRla09XsHF9g17897LjiwVsLIRnBWw891AVbFDMwyht0gLv0dRhsArY2Bil&#10;VeAFybYa8WUgL/tcEvMwSsO4XhKsAjYmRhWUuyNRVrDJDEVdwcZ1FWDlJL2Gl8Tim3FtjNIyGYyV&#10;7qIr2LiTYbAK2NgYpWXc+VBWsMlMiLqCje8zMkKPBWxMjCpGd5cUWcEms6boCjbuvEP5JYlfu3F6&#10;ULVjaVKxph5ZwYbEHJ9RFWz88Shj9VjAxtSjitb98SjCdRJzMKp4ve3hPdbW3oHe/JLo0Y3Yg6ol&#10;iyo0p3BZwYbEPIxyNms72G3aGNPZbBMr2Nh61D4DUZZpaxG4Q/Y9vnjdOkeF/F6eUiiZ1vdrGbrH&#10;EjYmRhW8+34tovecX6vw3R+PMn6Hwmbe/KhqzPrjUYTwufGoYnh/nZFBPGSpexhVGO9jFHF8DqMK&#10;5H2fkZE8jBsXo1pnXJ8RwbzyGbhTmq/BX1/CDneLeOPGr5qfGDKvmdOvmdPwzva6VNPXzGkva5df&#10;X1z59mJ+eXHlu4tfX8IOF8MwmxeSV18zp2u0hPsEuL7ffO1L2KM9vuIt1bTJQ1oM7R8tWsz0gkGo&#10;m8jv7M3zYngjSmQSixcD73mhzocOzn/jmGK+C39Gng0WEUKOQwfayslNr9crymGd+tge94Sfx5/x&#10;uXg+THLQ9dxzzzXD7TBv55xkdN62p81atLW9x3Nb6hWEQrlenSOs6NVZ216vatHW2t7vlW8DOGmB&#10;gxHQBZyKRk14aH1dsE6mEXPWf/6eP6McVLWGQx58Mq/1/D1/spxGyN/nejXpbK6R4vUKUERPmCW5&#10;df5kFNMrhAu5k/W9ml7+iqVsc0MQDoUcgLnu60753feUq7tfa6xqNX1+rxqsVg0DpjRS4YQzzqqA&#10;Ja/a6s47YLWSPFMpOd0R/potCsvFZ7657/J297Cb3923vbzcPZ54ahNkyPvHV5bjZ9LtYdCdsRyJ&#10;hPhzsxxHON6P69KK731nliO9ypBYji+vw/1Kwv16DUcy4+qcmShYXfiaANhNnDHp5RVkMyDLsYtz&#10;WUpfTM/xSQhO54zW5OnKeg0lfS1k6Rk+Ee6ttuRZJLwDfDSRpSeRJGQjA89Pr1rhlSi9CQ1WvZfD&#10;VzrqMrqpblQauno0tCZojiRlg1M0R7gTC52JTt2n0DGXhU/aoRmXcLFs4UsNQVIOPmmL9bpvbHip&#10;MSaeowVPGsOHlxojA0/xHF2HkLcojesSlT4heI4Zp1DvAFiv4QVhlldYPEdDe+r6BB4MR+qGcUX9&#10;f5KyjasuT3ztpdbYRJ6jAU/dnJBeLHji4iSjPXVv4o49i+dowat0DdxSzBNBZuwpniPAs6c8i+do&#10;wVOuQefThnHFdUmDUrZx1W2JO/bkZUnkORrw1FWJO/bETUlm7KmLkjUMPtM15D1JvCax4Ml5qoF6&#10;2qZriEsSknK0J63ha0+4RrwhMeCpCxJXe+J+JKM9dT3ijj15OxIvRyx4yjW8sSeuRjJjT/EcXc+1&#10;eI4WPGkMd9UQPMeM5yqeo7/oWkRHA58iOrr4BNExh0+aw/UNi+howav0DUF0zPiGIjqOPfDIrFXN&#10;Ijoa8DTRcQVcEWvZwOOLeV6Go0a6J7bak4v42AO/yYJnER2t5qQx4MH2PlkQHUnKnlkU0dFddC2i&#10;owVP+Ya3jRdER5hZKFvJaE8RHd2JzyI6Ws1JY7gTnyA6ZiY+RXR0x55FdLTgSdegUWWNPUl09Mee&#10;IjrisDPHnkV0NOBpoiNsB0zXkERHlLLHniI6jvCuMhOeRXS04GnXgNcPWdoTpfvDil5SZMV9qnK/&#10;67nGm/rM5qRruJ4riY7o37b2NNFx7PvWVJ9NdDQUeEZ0XC0hLc3Y9CmiI4p5GKVNQIdLB2O6zYUC&#10;ykRAMTEqH+mwhr2JMY0B4Q1I+C4qyy76VX1QVMkehjbR0cKownJ6uIlRxOU5jCowH4fGsbUKzCPR&#10;0cQoLQOFw+wtqnxVH4k5elSv6nNnG5voaGJULuNNOIro6M84mujoj0cZok9ERwujJjq641FE6Tlb&#10;qzDd92sZp8c39ZkjXEXqwfVrEaqTmGNrFau7cyPV7p63SZAQ655kqXDdnR7lq/oyOxt44x7v0Iig&#10;5y7ONtHRsrUmOnp7Q0V09Bdo/ao+fzzKsH0iOpoYtc9486OI3HPjUYXu/vwoY/eJ6GhhVNG7Pz+K&#10;8D2LUc5mvh5lAA/e4hxHwwW6GD0ZjLXrjCI6+uPRJDpaelRxvLtfhC+4M795A2xWN1gBfgELTj7j&#10;rYUylJ+IjiZGaRlfjyKaV7aGC6xXoqNHzXolOnqaQWeH+90NHLPFe9s8v4qJQ+AtNeLoAtg6DNwq&#10;cZgnSJwJN3kweNiD4nBKU9M6Hr6QeF1XX4mO3ph5JToWaYiYqIRjDbfdNWMTeHDTD2APXPeDaTS/&#10;viIG2RUwUSy2j2c0blgjJ7VWTlj0jl0ynJyyvp7oiAs/ER3xD4voCDti2FnAs+EPJv65HCJ4L+sk&#10;W6Jy0XOx1Wnn4fMiuwD7Yno+ZJ7HMcgsGf6ciFkt0+jaouR5n7gtZt6ckxRBAdFs8AevM74m/Cfw&#10;kz4f9fS+L4gheOHitviT2zxHyhK5/jG9sIVDi6jpTP/OdMFP4E/GUo+62n6fMSbO+8T4fE3g6SuM&#10;uJng52kBz65Rjv2CW+ZP1kD9WPDtJtvUCPlbv0+xPF+JMIfxHfra/IIvbpg/Y5fqOo73QNDYwPQz&#10;boM/Y1vwNUrNeR78LX9OSlxGZCWxqfQ99CM3VUhl8JN85WmM3oCo63Gd9jwTM9q89vy+0FlxqnCv&#10;M7rT/GD+nIaC8hX+lj8L5mOcr0RHqo6M5ROv7044dpFT+H5/9RMWnKR/PB+fYj1F+GPx6eH+8fgW&#10;ZN5d3J5OT2/fvDki83N7/Obh7uvrCsMm7ozoSBvAn5voCIV54yTRT3W9X8o5Nh2esRPREXKuozd/&#10;Jc+xW0Nho26E01doLuUmwoNejjqR1EUPV0LygAUqWi8X8Ppo2gmkbaU8RxKCg9jYgVRKnq0gJhMY&#10;GOIFGJ54WcDkeRdUmreBgaLntkjIBCYPIV2NCboKlRVGcymNqduUAQ/jLZWJyxSSMqGpqxQXm7pJ&#10;QYqjpTbkkEeF0IkZqGRlo0uNQFI2OmkGqHllm1QVi8BydSY6aQgfXWoJH50iOLro5O0JERwtdOru&#10;ZFgCIdGyrLg6ISlTd+rixLWsvDdpPIdQtyY+OukS0AcbnTSFjy41RaQ3WrpT9yX+RJLOSv5Moi5L&#10;8K0Z5lRisBtNdNorut60rGA3DkuQMnWnyI0D3n9YM7C8JaEijiY6aQp6rjXuxBWJj05dkLjo5P0I&#10;cRstdOp2BMadrTtxOUJSpu4UtXGAgjSm7uTNCF2MmOjkBOWjU17hWFZdivjohFcQs9FCp25EoLlg&#10;jjtxIUJSpu4w5Eon98YZd/I2hIiNJjrtFVA6yxp34ioENEzlL89Xf8VrdH3W4DWa6Cq9QvAafa9Q&#10;tEZ3vjNYjRY6xWoErdhrhWA1kpRp2V6awl3JDFKjie7MKxx0yiuctUJxGn10wit6bwelOI3uLkBw&#10;Gv1dgKrd6FrWoDRausMIMXUybwclKI0ZdNIUPrrUFBsq3Wii017hjDvBaPTHnSI0uugwup/32Ruq&#10;3GihU5UbXcsKQqOvO8VndMedwWc00UlT+OhSU2TQSVP4uhNeMXpeoeiMLjpBZ/TRKTaji85gM1q6&#10;g4y9Kq8QbMYMOmUKbxdgkBlNdNIU7g5KkBn9tUJzGV3lmVxGC6DmMrrrheQy+o4LlERhkAzENNKb&#10;qIw2RGUTb+KTNRt9G2smo7uZMpmMJkQde3t7UVmyEbTobPd0xUYfogq/ichoQ5R2cYeiJDJmxqLi&#10;MbrbeZPHaEOs9BbJY8xAVHG4r0UZiEcaownxLBR3AjZZrzEHUZnFm3DMco02RO0uTlwkyzVmxqIi&#10;MfqGtqo1mhDPgnIPokg6zEDUYbkX+JocRhuisgvG3FYMAteTPN8BZyxj6LPY3Ikv6a2hL1uaSGG0&#10;IUp3QXQOxHShJzFzr69LNfruIiP0yGA0IZ7F6J4WVZDuHXDABTZrOx4jeucvQYbpkcBoQ9Tu4kKU&#10;uy8fojRLRoupWTaxUKMJUUXrvqFFuC4N/UoNzFBEmHhTybvBg1G409vM97Z5ihpOiyg+V5zJi+PR&#10;IYkz7aAgDsOSxPnaJi+Orovi4HDxlqcgPnX1lRqI9W9wCHHdzFdqoEe4eqUGvlIDLR4e3jrg1ANl&#10;/KrmnsBzFeSEVf5gmq0g/aryB9PUjMz/ZDr8aqYfLePE9IPJ3yT6YWgCymBNeLSQKAVzTUTHPA/+&#10;nPgeU2PTzbfP7pvk4CQx2xy8PhqxVYrBEXG2temhlWK6p0xZOWcIwjt4I0tpZml6SmxavPOGHs2S&#10;rD/+jHqc5QqMv6bBsy5or1YO8+lyOorDBQHq7iuAZ13m73014bMJK5vJ0xIdLmGnWJDb5k8mF9WN&#10;jsqxptHxw8odmodnqUOzILfNn9J7zsR8CPMAmAeUi8HrXyUGKTY/t3bgzfi4nUyfzpzE69OM4qx1&#10;fsrkTrVuwk8u9Yrlzp6b6RVjYAf86k65Luh0nh/MXzPWVw7er4mDB4cAkYO3wdJ//7n/BDnwOGUn&#10;FLzF6RP8/0DXpQX9+PTn/eXfj4vH/fe3sNnZfXc47J9vd9sr4AjGvUTy09gOvs568f75L/ur3buL&#10;LXAPqSFm2e2vrxfQeree4j88OEcELxy9MOIpCXL0ejiGjOsJ//rpcDz9uNs/LPCPdxf4dnJqffsR&#10;CjNHURbBJh/3P9zd31PrVZUpT5/ef1rcXU1dw55FsuTisIenwYLwcXeAP273h39eLJ4P26d3F8d/&#10;fNgedheL+z89gkpA5MR/HPiP9/zH9vESfvru4nQBCRz45/cn+Bf85sPT4e7mFlqOSn/c/0oom7CT&#10;1cOFjJXY/JcZLmFYxq1I28ZK1i/DpVlhMRocLi3OWV81XkQtU/Fi9x/of1PrQuz+cfEMG1x8O7ga&#10;cg93p91hcX/3AGx+IHbCdpNGInrPHx+v6O/T9u4+/k272YmU+/JC+HlAUsdeByScOeoBSUV4f/EB&#10;ObTILMFB15wNyAEW+DggB6Cp/IsOyJm5/f97hoTAWg9Iisl/8QHZ0Z0PDMgO7g5obuHivu0Ktvw0&#10;HuE99Vyy+gsXVDHz/aomyHkb82sdj5BucfP2+QbSLWCqv4G9w+3d5R+2p236b5r/3+6a/e3+/mp3&#10;+PZ/AQAA//8DAFBLAwQUAAYACAAAACEAwD7SG90AAAAFAQAADwAAAGRycy9kb3ducmV2LnhtbEyP&#10;zWrDMBCE74W+g9hCb42shPTHtRxCaHsKhSSFkNvG2tgm1spYiu28fdVe2svCMMPMt9litI3oqfO1&#10;Yw1qkoAgLpypudTwtXt/eAbhA7LBxjFpuJKHRX57k2Fq3MAb6rehFLGEfYoaqhDaVEpfVGTRT1xL&#10;HL2T6yyGKLtSmg6HWG4bOU2SR2mx5rhQYUuriorz9mI1fAw4LGfqrV+fT6vrYTf/3K8VaX1/Ny5f&#10;QQQaw18YfvAjOuSR6egubLxoNMRHwu+N3otScxBHDU8zNQWZZ/I/ff4NAAD//wMAUEsBAi0AFAAG&#10;AAgAAAAhALaDOJL+AAAA4QEAABMAAAAAAAAAAAAAAAAAAAAAAFtDb250ZW50X1R5cGVzXS54bWxQ&#10;SwECLQAUAAYACAAAACEAOP0h/9YAAACUAQAACwAAAAAAAAAAAAAAAAAvAQAAX3JlbHMvLnJlbHNQ&#10;SwECLQAUAAYACAAAACEAtr71IRspAADMDAEADgAAAAAAAAAAAAAAAAAuAgAAZHJzL2Uyb0RvYy54&#10;bWxQSwECLQAUAAYACAAAACEAwD7SG90AAAAFAQAADwAAAAAAAAAAAAAAAAB1KwAAZHJzL2Rvd25y&#10;ZXYueG1sUEsFBgAAAAAEAAQA8wAAAH8sAAAAAA==&#10;">
                <v:shape id="Freeform 7" o:spid="_x0000_s1028" style="position:absolute;left:1465;top:260;width:9048;height:7285;visibility:visible;mso-wrap-style:square;v-text-anchor:top" coordsize="904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mKwQAAANoAAAAPAAAAZHJzL2Rvd25yZXYueG1sRE9Na8JA&#10;EL0L/Q/LFHrTjaVIiK4iglApBRNzyHGanSbB7GzMrkn677sHwePjfW92k2nFQL1rLCtYLiIQxKXV&#10;DVcK8stxHoNwHllja5kU/JGD3fZltsFE25FTGjJfiRDCLkEFtfddIqUrazLoFrYjDtyv7Q36APtK&#10;6h7HEG5a+R5FK2mw4dBQY0eHmsprdjcKbtefc1o13cFnp+88NUMRF18fSr29Tvs1CE+Tf4of7k+t&#10;IGwNV8INkNt/AAAA//8DAFBLAQItABQABgAIAAAAIQDb4fbL7gAAAIUBAAATAAAAAAAAAAAAAAAA&#10;AAAAAABbQ29udGVudF9UeXBlc10ueG1sUEsBAi0AFAAGAAgAAAAhAFr0LFu/AAAAFQEAAAsAAAAA&#10;AAAAAAAAAAAAHwEAAF9yZWxzLy5yZWxzUEsBAi0AFAAGAAgAAAAhAKayeYrBAAAA2gAAAA8AAAAA&#10;AAAAAAAAAAAABwIAAGRycy9kb3ducmV2LnhtbFBLBQYAAAAAAwADALcAAAD1AgAAAAA=&#10;" path="m7834,l1214,r-77,2l1062,9,988,21,915,37,844,57,775,81r-67,29l643,142r-62,36l520,217r-57,43l408,306r-52,49l306,407r-46,55l218,520r-40,60l142,643r-32,65l82,775,57,844,37,915,21,987,9,1061r-7,76l,1214,,6071r2,76l9,6223r12,74l37,6369r20,71l82,6509r28,67l142,6641r36,63l218,6764r42,58l306,6877r50,52l408,6978r55,46l520,7067r61,40l643,7142r65,33l775,7203r69,24l915,7248r73,16l1062,7275r75,7l1214,7285r6620,l7911,7282r75,-7l8060,7264r73,-16l8204,7227r69,-24l8340,7175r65,-33l8467,7107r61,-40l8585,7024r55,-46l8692,6929r50,-52l8788,6822r42,-58l8870,6704r36,-63l8938,6576r28,-67l8991,6440r20,-71l9027,6297r12,-74l9046,6147r2,-76l9048,1214r-2,-77l9039,1061r-12,-74l9011,915r-20,-71l8966,775r-28,-67l8906,643r-36,-63l8830,520r-42,-58l8742,407r-50,-52l8640,306r-55,-46l8528,217r-61,-39l8405,142r-65,-32l8273,81,8204,57,8133,37,8060,21,7986,9,7911,2,7834,xe" fillcolor="#30a1ac">
                  <v:path arrowok="t" o:connecttype="custom" o:connectlocs="1214,234;1062,243;915,271;775,315;643,376;520,451;408,540;306,641;218,754;142,877;82,1009;37,1149;9,1295;0,1448;2,6381;21,6531;57,6674;110,6810;178,6938;260,7056;356,7163;463,7258;581,7341;708,7409;844,7461;988,7498;1137,7516;7834,7519;7986,7509;8133,7482;8273,7437;8405,7376;8528,7301;8640,7212;8742,7111;8830,6998;8906,6875;8966,6743;9011,6603;9039,6457;9048,6305;9046,1371;9027,1221;8991,1078;8938,942;8870,814;8788,696;8692,589;8585,494;8467,412;8340,344;8204,291;8060,255;7911,236" o:connectangles="0,0,0,0,0,0,0,0,0,0,0,0,0,0,0,0,0,0,0,0,0,0,0,0,0,0,0,0,0,0,0,0,0,0,0,0,0,0,0,0,0,0,0,0,0,0,0,0,0,0,0,0,0,0"/>
                </v:shape>
                <v:shape id="Freeform 8" o:spid="_x0000_s1029" style="position:absolute;left:1398;top:233;width:9048;height:7285;visibility:visible;mso-wrap-style:square;v-text-anchor:top" coordsize="9048,7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si7wgAAANoAAAAPAAAAZHJzL2Rvd25yZXYueG1sRI9Pa8JA&#10;FMTvhX6H5RW8FLPRQkmiayiKoIce/IPnR/aZhGbfht3VxG/vFgo9DjPzG2ZZjqYTd3K+taxglqQg&#10;iCurW64VnE/baQbCB2SNnWVS8CAP5er1ZYmFtgMf6H4MtYgQ9gUqaELoCyl91ZBBn9ieOHpX6wyG&#10;KF0ttcMhwk0n52n6KQ22HBca7GndUPVzvBkF/LGR3/n7WEt3wX1O25AdTlqpydv4tQARaAz/4b/2&#10;TivI4fdKvAFy9QQAAP//AwBQSwECLQAUAAYACAAAACEA2+H2y+4AAACFAQAAEwAAAAAAAAAAAAAA&#10;AAAAAAAAW0NvbnRlbnRfVHlwZXNdLnhtbFBLAQItABQABgAIAAAAIQBa9CxbvwAAABUBAAALAAAA&#10;AAAAAAAAAAAAAB8BAABfcmVscy8ucmVsc1BLAQItABQABgAIAAAAIQAH1si7wgAAANoAAAAPAAAA&#10;AAAAAAAAAAAAAAcCAABkcnMvZG93bnJldi54bWxQSwUGAAAAAAMAAwC3AAAA9gIAAAAA&#10;" path="m,1214r2,-77l9,1061,21,987,37,915,57,844,82,775r28,-67l142,643r36,-63l218,520r42,-58l306,407r50,-52l408,306r55,-46l520,217r61,-39l643,142r65,-32l775,81,844,57,915,37,988,21,1062,9r75,-7l1214,,7834,r77,2l7986,9r74,12l8133,37r71,20l8273,81r67,29l8405,142r62,36l8528,217r57,43l8640,306r52,49l8742,407r46,55l8830,520r40,60l8906,643r32,65l8966,775r25,69l9011,915r16,72l9039,1061r7,76l9048,1214r,4857l9046,6147r-7,76l9027,6297r-16,72l8991,6440r-25,69l8938,6576r-32,65l8870,6704r-40,60l8788,6822r-46,55l8692,6929r-52,49l8585,7024r-57,43l8467,7107r-62,35l8340,7175r-67,28l8204,7227r-71,21l8060,7264r-74,11l7911,7282r-77,3l1214,7285r-77,-3l1062,7275r-74,-11l915,7248r-71,-21l775,7203r-67,-28l643,7142r-62,-35l520,7067r-57,-43l408,6978r-52,-49l306,6877r-46,-55l218,6764r-40,-60l142,6641r-32,-65l82,6509,57,6440,37,6369,21,6297,9,6223,2,6147,,6071,,1214xe" filled="f" stroked="f" strokeweight="1pt">
                  <v:path arrowok="t" o:connecttype="custom" o:connectlocs="2,1371;21,1221;57,1078;110,942;178,814;260,696;356,589;463,494;581,412;708,344;844,291;988,255;1137,236;7834,234;7986,243;8133,271;8273,315;8405,376;8528,451;8640,540;8742,641;8830,754;8906,877;8966,1009;9011,1149;9039,1295;9048,1448;9046,6381;9027,6531;8991,6674;8938,6810;8870,6938;8788,7056;8692,7163;8585,7258;8467,7341;8340,7409;8204,7461;8060,7498;7911,7516;1214,7519;1062,7509;915,7482;775,7437;643,7376;520,7301;408,7212;306,7111;218,6998;142,6875;82,6743;37,6603;9,6457;0,6305" o:connectangles="0,0,0,0,0,0,0,0,0,0,0,0,0,0,0,0,0,0,0,0,0,0,0,0,0,0,0,0,0,0,0,0,0,0,0,0,0,0,0,0,0,0,0,0,0,0,0,0,0,0,0,0,0,0"/>
                </v:shape>
                <v:shape id="Freeform 9" o:spid="_x0000_s1030" style="position:absolute;left:4525;top:3296;width:2687;height:2385;visibility:visible;mso-wrap-style:square;v-text-anchor:top" coordsize="2607,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KxxgAAANsAAAAPAAAAZHJzL2Rvd25yZXYueG1sRI9Ba8JA&#10;EIXvgv9hmUIvopsWakvqKlJoKRUsWhGPQ3ZMQrKzYXdr0n/fOQjeZnhv3vtmsRpcqy4UYu3ZwMMs&#10;A0VceFtzaeDw8z59ARUTssXWMxn4owir5Xi0wNz6nnd02adSSQjHHA1UKXW51rGoyGGc+Y5YtLMP&#10;DpOsodQ2YC/hrtWPWTbXDmuWhgo7equoaPa/zsDmeds0/eTDl5tT/7XdPZ0nx/BtzP3dsH4FlWhI&#10;N/P1+tMKvtDLLzKAXv4DAAD//wMAUEsBAi0AFAAGAAgAAAAhANvh9svuAAAAhQEAABMAAAAAAAAA&#10;AAAAAAAAAAAAAFtDb250ZW50X1R5cGVzXS54bWxQSwECLQAUAAYACAAAACEAWvQsW78AAAAVAQAA&#10;CwAAAAAAAAAAAAAAAAAfAQAAX3JlbHMvLnJlbHNQSwECLQAUAAYACAAAACEAsOoyscYAAADbAAAA&#10;DwAAAAAAAAAAAAAAAAAHAgAAZHJzL2Rvd25yZXYueG1sUEsFBgAAAAADAAMAtwAAAPoCAAAAAA==&#10;" path="m1303,l,2237r2607,l1303,xe" fillcolor="#15284c" stroked="f">
                  <v:path arrowok="t" o:connecttype="custom" o:connectlocs="1343,3689;0,6074;2687,6074;1343,3689" o:connectangles="0,0,0,0"/>
                </v:shape>
                <v:shape id="AutoShape 11" o:spid="_x0000_s1031" style="position:absolute;left:2542;top:1632;width:1214;height:1525;visibility:visible;mso-wrap-style:square;v-text-anchor:top" coordsize="1214,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S3wAAAANsAAAAPAAAAZHJzL2Rvd25yZXYueG1sRE/dasIw&#10;FL4f+A7hCLsZNnWFIbVRRBC2i1GmPsChOabF5qQ0Me3efhkMdnc+vt9T7Wfbi0ij7xwrWGc5COLG&#10;6Y6NguvltNqA8AFZY++YFHyTh/1u8VRhqd3EXxTPwYgUwr5EBW0IQymlb1qy6DM3ECfu5kaLIcHR&#10;SD3ilMJtL1/z/E1a7Dg1tDjQsaXmfn5YBUN8fLramfVL3RXafNhYXzgq9bycD1sQgebwL/5zv+s0&#10;v4DfX9IBcvcDAAD//wMAUEsBAi0AFAAGAAgAAAAhANvh9svuAAAAhQEAABMAAAAAAAAAAAAAAAAA&#10;AAAAAFtDb250ZW50X1R5cGVzXS54bWxQSwECLQAUAAYACAAAACEAWvQsW78AAAAVAQAACwAAAAAA&#10;AAAAAAAAAAAfAQAAX3JlbHMvLnJlbHNQSwECLQAUAAYACAAAACEAhwX0t8AAAADbAAAADwAAAAAA&#10;AAAAAAAAAAAHAgAAZHJzL2Rvd25yZXYueG1sUEsFBgAAAAADAAMAtwAAAPQCAAAAAA==&#10;" path="m28,1393l,1525r122,-57l98,1449r-32,l58,1443r13,-15l28,1393xm71,1428r-13,15l66,1449r13,-15l71,1428xm79,1434r-13,15l98,1449,79,1434xm1135,90l71,1428r8,6l1143,97r-8,-7xm1198,75r-50,l1156,81r-13,16l1186,131r12,-56xm1148,75r-13,15l1143,97r13,-16l1148,75xm1214,l1092,56r43,34l1148,75r50,l1214,xe" fillcolor="white [3207]" stroked="f">
                  <v:path arrowok="t" o:connecttype="custom" o:connectlocs="28,3189;0,3321;122,3264;98,3245;66,3245;58,3239;71,3224;28,3189;71,3224;58,3239;66,3245;79,3230;71,3224;79,3230;66,3245;98,3245;79,3230;1135,1886;71,3224;79,3230;1143,1893;1135,1886;1198,1871;1148,1871;1156,1877;1143,1893;1186,1927;1198,1871;1148,1871;1135,1886;1143,1893;1156,1877;1148,1871;1214,1796;1092,1852;1135,1886;1148,1871;1198,1871;1214,1796" o:connectangles="0,0,0,0,0,0,0,0,0,0,0,0,0,0,0,0,0,0,0,0,0,0,0,0,0,0,0,0,0,0,0,0,0,0,0,0,0,0,0"/>
                </v:shape>
                <v:shape id="AutoShape 12" o:spid="_x0000_s1032" style="position:absolute;left:8192;top:1594;width:1440;height:1440;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66axAAAANsAAAAPAAAAZHJzL2Rvd25yZXYueG1sRE9Na8JA&#10;EL0X/A/LCL0U3diqSHQVkVrsSaOC1yE7TUKzs2l2G7f+erdQ6G0e73MWq2Bq0VHrKssKRsMEBHFu&#10;dcWFgvNpO5iBcB5ZY22ZFPyQg9Wy97DAVNsrZ9QdfSFiCLsUFZTeN6mULi/JoBvahjhyH7Y16CNs&#10;C6lbvMZwU8vnJJlKgxXHhhIb2pSUfx6/jYJ9GG+7l+wwecpnt7fX90vY3L4ypR77YT0H4Sn4f/Gf&#10;e6fj/DH8/hIPkMs7AAAA//8DAFBLAQItABQABgAIAAAAIQDb4fbL7gAAAIUBAAATAAAAAAAAAAAA&#10;AAAAAAAAAABbQ29udGVudF9UeXBlc10ueG1sUEsBAi0AFAAGAAgAAAAhAFr0LFu/AAAAFQEAAAsA&#10;AAAAAAAAAAAAAAAAHwEAAF9yZWxzLy5yZWxzUEsBAi0AFAAGAAgAAAAhAPN7rprEAAAA2wAAAA8A&#10;AAAAAAAAAAAAAAAABwIAAGRycy9kb3ducmV2LnhtbFBLBQYAAAAAAwADALcAAAD4AgAAAAA=&#10;" path="m1352,1358r-39,39l1440,1440r-22,-68l1366,1372r-14,-14xm1359,1351r-7,7l1366,1372r7,-7l1359,1351xm1398,1312r-39,39l1373,1365r-7,7l1418,1372r-20,-60xm88,81r-7,7l1352,1358r7,-7l88,81xm,l42,127,81,88,67,74r7,-7l102,67,127,42,,xm74,67r-7,7l81,88r7,-7l74,67xm102,67r-28,l88,81,102,67xe" fillcolor="white [3207]" stroked="f">
                  <v:path arrowok="t" o:connecttype="custom" o:connectlocs="1352,2789;1313,2828;1440,2871;1418,2803;1366,2803;1352,2789;1359,2782;1352,2789;1366,2803;1373,2796;1359,2782;1398,2743;1359,2782;1373,2796;1366,2803;1418,2803;1398,2743;88,1512;81,1519;1352,2789;1359,2782;88,1512;0,1431;42,1558;81,1519;67,1505;74,1498;102,1498;127,1473;0,1431;74,1498;67,1505;81,1519;88,1512;74,1498;102,1498;74,1498;88,1512;102,1498" o:connectangles="0,0,0,0,0,0,0,0,0,0,0,0,0,0,0,0,0,0,0,0,0,0,0,0,0,0,0,0,0,0,0,0,0,0,0,0,0,0,0"/>
                </v:shape>
                <v:shape id="AutoShape 13" o:spid="_x0000_s1033" style="position:absolute;left:4607;top:6641;width:2411;height:129;visibility:visible;mso-wrap-style:square;v-text-anchor:top" coordsize="241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eUyxAAAANsAAAAPAAAAZHJzL2Rvd25yZXYueG1sRE9La8JA&#10;EL4X+h+WKXirm1p8kLpKFVp6qdjUi7cxOyah2dm4u5rUX+8Kgrf5+J4znXemFidyvrKs4KWfgCDO&#10;ra64ULD5/XiegPABWWNtmRT8k4f57PFhiqm2Lf/QKQuFiCHsU1RQhtCkUvq8JIO+bxviyO2tMxgi&#10;dIXUDtsYbmo5SJKRNFhxbCixoWVJ+V92NAr27rAbf/vxdlivs8UqH7Xnz9e1Ur2n7v0NRKAu3MU3&#10;95eO84dw/SUeIGcXAAAA//8DAFBLAQItABQABgAIAAAAIQDb4fbL7gAAAIUBAAATAAAAAAAAAAAA&#10;AAAAAAAAAABbQ29udGVudF9UeXBlc10ueG1sUEsBAi0AFAAGAAgAAAAhAFr0LFu/AAAAFQEAAAsA&#10;AAAAAAAAAAAAAAAAHwEAAF9yZWxzLy5yZWxzUEsBAi0AFAAGAAgAAAAhAPtN5TLEAAAA2wAAAA8A&#10;AAAAAAAAAAAAAAAABwIAAGRycy9kb3ducmV2LnhtbFBLBQYAAAAAAwADALcAAAD4AgAAAAA=&#10;" path="m120,9l,69r120,60l120,74r-20,l100,64r20,l120,9xm2402,55r-91,l2311,65r-20,l2291,120,2411,59r-9,-4xm120,64r-20,l100,74r20,l120,64xm120,74r-20,l120,74xm2291,55l120,64r,10l2291,65r,-10xm2311,55r-20,l2291,65r20,l2311,55xm2291,r,55l2402,55,2291,xe" fillcolor="white [3207]" stroked="f">
                  <v:path arrowok="t" o:connecttype="custom" o:connectlocs="120,7000;0,7060;120,7120;120,7065;100,7065;100,7055;120,7055;120,7000;2402,7046;2311,7046;2311,7056;2291,7056;2291,7111;2411,7050;2402,7046;120,7055;100,7055;100,7065;120,7065;120,7055;120,7065;100,7065;120,7065;120,7065;2291,7046;120,7055;120,7065;2291,7056;2291,7046;2311,7046;2291,7046;2291,7056;2311,7056;2311,7046;2291,6991;2291,7046;2402,7046;2291,6991" o:connectangles="0,0,0,0,0,0,0,0,0,0,0,0,0,0,0,0,0,0,0,0,0,0,0,0,0,0,0,0,0,0,0,0,0,0,0,0,0,0"/>
                </v:shape>
                <v:shape id="Text Box 14" o:spid="_x0000_s1034" type="#_x0000_t202" style="position:absolute;left:4933;top:4945;width:184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2DDAD4C" w14:textId="3F0C4DA5" w:rsidR="00633F20" w:rsidRPr="00A80372" w:rsidRDefault="005F672E" w:rsidP="00633F20">
                        <w:pPr>
                          <w:spacing w:after="0" w:line="240" w:lineRule="auto"/>
                          <w:ind w:left="261" w:hanging="261"/>
                          <w:jc w:val="center"/>
                          <w:rPr>
                            <w:b/>
                            <w:bCs/>
                            <w:color w:val="FFFFFF"/>
                            <w:w w:val="95"/>
                            <w:sz w:val="24"/>
                            <w:szCs w:val="24"/>
                          </w:rPr>
                        </w:pPr>
                        <w:r w:rsidRPr="00A80372">
                          <w:rPr>
                            <w:b/>
                            <w:bCs/>
                            <w:color w:val="FFFFFF"/>
                            <w:w w:val="95"/>
                            <w:sz w:val="24"/>
                            <w:szCs w:val="24"/>
                          </w:rPr>
                          <w:t>Epidemiological</w:t>
                        </w:r>
                      </w:p>
                      <w:p w14:paraId="6E52903A" w14:textId="0078BC55" w:rsidR="005F672E" w:rsidRPr="00A80372" w:rsidRDefault="005F672E" w:rsidP="00633F20">
                        <w:pPr>
                          <w:spacing w:after="0" w:line="240" w:lineRule="auto"/>
                          <w:ind w:left="261" w:hanging="261"/>
                          <w:jc w:val="center"/>
                          <w:rPr>
                            <w:b/>
                            <w:bCs/>
                            <w:sz w:val="24"/>
                            <w:szCs w:val="24"/>
                          </w:rPr>
                        </w:pPr>
                        <w:r w:rsidRPr="00A80372">
                          <w:rPr>
                            <w:b/>
                            <w:bCs/>
                            <w:color w:val="FFFFFF"/>
                            <w:sz w:val="24"/>
                            <w:szCs w:val="24"/>
                          </w:rPr>
                          <w:t>triangle</w:t>
                        </w:r>
                      </w:p>
                    </w:txbxContent>
                  </v:textbox>
                </v:shape>
                <v:shape id="Text Box 15" o:spid="_x0000_s1035" type="#_x0000_t202" style="position:absolute;left:1701;top:3368;width:257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7073F3EF" w14:textId="77777777" w:rsidR="005F672E" w:rsidRPr="00633F20" w:rsidRDefault="005F672E" w:rsidP="005F672E">
                        <w:pPr>
                          <w:spacing w:before="71"/>
                          <w:ind w:left="143"/>
                          <w:rPr>
                            <w:b/>
                          </w:rPr>
                        </w:pPr>
                        <w:r w:rsidRPr="00633F20">
                          <w:rPr>
                            <w:b/>
                          </w:rPr>
                          <w:t>Environment</w:t>
                        </w:r>
                      </w:p>
                      <w:p w14:paraId="2B620333" w14:textId="77777777" w:rsidR="005F672E" w:rsidRPr="00633F20" w:rsidRDefault="005F672E" w:rsidP="005F672E">
                        <w:pPr>
                          <w:spacing w:before="178" w:line="261" w:lineRule="auto"/>
                          <w:ind w:left="143" w:right="151"/>
                        </w:pPr>
                        <w:r w:rsidRPr="00633F20">
                          <w:t>Recreational water and dose response.</w:t>
                        </w:r>
                      </w:p>
                      <w:p w14:paraId="6A217A3D" w14:textId="77777777" w:rsidR="005F672E" w:rsidRPr="00633F20" w:rsidRDefault="005F672E" w:rsidP="005F672E">
                        <w:pPr>
                          <w:spacing w:before="157" w:line="256" w:lineRule="auto"/>
                          <w:ind w:left="143" w:right="373"/>
                        </w:pPr>
                        <w:r w:rsidRPr="00633F20">
                          <w:t>Concentration of HAB and concentration of toxins.</w:t>
                        </w:r>
                      </w:p>
                      <w:p w14:paraId="215B77A3" w14:textId="77777777" w:rsidR="005F672E" w:rsidRPr="00633F20" w:rsidRDefault="005F672E" w:rsidP="005F672E">
                        <w:pPr>
                          <w:spacing w:before="163" w:line="261" w:lineRule="auto"/>
                          <w:ind w:left="143" w:right="517"/>
                        </w:pPr>
                        <w:r w:rsidRPr="00633F20">
                          <w:t>Duration and route of exposure to the biotoxin.</w:t>
                        </w:r>
                      </w:p>
                    </w:txbxContent>
                  </v:textbox>
                </v:shape>
                <v:shape id="Text Box 16" o:spid="_x0000_s1036" type="#_x0000_t202" style="position:absolute;left:7363;top:3268;width:2765;height:3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4D097D42" w14:textId="77777777" w:rsidR="005F672E" w:rsidRPr="00633F20" w:rsidRDefault="005F672E" w:rsidP="005F672E">
                        <w:pPr>
                          <w:spacing w:before="72"/>
                          <w:ind w:left="143"/>
                          <w:rPr>
                            <w:b/>
                          </w:rPr>
                        </w:pPr>
                        <w:r w:rsidRPr="00633F20">
                          <w:rPr>
                            <w:b/>
                          </w:rPr>
                          <w:t>Host</w:t>
                        </w:r>
                      </w:p>
                      <w:p w14:paraId="00172D0A" w14:textId="77777777" w:rsidR="005F672E" w:rsidRPr="00633F20" w:rsidRDefault="005F672E" w:rsidP="005F672E">
                        <w:pPr>
                          <w:spacing w:before="178" w:line="261" w:lineRule="auto"/>
                          <w:ind w:left="143" w:right="371"/>
                        </w:pPr>
                        <w:r w:rsidRPr="00633F20">
                          <w:t>Co-morbidities of exposed person.</w:t>
                        </w:r>
                      </w:p>
                      <w:p w14:paraId="142786DE" w14:textId="050BDB46" w:rsidR="005F672E" w:rsidRPr="00633F20" w:rsidRDefault="005F672E" w:rsidP="005F672E">
                        <w:pPr>
                          <w:spacing w:before="156"/>
                          <w:ind w:left="143" w:right="193"/>
                        </w:pPr>
                        <w:r w:rsidRPr="00633F20">
                          <w:t>Age of person, eg children are at the greatest risk of adverse health effects from HAB.</w:t>
                        </w:r>
                      </w:p>
                      <w:p w14:paraId="4B6DA8E6" w14:textId="77777777" w:rsidR="005F672E" w:rsidRPr="00633F20" w:rsidRDefault="005F672E" w:rsidP="005F672E">
                        <w:pPr>
                          <w:spacing w:before="159"/>
                          <w:ind w:left="143" w:right="371"/>
                        </w:pPr>
                        <w:r w:rsidRPr="00633F20">
                          <w:t>Populations likely to have more frequent interactions with recreational water.</w:t>
                        </w:r>
                      </w:p>
                    </w:txbxContent>
                  </v:textbox>
                </v:shape>
                <v:shape id="Text Box 17" o:spid="_x0000_s1037" type="#_x0000_t202" style="position:absolute;left:4133;top:444;width:3574;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48F5542B" w14:textId="77777777" w:rsidR="005F672E" w:rsidRPr="00633F20" w:rsidRDefault="005F672E" w:rsidP="005F672E">
                        <w:pPr>
                          <w:spacing w:before="70"/>
                          <w:ind w:left="143"/>
                          <w:rPr>
                            <w:b/>
                          </w:rPr>
                        </w:pPr>
                        <w:r w:rsidRPr="00633F20">
                          <w:rPr>
                            <w:b/>
                          </w:rPr>
                          <w:t>Agent</w:t>
                        </w:r>
                      </w:p>
                      <w:p w14:paraId="06AACA5E" w14:textId="335D6814" w:rsidR="005F672E" w:rsidRPr="00633F20" w:rsidRDefault="005F672E" w:rsidP="005F672E">
                        <w:pPr>
                          <w:spacing w:before="181"/>
                          <w:ind w:left="143" w:right="209"/>
                        </w:pPr>
                        <w:r w:rsidRPr="00633F20">
                          <w:t xml:space="preserve">Type of HAB </w:t>
                        </w:r>
                        <w:r w:rsidR="009F55A9" w:rsidRPr="00633F20">
                          <w:t>–</w:t>
                        </w:r>
                        <w:r w:rsidRPr="00633F20">
                          <w:t xml:space="preserve"> Some strains of cyanobacteria produce toxins; some do not produce toxins.</w:t>
                        </w:r>
                      </w:p>
                      <w:p w14:paraId="61223C55" w14:textId="77777777" w:rsidR="005F672E" w:rsidRPr="00633F20" w:rsidRDefault="005F672E" w:rsidP="005F672E">
                        <w:pPr>
                          <w:spacing w:before="157" w:line="261" w:lineRule="auto"/>
                          <w:ind w:left="143" w:right="364"/>
                        </w:pPr>
                        <w:r w:rsidRPr="00633F20">
                          <w:t>Type of toxin – different toxins can cause different health effects.</w:t>
                        </w:r>
                      </w:p>
                    </w:txbxContent>
                  </v:textbox>
                </v:shape>
                <w10:anchorlock/>
              </v:group>
            </w:pict>
          </mc:Fallback>
        </mc:AlternateContent>
      </w:r>
    </w:p>
    <w:p w14:paraId="5D3B845F" w14:textId="52BB354B" w:rsidR="005F672E" w:rsidRPr="00F42BD5" w:rsidRDefault="007F3756" w:rsidP="00BD27FE">
      <w:pPr>
        <w:pStyle w:val="Heading2"/>
        <w:rPr>
          <w:lang w:val="en-NZ"/>
        </w:rPr>
      </w:pPr>
      <w:bookmarkStart w:id="12" w:name="_Toc181101761"/>
      <w:r w:rsidRPr="00F42BD5">
        <w:rPr>
          <w:lang w:val="en-NZ"/>
        </w:rPr>
        <w:t xml:space="preserve">Exposure </w:t>
      </w:r>
      <w:r w:rsidR="007779FE" w:rsidRPr="00F42BD5">
        <w:rPr>
          <w:lang w:val="en-NZ"/>
        </w:rPr>
        <w:t>a</w:t>
      </w:r>
      <w:r w:rsidRPr="00F42BD5">
        <w:rPr>
          <w:lang w:val="en-NZ"/>
        </w:rPr>
        <w:t>ssessment</w:t>
      </w:r>
      <w:bookmarkEnd w:id="12"/>
    </w:p>
    <w:p w14:paraId="4F521D75" w14:textId="42956E14" w:rsidR="005F672E" w:rsidRPr="00800DDD" w:rsidRDefault="005F672E" w:rsidP="005F672E">
      <w:pPr>
        <w:rPr>
          <w:sz w:val="24"/>
          <w:szCs w:val="24"/>
          <w:lang w:val="en-NZ"/>
        </w:rPr>
      </w:pPr>
      <w:r w:rsidRPr="00800DDD">
        <w:rPr>
          <w:sz w:val="24"/>
          <w:szCs w:val="24"/>
          <w:lang w:val="en-NZ"/>
        </w:rPr>
        <w:t>It is useful to consider the environmental conditions and site of the biotoxin exposure event. Cyanobacterial scums can represent extremely high concentrations of cyanobacterial cell populations (World Health Organization 2003). Cyanobacterial blooms that accumulate surface scums in bays or at points of entry to recreational water bodies are likely to provide maximal exposure to the cyanobacterial bloom especially if gentle wind has caused large accumulations of surface scums, which can result in 1000-fold increases in toxin concentrations (Chorus et al 2021; Ministry for the Environment &amp; Ministry of Health 2009). High winds can increase the aerosolisation of HAB toxins.</w:t>
      </w:r>
    </w:p>
    <w:p w14:paraId="040FA311" w14:textId="79ACC237" w:rsidR="005F672E" w:rsidRPr="00800DDD" w:rsidRDefault="005F672E" w:rsidP="005F672E">
      <w:pPr>
        <w:rPr>
          <w:sz w:val="24"/>
          <w:szCs w:val="24"/>
          <w:lang w:val="en-NZ"/>
        </w:rPr>
      </w:pPr>
      <w:r w:rsidRPr="00800DDD">
        <w:rPr>
          <w:sz w:val="24"/>
          <w:szCs w:val="24"/>
          <w:lang w:val="en-NZ"/>
        </w:rPr>
        <w:lastRenderedPageBreak/>
        <w:t>The health risks associated with benthic cyanobacteria are less well researched and quantified than for planktonic species. Turbulence can cause mats to detach from the</w:t>
      </w:r>
      <w:r w:rsidR="00CC17A1" w:rsidRPr="00800DDD">
        <w:rPr>
          <w:sz w:val="24"/>
          <w:szCs w:val="24"/>
          <w:lang w:val="en-NZ"/>
        </w:rPr>
        <w:t xml:space="preserve"> </w:t>
      </w:r>
      <w:r w:rsidRPr="00800DDD">
        <w:rPr>
          <w:sz w:val="24"/>
          <w:szCs w:val="24"/>
          <w:lang w:val="en-NZ"/>
        </w:rPr>
        <w:t>riverbed. Detached mats can pose higher risks to health compared to attached mats, through proximity of mats to shorelines (increasing the chances of exposure) and lysing of cells releasing more toxins (increasing the dose) (Ministry for the Environment &amp; Ministry of Health 2009).</w:t>
      </w:r>
    </w:p>
    <w:p w14:paraId="0CF25E77" w14:textId="52D6683F" w:rsidR="005F672E" w:rsidRPr="00F42BD5" w:rsidRDefault="007F3756" w:rsidP="00BD27FE">
      <w:pPr>
        <w:pStyle w:val="Heading2"/>
        <w:rPr>
          <w:lang w:val="en-NZ"/>
        </w:rPr>
      </w:pPr>
      <w:bookmarkStart w:id="13" w:name="_Toc181101762"/>
      <w:r w:rsidRPr="00F42BD5">
        <w:rPr>
          <w:lang w:val="en-NZ"/>
        </w:rPr>
        <w:t>Routes of exposure and signs and symptoms</w:t>
      </w:r>
      <w:bookmarkEnd w:id="13"/>
    </w:p>
    <w:p w14:paraId="491EAEB5" w14:textId="442E25A9" w:rsidR="005F672E" w:rsidRPr="00800DDD" w:rsidRDefault="005F672E" w:rsidP="005F672E">
      <w:pPr>
        <w:rPr>
          <w:sz w:val="24"/>
          <w:szCs w:val="24"/>
          <w:lang w:val="en-NZ"/>
        </w:rPr>
      </w:pPr>
      <w:r w:rsidRPr="00800DDD">
        <w:rPr>
          <w:sz w:val="24"/>
          <w:szCs w:val="24"/>
          <w:lang w:val="en-NZ"/>
        </w:rPr>
        <w:t>Assessing the amount and type of exposure can assist with biotoxin case investigation. Primary contact with recreational water is when users are in direct contact with water and can fully immerse their body and swallow water</w:t>
      </w:r>
      <w:r w:rsidR="003746D1" w:rsidRPr="00800DDD">
        <w:rPr>
          <w:sz w:val="24"/>
          <w:szCs w:val="24"/>
          <w:lang w:val="en-NZ"/>
        </w:rPr>
        <w:t xml:space="preserve"> – </w:t>
      </w:r>
      <w:r w:rsidRPr="00800DDD">
        <w:rPr>
          <w:sz w:val="24"/>
          <w:szCs w:val="24"/>
          <w:lang w:val="en-NZ"/>
        </w:rPr>
        <w:t xml:space="preserve">for example, </w:t>
      </w:r>
      <w:r w:rsidR="003746D1" w:rsidRPr="00800DDD">
        <w:rPr>
          <w:sz w:val="24"/>
          <w:szCs w:val="24"/>
          <w:lang w:val="en-NZ"/>
        </w:rPr>
        <w:t xml:space="preserve">while </w:t>
      </w:r>
      <w:r w:rsidRPr="00800DDD">
        <w:rPr>
          <w:sz w:val="24"/>
          <w:szCs w:val="24"/>
          <w:lang w:val="en-NZ"/>
        </w:rPr>
        <w:t>swimming, diving, and water skiing. Secondary contact with recreational water is where there is direct contact but swallowing water is unlikely</w:t>
      </w:r>
      <w:r w:rsidR="00EC4607" w:rsidRPr="00800DDD">
        <w:rPr>
          <w:sz w:val="24"/>
          <w:szCs w:val="24"/>
          <w:lang w:val="en-NZ"/>
        </w:rPr>
        <w:t xml:space="preserve"> – </w:t>
      </w:r>
      <w:r w:rsidRPr="00800DDD">
        <w:rPr>
          <w:sz w:val="24"/>
          <w:szCs w:val="24"/>
          <w:lang w:val="en-NZ"/>
        </w:rPr>
        <w:t>for example activities such as wading, boating</w:t>
      </w:r>
      <w:r w:rsidR="00EC4607" w:rsidRPr="00800DDD">
        <w:rPr>
          <w:sz w:val="24"/>
          <w:szCs w:val="24"/>
          <w:lang w:val="en-NZ"/>
        </w:rPr>
        <w:t>,</w:t>
      </w:r>
      <w:r w:rsidRPr="00800DDD">
        <w:rPr>
          <w:sz w:val="24"/>
          <w:szCs w:val="24"/>
          <w:lang w:val="en-NZ"/>
        </w:rPr>
        <w:t xml:space="preserve"> and fishing (Cressey 2016). Exposure to biotoxins can be via direct contact, inhalation, or ingestion.</w:t>
      </w:r>
    </w:p>
    <w:p w14:paraId="3921276D" w14:textId="77777777" w:rsidR="005F672E" w:rsidRPr="00F42BD5" w:rsidRDefault="005F672E" w:rsidP="00BD27FE">
      <w:pPr>
        <w:pStyle w:val="Heading3"/>
        <w:rPr>
          <w:lang w:val="en-NZ"/>
        </w:rPr>
      </w:pPr>
      <w:r w:rsidRPr="00F42BD5">
        <w:rPr>
          <w:lang w:val="en-NZ"/>
        </w:rPr>
        <w:t>Direct contact</w:t>
      </w:r>
    </w:p>
    <w:p w14:paraId="47F259FD" w14:textId="35423F90" w:rsidR="005F672E" w:rsidRPr="00800DDD" w:rsidRDefault="005F672E" w:rsidP="005F672E">
      <w:pPr>
        <w:rPr>
          <w:sz w:val="24"/>
          <w:szCs w:val="24"/>
          <w:lang w:val="en-NZ"/>
        </w:rPr>
      </w:pPr>
      <w:r w:rsidRPr="00800DDD">
        <w:rPr>
          <w:sz w:val="24"/>
          <w:szCs w:val="24"/>
          <w:lang w:val="en-NZ"/>
        </w:rPr>
        <w:t xml:space="preserve">Direct contact occurs from touching algal mats or direct contact with contaminated water, for example, </w:t>
      </w:r>
      <w:r w:rsidR="00EC4607" w:rsidRPr="00800DDD">
        <w:rPr>
          <w:sz w:val="24"/>
          <w:szCs w:val="24"/>
          <w:lang w:val="en-NZ"/>
        </w:rPr>
        <w:t xml:space="preserve">when </w:t>
      </w:r>
      <w:r w:rsidRPr="00800DDD">
        <w:rPr>
          <w:sz w:val="24"/>
          <w:szCs w:val="24"/>
          <w:lang w:val="en-NZ"/>
        </w:rPr>
        <w:t>swimming or boating.</w:t>
      </w:r>
    </w:p>
    <w:p w14:paraId="37730D23" w14:textId="6F26A286" w:rsidR="005F672E" w:rsidRPr="00800DDD" w:rsidRDefault="005F672E" w:rsidP="005F672E">
      <w:pPr>
        <w:rPr>
          <w:sz w:val="24"/>
          <w:szCs w:val="24"/>
          <w:lang w:val="en-NZ"/>
        </w:rPr>
      </w:pPr>
      <w:r w:rsidRPr="00800DDD">
        <w:rPr>
          <w:sz w:val="24"/>
          <w:szCs w:val="24"/>
          <w:lang w:val="en-NZ"/>
        </w:rPr>
        <w:t>Direct contact with biotoxin contaminated water can cause urticaria, dermatitis, perioral and perinasal blisters, other types of rashes, eye irritation such as conjunctivitis and photosensitivity, ear canal irritation and earache (BPAC 2020; Centers for Disease Control and Prevention 2022a).</w:t>
      </w:r>
    </w:p>
    <w:p w14:paraId="53CBC377" w14:textId="05206833" w:rsidR="005F672E" w:rsidRPr="00800DDD" w:rsidRDefault="005F672E" w:rsidP="005F672E">
      <w:pPr>
        <w:rPr>
          <w:sz w:val="24"/>
          <w:szCs w:val="24"/>
          <w:lang w:val="en-NZ"/>
        </w:rPr>
      </w:pPr>
      <w:r w:rsidRPr="00800DDD">
        <w:rPr>
          <w:sz w:val="24"/>
          <w:szCs w:val="24"/>
          <w:lang w:val="en-NZ"/>
        </w:rPr>
        <w:t>Clinical investigations have confirmed that hypersensitivity reactions (inappropriate immune response to an allergen or antigen) can occur with exposure to certain freshwater cyanobacteria. Although it is still unknown which constituents of cyanobacterial cells cause allergic reactions (Chorus &amp; Welker 2021).</w:t>
      </w:r>
    </w:p>
    <w:p w14:paraId="4B169E92" w14:textId="00AF4411" w:rsidR="005F672E" w:rsidRPr="00800DDD" w:rsidRDefault="005F672E" w:rsidP="005F672E">
      <w:pPr>
        <w:rPr>
          <w:sz w:val="24"/>
          <w:szCs w:val="24"/>
          <w:lang w:val="en-NZ"/>
        </w:rPr>
      </w:pPr>
      <w:r w:rsidRPr="00800DDD">
        <w:rPr>
          <w:sz w:val="24"/>
          <w:szCs w:val="24"/>
          <w:lang w:val="en-NZ"/>
        </w:rPr>
        <w:t>Dermatological symptoms associated with direct contact with marine cyanobacteria are reported to be more severe than those from freshwater cyanobacterial exposure (Chorus &amp; Welker 2021). Marine dinoflagellates can also cause dermatitis (Moreira-Gonzalez et al 2021).</w:t>
      </w:r>
    </w:p>
    <w:p w14:paraId="3DCE27EC" w14:textId="45E71DAF" w:rsidR="005F672E" w:rsidRPr="00800DDD" w:rsidRDefault="005F672E" w:rsidP="005F672E">
      <w:pPr>
        <w:rPr>
          <w:sz w:val="24"/>
          <w:szCs w:val="24"/>
          <w:lang w:val="en-NZ"/>
        </w:rPr>
      </w:pPr>
      <w:r w:rsidRPr="00800DDD">
        <w:rPr>
          <w:sz w:val="24"/>
          <w:szCs w:val="24"/>
          <w:lang w:val="en-NZ"/>
        </w:rPr>
        <w:t>Some anecdotal reports by researchers in the USA described a reversible clinical syndrome of symptoms including memory loss, confusion</w:t>
      </w:r>
      <w:r w:rsidR="00EC4607" w:rsidRPr="00800DDD">
        <w:rPr>
          <w:sz w:val="24"/>
          <w:szCs w:val="24"/>
          <w:lang w:val="en-NZ"/>
        </w:rPr>
        <w:t>,</w:t>
      </w:r>
      <w:r w:rsidRPr="00800DDD">
        <w:rPr>
          <w:sz w:val="24"/>
          <w:szCs w:val="24"/>
          <w:lang w:val="en-NZ"/>
        </w:rPr>
        <w:t xml:space="preserve"> and acute skin burning after occupational direct exposure to suspected toxin-producing Pfiesteria or Pfiesteria-like dinoflagellates.</w:t>
      </w:r>
    </w:p>
    <w:p w14:paraId="28DE5D41" w14:textId="5ED2F2D3" w:rsidR="005F672E" w:rsidRPr="00800DDD" w:rsidRDefault="005F672E" w:rsidP="005F672E">
      <w:pPr>
        <w:rPr>
          <w:sz w:val="24"/>
          <w:szCs w:val="24"/>
          <w:lang w:val="en-NZ"/>
        </w:rPr>
      </w:pPr>
      <w:r w:rsidRPr="00800DDD">
        <w:rPr>
          <w:sz w:val="24"/>
          <w:szCs w:val="24"/>
          <w:lang w:val="en-NZ"/>
        </w:rPr>
        <w:t>Further research to identify the possible toxin produced by Pfiesteria is ongoing (World Health Organization 2003).</w:t>
      </w:r>
    </w:p>
    <w:p w14:paraId="75AC5C41" w14:textId="77777777" w:rsidR="005F672E" w:rsidRPr="00F42BD5" w:rsidRDefault="005F672E" w:rsidP="00BD27FE">
      <w:pPr>
        <w:pStyle w:val="Heading2"/>
        <w:rPr>
          <w:lang w:val="en-NZ"/>
        </w:rPr>
      </w:pPr>
      <w:bookmarkStart w:id="14" w:name="_Toc181101763"/>
      <w:r w:rsidRPr="00F42BD5">
        <w:rPr>
          <w:lang w:val="en-NZ"/>
        </w:rPr>
        <w:t>Inhalation</w:t>
      </w:r>
      <w:bookmarkEnd w:id="14"/>
    </w:p>
    <w:p w14:paraId="705C1B0D" w14:textId="5DBA80C3" w:rsidR="005F672E" w:rsidRPr="00800DDD" w:rsidRDefault="005F672E" w:rsidP="005F672E">
      <w:pPr>
        <w:rPr>
          <w:sz w:val="24"/>
          <w:szCs w:val="24"/>
          <w:lang w:val="en-NZ"/>
        </w:rPr>
      </w:pPr>
      <w:r w:rsidRPr="00800DDD">
        <w:rPr>
          <w:sz w:val="24"/>
          <w:szCs w:val="24"/>
          <w:lang w:val="en-NZ"/>
        </w:rPr>
        <w:t>Inhalation can occur when exposed to spray of contaminated water or aerosolised biotoxins, for example from the wake of boats, storms</w:t>
      </w:r>
      <w:r w:rsidR="00927CDA" w:rsidRPr="00800DDD">
        <w:rPr>
          <w:sz w:val="24"/>
          <w:szCs w:val="24"/>
          <w:lang w:val="en-NZ"/>
        </w:rPr>
        <w:t>,</w:t>
      </w:r>
      <w:r w:rsidRPr="00800DDD">
        <w:rPr>
          <w:sz w:val="24"/>
          <w:szCs w:val="24"/>
          <w:lang w:val="en-NZ"/>
        </w:rPr>
        <w:t xml:space="preserve"> or irrigation (BPAC 2020).</w:t>
      </w:r>
    </w:p>
    <w:p w14:paraId="38A13DCE" w14:textId="110F7FCA" w:rsidR="00E04C1E" w:rsidRDefault="005F672E" w:rsidP="005F672E">
      <w:pPr>
        <w:rPr>
          <w:sz w:val="24"/>
          <w:szCs w:val="24"/>
          <w:lang w:val="en-NZ"/>
        </w:rPr>
      </w:pPr>
      <w:r w:rsidRPr="00800DDD">
        <w:rPr>
          <w:sz w:val="24"/>
          <w:szCs w:val="24"/>
          <w:lang w:val="en-NZ"/>
        </w:rPr>
        <w:lastRenderedPageBreak/>
        <w:t>Biotoxins from many microalgae and cyanobacteria (eg, microcystins, nodularin, anatoxins brevetoxins</w:t>
      </w:r>
      <w:r w:rsidR="00927CDA" w:rsidRPr="00800DDD">
        <w:rPr>
          <w:sz w:val="24"/>
          <w:szCs w:val="24"/>
          <w:lang w:val="en-NZ"/>
        </w:rPr>
        <w:t>,</w:t>
      </w:r>
      <w:r w:rsidRPr="00800DDD">
        <w:rPr>
          <w:sz w:val="24"/>
          <w:szCs w:val="24"/>
          <w:lang w:val="en-NZ"/>
        </w:rPr>
        <w:t xml:space="preserve"> and biotoxins from Ostreopsis spp eg</w:t>
      </w:r>
      <w:r w:rsidR="00E03095">
        <w:rPr>
          <w:sz w:val="24"/>
          <w:szCs w:val="24"/>
          <w:lang w:val="en-NZ"/>
        </w:rPr>
        <w:t>,</w:t>
      </w:r>
      <w:r w:rsidRPr="00800DDD">
        <w:rPr>
          <w:sz w:val="24"/>
          <w:szCs w:val="24"/>
          <w:lang w:val="en-NZ"/>
        </w:rPr>
        <w:t xml:space="preserve"> palytoxins) can be inhaled through aerosolised spray from contaminated water (Abdullah et al 2022; Berdalet et al 2015; Centers for Disease Control and Prevention 2022a; Durando et al 2007; Fleming et al 2009; Genitsaris et al 2011; World Health Organization 2020c</w:t>
      </w:r>
      <w:r w:rsidR="00927CDA" w:rsidRPr="00800DDD">
        <w:rPr>
          <w:sz w:val="24"/>
          <w:szCs w:val="24"/>
          <w:lang w:val="en-NZ"/>
        </w:rPr>
        <w:t xml:space="preserve"> and</w:t>
      </w:r>
      <w:r w:rsidRPr="00800DDD">
        <w:rPr>
          <w:sz w:val="24"/>
          <w:szCs w:val="24"/>
          <w:lang w:val="en-NZ"/>
        </w:rPr>
        <w:t xml:space="preserve"> 2021).</w:t>
      </w:r>
    </w:p>
    <w:p w14:paraId="04D5F255" w14:textId="1AA61DA9" w:rsidR="005F672E" w:rsidRPr="00800DDD" w:rsidRDefault="005F672E" w:rsidP="005F672E">
      <w:pPr>
        <w:rPr>
          <w:sz w:val="24"/>
          <w:szCs w:val="24"/>
          <w:lang w:val="en-NZ"/>
        </w:rPr>
      </w:pPr>
      <w:r w:rsidRPr="00800DDD">
        <w:rPr>
          <w:sz w:val="24"/>
          <w:szCs w:val="24"/>
          <w:lang w:val="en-NZ"/>
        </w:rPr>
        <w:t xml:space="preserve">The effects of inhaled biotoxins or fragments of biotoxins may be related to mechanical irritation of the respiratory tract, tissue damage due to toxins, or subsequent secondary infections with associated microorganisms (Chorus &amp; Welker 2021). </w:t>
      </w:r>
      <w:r w:rsidR="00632737" w:rsidRPr="00800DDD">
        <w:rPr>
          <w:sz w:val="24"/>
          <w:szCs w:val="24"/>
          <w:lang w:val="en-NZ"/>
        </w:rPr>
        <w:t>Additionally</w:t>
      </w:r>
      <w:r w:rsidRPr="00800DDD">
        <w:rPr>
          <w:sz w:val="24"/>
          <w:szCs w:val="24"/>
          <w:lang w:val="en-NZ"/>
        </w:rPr>
        <w:t>, the size of the biotoxin producing microalgae or cyanobacteria could affect which part of the respiratory tract it can infiltrate and evoke symptoms (Wisniewska et al 2020).</w:t>
      </w:r>
      <w:r w:rsidR="00BD27FE" w:rsidRPr="00800DDD">
        <w:rPr>
          <w:sz w:val="24"/>
          <w:szCs w:val="24"/>
          <w:lang w:val="en-NZ"/>
        </w:rPr>
        <w:t xml:space="preserve"> </w:t>
      </w:r>
    </w:p>
    <w:p w14:paraId="1EBE5064" w14:textId="22C615FC" w:rsidR="005F672E" w:rsidRPr="00800DDD" w:rsidRDefault="005F672E" w:rsidP="005F672E">
      <w:pPr>
        <w:rPr>
          <w:sz w:val="24"/>
          <w:szCs w:val="24"/>
          <w:lang w:val="en-NZ"/>
        </w:rPr>
      </w:pPr>
      <w:r w:rsidRPr="00800DDD">
        <w:rPr>
          <w:sz w:val="24"/>
          <w:szCs w:val="24"/>
          <w:lang w:val="en-NZ"/>
        </w:rPr>
        <w:t xml:space="preserve">Inhalation of aerosolised biotoxins </w:t>
      </w:r>
      <w:r w:rsidR="00632737" w:rsidRPr="00800DDD">
        <w:rPr>
          <w:sz w:val="24"/>
          <w:szCs w:val="24"/>
          <w:lang w:val="en-NZ"/>
        </w:rPr>
        <w:t xml:space="preserve">is </w:t>
      </w:r>
      <w:r w:rsidRPr="00800DDD">
        <w:rPr>
          <w:sz w:val="24"/>
          <w:szCs w:val="24"/>
          <w:lang w:val="en-NZ"/>
        </w:rPr>
        <w:t>predominately associated with respiratory symptoms related to bronchospasm (asthma like symptoms such as wheeze, shortness of breath, cough, chest tightness</w:t>
      </w:r>
      <w:r w:rsidR="00632737" w:rsidRPr="00800DDD">
        <w:rPr>
          <w:sz w:val="24"/>
          <w:szCs w:val="24"/>
          <w:lang w:val="en-NZ"/>
        </w:rPr>
        <w:t>,</w:t>
      </w:r>
      <w:r w:rsidRPr="00800DDD">
        <w:rPr>
          <w:sz w:val="24"/>
          <w:szCs w:val="24"/>
          <w:lang w:val="en-NZ"/>
        </w:rPr>
        <w:t xml:space="preserve"> and difficulty breathing), severe allergic reactions, pneumonia, rhinitis and sore throat (BPAC 2020). The possibility of anaphylaxis related to some benthic cyanobacteria has been raised (Chorus &amp; Welker 2021). Other symptoms such as neurological or liver symptoms can occur depending on the biotoxins in the spray from contaminated water if inhaled and systemically absorbed.</w:t>
      </w:r>
    </w:p>
    <w:p w14:paraId="061ED7EF" w14:textId="77777777" w:rsidR="005F672E" w:rsidRPr="00F42BD5" w:rsidRDefault="005F672E" w:rsidP="00BD27FE">
      <w:pPr>
        <w:pStyle w:val="Heading3"/>
        <w:rPr>
          <w:lang w:val="en-NZ"/>
        </w:rPr>
      </w:pPr>
      <w:r w:rsidRPr="00F42BD5">
        <w:rPr>
          <w:lang w:val="en-NZ"/>
        </w:rPr>
        <w:t>Accidental water ingestion</w:t>
      </w:r>
    </w:p>
    <w:p w14:paraId="684EA9DD" w14:textId="1709F362" w:rsidR="005F672E" w:rsidRPr="00FC4381" w:rsidRDefault="005F672E" w:rsidP="005F672E">
      <w:pPr>
        <w:rPr>
          <w:sz w:val="24"/>
          <w:szCs w:val="24"/>
          <w:lang w:val="en-NZ"/>
        </w:rPr>
      </w:pPr>
      <w:r w:rsidRPr="00FC4381">
        <w:rPr>
          <w:sz w:val="24"/>
          <w:szCs w:val="24"/>
          <w:lang w:val="en-NZ"/>
        </w:rPr>
        <w:t xml:space="preserve">This guidance considers ingestion via accidental swallowing </w:t>
      </w:r>
      <w:r w:rsidR="00825997" w:rsidRPr="00FC4381">
        <w:rPr>
          <w:sz w:val="24"/>
          <w:szCs w:val="24"/>
          <w:lang w:val="en-NZ"/>
        </w:rPr>
        <w:t xml:space="preserve">of </w:t>
      </w:r>
      <w:r w:rsidRPr="00FC4381">
        <w:rPr>
          <w:sz w:val="24"/>
          <w:szCs w:val="24"/>
          <w:lang w:val="en-NZ"/>
        </w:rPr>
        <w:t>small amounts of contaminated recreational water during swimming. An adult swimmer could ingest up to 100-200 mLs of water in one session, a child 250 mLs, and a water-skier will likely ingest more water than a swimmer (World Health Organization 2003). This guidance does not pertain to the consumption of biotoxin contaminated foods or drinking water.</w:t>
      </w:r>
    </w:p>
    <w:p w14:paraId="2CD76C69" w14:textId="77777777" w:rsidR="005F672E" w:rsidRPr="00CA1346" w:rsidRDefault="005F672E" w:rsidP="00BD27FE">
      <w:pPr>
        <w:pStyle w:val="Heading4"/>
        <w:rPr>
          <w:rFonts w:ascii="Arial" w:hAnsi="Arial" w:cs="Arial"/>
          <w:b/>
          <w:bCs/>
          <w:sz w:val="24"/>
          <w:szCs w:val="24"/>
          <w:lang w:val="en-NZ"/>
        </w:rPr>
      </w:pPr>
      <w:r w:rsidRPr="00CA1346">
        <w:rPr>
          <w:rFonts w:ascii="Arial" w:hAnsi="Arial" w:cs="Arial"/>
          <w:b/>
          <w:bCs/>
          <w:sz w:val="24"/>
          <w:szCs w:val="24"/>
          <w:lang w:val="en-NZ"/>
        </w:rPr>
        <w:t>Cyanotoxins</w:t>
      </w:r>
    </w:p>
    <w:p w14:paraId="191B58C3" w14:textId="71CC957D" w:rsidR="007B643A" w:rsidRDefault="005F672E" w:rsidP="005F672E">
      <w:pPr>
        <w:rPr>
          <w:sz w:val="24"/>
          <w:szCs w:val="24"/>
          <w:lang w:val="en-NZ"/>
        </w:rPr>
      </w:pPr>
      <w:r w:rsidRPr="00FC4381">
        <w:rPr>
          <w:sz w:val="24"/>
          <w:szCs w:val="24"/>
          <w:lang w:val="en-NZ"/>
        </w:rPr>
        <w:t>Swallowing contaminated freshwater containing cyanobacteria can cause neurological, gastroenterological, and liver</w:t>
      </w:r>
      <w:r w:rsidR="007B643A">
        <w:rPr>
          <w:sz w:val="24"/>
          <w:szCs w:val="24"/>
          <w:lang w:val="en-NZ"/>
        </w:rPr>
        <w:t xml:space="preserve"> or</w:t>
      </w:r>
      <w:r w:rsidRPr="00FC4381">
        <w:rPr>
          <w:sz w:val="24"/>
          <w:szCs w:val="24"/>
          <w:lang w:val="en-NZ"/>
        </w:rPr>
        <w:t xml:space="preserve"> kidney symptoms. Vomiting and diarrhoea are common following recreational water cyanotoxin exposure and can result in dehydration (TOXINZ 2011).</w:t>
      </w:r>
    </w:p>
    <w:p w14:paraId="5F66CBEA" w14:textId="508FC5FC" w:rsidR="005F672E" w:rsidRPr="00FC4381" w:rsidRDefault="005F672E" w:rsidP="005F672E">
      <w:pPr>
        <w:rPr>
          <w:sz w:val="24"/>
          <w:szCs w:val="24"/>
          <w:lang w:val="en-NZ"/>
        </w:rPr>
      </w:pPr>
      <w:r w:rsidRPr="00FC4381">
        <w:rPr>
          <w:sz w:val="24"/>
          <w:szCs w:val="24"/>
          <w:lang w:val="en-NZ"/>
        </w:rPr>
        <w:t>Symptoms of liver and kidney toxicity can include nausea, vomiting, diarrhoea, a bad taste in the mouth, acute hepatitis, jaundice, blood in urine or dark urine, malaise, lethargy, headache, fever, and loss of appetite. Liver and kidney toxicity can be caused by microcystins and nodularins (Centers for Disease Control and Prevention 2022a).</w:t>
      </w:r>
    </w:p>
    <w:p w14:paraId="05A9ACB3" w14:textId="5FBDA208" w:rsidR="005F672E" w:rsidRPr="00FC4381" w:rsidRDefault="005F672E" w:rsidP="005F672E">
      <w:pPr>
        <w:rPr>
          <w:sz w:val="24"/>
          <w:szCs w:val="24"/>
          <w:lang w:val="en-NZ"/>
        </w:rPr>
      </w:pPr>
      <w:r w:rsidRPr="00FC4381">
        <w:rPr>
          <w:sz w:val="24"/>
          <w:szCs w:val="24"/>
          <w:lang w:val="en-NZ"/>
        </w:rPr>
        <w:t xml:space="preserve">Symptoms associated with neurotoxins, such as anatoxins and saxitoxins, can include sensory symptoms </w:t>
      </w:r>
      <w:r w:rsidR="00B916C9">
        <w:rPr>
          <w:sz w:val="24"/>
          <w:szCs w:val="24"/>
          <w:lang w:val="en-NZ"/>
        </w:rPr>
        <w:t xml:space="preserve">like </w:t>
      </w:r>
      <w:r w:rsidRPr="00FC4381">
        <w:rPr>
          <w:sz w:val="24"/>
          <w:szCs w:val="24"/>
          <w:lang w:val="en-NZ"/>
        </w:rPr>
        <w:t>paraesthesia</w:t>
      </w:r>
      <w:r w:rsidR="00022FC3">
        <w:rPr>
          <w:sz w:val="24"/>
          <w:szCs w:val="24"/>
          <w:lang w:val="en-NZ"/>
        </w:rPr>
        <w:t>,</w:t>
      </w:r>
      <w:r w:rsidRPr="00FC4381">
        <w:rPr>
          <w:sz w:val="24"/>
          <w:szCs w:val="24"/>
          <w:lang w:val="en-NZ"/>
        </w:rPr>
        <w:t xml:space="preserve"> and motor symptoms </w:t>
      </w:r>
      <w:r w:rsidR="00B916C9">
        <w:rPr>
          <w:sz w:val="24"/>
          <w:szCs w:val="24"/>
          <w:lang w:val="en-NZ"/>
        </w:rPr>
        <w:t xml:space="preserve">like </w:t>
      </w:r>
      <w:r w:rsidRPr="00FC4381">
        <w:rPr>
          <w:sz w:val="24"/>
          <w:szCs w:val="24"/>
          <w:lang w:val="en-NZ"/>
        </w:rPr>
        <w:t xml:space="preserve">muscle twitching. High doses may lead to increasing muscle paralysis, including, potentially, of respiratory muscles (Centers for Disease Control and Prevention 2022a). Seizures </w:t>
      </w:r>
      <w:r w:rsidRPr="00FC4381">
        <w:rPr>
          <w:sz w:val="24"/>
          <w:szCs w:val="24"/>
          <w:lang w:val="en-NZ"/>
        </w:rPr>
        <w:lastRenderedPageBreak/>
        <w:t>are uncommon and have only been documented after haemodialysis fluid was contaminated with cyanotoxins (TOXINZ 2011).</w:t>
      </w:r>
    </w:p>
    <w:p w14:paraId="5952F697" w14:textId="77777777" w:rsidR="005F672E" w:rsidRPr="00F42BD5" w:rsidRDefault="005F672E" w:rsidP="00BD27FE">
      <w:pPr>
        <w:pStyle w:val="Heading4"/>
        <w:rPr>
          <w:rFonts w:ascii="Arial" w:hAnsi="Arial" w:cs="Arial"/>
          <w:b/>
          <w:bCs/>
          <w:sz w:val="24"/>
          <w:szCs w:val="24"/>
          <w:lang w:val="en-NZ"/>
        </w:rPr>
      </w:pPr>
      <w:r w:rsidRPr="00F42BD5">
        <w:rPr>
          <w:rFonts w:ascii="Arial" w:hAnsi="Arial" w:cs="Arial"/>
          <w:b/>
          <w:bCs/>
          <w:sz w:val="24"/>
          <w:szCs w:val="24"/>
          <w:lang w:val="en-NZ"/>
        </w:rPr>
        <w:t>Marine biotoxins</w:t>
      </w:r>
    </w:p>
    <w:p w14:paraId="5ECAD519" w14:textId="7A46F0D6" w:rsidR="005F672E" w:rsidRPr="00FC4381" w:rsidRDefault="005F672E" w:rsidP="005F672E">
      <w:pPr>
        <w:rPr>
          <w:sz w:val="24"/>
          <w:szCs w:val="24"/>
          <w:lang w:val="en-NZ"/>
        </w:rPr>
      </w:pPr>
      <w:r w:rsidRPr="00FC4381">
        <w:rPr>
          <w:sz w:val="24"/>
          <w:szCs w:val="24"/>
          <w:lang w:val="en-NZ"/>
        </w:rPr>
        <w:t>There is no evidence of significant human health impacts caused by direct ingestion of HAB affected marine recreational water, although marine animal deaths may have been due to ingestion or inhalation of marine biotoxins such as brevetoxins (World Health Organization 2021).</w:t>
      </w:r>
    </w:p>
    <w:p w14:paraId="7EAE3FE0" w14:textId="4E717DBA" w:rsidR="005F672E" w:rsidRPr="00F42BD5" w:rsidRDefault="007F3756" w:rsidP="00BD27FE">
      <w:pPr>
        <w:pStyle w:val="Heading2"/>
        <w:rPr>
          <w:lang w:val="en-NZ"/>
        </w:rPr>
      </w:pPr>
      <w:bookmarkStart w:id="15" w:name="_Toc181101764"/>
      <w:r w:rsidRPr="00F42BD5">
        <w:rPr>
          <w:lang w:val="en-NZ"/>
        </w:rPr>
        <w:t>Biotoxins and challenges with correlation to signs and symptoms</w:t>
      </w:r>
      <w:bookmarkEnd w:id="15"/>
    </w:p>
    <w:p w14:paraId="7DD57D57" w14:textId="77777777" w:rsidR="005F672E" w:rsidRPr="00FC4381" w:rsidRDefault="005F672E" w:rsidP="005F672E">
      <w:pPr>
        <w:rPr>
          <w:sz w:val="24"/>
          <w:szCs w:val="24"/>
          <w:lang w:val="en-NZ"/>
        </w:rPr>
      </w:pPr>
      <w:r w:rsidRPr="00FC4381">
        <w:rPr>
          <w:sz w:val="24"/>
          <w:szCs w:val="24"/>
          <w:lang w:val="en-NZ"/>
        </w:rPr>
        <w:t>Determining the specific biotoxin or HAB species causing symptoms is complicated for the following reasons:</w:t>
      </w:r>
    </w:p>
    <w:p w14:paraId="0236744F" w14:textId="2B34EDA9" w:rsidR="005F672E" w:rsidRPr="00FC4381" w:rsidRDefault="005F672E" w:rsidP="00030F31">
      <w:pPr>
        <w:pStyle w:val="ListParagraph"/>
        <w:numPr>
          <w:ilvl w:val="0"/>
          <w:numId w:val="11"/>
        </w:numPr>
        <w:ind w:left="426" w:hanging="426"/>
        <w:rPr>
          <w:sz w:val="24"/>
          <w:szCs w:val="24"/>
          <w:lang w:val="en-NZ"/>
        </w:rPr>
      </w:pPr>
      <w:r w:rsidRPr="00FC4381">
        <w:rPr>
          <w:sz w:val="24"/>
          <w:szCs w:val="24"/>
          <w:lang w:val="en-NZ"/>
        </w:rPr>
        <w:t>Several biotoxins can co-exist along with other known or unknown compounds in HABs.</w:t>
      </w:r>
    </w:p>
    <w:p w14:paraId="7E18BE5B" w14:textId="244632C6" w:rsidR="005F672E" w:rsidRPr="00FC4381" w:rsidRDefault="005F672E" w:rsidP="00030F31">
      <w:pPr>
        <w:pStyle w:val="ListParagraph"/>
        <w:numPr>
          <w:ilvl w:val="0"/>
          <w:numId w:val="11"/>
        </w:numPr>
        <w:ind w:left="426" w:hanging="426"/>
        <w:rPr>
          <w:sz w:val="24"/>
          <w:szCs w:val="24"/>
          <w:lang w:val="en-NZ"/>
        </w:rPr>
      </w:pPr>
      <w:r w:rsidRPr="00FC4381">
        <w:rPr>
          <w:sz w:val="24"/>
          <w:szCs w:val="24"/>
          <w:lang w:val="en-NZ"/>
        </w:rPr>
        <w:t>People are likely to have more than one route of exposure</w:t>
      </w:r>
      <w:r w:rsidR="0001358E" w:rsidRPr="00FC4381">
        <w:rPr>
          <w:sz w:val="24"/>
          <w:szCs w:val="24"/>
          <w:lang w:val="en-NZ"/>
        </w:rPr>
        <w:t>. F</w:t>
      </w:r>
      <w:r w:rsidRPr="00FC4381">
        <w:rPr>
          <w:sz w:val="24"/>
          <w:szCs w:val="24"/>
          <w:lang w:val="en-NZ"/>
        </w:rPr>
        <w:t>or example</w:t>
      </w:r>
      <w:r w:rsidR="0001358E" w:rsidRPr="00FC4381">
        <w:rPr>
          <w:sz w:val="24"/>
          <w:szCs w:val="24"/>
          <w:lang w:val="en-NZ"/>
        </w:rPr>
        <w:t>,</w:t>
      </w:r>
      <w:r w:rsidRPr="00FC4381">
        <w:rPr>
          <w:sz w:val="24"/>
          <w:szCs w:val="24"/>
          <w:lang w:val="en-NZ"/>
        </w:rPr>
        <w:t xml:space="preserve"> if they have been swimming, they may have direct contact, inhalation</w:t>
      </w:r>
      <w:r w:rsidR="0001358E" w:rsidRPr="00FC4381">
        <w:rPr>
          <w:sz w:val="24"/>
          <w:szCs w:val="24"/>
          <w:lang w:val="en-NZ"/>
        </w:rPr>
        <w:t>,</w:t>
      </w:r>
      <w:r w:rsidRPr="00FC4381">
        <w:rPr>
          <w:sz w:val="24"/>
          <w:szCs w:val="24"/>
          <w:lang w:val="en-NZ"/>
        </w:rPr>
        <w:t xml:space="preserve"> and ingestion, thus potential exposure to a variety of biotoxins and routes.</w:t>
      </w:r>
    </w:p>
    <w:p w14:paraId="6FC8F6AA" w14:textId="08FDFF53" w:rsidR="005F672E" w:rsidRPr="00FC4381" w:rsidRDefault="005F672E" w:rsidP="00030F31">
      <w:pPr>
        <w:pStyle w:val="ListParagraph"/>
        <w:numPr>
          <w:ilvl w:val="0"/>
          <w:numId w:val="11"/>
        </w:numPr>
        <w:ind w:left="426" w:hanging="426"/>
        <w:rPr>
          <w:sz w:val="24"/>
          <w:szCs w:val="24"/>
          <w:lang w:val="en-NZ"/>
        </w:rPr>
      </w:pPr>
      <w:r w:rsidRPr="00FC4381">
        <w:rPr>
          <w:sz w:val="24"/>
          <w:szCs w:val="24"/>
          <w:lang w:val="en-NZ"/>
        </w:rPr>
        <w:t xml:space="preserve">It can be difficult to determine the type of biotoxin that caused illness based on self-reported symptoms without confirmatory water samples (Centers for Disease Control and Prevention 2022a). </w:t>
      </w:r>
    </w:p>
    <w:p w14:paraId="0BABCE73" w14:textId="6DB5D271" w:rsidR="005F672E" w:rsidRPr="00FC4381" w:rsidRDefault="005F672E" w:rsidP="00030F31">
      <w:pPr>
        <w:pStyle w:val="ListParagraph"/>
        <w:numPr>
          <w:ilvl w:val="0"/>
          <w:numId w:val="11"/>
        </w:numPr>
        <w:ind w:left="426" w:hanging="426"/>
        <w:rPr>
          <w:sz w:val="24"/>
          <w:szCs w:val="24"/>
          <w:lang w:val="en-NZ"/>
        </w:rPr>
      </w:pPr>
      <w:r w:rsidRPr="00FC4381">
        <w:rPr>
          <w:sz w:val="24"/>
          <w:szCs w:val="24"/>
          <w:lang w:val="en-NZ"/>
        </w:rPr>
        <w:t>There is a large crossover of symptoms caused by biotoxins. For example, most of the biotoxins are associated with gastrointestinal symptoms.</w:t>
      </w:r>
    </w:p>
    <w:p w14:paraId="591BBA76" w14:textId="2D3B3FAD" w:rsidR="005F672E" w:rsidRPr="00FC4381" w:rsidRDefault="005F672E" w:rsidP="00030F31">
      <w:pPr>
        <w:pStyle w:val="ListParagraph"/>
        <w:numPr>
          <w:ilvl w:val="0"/>
          <w:numId w:val="11"/>
        </w:numPr>
        <w:ind w:left="426" w:hanging="426"/>
        <w:rPr>
          <w:sz w:val="24"/>
          <w:szCs w:val="24"/>
          <w:lang w:val="en-NZ"/>
        </w:rPr>
      </w:pPr>
      <w:r w:rsidRPr="00FC4381">
        <w:rPr>
          <w:sz w:val="24"/>
          <w:szCs w:val="24"/>
          <w:lang w:val="en-NZ"/>
        </w:rPr>
        <w:t>Although biotoxins are broadly classed by their predominant mode of action, reported symptoms in observational studies are diverse and some researchers suggest that biotoxins may act more broadly (Metcalf et al 2021).</w:t>
      </w:r>
    </w:p>
    <w:p w14:paraId="17CD32E9" w14:textId="76D1AE59" w:rsidR="005F672E" w:rsidRPr="00FC4381" w:rsidRDefault="005F672E" w:rsidP="00030F31">
      <w:pPr>
        <w:pStyle w:val="ListParagraph"/>
        <w:numPr>
          <w:ilvl w:val="0"/>
          <w:numId w:val="11"/>
        </w:numPr>
        <w:ind w:left="426" w:hanging="426"/>
        <w:rPr>
          <w:sz w:val="24"/>
          <w:szCs w:val="24"/>
          <w:lang w:val="en-NZ"/>
        </w:rPr>
      </w:pPr>
      <w:r w:rsidRPr="00FC4381">
        <w:rPr>
          <w:sz w:val="24"/>
          <w:szCs w:val="24"/>
          <w:lang w:val="en-NZ"/>
        </w:rPr>
        <w:t>Other potential health hazards such as faecal pathogens may also be present in the water which further complicates the attribution of cause (Taumata Arowai 2020; Weirich &amp; Miller 2014).</w:t>
      </w:r>
    </w:p>
    <w:p w14:paraId="01CE0E90" w14:textId="77777777" w:rsidR="00FC6C87" w:rsidRDefault="005F672E" w:rsidP="005F672E">
      <w:pPr>
        <w:rPr>
          <w:sz w:val="24"/>
          <w:szCs w:val="24"/>
          <w:lang w:val="en-NZ"/>
        </w:rPr>
      </w:pPr>
      <w:r w:rsidRPr="00FC4381">
        <w:rPr>
          <w:sz w:val="24"/>
          <w:szCs w:val="24"/>
          <w:lang w:val="en-NZ"/>
        </w:rPr>
        <w:t>Overall, as evidence regarding toxic strains of cyanobacteria continues to evolve and new toxic strains continue to be identified, using the precautionary principle means that all cyanobacteria should be regarded as potentially toxic until proven otherwise (Ministry for the Environment &amp; Ministry of Health 2009).</w:t>
      </w:r>
    </w:p>
    <w:p w14:paraId="3626D9A8" w14:textId="1338D4A5" w:rsidR="004978D4" w:rsidRDefault="005F672E" w:rsidP="005F672E">
      <w:pPr>
        <w:rPr>
          <w:sz w:val="24"/>
          <w:szCs w:val="24"/>
          <w:lang w:val="en-NZ"/>
        </w:rPr>
      </w:pPr>
      <w:r w:rsidRPr="00FC4381">
        <w:rPr>
          <w:sz w:val="24"/>
          <w:szCs w:val="24"/>
          <w:lang w:val="en-NZ"/>
        </w:rPr>
        <w:t>Knowing the exact biotoxin becomes more important if it will change the public health risk management strategy</w:t>
      </w:r>
      <w:r w:rsidR="0001358E" w:rsidRPr="00FC4381">
        <w:rPr>
          <w:sz w:val="24"/>
          <w:szCs w:val="24"/>
          <w:lang w:val="en-NZ"/>
        </w:rPr>
        <w:t>. H</w:t>
      </w:r>
      <w:r w:rsidRPr="00FC4381">
        <w:rPr>
          <w:sz w:val="24"/>
          <w:szCs w:val="24"/>
          <w:lang w:val="en-NZ"/>
        </w:rPr>
        <w:t>owever, the data may also add to the limited knowledge base of the clinical impact of the different biotoxins.</w:t>
      </w:r>
    </w:p>
    <w:p w14:paraId="3A496618" w14:textId="77777777" w:rsidR="004978D4" w:rsidRDefault="004978D4">
      <w:pPr>
        <w:rPr>
          <w:sz w:val="24"/>
          <w:szCs w:val="24"/>
          <w:lang w:val="en-NZ"/>
        </w:rPr>
      </w:pPr>
      <w:r>
        <w:rPr>
          <w:sz w:val="24"/>
          <w:szCs w:val="24"/>
          <w:lang w:val="en-NZ"/>
        </w:rPr>
        <w:br w:type="page"/>
      </w:r>
    </w:p>
    <w:p w14:paraId="32845AA1" w14:textId="76F286BE" w:rsidR="005F672E" w:rsidRPr="00F42BD5" w:rsidRDefault="007F3756" w:rsidP="00BD27FE">
      <w:pPr>
        <w:pStyle w:val="Heading2"/>
        <w:rPr>
          <w:lang w:val="en-NZ"/>
        </w:rPr>
      </w:pPr>
      <w:bookmarkStart w:id="16" w:name="_Toc181101765"/>
      <w:r w:rsidRPr="00F42BD5">
        <w:rPr>
          <w:lang w:val="en-NZ"/>
        </w:rPr>
        <w:lastRenderedPageBreak/>
        <w:t>Population groups at risk</w:t>
      </w:r>
      <w:bookmarkEnd w:id="16"/>
    </w:p>
    <w:p w14:paraId="1A95ABA8" w14:textId="541C5BF8" w:rsidR="005F672E" w:rsidRPr="00FC4381" w:rsidRDefault="005F672E" w:rsidP="005F672E">
      <w:pPr>
        <w:rPr>
          <w:sz w:val="24"/>
          <w:szCs w:val="24"/>
          <w:lang w:val="en-NZ"/>
        </w:rPr>
      </w:pPr>
      <w:r w:rsidRPr="00FC4381">
        <w:rPr>
          <w:sz w:val="24"/>
          <w:szCs w:val="24"/>
          <w:lang w:val="en-NZ"/>
        </w:rPr>
        <w:t>There are population groups that are at greater risk of both exposure to HAB</w:t>
      </w:r>
      <w:r w:rsidR="00FC6C87">
        <w:rPr>
          <w:sz w:val="24"/>
          <w:szCs w:val="24"/>
          <w:lang w:val="en-NZ"/>
        </w:rPr>
        <w:t>s</w:t>
      </w:r>
      <w:r w:rsidRPr="00FC4381">
        <w:rPr>
          <w:sz w:val="24"/>
          <w:szCs w:val="24"/>
          <w:lang w:val="en-NZ"/>
        </w:rPr>
        <w:t xml:space="preserve"> as well as to adverse health effects if exposed.</w:t>
      </w:r>
    </w:p>
    <w:p w14:paraId="7AE70559" w14:textId="0B7261EE" w:rsidR="005F672E" w:rsidRPr="00FC4381" w:rsidRDefault="005F672E" w:rsidP="00030F31">
      <w:pPr>
        <w:pStyle w:val="ListParagraph"/>
        <w:numPr>
          <w:ilvl w:val="0"/>
          <w:numId w:val="13"/>
        </w:numPr>
        <w:ind w:left="426" w:hanging="426"/>
        <w:rPr>
          <w:sz w:val="24"/>
          <w:szCs w:val="24"/>
          <w:lang w:val="en-NZ"/>
        </w:rPr>
      </w:pPr>
      <w:r w:rsidRPr="00FC4381">
        <w:rPr>
          <w:sz w:val="24"/>
          <w:szCs w:val="24"/>
          <w:lang w:val="en-NZ"/>
        </w:rPr>
        <w:t>Children are at greater risk of adverse health effects associated with biotoxin exposure because of their exploratory behaviours, stage of development</w:t>
      </w:r>
      <w:r w:rsidR="0001358E" w:rsidRPr="00FC4381">
        <w:rPr>
          <w:sz w:val="24"/>
          <w:szCs w:val="24"/>
          <w:lang w:val="en-NZ"/>
        </w:rPr>
        <w:t>,</w:t>
      </w:r>
      <w:r w:rsidRPr="00FC4381">
        <w:rPr>
          <w:sz w:val="24"/>
          <w:szCs w:val="24"/>
          <w:lang w:val="en-NZ"/>
        </w:rPr>
        <w:t xml:space="preserve"> and smaller size relative to their amount of exposure as they swallow more water compared to adults (Hilborn et al 2014; Weirich &amp; Miller 2014).</w:t>
      </w:r>
    </w:p>
    <w:p w14:paraId="0BC525D1" w14:textId="535D6694" w:rsidR="005F672E" w:rsidRPr="00FC4381" w:rsidRDefault="005F672E" w:rsidP="00030F31">
      <w:pPr>
        <w:pStyle w:val="ListParagraph"/>
        <w:numPr>
          <w:ilvl w:val="0"/>
          <w:numId w:val="13"/>
        </w:numPr>
        <w:ind w:left="426" w:hanging="426"/>
        <w:rPr>
          <w:sz w:val="24"/>
          <w:szCs w:val="24"/>
          <w:lang w:val="en-NZ"/>
        </w:rPr>
      </w:pPr>
      <w:r w:rsidRPr="00FC4381">
        <w:rPr>
          <w:sz w:val="24"/>
          <w:szCs w:val="24"/>
          <w:lang w:val="en-NZ"/>
        </w:rPr>
        <w:t>Young men are also prone to risk taking behaviour such as swimming in potentially hazardous environments.</w:t>
      </w:r>
    </w:p>
    <w:p w14:paraId="2548676B" w14:textId="3E239F6F" w:rsidR="005F672E" w:rsidRPr="00FC4381" w:rsidRDefault="005F672E" w:rsidP="00030F31">
      <w:pPr>
        <w:pStyle w:val="ListParagraph"/>
        <w:numPr>
          <w:ilvl w:val="0"/>
          <w:numId w:val="13"/>
        </w:numPr>
        <w:ind w:left="426" w:hanging="426"/>
        <w:rPr>
          <w:sz w:val="24"/>
          <w:szCs w:val="24"/>
          <w:lang w:val="en-NZ"/>
        </w:rPr>
      </w:pPr>
      <w:r w:rsidRPr="00FC4381">
        <w:rPr>
          <w:sz w:val="24"/>
          <w:szCs w:val="24"/>
          <w:lang w:val="en-NZ"/>
        </w:rPr>
        <w:t>The health effects of biotoxin exposure in pregnancy are not yet quantified. The health effects of biotoxins on human foetal development are unknown but adverse health effects have been seen in animal foetal development (Weirich &amp; Miller 2014).</w:t>
      </w:r>
    </w:p>
    <w:p w14:paraId="65B438F4" w14:textId="3CE87AAA" w:rsidR="005F672E" w:rsidRPr="00FC4381" w:rsidRDefault="005F672E" w:rsidP="00030F31">
      <w:pPr>
        <w:pStyle w:val="ListParagraph"/>
        <w:numPr>
          <w:ilvl w:val="0"/>
          <w:numId w:val="13"/>
        </w:numPr>
        <w:ind w:left="426" w:hanging="426"/>
        <w:rPr>
          <w:sz w:val="24"/>
          <w:szCs w:val="24"/>
          <w:lang w:val="en-NZ"/>
        </w:rPr>
      </w:pPr>
      <w:r w:rsidRPr="00FC4381">
        <w:rPr>
          <w:sz w:val="24"/>
          <w:szCs w:val="24"/>
          <w:lang w:val="en-NZ"/>
        </w:rPr>
        <w:t>Wai</w:t>
      </w:r>
      <w:r w:rsidR="008D6AEF">
        <w:rPr>
          <w:sz w:val="24"/>
          <w:szCs w:val="24"/>
          <w:lang w:val="en-NZ"/>
        </w:rPr>
        <w:t xml:space="preserve"> | </w:t>
      </w:r>
      <w:r w:rsidRPr="00FC4381">
        <w:rPr>
          <w:sz w:val="24"/>
          <w:szCs w:val="24"/>
          <w:lang w:val="en-NZ"/>
        </w:rPr>
        <w:t xml:space="preserve">water is of great cultural significance in te </w:t>
      </w:r>
      <w:r w:rsidR="00B675F9">
        <w:rPr>
          <w:sz w:val="24"/>
          <w:szCs w:val="24"/>
          <w:lang w:val="en-NZ"/>
        </w:rPr>
        <w:t>a</w:t>
      </w:r>
      <w:r w:rsidRPr="00FC4381">
        <w:rPr>
          <w:sz w:val="24"/>
          <w:szCs w:val="24"/>
          <w:lang w:val="en-NZ"/>
        </w:rPr>
        <w:t>o Māori. People who live next to water bodies, work with water, or have strong social-cultural ties to water may have more opportunities to have repeated contact with potentially contaminated water.</w:t>
      </w:r>
    </w:p>
    <w:p w14:paraId="4DF9D49D" w14:textId="77A83319" w:rsidR="005F672E" w:rsidRPr="00FC4381" w:rsidRDefault="005F672E" w:rsidP="00030F31">
      <w:pPr>
        <w:pStyle w:val="ListParagraph"/>
        <w:numPr>
          <w:ilvl w:val="0"/>
          <w:numId w:val="13"/>
        </w:numPr>
        <w:ind w:left="426" w:hanging="426"/>
        <w:rPr>
          <w:sz w:val="24"/>
          <w:szCs w:val="24"/>
          <w:lang w:val="en-NZ"/>
        </w:rPr>
      </w:pPr>
      <w:r w:rsidRPr="00FC4381">
        <w:rPr>
          <w:sz w:val="24"/>
          <w:szCs w:val="24"/>
          <w:lang w:val="en-NZ"/>
        </w:rPr>
        <w:t xml:space="preserve">People who have underlying health conditions, such as chronic hepatitis B infection, respiratory conditions, for example asthma, are likely to be more vulnerable to the adverse effects of biotoxins that exacerbate those symptoms. </w:t>
      </w:r>
      <w:r w:rsidRPr="00D82B7D">
        <w:rPr>
          <w:sz w:val="24"/>
          <w:szCs w:val="24"/>
          <w:lang w:val="en-NZ"/>
        </w:rPr>
        <w:t>Māori and Pacific peoples disproportionately carry an increased burden of underlying co-morbidities perpetuated by the social determinants of health, including institutional racism (Gurney et al 2020).</w:t>
      </w:r>
    </w:p>
    <w:p w14:paraId="32D827FD" w14:textId="134D8672" w:rsidR="005F672E" w:rsidRPr="00F42BD5" w:rsidRDefault="007F3756" w:rsidP="00BD27FE">
      <w:pPr>
        <w:pStyle w:val="Heading2"/>
        <w:keepNext/>
        <w:rPr>
          <w:lang w:val="en-NZ"/>
        </w:rPr>
      </w:pPr>
      <w:bookmarkStart w:id="17" w:name="_Toc181101766"/>
      <w:r w:rsidRPr="00F42BD5">
        <w:rPr>
          <w:lang w:val="en-NZ"/>
        </w:rPr>
        <w:t>Dose response</w:t>
      </w:r>
      <w:bookmarkEnd w:id="17"/>
    </w:p>
    <w:p w14:paraId="53AC943C" w14:textId="0ABD34C1" w:rsidR="005F672E" w:rsidRPr="00FC4381" w:rsidRDefault="005F672E" w:rsidP="005F672E">
      <w:pPr>
        <w:rPr>
          <w:sz w:val="24"/>
          <w:szCs w:val="24"/>
          <w:lang w:val="en-NZ"/>
        </w:rPr>
      </w:pPr>
      <w:r w:rsidRPr="00FC4381">
        <w:rPr>
          <w:sz w:val="24"/>
          <w:szCs w:val="24"/>
          <w:lang w:val="en-NZ"/>
        </w:rPr>
        <w:t>The principles of toxicology are that adverse effects will increase in prevalence and/or severity with increasing exposure dose. The nature of this relationship is termed a dose- response relationship. Consequently, accidental ingestion of small amounts of water or inhalation of small amounts of aerosolised biotoxins are more likely to result in milder health effects compared to greater exposures such as ingesting large amounts of contaminated drinking water, consuming seafood in which toxins have bioaccumulated</w:t>
      </w:r>
      <w:r w:rsidR="0001358E" w:rsidRPr="00FC4381">
        <w:rPr>
          <w:sz w:val="24"/>
          <w:szCs w:val="24"/>
          <w:lang w:val="en-NZ"/>
        </w:rPr>
        <w:t>,</w:t>
      </w:r>
      <w:r w:rsidRPr="00FC4381">
        <w:rPr>
          <w:sz w:val="24"/>
          <w:szCs w:val="24"/>
          <w:lang w:val="en-NZ"/>
        </w:rPr>
        <w:t xml:space="preserve"> or exposure via a route that reaches the systemic circulation rapidly, such as contaminated haemodialysis fluid (TOXINZ 2011).</w:t>
      </w:r>
    </w:p>
    <w:p w14:paraId="1EBF9BA3" w14:textId="179D8E88" w:rsidR="005F672E" w:rsidRPr="00FC4381" w:rsidRDefault="005F672E" w:rsidP="005F672E">
      <w:pPr>
        <w:rPr>
          <w:sz w:val="24"/>
          <w:szCs w:val="24"/>
          <w:lang w:val="en-NZ"/>
        </w:rPr>
      </w:pPr>
      <w:r w:rsidRPr="00FC4381">
        <w:rPr>
          <w:sz w:val="24"/>
          <w:szCs w:val="24"/>
          <w:lang w:val="en-NZ"/>
        </w:rPr>
        <w:t>Well-defined dose response curves are not available nor representative for human exposure to most biotoxins in recreational water. For saxitoxins, dose and severity information is available for several hundred cases of PSP (European Food Safety Authority 2009) while for other biotoxins considered in these guidelines dose-response information is mainly from a limited number of laboratory studies in animals.</w:t>
      </w:r>
    </w:p>
    <w:p w14:paraId="1A19B738" w14:textId="77777777" w:rsidR="000726D5" w:rsidRDefault="005F672E" w:rsidP="005F672E">
      <w:pPr>
        <w:rPr>
          <w:sz w:val="24"/>
          <w:szCs w:val="24"/>
          <w:lang w:val="en-NZ"/>
        </w:rPr>
      </w:pPr>
      <w:r w:rsidRPr="00FC4381">
        <w:rPr>
          <w:sz w:val="24"/>
          <w:szCs w:val="24"/>
          <w:lang w:val="en-NZ"/>
        </w:rPr>
        <w:t xml:space="preserve">Some observational studies have reported an association between human exposure and symptoms. In a review of CDC’s Waterborne Disease and Outbreak Surveillance System in the USA in 2009–2010, there were 11 outbreaks associated </w:t>
      </w:r>
      <w:r w:rsidRPr="00FC4381">
        <w:rPr>
          <w:sz w:val="24"/>
          <w:szCs w:val="24"/>
          <w:lang w:val="en-NZ"/>
        </w:rPr>
        <w:lastRenderedPageBreak/>
        <w:t>with cyanobacteria which affected 61 people and resulted in 2 people being hospitalised.</w:t>
      </w:r>
    </w:p>
    <w:p w14:paraId="37C28DE3" w14:textId="3DB69124" w:rsidR="005F672E" w:rsidRPr="00FC4381" w:rsidRDefault="005F672E" w:rsidP="005F672E">
      <w:pPr>
        <w:rPr>
          <w:sz w:val="24"/>
          <w:szCs w:val="24"/>
          <w:lang w:val="en-NZ"/>
        </w:rPr>
      </w:pPr>
      <w:r w:rsidRPr="00FC4381">
        <w:rPr>
          <w:sz w:val="24"/>
          <w:szCs w:val="24"/>
          <w:lang w:val="en-NZ"/>
        </w:rPr>
        <w:t>The outbreak with the more severe gastrointestinal and neurological symptoms was associated with the highest concentrations of cyanotoxins (Chorus &amp; Welker 2021). Individuals in an epidemiological survey who were exposed to cyanobacterial cell surface areas of more than 12 mm</w:t>
      </w:r>
      <w:r w:rsidRPr="00FC4381">
        <w:rPr>
          <w:sz w:val="24"/>
          <w:szCs w:val="24"/>
          <w:vertAlign w:val="superscript"/>
          <w:lang w:val="en-NZ"/>
        </w:rPr>
        <w:t>2</w:t>
      </w:r>
      <w:r w:rsidRPr="00FC4381">
        <w:rPr>
          <w:sz w:val="24"/>
          <w:szCs w:val="24"/>
          <w:lang w:val="en-NZ"/>
        </w:rPr>
        <w:t>/mL in recreational water were more likely to report symptoms, particularly respiratory symptoms, compared to individuals exposed to lower cyanobacterial cell surface areas (2.4 mm</w:t>
      </w:r>
      <w:r w:rsidRPr="00FC4381">
        <w:rPr>
          <w:sz w:val="24"/>
          <w:szCs w:val="24"/>
          <w:vertAlign w:val="superscript"/>
          <w:lang w:val="en-NZ"/>
        </w:rPr>
        <w:t>2</w:t>
      </w:r>
      <w:r w:rsidRPr="00FC4381">
        <w:rPr>
          <w:sz w:val="24"/>
          <w:szCs w:val="24"/>
          <w:lang w:val="en-NZ"/>
        </w:rPr>
        <w:t>/mL) (Stewart, Webb, Schluter, Fleming, et al 2006).</w:t>
      </w:r>
    </w:p>
    <w:p w14:paraId="0361436D" w14:textId="77777777" w:rsidR="00A10E57" w:rsidRDefault="005F672E" w:rsidP="005F672E">
      <w:pPr>
        <w:rPr>
          <w:sz w:val="24"/>
          <w:szCs w:val="24"/>
          <w:lang w:val="en-NZ"/>
        </w:rPr>
      </w:pPr>
      <w:r w:rsidRPr="00FC4381">
        <w:rPr>
          <w:sz w:val="24"/>
          <w:szCs w:val="24"/>
          <w:lang w:val="en-NZ"/>
        </w:rPr>
        <w:t xml:space="preserve">An observational study investigating lyngbyatoxin exposure found that </w:t>
      </w:r>
      <w:r w:rsidR="0001358E" w:rsidRPr="00FC4381">
        <w:rPr>
          <w:sz w:val="24"/>
          <w:szCs w:val="24"/>
          <w:lang w:val="en-NZ"/>
        </w:rPr>
        <w:t xml:space="preserve">while </w:t>
      </w:r>
      <w:r w:rsidRPr="00FC4381">
        <w:rPr>
          <w:sz w:val="24"/>
          <w:szCs w:val="24"/>
          <w:lang w:val="en-NZ"/>
        </w:rPr>
        <w:t>those who had primary contact, rather than secondary contact with water were more likely to report skin and eye symptoms, only a small proportion of symptoms were serious (Osborne et al 2007).</w:t>
      </w:r>
    </w:p>
    <w:p w14:paraId="3DCA16DB" w14:textId="1FEAF390" w:rsidR="005F672E" w:rsidRPr="00FC4381" w:rsidRDefault="005F672E" w:rsidP="005F672E">
      <w:pPr>
        <w:rPr>
          <w:sz w:val="24"/>
          <w:szCs w:val="24"/>
          <w:lang w:val="en-NZ"/>
        </w:rPr>
      </w:pPr>
      <w:r w:rsidRPr="00FC4381">
        <w:rPr>
          <w:sz w:val="24"/>
          <w:szCs w:val="24"/>
          <w:lang w:val="en-NZ"/>
        </w:rPr>
        <w:t>In a Canadian study, gastrointestinal symptoms were associated with secondary contact with cyanobacterial contaminated recreational water as participants avoided primary contact during proliferations of blooms but continued with secondary contact (Levesque et al 2014). This highlights that although the literature indicates an association between dose and response, symptoms from secondary contact are still plausible.</w:t>
      </w:r>
    </w:p>
    <w:p w14:paraId="6040F3C5" w14:textId="1091D7B0" w:rsidR="005F672E" w:rsidRPr="00F42BD5" w:rsidRDefault="007F3756" w:rsidP="00BD27FE">
      <w:pPr>
        <w:pStyle w:val="Heading2"/>
        <w:rPr>
          <w:lang w:val="en-NZ"/>
        </w:rPr>
      </w:pPr>
      <w:bookmarkStart w:id="18" w:name="_Toc181101767"/>
      <w:r w:rsidRPr="00F42BD5">
        <w:rPr>
          <w:lang w:val="en-NZ"/>
        </w:rPr>
        <w:t>Severity</w:t>
      </w:r>
      <w:bookmarkEnd w:id="18"/>
    </w:p>
    <w:p w14:paraId="36D4BEE8" w14:textId="138E9ADB" w:rsidR="005F672E" w:rsidRPr="00FC4381" w:rsidRDefault="005F672E" w:rsidP="005F672E">
      <w:pPr>
        <w:rPr>
          <w:sz w:val="24"/>
          <w:szCs w:val="24"/>
          <w:lang w:val="en-NZ"/>
        </w:rPr>
      </w:pPr>
      <w:r w:rsidRPr="00FC4381">
        <w:rPr>
          <w:sz w:val="24"/>
          <w:szCs w:val="24"/>
          <w:lang w:val="en-NZ"/>
        </w:rPr>
        <w:t>Most of the symptoms reported in recent epidemiological studies of acute health effects from short term recreational exposure to low levels of cyanobacterial blooms were mild and self-limiting (Chorus &amp; Welker 2021).</w:t>
      </w:r>
    </w:p>
    <w:p w14:paraId="1AACAB2B" w14:textId="7CAE3C1A" w:rsidR="005F672E" w:rsidRPr="00FC4381" w:rsidRDefault="005F672E" w:rsidP="005F672E">
      <w:pPr>
        <w:rPr>
          <w:sz w:val="24"/>
          <w:szCs w:val="24"/>
          <w:lang w:val="en-NZ"/>
        </w:rPr>
      </w:pPr>
      <w:r w:rsidRPr="00FC4381">
        <w:rPr>
          <w:sz w:val="24"/>
          <w:szCs w:val="24"/>
          <w:lang w:val="en-NZ"/>
        </w:rPr>
        <w:t>However, severe acute effects on human health from recreational cyanotoxin exposure have been reported, although they appear to be rare (Weirich &amp; Miller 2014). A</w:t>
      </w:r>
      <w:r w:rsidR="0001358E" w:rsidRPr="00FC4381">
        <w:rPr>
          <w:sz w:val="24"/>
          <w:szCs w:val="24"/>
          <w:lang w:val="en-NZ"/>
        </w:rPr>
        <w:t xml:space="preserve"> young </w:t>
      </w:r>
      <w:r w:rsidRPr="00FC4381">
        <w:rPr>
          <w:sz w:val="24"/>
          <w:szCs w:val="24"/>
          <w:lang w:val="en-NZ"/>
        </w:rPr>
        <w:t>Argentinian jet ski rider exposed to microcystins was treated in intensive care with respiratory symptoms and hepatic insufficiency, and a child in Uruguay presented with acute liver failure associated with repeated recreational exposure to microcystins. Although causal links between the exposures and the illnesses were not conclusive, they were highly plausible (Chorus &amp; Welker 2021; Vidal et al 2017).</w:t>
      </w:r>
    </w:p>
    <w:p w14:paraId="6D2F3EC6" w14:textId="3A43DFBB" w:rsidR="005F672E" w:rsidRPr="00FC4381" w:rsidRDefault="005F672E" w:rsidP="005F672E">
      <w:pPr>
        <w:rPr>
          <w:sz w:val="24"/>
          <w:szCs w:val="24"/>
          <w:lang w:val="en-NZ"/>
        </w:rPr>
      </w:pPr>
      <w:r w:rsidRPr="00FC4381">
        <w:rPr>
          <w:sz w:val="24"/>
          <w:szCs w:val="24"/>
          <w:lang w:val="en-NZ"/>
        </w:rPr>
        <w:t>Although not recreational contact, exposure to cyanotoxins, in particular microcystins, via contaminated dialysis water has sadly resulted in human deaths in Brazil in 1996 (Azevedo et al 2002; Carmichael &amp; Boyer 2016).</w:t>
      </w:r>
    </w:p>
    <w:p w14:paraId="48882DF0" w14:textId="77777777" w:rsidR="005F672E" w:rsidRPr="00F42BD5" w:rsidRDefault="005F672E" w:rsidP="00BD27FE">
      <w:pPr>
        <w:pStyle w:val="Heading3"/>
        <w:rPr>
          <w:lang w:val="en-NZ"/>
        </w:rPr>
      </w:pPr>
      <w:r w:rsidRPr="00F42BD5">
        <w:rPr>
          <w:lang w:val="en-NZ"/>
        </w:rPr>
        <w:t>Animal illnesses as sentinel events</w:t>
      </w:r>
    </w:p>
    <w:p w14:paraId="2B571B58" w14:textId="452C63DF" w:rsidR="005F672E" w:rsidRPr="00FC4381" w:rsidRDefault="005F672E" w:rsidP="005F672E">
      <w:pPr>
        <w:rPr>
          <w:sz w:val="24"/>
          <w:szCs w:val="24"/>
          <w:lang w:val="en-NZ"/>
        </w:rPr>
      </w:pPr>
      <w:r w:rsidRPr="00FC4381">
        <w:rPr>
          <w:sz w:val="24"/>
          <w:szCs w:val="24"/>
          <w:lang w:val="en-NZ"/>
        </w:rPr>
        <w:t>The deaths of other organisms, particularly livestock, dogs, birds, fish</w:t>
      </w:r>
      <w:r w:rsidR="0001358E" w:rsidRPr="00FC4381">
        <w:rPr>
          <w:sz w:val="24"/>
          <w:szCs w:val="24"/>
          <w:lang w:val="en-NZ"/>
        </w:rPr>
        <w:t>,</w:t>
      </w:r>
      <w:r w:rsidRPr="00FC4381">
        <w:rPr>
          <w:sz w:val="24"/>
          <w:szCs w:val="24"/>
          <w:lang w:val="en-NZ"/>
        </w:rPr>
        <w:t xml:space="preserve"> and invertebrates (eg, crustaceans, starfish, sea urchin</w:t>
      </w:r>
      <w:r w:rsidR="0001358E" w:rsidRPr="00FC4381">
        <w:rPr>
          <w:sz w:val="24"/>
          <w:szCs w:val="24"/>
          <w:lang w:val="en-NZ"/>
        </w:rPr>
        <w:t>s</w:t>
      </w:r>
      <w:r w:rsidRPr="00FC4381">
        <w:rPr>
          <w:sz w:val="24"/>
          <w:szCs w:val="24"/>
          <w:lang w:val="en-NZ"/>
        </w:rPr>
        <w:t>) are important as they indicate the toxic potential of biotoxin-containing waterbodies and indicate the potential for human health risks (Chorus &amp; Welker 2021; Hilborn &amp; Beasley 2015).</w:t>
      </w:r>
    </w:p>
    <w:p w14:paraId="479BA4CD" w14:textId="5331CD2C" w:rsidR="005F672E" w:rsidRPr="00F42BD5" w:rsidRDefault="005F672E" w:rsidP="00BD27FE">
      <w:pPr>
        <w:pStyle w:val="Heading2"/>
        <w:rPr>
          <w:lang w:val="en-NZ"/>
        </w:rPr>
      </w:pPr>
      <w:bookmarkStart w:id="19" w:name="_Toc181101768"/>
      <w:r w:rsidRPr="00F42BD5">
        <w:rPr>
          <w:lang w:val="en-NZ"/>
        </w:rPr>
        <w:lastRenderedPageBreak/>
        <w:t>C</w:t>
      </w:r>
      <w:r w:rsidR="007F3756" w:rsidRPr="00F42BD5">
        <w:rPr>
          <w:lang w:val="en-NZ"/>
        </w:rPr>
        <w:t>hronic effects of cyanobacterial exposure</w:t>
      </w:r>
      <w:bookmarkEnd w:id="19"/>
    </w:p>
    <w:p w14:paraId="390E1DFF" w14:textId="7A28916A" w:rsidR="005F672E" w:rsidRPr="00FC4381" w:rsidRDefault="005F672E" w:rsidP="005F672E">
      <w:pPr>
        <w:rPr>
          <w:sz w:val="24"/>
          <w:szCs w:val="24"/>
          <w:lang w:val="en-NZ"/>
        </w:rPr>
      </w:pPr>
      <w:r w:rsidRPr="00FC4381">
        <w:rPr>
          <w:sz w:val="24"/>
          <w:szCs w:val="24"/>
          <w:lang w:val="en-NZ"/>
        </w:rPr>
        <w:t>Chronic microcystin exposure has been linked to liver injury and promotion of tumour growth in the liver. The International Agency for Research on Cancer (IARC) has classified microcystin-LR as a possible carcinogen to humans (Ministry for the Environment &amp; Ministry of Health 2009).</w:t>
      </w:r>
    </w:p>
    <w:p w14:paraId="6DA18B16" w14:textId="1410DA56" w:rsidR="005F672E" w:rsidRDefault="005F672E" w:rsidP="005F672E">
      <w:pPr>
        <w:rPr>
          <w:sz w:val="24"/>
          <w:szCs w:val="24"/>
          <w:lang w:val="en-NZ"/>
        </w:rPr>
      </w:pPr>
      <w:r w:rsidRPr="00FC4381">
        <w:rPr>
          <w:sz w:val="24"/>
          <w:szCs w:val="24"/>
          <w:lang w:val="en-NZ"/>
        </w:rPr>
        <w:t>Evidence regarding long-term or repeated human exposure to cyanotoxins is still evolving. There are no human studies of long-term anatoxin, saxitoxin</w:t>
      </w:r>
      <w:r w:rsidR="0001358E" w:rsidRPr="00FC4381">
        <w:rPr>
          <w:sz w:val="24"/>
          <w:szCs w:val="24"/>
          <w:lang w:val="en-NZ"/>
        </w:rPr>
        <w:t>,</w:t>
      </w:r>
      <w:r w:rsidRPr="00FC4381">
        <w:rPr>
          <w:sz w:val="24"/>
          <w:szCs w:val="24"/>
          <w:lang w:val="en-NZ"/>
        </w:rPr>
        <w:t xml:space="preserve"> or cylindrospermopsin exposure. Although there is currently no evidence of health effects from long term exposure to saxitoxin, the World Health Organization (WHO) still recommend</w:t>
      </w:r>
      <w:r w:rsidR="0001358E" w:rsidRPr="00FC4381">
        <w:rPr>
          <w:sz w:val="24"/>
          <w:szCs w:val="24"/>
          <w:lang w:val="en-NZ"/>
        </w:rPr>
        <w:t>s</w:t>
      </w:r>
      <w:r w:rsidRPr="00FC4381">
        <w:rPr>
          <w:sz w:val="24"/>
          <w:szCs w:val="24"/>
          <w:lang w:val="en-NZ"/>
        </w:rPr>
        <w:t xml:space="preserve"> a precautionary approach to avoiding long-term exposure from drinking water sources (World Health Organization 2020a, 2020b</w:t>
      </w:r>
      <w:r w:rsidR="00A25A9D">
        <w:rPr>
          <w:sz w:val="24"/>
          <w:szCs w:val="24"/>
          <w:lang w:val="en-NZ"/>
        </w:rPr>
        <w:t xml:space="preserve"> and </w:t>
      </w:r>
      <w:r w:rsidRPr="00FC4381">
        <w:rPr>
          <w:sz w:val="24"/>
          <w:szCs w:val="24"/>
          <w:lang w:val="en-NZ"/>
        </w:rPr>
        <w:t>2020d).</w:t>
      </w:r>
    </w:p>
    <w:p w14:paraId="673BB4CE" w14:textId="58E60379" w:rsidR="005F672E" w:rsidRPr="00F42BD5" w:rsidRDefault="007F3756" w:rsidP="00BD27FE">
      <w:pPr>
        <w:pStyle w:val="Heading2"/>
        <w:rPr>
          <w:lang w:val="en-NZ"/>
        </w:rPr>
      </w:pPr>
      <w:bookmarkStart w:id="20" w:name="_Toc181101769"/>
      <w:r w:rsidRPr="00F42BD5">
        <w:rPr>
          <w:lang w:val="en-NZ"/>
        </w:rPr>
        <w:t>Time on onset</w:t>
      </w:r>
      <w:bookmarkEnd w:id="20"/>
    </w:p>
    <w:p w14:paraId="501712E2" w14:textId="4C919A05" w:rsidR="003F68C2" w:rsidRDefault="005F672E" w:rsidP="005F672E">
      <w:pPr>
        <w:rPr>
          <w:sz w:val="24"/>
          <w:szCs w:val="24"/>
          <w:lang w:val="en-NZ"/>
        </w:rPr>
      </w:pPr>
      <w:r w:rsidRPr="00FC4381">
        <w:rPr>
          <w:sz w:val="24"/>
          <w:szCs w:val="24"/>
          <w:lang w:val="en-NZ"/>
        </w:rPr>
        <w:t>The duration of time from exposure to onset of symptoms varies depending on the type of biotoxin</w:t>
      </w:r>
      <w:r w:rsidR="000B5771" w:rsidRPr="00FC4381">
        <w:rPr>
          <w:sz w:val="24"/>
          <w:szCs w:val="24"/>
          <w:lang w:val="en-NZ"/>
        </w:rPr>
        <w:t>. H</w:t>
      </w:r>
      <w:r w:rsidRPr="00FC4381">
        <w:rPr>
          <w:sz w:val="24"/>
          <w:szCs w:val="24"/>
          <w:lang w:val="en-NZ"/>
        </w:rPr>
        <w:t>owever, usually onset of symptoms will be within 24 hours of exposure (BPAC 2020). Neurotoxins such as anatoxins and saxitoxins are fast-acting (onset is approximately minutes to hours) wh</w:t>
      </w:r>
      <w:r w:rsidR="000B5771" w:rsidRPr="00FC4381">
        <w:rPr>
          <w:sz w:val="24"/>
          <w:szCs w:val="24"/>
          <w:lang w:val="en-NZ"/>
        </w:rPr>
        <w:t>ile</w:t>
      </w:r>
      <w:r w:rsidRPr="00FC4381">
        <w:rPr>
          <w:sz w:val="24"/>
          <w:szCs w:val="24"/>
          <w:lang w:val="en-NZ"/>
        </w:rPr>
        <w:t xml:space="preserve"> some biotoxins are slower acting, eg</w:t>
      </w:r>
      <w:r w:rsidR="00E03095">
        <w:rPr>
          <w:sz w:val="24"/>
          <w:szCs w:val="24"/>
          <w:lang w:val="en-NZ"/>
        </w:rPr>
        <w:t>,</w:t>
      </w:r>
      <w:r w:rsidR="00E03095" w:rsidRPr="00FC4381">
        <w:rPr>
          <w:sz w:val="24"/>
          <w:szCs w:val="24"/>
          <w:lang w:val="en-NZ"/>
        </w:rPr>
        <w:t xml:space="preserve"> </w:t>
      </w:r>
      <w:r w:rsidRPr="00FC4381">
        <w:rPr>
          <w:sz w:val="24"/>
          <w:szCs w:val="24"/>
          <w:lang w:val="en-NZ"/>
        </w:rPr>
        <w:t xml:space="preserve">cylindrospermopsins, and it may take several days after exposure for symptoms to occur (Ministry for the Environment &amp; Ministry of Health 2009). </w:t>
      </w:r>
    </w:p>
    <w:p w14:paraId="789423CA" w14:textId="1DC2AA97" w:rsidR="005F672E" w:rsidRPr="00FC4381" w:rsidRDefault="005F672E" w:rsidP="005F672E">
      <w:pPr>
        <w:rPr>
          <w:sz w:val="24"/>
          <w:szCs w:val="24"/>
          <w:lang w:val="en-NZ"/>
        </w:rPr>
      </w:pPr>
      <w:r w:rsidRPr="00FC4381">
        <w:rPr>
          <w:sz w:val="24"/>
          <w:szCs w:val="24"/>
          <w:lang w:val="en-NZ"/>
        </w:rPr>
        <w:t>Gastrointestinal and skin symptoms typically occur within three to five hours. After high exposures to biotoxins, neurological and hepatic symptoms also typically develop within hours (Osborne &amp; Shaw 2008; TOXINZ 2011). Tingling or numb lips from mild paralytic shellfish poisoning usually occurs within 30 minutes (World Health Organization 2020d).</w:t>
      </w:r>
    </w:p>
    <w:p w14:paraId="0D7F1566" w14:textId="210B70EA" w:rsidR="005F672E" w:rsidRPr="00F42BD5" w:rsidRDefault="007F3756" w:rsidP="00BD27FE">
      <w:pPr>
        <w:pStyle w:val="Heading2"/>
        <w:rPr>
          <w:lang w:val="en-NZ"/>
        </w:rPr>
      </w:pPr>
      <w:bookmarkStart w:id="21" w:name="_Toc181101770"/>
      <w:r w:rsidRPr="00F42BD5">
        <w:rPr>
          <w:lang w:val="en-NZ"/>
        </w:rPr>
        <w:t>Burden of Disease</w:t>
      </w:r>
      <w:bookmarkEnd w:id="21"/>
    </w:p>
    <w:p w14:paraId="16C2BA46" w14:textId="77777777" w:rsidR="00995EC9" w:rsidRDefault="005F672E" w:rsidP="005F672E">
      <w:pPr>
        <w:rPr>
          <w:sz w:val="24"/>
          <w:szCs w:val="24"/>
          <w:lang w:val="en-NZ"/>
        </w:rPr>
      </w:pPr>
      <w:r w:rsidRPr="00FC4381">
        <w:rPr>
          <w:sz w:val="24"/>
          <w:szCs w:val="24"/>
          <w:lang w:val="en-NZ"/>
        </w:rPr>
        <w:t>It is challenging to quantify the burden of disease associated with HAB exposure in recreational water</w:t>
      </w:r>
      <w:r w:rsidR="005E6340" w:rsidRPr="00FC4381">
        <w:rPr>
          <w:sz w:val="24"/>
          <w:szCs w:val="24"/>
          <w:lang w:val="en-NZ"/>
        </w:rPr>
        <w:t>. A</w:t>
      </w:r>
      <w:r w:rsidRPr="00FC4381">
        <w:rPr>
          <w:sz w:val="24"/>
          <w:szCs w:val="24"/>
          <w:lang w:val="en-NZ"/>
        </w:rPr>
        <w:t>ttributing causation to biotoxins can be challenging because of the changing nature of the water, weather, and the natural environment.</w:t>
      </w:r>
    </w:p>
    <w:p w14:paraId="245B36CE" w14:textId="668DFA98" w:rsidR="0027773D" w:rsidRDefault="005F672E" w:rsidP="005F672E">
      <w:pPr>
        <w:rPr>
          <w:sz w:val="24"/>
          <w:szCs w:val="24"/>
          <w:lang w:val="en-NZ"/>
        </w:rPr>
      </w:pPr>
      <w:r w:rsidRPr="00FC4381">
        <w:rPr>
          <w:sz w:val="24"/>
          <w:szCs w:val="24"/>
          <w:lang w:val="en-NZ"/>
        </w:rPr>
        <w:t xml:space="preserve">It is likely that adverse human health affects related to HAB exposure are underreported. If the exposure was brief and symptoms mild or non-specific, the person may not have sought professional health advice or identified the link with recreational water exposure even if the illness resulted in absence from work (Hilborn et al 2014; Stewart, Webb, Schluter, &amp; Shaw 2006; Weirich &amp; Miller 2014; Young et al 2020).This makes estimating the true burden of disease difficult. </w:t>
      </w:r>
      <w:r w:rsidR="00D50BA1">
        <w:rPr>
          <w:sz w:val="24"/>
          <w:szCs w:val="24"/>
          <w:lang w:val="en-NZ"/>
        </w:rPr>
        <w:t>However</w:t>
      </w:r>
      <w:r w:rsidRPr="00FC4381">
        <w:rPr>
          <w:sz w:val="24"/>
          <w:szCs w:val="24"/>
          <w:lang w:val="en-NZ"/>
        </w:rPr>
        <w:t xml:space="preserve">, many people experiencing mild illness can add up to a substantial burden of disease. </w:t>
      </w:r>
    </w:p>
    <w:p w14:paraId="5F64961C" w14:textId="4EAB8006" w:rsidR="005F672E" w:rsidRPr="00FC4381" w:rsidRDefault="005F672E" w:rsidP="005F672E">
      <w:pPr>
        <w:rPr>
          <w:sz w:val="24"/>
          <w:szCs w:val="24"/>
          <w:lang w:val="en-NZ"/>
        </w:rPr>
      </w:pPr>
      <w:r w:rsidRPr="00FC4381">
        <w:rPr>
          <w:sz w:val="24"/>
          <w:szCs w:val="24"/>
          <w:lang w:val="en-NZ"/>
        </w:rPr>
        <w:t xml:space="preserve">Reporting cases to public health authorities is important to improve understanding of the public health impact of recreational water exposure to HABs as well as to trigger public health action to prevent further exposures and illnesses (Chorus &amp; Welker </w:t>
      </w:r>
      <w:r w:rsidRPr="00FC4381">
        <w:rPr>
          <w:sz w:val="24"/>
          <w:szCs w:val="24"/>
          <w:lang w:val="en-NZ"/>
        </w:rPr>
        <w:lastRenderedPageBreak/>
        <w:t>2021). The burden of disease which has likely been prevented though public health action is also unquantified.</w:t>
      </w:r>
    </w:p>
    <w:p w14:paraId="1140A9E2" w14:textId="7726FD91" w:rsidR="001406E2" w:rsidRDefault="005F672E" w:rsidP="005F672E">
      <w:pPr>
        <w:rPr>
          <w:sz w:val="24"/>
          <w:szCs w:val="24"/>
          <w:lang w:val="en-NZ"/>
        </w:rPr>
      </w:pPr>
      <w:r w:rsidRPr="00FC4381">
        <w:rPr>
          <w:sz w:val="24"/>
          <w:szCs w:val="24"/>
          <w:lang w:val="en-NZ"/>
        </w:rPr>
        <w:t xml:space="preserve">Between 2005 and 2022 there have been three probable cases and two cyanobacterial poisoning outbreaks notified in New Zealand, which included one outbreak with two cases and another with 18 cases of gastroenteritis reported to </w:t>
      </w:r>
      <w:r w:rsidR="005E6340" w:rsidRPr="00FC4381">
        <w:rPr>
          <w:sz w:val="24"/>
          <w:szCs w:val="24"/>
          <w:lang w:val="en-NZ"/>
        </w:rPr>
        <w:t>the National P</w:t>
      </w:r>
      <w:r w:rsidRPr="00FC4381">
        <w:rPr>
          <w:sz w:val="24"/>
          <w:szCs w:val="24"/>
          <w:lang w:val="en-NZ"/>
        </w:rPr>
        <w:t xml:space="preserve">ublic </w:t>
      </w:r>
      <w:r w:rsidR="005E6340" w:rsidRPr="00FC4381">
        <w:rPr>
          <w:sz w:val="24"/>
          <w:szCs w:val="24"/>
          <w:lang w:val="en-NZ"/>
        </w:rPr>
        <w:t>H</w:t>
      </w:r>
      <w:r w:rsidRPr="00FC4381">
        <w:rPr>
          <w:sz w:val="24"/>
          <w:szCs w:val="24"/>
          <w:lang w:val="en-NZ"/>
        </w:rPr>
        <w:t xml:space="preserve">ealth </w:t>
      </w:r>
      <w:r w:rsidR="005E6340" w:rsidRPr="00FC4381">
        <w:rPr>
          <w:sz w:val="24"/>
          <w:szCs w:val="24"/>
          <w:lang w:val="en-NZ"/>
        </w:rPr>
        <w:t>Service</w:t>
      </w:r>
      <w:r w:rsidRPr="00FC4381">
        <w:rPr>
          <w:sz w:val="24"/>
          <w:szCs w:val="24"/>
          <w:lang w:val="en-NZ"/>
        </w:rPr>
        <w:t>. These case numbers are too small to disaggregate by demographics (BPAC 2020; Environmental Health Intelligence New Zealand 2022).</w:t>
      </w:r>
    </w:p>
    <w:p w14:paraId="0F5EB17C" w14:textId="33C00F3F" w:rsidR="005F672E" w:rsidRPr="00FC4381" w:rsidRDefault="005F672E" w:rsidP="005F672E">
      <w:pPr>
        <w:rPr>
          <w:sz w:val="24"/>
          <w:szCs w:val="24"/>
          <w:lang w:val="en-NZ"/>
        </w:rPr>
      </w:pPr>
      <w:r w:rsidRPr="00FC4381">
        <w:rPr>
          <w:sz w:val="24"/>
          <w:szCs w:val="24"/>
          <w:lang w:val="en-NZ"/>
        </w:rPr>
        <w:t xml:space="preserve">Public health reporting and surveillance of chemical poisoning from the environment is currently the responsibility of Environmental Health Intelligence NZ. </w:t>
      </w:r>
      <w:r w:rsidR="00EA4CDC">
        <w:rPr>
          <w:sz w:val="24"/>
          <w:szCs w:val="24"/>
          <w:lang w:val="en-NZ"/>
        </w:rPr>
        <w:t>F</w:t>
      </w:r>
      <w:r w:rsidRPr="00FC4381">
        <w:rPr>
          <w:sz w:val="24"/>
          <w:szCs w:val="24"/>
          <w:lang w:val="en-NZ"/>
        </w:rPr>
        <w:t>rom 2005–2012, reporting and surveillance was provided by the Institute of Environmental Science and Research (ESR) (BPAC 2020). Hospitalisations or health sector interaction data are not readily available for HAB poisoning related to recreational water exposure.</w:t>
      </w:r>
      <w:r w:rsidR="00BD27FE" w:rsidRPr="00FC4381">
        <w:rPr>
          <w:sz w:val="24"/>
          <w:szCs w:val="24"/>
          <w:lang w:val="en-NZ"/>
        </w:rPr>
        <w:t xml:space="preserve"> </w:t>
      </w:r>
      <w:r w:rsidRPr="00FC4381">
        <w:rPr>
          <w:sz w:val="24"/>
          <w:szCs w:val="24"/>
          <w:lang w:val="en-NZ"/>
        </w:rPr>
        <w:t xml:space="preserve"> </w:t>
      </w:r>
    </w:p>
    <w:p w14:paraId="3ECB8B2F" w14:textId="5E9BF00D" w:rsidR="005F672E" w:rsidRPr="00FC4381" w:rsidRDefault="005F672E" w:rsidP="005F672E">
      <w:pPr>
        <w:rPr>
          <w:sz w:val="24"/>
          <w:szCs w:val="24"/>
          <w:lang w:val="en-NZ"/>
        </w:rPr>
      </w:pPr>
      <w:r w:rsidRPr="00FC4381">
        <w:rPr>
          <w:sz w:val="24"/>
          <w:szCs w:val="24"/>
          <w:lang w:val="en-NZ"/>
        </w:rPr>
        <w:t>For perspective, the health impacts of biotoxins are likely to be lower than from microbial pathogens. For example, infectious microorganisms in drinking water cause a more substantial burden of disease via diarrhoeal illness than toxic chemicals (Chorus et al 2021; Chorus &amp; Welker 2021). Additionally, recreational exposures are often associated with lower doses and less harmful exposure routes than food or drinking water exposures.</w:t>
      </w:r>
    </w:p>
    <w:p w14:paraId="2C15CC2D" w14:textId="2BC5240E" w:rsidR="005F672E" w:rsidRPr="00F42BD5" w:rsidRDefault="007F3756" w:rsidP="00BD27FE">
      <w:pPr>
        <w:pStyle w:val="Heading2"/>
        <w:rPr>
          <w:lang w:val="en-NZ"/>
        </w:rPr>
      </w:pPr>
      <w:bookmarkStart w:id="22" w:name="_Toc181101771"/>
      <w:r w:rsidRPr="00F42BD5">
        <w:rPr>
          <w:lang w:val="en-NZ"/>
        </w:rPr>
        <w:t>Limitations</w:t>
      </w:r>
      <w:bookmarkEnd w:id="22"/>
    </w:p>
    <w:p w14:paraId="5B656999" w14:textId="77777777" w:rsidR="002F267C" w:rsidRDefault="005F672E" w:rsidP="005F672E">
      <w:pPr>
        <w:rPr>
          <w:sz w:val="24"/>
          <w:szCs w:val="24"/>
          <w:lang w:val="en-NZ"/>
        </w:rPr>
      </w:pPr>
      <w:r w:rsidRPr="00FC4381">
        <w:rPr>
          <w:sz w:val="24"/>
          <w:szCs w:val="24"/>
          <w:lang w:val="en-NZ"/>
        </w:rPr>
        <w:t>The limitations of the scientific literature surrounding the health impacts of HABs have been referred to throughout this document. Th</w:t>
      </w:r>
      <w:r w:rsidR="005E6340" w:rsidRPr="00FC4381">
        <w:rPr>
          <w:sz w:val="24"/>
          <w:szCs w:val="24"/>
          <w:lang w:val="en-NZ"/>
        </w:rPr>
        <w:t>e</w:t>
      </w:r>
      <w:r w:rsidRPr="00FC4381">
        <w:rPr>
          <w:sz w:val="24"/>
          <w:szCs w:val="24"/>
          <w:lang w:val="en-NZ"/>
        </w:rPr>
        <w:t xml:space="preserve"> </w:t>
      </w:r>
      <w:r w:rsidR="005E6340" w:rsidRPr="00FC4381">
        <w:rPr>
          <w:sz w:val="24"/>
          <w:szCs w:val="24"/>
          <w:lang w:val="en-NZ"/>
        </w:rPr>
        <w:t xml:space="preserve">guidelines are </w:t>
      </w:r>
      <w:r w:rsidRPr="00FC4381">
        <w:rPr>
          <w:sz w:val="24"/>
          <w:szCs w:val="24"/>
          <w:lang w:val="en-NZ"/>
        </w:rPr>
        <w:t>based on a rapid review of available evidence. The evidence base regarding HABs and health risks is still evolving and many data gaps still exist.</w:t>
      </w:r>
    </w:p>
    <w:p w14:paraId="2B69EB48" w14:textId="5FDCF193" w:rsidR="00141B9B" w:rsidRPr="00FC4381" w:rsidRDefault="005F672E" w:rsidP="005F672E">
      <w:pPr>
        <w:rPr>
          <w:sz w:val="24"/>
          <w:szCs w:val="24"/>
          <w:lang w:val="en-NZ"/>
        </w:rPr>
      </w:pPr>
      <w:r w:rsidRPr="00FC4381">
        <w:rPr>
          <w:sz w:val="24"/>
          <w:szCs w:val="24"/>
          <w:lang w:val="en-NZ"/>
        </w:rPr>
        <w:t>The evidence of health impacts is primarily based on a few epidemiological studies of recreational exposures, case reports of extreme human exposure events</w:t>
      </w:r>
      <w:r w:rsidR="005E6340" w:rsidRPr="00FC4381">
        <w:rPr>
          <w:sz w:val="24"/>
          <w:szCs w:val="24"/>
          <w:lang w:val="en-NZ"/>
        </w:rPr>
        <w:t>,</w:t>
      </w:r>
      <w:r w:rsidRPr="00FC4381">
        <w:rPr>
          <w:sz w:val="24"/>
          <w:szCs w:val="24"/>
          <w:lang w:val="en-NZ"/>
        </w:rPr>
        <w:t xml:space="preserve"> and animal studies. The evidence detailing longer-term health impacts is even less clear with studies ongoing (Centers for Disease Control and Prevention 2022a).</w:t>
      </w:r>
    </w:p>
    <w:p w14:paraId="5C47AB05" w14:textId="201676DD" w:rsidR="0053084A" w:rsidRDefault="0053084A">
      <w:pPr>
        <w:rPr>
          <w:lang w:val="en-NZ"/>
        </w:rPr>
      </w:pPr>
      <w:r>
        <w:rPr>
          <w:lang w:val="en-NZ"/>
        </w:rPr>
        <w:br w:type="page"/>
      </w:r>
    </w:p>
    <w:p w14:paraId="3D1E562B" w14:textId="16A3C2A3" w:rsidR="00BD27FE" w:rsidRPr="00F42BD5" w:rsidRDefault="00BD27FE" w:rsidP="00496185">
      <w:pPr>
        <w:pStyle w:val="Heading1"/>
        <w:spacing w:line="240" w:lineRule="auto"/>
        <w:rPr>
          <w:sz w:val="44"/>
          <w:szCs w:val="44"/>
          <w:lang w:val="en-NZ"/>
        </w:rPr>
      </w:pPr>
      <w:bookmarkStart w:id="23" w:name="_Toc181101772"/>
      <w:r w:rsidRPr="00F42BD5">
        <w:rPr>
          <w:sz w:val="44"/>
          <w:szCs w:val="44"/>
          <w:lang w:val="en-NZ"/>
        </w:rPr>
        <w:lastRenderedPageBreak/>
        <w:t>R</w:t>
      </w:r>
      <w:r w:rsidR="007F3756" w:rsidRPr="00F42BD5">
        <w:rPr>
          <w:sz w:val="44"/>
          <w:szCs w:val="44"/>
          <w:lang w:val="en-NZ"/>
        </w:rPr>
        <w:t xml:space="preserve">isk </w:t>
      </w:r>
      <w:r w:rsidR="00D2304B" w:rsidRPr="00F42BD5">
        <w:rPr>
          <w:sz w:val="44"/>
          <w:szCs w:val="44"/>
          <w:lang w:val="en-NZ"/>
        </w:rPr>
        <w:t>r</w:t>
      </w:r>
      <w:r w:rsidR="007F3756" w:rsidRPr="00F42BD5">
        <w:rPr>
          <w:sz w:val="44"/>
          <w:szCs w:val="44"/>
          <w:lang w:val="en-NZ"/>
        </w:rPr>
        <w:t xml:space="preserve">eduction – </w:t>
      </w:r>
      <w:r w:rsidR="00D2304B" w:rsidRPr="00F42BD5">
        <w:rPr>
          <w:sz w:val="44"/>
          <w:szCs w:val="44"/>
          <w:lang w:val="en-NZ"/>
        </w:rPr>
        <w:t>e</w:t>
      </w:r>
      <w:r w:rsidR="007F3756" w:rsidRPr="00F42BD5">
        <w:rPr>
          <w:sz w:val="44"/>
          <w:szCs w:val="44"/>
          <w:lang w:val="en-NZ"/>
        </w:rPr>
        <w:t xml:space="preserve">nvironmental </w:t>
      </w:r>
      <w:r w:rsidR="00D2304B" w:rsidRPr="00F42BD5">
        <w:rPr>
          <w:sz w:val="44"/>
          <w:szCs w:val="44"/>
          <w:lang w:val="en-NZ"/>
        </w:rPr>
        <w:t>c</w:t>
      </w:r>
      <w:r w:rsidR="007F3756" w:rsidRPr="00F42BD5">
        <w:rPr>
          <w:sz w:val="44"/>
          <w:szCs w:val="44"/>
          <w:lang w:val="en-NZ"/>
        </w:rPr>
        <w:t xml:space="preserve">ase </w:t>
      </w:r>
      <w:r w:rsidR="00D2304B" w:rsidRPr="00F42BD5">
        <w:rPr>
          <w:sz w:val="44"/>
          <w:szCs w:val="44"/>
          <w:lang w:val="en-NZ"/>
        </w:rPr>
        <w:t>i</w:t>
      </w:r>
      <w:r w:rsidR="007F3756" w:rsidRPr="00F42BD5">
        <w:rPr>
          <w:sz w:val="44"/>
          <w:szCs w:val="44"/>
          <w:lang w:val="en-NZ"/>
        </w:rPr>
        <w:t xml:space="preserve">nvestigation and </w:t>
      </w:r>
      <w:r w:rsidR="00D2304B" w:rsidRPr="00F42BD5">
        <w:rPr>
          <w:sz w:val="44"/>
          <w:szCs w:val="44"/>
          <w:lang w:val="en-NZ"/>
        </w:rPr>
        <w:t>m</w:t>
      </w:r>
      <w:r w:rsidR="007F3756" w:rsidRPr="00F42BD5">
        <w:rPr>
          <w:sz w:val="44"/>
          <w:szCs w:val="44"/>
          <w:lang w:val="en-NZ"/>
        </w:rPr>
        <w:t>anagement</w:t>
      </w:r>
      <w:bookmarkEnd w:id="23"/>
    </w:p>
    <w:p w14:paraId="014FD507" w14:textId="55E9E161" w:rsidR="00BD27FE" w:rsidRPr="00F42BD5" w:rsidRDefault="007F3756" w:rsidP="00BD27FE">
      <w:pPr>
        <w:pStyle w:val="Heading2"/>
        <w:rPr>
          <w:lang w:val="en-NZ"/>
        </w:rPr>
      </w:pPr>
      <w:bookmarkStart w:id="24" w:name="_Toc181101773"/>
      <w:r w:rsidRPr="00F42BD5">
        <w:rPr>
          <w:lang w:val="en-NZ"/>
        </w:rPr>
        <w:t>Notification</w:t>
      </w:r>
      <w:bookmarkEnd w:id="24"/>
    </w:p>
    <w:p w14:paraId="3ABE069C" w14:textId="3BC26746" w:rsidR="00B44FDE" w:rsidRDefault="00BD27FE" w:rsidP="00BD27FE">
      <w:pPr>
        <w:rPr>
          <w:sz w:val="24"/>
          <w:szCs w:val="24"/>
          <w:lang w:val="en-NZ"/>
        </w:rPr>
      </w:pPr>
      <w:r w:rsidRPr="003425D9">
        <w:rPr>
          <w:sz w:val="24"/>
          <w:szCs w:val="24"/>
          <w:lang w:val="en-NZ"/>
        </w:rPr>
        <w:t xml:space="preserve">All suspected or confirmed cases of biotoxin poisoning must be notified to </w:t>
      </w:r>
      <w:r w:rsidR="000D3AB0" w:rsidRPr="003425D9">
        <w:rPr>
          <w:sz w:val="24"/>
          <w:szCs w:val="24"/>
          <w:lang w:val="en-NZ"/>
        </w:rPr>
        <w:t>the National P</w:t>
      </w:r>
      <w:r w:rsidRPr="003425D9">
        <w:rPr>
          <w:sz w:val="24"/>
          <w:szCs w:val="24"/>
          <w:lang w:val="en-NZ"/>
        </w:rPr>
        <w:t xml:space="preserve">ublic </w:t>
      </w:r>
      <w:r w:rsidR="000D3AB0" w:rsidRPr="003425D9">
        <w:rPr>
          <w:sz w:val="24"/>
          <w:szCs w:val="24"/>
          <w:lang w:val="en-NZ"/>
        </w:rPr>
        <w:t>H</w:t>
      </w:r>
      <w:r w:rsidRPr="003425D9">
        <w:rPr>
          <w:sz w:val="24"/>
          <w:szCs w:val="24"/>
          <w:lang w:val="en-NZ"/>
        </w:rPr>
        <w:t xml:space="preserve">ealth </w:t>
      </w:r>
      <w:r w:rsidR="000D3AB0" w:rsidRPr="003425D9">
        <w:rPr>
          <w:sz w:val="24"/>
          <w:szCs w:val="24"/>
          <w:lang w:val="en-NZ"/>
        </w:rPr>
        <w:t>S</w:t>
      </w:r>
      <w:r w:rsidRPr="003425D9">
        <w:rPr>
          <w:sz w:val="24"/>
          <w:szCs w:val="24"/>
          <w:lang w:val="en-NZ"/>
        </w:rPr>
        <w:t>ervice in New Zealand.</w:t>
      </w:r>
    </w:p>
    <w:p w14:paraId="55CFB50B" w14:textId="2C00B4EF" w:rsidR="00B44FDE" w:rsidRDefault="00BD27FE" w:rsidP="00BD27FE">
      <w:pPr>
        <w:rPr>
          <w:sz w:val="24"/>
          <w:szCs w:val="24"/>
          <w:lang w:val="en-NZ"/>
        </w:rPr>
      </w:pPr>
      <w:r w:rsidRPr="003425D9">
        <w:rPr>
          <w:sz w:val="24"/>
          <w:szCs w:val="24"/>
          <w:lang w:val="en-NZ"/>
        </w:rPr>
        <w:t xml:space="preserve">Health professionals and testing laboratories are legally responsible for reporting all injuries or diseases caused by a notifiable disease to their local medical officer of health. This legal responsibility is stipulated in Schedule 2 of the Health Act 1956. Although HABs and cyanobacteria are naturally occurring, they can be toxic and are classified as poisoning arising from chemical contamination of the environment. </w:t>
      </w:r>
    </w:p>
    <w:p w14:paraId="6EAC2164" w14:textId="0F5F6584" w:rsidR="00BD27FE" w:rsidRPr="003425D9" w:rsidRDefault="00BD27FE" w:rsidP="00BD27FE">
      <w:pPr>
        <w:rPr>
          <w:sz w:val="24"/>
          <w:szCs w:val="24"/>
          <w:lang w:val="en-NZ"/>
        </w:rPr>
      </w:pPr>
      <w:r w:rsidRPr="003425D9">
        <w:rPr>
          <w:sz w:val="24"/>
          <w:szCs w:val="24"/>
          <w:lang w:val="en-NZ"/>
        </w:rPr>
        <w:t xml:space="preserve">Notifications can be made to the medical officer of health via the Hazardous Substances Disease and Injury Reporting Tool (HSDIRT) from general practice management systems (BPAC 2020; Environmental Health Intelligence New Zealand 2021a). In addition, the public may self-notify HAB exposures to </w:t>
      </w:r>
      <w:r w:rsidR="000D3AB0" w:rsidRPr="003425D9">
        <w:rPr>
          <w:sz w:val="24"/>
          <w:szCs w:val="24"/>
          <w:lang w:val="en-NZ"/>
        </w:rPr>
        <w:t>their local office of the National P</w:t>
      </w:r>
      <w:r w:rsidRPr="003425D9">
        <w:rPr>
          <w:sz w:val="24"/>
          <w:szCs w:val="24"/>
          <w:lang w:val="en-NZ"/>
        </w:rPr>
        <w:t xml:space="preserve">ublic </w:t>
      </w:r>
      <w:r w:rsidR="000D3AB0" w:rsidRPr="003425D9">
        <w:rPr>
          <w:sz w:val="24"/>
          <w:szCs w:val="24"/>
          <w:lang w:val="en-NZ"/>
        </w:rPr>
        <w:t>H</w:t>
      </w:r>
      <w:r w:rsidRPr="003425D9">
        <w:rPr>
          <w:sz w:val="24"/>
          <w:szCs w:val="24"/>
          <w:lang w:val="en-NZ"/>
        </w:rPr>
        <w:t xml:space="preserve">ealth </w:t>
      </w:r>
      <w:r w:rsidR="000D3AB0" w:rsidRPr="003425D9">
        <w:rPr>
          <w:sz w:val="24"/>
          <w:szCs w:val="24"/>
          <w:lang w:val="en-NZ"/>
        </w:rPr>
        <w:t>S</w:t>
      </w:r>
      <w:r w:rsidRPr="003425D9">
        <w:rPr>
          <w:sz w:val="24"/>
          <w:szCs w:val="24"/>
          <w:lang w:val="en-NZ"/>
        </w:rPr>
        <w:t>ervice.</w:t>
      </w:r>
    </w:p>
    <w:p w14:paraId="327647DE" w14:textId="07C0A219" w:rsidR="00BD27FE" w:rsidRPr="00F42BD5" w:rsidRDefault="007F3756" w:rsidP="00BD27FE">
      <w:pPr>
        <w:pStyle w:val="Heading2"/>
        <w:rPr>
          <w:lang w:val="en-NZ"/>
        </w:rPr>
      </w:pPr>
      <w:bookmarkStart w:id="25" w:name="_Toc181101774"/>
      <w:r w:rsidRPr="00F42BD5">
        <w:rPr>
          <w:lang w:val="en-NZ"/>
        </w:rPr>
        <w:t xml:space="preserve">Public </w:t>
      </w:r>
      <w:r w:rsidR="00D2304B" w:rsidRPr="00F42BD5">
        <w:rPr>
          <w:lang w:val="en-NZ"/>
        </w:rPr>
        <w:t>h</w:t>
      </w:r>
      <w:r w:rsidRPr="00F42BD5">
        <w:rPr>
          <w:lang w:val="en-NZ"/>
        </w:rPr>
        <w:t xml:space="preserve">ealth </w:t>
      </w:r>
      <w:r w:rsidR="00D2304B" w:rsidRPr="00F42BD5">
        <w:rPr>
          <w:lang w:val="en-NZ"/>
        </w:rPr>
        <w:t>s</w:t>
      </w:r>
      <w:r w:rsidRPr="00F42BD5">
        <w:rPr>
          <w:lang w:val="en-NZ"/>
        </w:rPr>
        <w:t>urveillance</w:t>
      </w:r>
      <w:bookmarkEnd w:id="25"/>
    </w:p>
    <w:p w14:paraId="46BE74C3" w14:textId="77777777" w:rsidR="002460DF" w:rsidRDefault="00BD27FE" w:rsidP="00BD27FE">
      <w:pPr>
        <w:rPr>
          <w:sz w:val="24"/>
          <w:szCs w:val="24"/>
          <w:lang w:val="en-NZ"/>
        </w:rPr>
      </w:pPr>
      <w:r w:rsidRPr="003425D9">
        <w:rPr>
          <w:sz w:val="24"/>
          <w:szCs w:val="24"/>
          <w:lang w:val="en-NZ"/>
        </w:rPr>
        <w:t xml:space="preserve">Once investigated and actioned, </w:t>
      </w:r>
      <w:r w:rsidR="000D3AB0" w:rsidRPr="003425D9">
        <w:rPr>
          <w:sz w:val="24"/>
          <w:szCs w:val="24"/>
          <w:lang w:val="en-NZ"/>
        </w:rPr>
        <w:t xml:space="preserve">local offices </w:t>
      </w:r>
      <w:r w:rsidRPr="003425D9">
        <w:rPr>
          <w:sz w:val="24"/>
          <w:szCs w:val="24"/>
          <w:lang w:val="en-NZ"/>
        </w:rPr>
        <w:t xml:space="preserve">of the National Public Health Service submit case investigation reports to the </w:t>
      </w:r>
      <w:r w:rsidR="000D3AB0" w:rsidRPr="003425D9">
        <w:rPr>
          <w:sz w:val="24"/>
          <w:szCs w:val="24"/>
          <w:lang w:val="en-NZ"/>
        </w:rPr>
        <w:t xml:space="preserve">national office of the </w:t>
      </w:r>
      <w:r w:rsidRPr="003425D9">
        <w:rPr>
          <w:sz w:val="24"/>
          <w:szCs w:val="24"/>
          <w:lang w:val="en-NZ"/>
        </w:rPr>
        <w:t>National Public Health Service, via the HSDIRT national surveillance database, managed by Environmental Health Intelligence New Zealand (EHINZ) at Massey University.</w:t>
      </w:r>
    </w:p>
    <w:p w14:paraId="7EAFE5AA" w14:textId="59C62ADB" w:rsidR="00BD27FE" w:rsidRPr="003425D9" w:rsidRDefault="00BD27FE" w:rsidP="00BD27FE">
      <w:pPr>
        <w:rPr>
          <w:sz w:val="24"/>
          <w:szCs w:val="24"/>
          <w:lang w:val="en-NZ"/>
        </w:rPr>
      </w:pPr>
      <w:r w:rsidRPr="003425D9">
        <w:rPr>
          <w:sz w:val="24"/>
          <w:szCs w:val="24"/>
          <w:lang w:val="en-NZ"/>
        </w:rPr>
        <w:t>EHINZ receive</w:t>
      </w:r>
      <w:r w:rsidR="000D3AB0" w:rsidRPr="003425D9">
        <w:rPr>
          <w:sz w:val="24"/>
          <w:szCs w:val="24"/>
          <w:lang w:val="en-NZ"/>
        </w:rPr>
        <w:t>s</w:t>
      </w:r>
      <w:r w:rsidRPr="003425D9">
        <w:rPr>
          <w:sz w:val="24"/>
          <w:szCs w:val="24"/>
          <w:lang w:val="en-NZ"/>
        </w:rPr>
        <w:t xml:space="preserve"> anonymised data to perform analysis and produce</w:t>
      </w:r>
      <w:r w:rsidR="000D3AB0" w:rsidRPr="003425D9">
        <w:rPr>
          <w:sz w:val="24"/>
          <w:szCs w:val="24"/>
          <w:lang w:val="en-NZ"/>
        </w:rPr>
        <w:t>s</w:t>
      </w:r>
      <w:r w:rsidRPr="003425D9">
        <w:rPr>
          <w:sz w:val="24"/>
          <w:szCs w:val="24"/>
          <w:lang w:val="en-NZ"/>
        </w:rPr>
        <w:t xml:space="preserve"> surveillance information to inform environmental health policy and prevention activities (Environmental Health Intelligence New Zealand 2021b).</w:t>
      </w:r>
    </w:p>
    <w:p w14:paraId="5A9010AB" w14:textId="70311021" w:rsidR="00BD27FE" w:rsidRPr="00F42BD5" w:rsidRDefault="002A5435" w:rsidP="00BD27FE">
      <w:pPr>
        <w:pStyle w:val="Heading2"/>
        <w:rPr>
          <w:lang w:val="en-NZ"/>
        </w:rPr>
      </w:pPr>
      <w:bookmarkStart w:id="26" w:name="_Toc181101775"/>
      <w:r w:rsidRPr="00F42BD5">
        <w:rPr>
          <w:lang w:val="en-NZ"/>
        </w:rPr>
        <w:t>New Zealand</w:t>
      </w:r>
      <w:r w:rsidR="00A83CCA" w:rsidRPr="00F42BD5">
        <w:rPr>
          <w:lang w:val="en-NZ"/>
        </w:rPr>
        <w:t xml:space="preserve"> </w:t>
      </w:r>
      <w:r w:rsidR="00D2304B" w:rsidRPr="00F42BD5">
        <w:rPr>
          <w:lang w:val="en-NZ"/>
        </w:rPr>
        <w:t>c</w:t>
      </w:r>
      <w:r w:rsidR="007F3756" w:rsidRPr="00F42BD5">
        <w:rPr>
          <w:lang w:val="en-NZ"/>
        </w:rPr>
        <w:t xml:space="preserve">ase </w:t>
      </w:r>
      <w:r w:rsidR="00D2304B" w:rsidRPr="00F42BD5">
        <w:rPr>
          <w:lang w:val="en-NZ"/>
        </w:rPr>
        <w:t>d</w:t>
      </w:r>
      <w:r w:rsidR="007F3756" w:rsidRPr="00F42BD5">
        <w:rPr>
          <w:lang w:val="en-NZ"/>
        </w:rPr>
        <w:t xml:space="preserve">efinitions and </w:t>
      </w:r>
      <w:r w:rsidR="00D2304B" w:rsidRPr="00F42BD5">
        <w:rPr>
          <w:lang w:val="en-NZ"/>
        </w:rPr>
        <w:t>c</w:t>
      </w:r>
      <w:r w:rsidR="007F3756" w:rsidRPr="00F42BD5">
        <w:rPr>
          <w:lang w:val="en-NZ"/>
        </w:rPr>
        <w:t>lassification</w:t>
      </w:r>
      <w:bookmarkEnd w:id="26"/>
    </w:p>
    <w:p w14:paraId="63DC5892" w14:textId="77777777" w:rsidR="00BD27FE" w:rsidRPr="00F42BD5" w:rsidRDefault="00BD27FE" w:rsidP="00BD27FE">
      <w:pPr>
        <w:pStyle w:val="Heading3"/>
        <w:rPr>
          <w:lang w:val="en-NZ"/>
        </w:rPr>
      </w:pPr>
      <w:r w:rsidRPr="00F42BD5">
        <w:rPr>
          <w:lang w:val="en-NZ"/>
        </w:rPr>
        <w:t>Laboratory testing</w:t>
      </w:r>
    </w:p>
    <w:p w14:paraId="173EBAD3" w14:textId="77777777" w:rsidR="00BD27FE" w:rsidRPr="003425D9" w:rsidRDefault="00BD27FE" w:rsidP="00BD27FE">
      <w:pPr>
        <w:rPr>
          <w:sz w:val="24"/>
          <w:szCs w:val="24"/>
          <w:lang w:val="en-NZ"/>
        </w:rPr>
      </w:pPr>
      <w:r w:rsidRPr="003425D9">
        <w:rPr>
          <w:sz w:val="24"/>
          <w:szCs w:val="24"/>
          <w:lang w:val="en-NZ"/>
        </w:rPr>
        <w:t>There is currently no clinical laboratory testing available to confirm a cyanotoxin or marine HAB biotoxin poisoning diagnosis in humans.</w:t>
      </w:r>
    </w:p>
    <w:p w14:paraId="5C91E5B3" w14:textId="77777777" w:rsidR="00BD27FE" w:rsidRPr="00F42BD5" w:rsidRDefault="00BD27FE" w:rsidP="00BD27FE">
      <w:pPr>
        <w:pStyle w:val="Heading3"/>
        <w:rPr>
          <w:lang w:val="en-NZ"/>
        </w:rPr>
      </w:pPr>
      <w:r w:rsidRPr="00F42BD5">
        <w:rPr>
          <w:lang w:val="en-NZ"/>
        </w:rPr>
        <w:t>Case investigation</w:t>
      </w:r>
    </w:p>
    <w:p w14:paraId="6425F4F1" w14:textId="32D461F5" w:rsidR="00BD27FE" w:rsidRPr="00E318C0" w:rsidRDefault="00BD27FE" w:rsidP="00BD27FE">
      <w:pPr>
        <w:rPr>
          <w:sz w:val="24"/>
          <w:szCs w:val="24"/>
          <w:lang w:val="en-NZ"/>
        </w:rPr>
      </w:pPr>
      <w:r w:rsidRPr="003425D9">
        <w:rPr>
          <w:sz w:val="24"/>
          <w:szCs w:val="24"/>
          <w:lang w:val="en-NZ"/>
        </w:rPr>
        <w:t xml:space="preserve">Timely case investigation is important for preventing additional exposures. The steps outlined below provide general guidance for how to approach a case investigation and are based on expert advice from New Zealand, and international guidance (Centers for Disease Control and Prevention 2021; Environmental Health Intelligence New Zealand 2021a; Wisconsin </w:t>
      </w:r>
      <w:r w:rsidRPr="00E318C0">
        <w:rPr>
          <w:sz w:val="24"/>
          <w:szCs w:val="24"/>
          <w:lang w:val="en-NZ"/>
        </w:rPr>
        <w:t xml:space="preserve">Department of Health Services Division </w:t>
      </w:r>
      <w:r w:rsidRPr="00E318C0">
        <w:rPr>
          <w:sz w:val="24"/>
          <w:szCs w:val="24"/>
          <w:lang w:val="en-NZ"/>
        </w:rPr>
        <w:lastRenderedPageBreak/>
        <w:t xml:space="preserve">of Public Health 2018). The questions outlined in </w:t>
      </w:r>
      <w:hyperlink w:anchor="_Appendix_A:_Environmental" w:history="1">
        <w:r w:rsidRPr="00374160">
          <w:rPr>
            <w:rStyle w:val="Hyperlink"/>
            <w:sz w:val="24"/>
            <w:szCs w:val="24"/>
            <w:lang w:val="en-NZ"/>
          </w:rPr>
          <w:t>Appendix A</w:t>
        </w:r>
      </w:hyperlink>
      <w:r w:rsidRPr="00E318C0">
        <w:rPr>
          <w:sz w:val="24"/>
          <w:szCs w:val="24"/>
          <w:lang w:val="en-NZ"/>
        </w:rPr>
        <w:t xml:space="preserve"> can be used </w:t>
      </w:r>
      <w:r w:rsidR="00174E3F">
        <w:rPr>
          <w:sz w:val="24"/>
          <w:szCs w:val="24"/>
          <w:lang w:val="en-NZ"/>
        </w:rPr>
        <w:t xml:space="preserve">to </w:t>
      </w:r>
      <w:r w:rsidRPr="00E318C0">
        <w:rPr>
          <w:sz w:val="24"/>
          <w:szCs w:val="24"/>
          <w:lang w:val="en-NZ"/>
        </w:rPr>
        <w:t>investigate the exposure and clinical context.</w:t>
      </w:r>
    </w:p>
    <w:p w14:paraId="1F32B77E" w14:textId="77777777" w:rsidR="00BD27FE" w:rsidRPr="00F42BD5" w:rsidRDefault="00BD27FE" w:rsidP="00C52E52">
      <w:pPr>
        <w:pStyle w:val="Heading3"/>
        <w:keepNext/>
        <w:rPr>
          <w:lang w:val="en-NZ"/>
        </w:rPr>
      </w:pPr>
      <w:r w:rsidRPr="00F42BD5">
        <w:rPr>
          <w:lang w:val="en-NZ"/>
        </w:rPr>
        <w:t>Consider the clinical context</w:t>
      </w:r>
    </w:p>
    <w:p w14:paraId="77B60C80" w14:textId="38725089" w:rsidR="00BD27FE" w:rsidRPr="00E318C0" w:rsidRDefault="00BD27FE" w:rsidP="00030F31">
      <w:pPr>
        <w:pStyle w:val="ListParagraph"/>
        <w:numPr>
          <w:ilvl w:val="0"/>
          <w:numId w:val="15"/>
        </w:numPr>
        <w:ind w:left="426" w:hanging="426"/>
        <w:rPr>
          <w:sz w:val="24"/>
          <w:szCs w:val="24"/>
          <w:lang w:val="en-NZ"/>
        </w:rPr>
      </w:pPr>
      <w:r w:rsidRPr="00E318C0">
        <w:rPr>
          <w:sz w:val="24"/>
          <w:szCs w:val="24"/>
          <w:lang w:val="en-NZ"/>
        </w:rPr>
        <w:t xml:space="preserve">Review the information provided by the health care professional, including the presumptive diagnosis and clinical findings or </w:t>
      </w:r>
      <w:r w:rsidR="00C93479" w:rsidRPr="00E318C0">
        <w:rPr>
          <w:sz w:val="24"/>
          <w:szCs w:val="24"/>
          <w:lang w:val="en-NZ"/>
        </w:rPr>
        <w:t xml:space="preserve">any </w:t>
      </w:r>
      <w:r w:rsidRPr="00E318C0">
        <w:rPr>
          <w:sz w:val="24"/>
          <w:szCs w:val="24"/>
          <w:lang w:val="en-NZ"/>
        </w:rPr>
        <w:t>laboratory tests.</w:t>
      </w:r>
    </w:p>
    <w:p w14:paraId="13C5E098" w14:textId="682B68D3" w:rsidR="00BD27FE" w:rsidRPr="00E318C0" w:rsidRDefault="00BD27FE" w:rsidP="00030F31">
      <w:pPr>
        <w:pStyle w:val="ListParagraph"/>
        <w:numPr>
          <w:ilvl w:val="0"/>
          <w:numId w:val="15"/>
        </w:numPr>
        <w:ind w:left="426" w:hanging="426"/>
        <w:rPr>
          <w:sz w:val="24"/>
          <w:szCs w:val="24"/>
          <w:lang w:val="en-NZ"/>
        </w:rPr>
      </w:pPr>
      <w:r w:rsidRPr="00E318C0">
        <w:rPr>
          <w:sz w:val="24"/>
          <w:szCs w:val="24"/>
          <w:lang w:val="en-NZ"/>
        </w:rPr>
        <w:t xml:space="preserve">Take a detailed history from the person about their symptoms and determine if they are consistent with harmful algal bloom poisoning (eg, gastroenterological, respiratory, dermal, neurological, or hepatic signs and / or symptoms). See </w:t>
      </w:r>
      <w:hyperlink w:anchor="_Appendix_C:_Examples" w:history="1">
        <w:r w:rsidRPr="00374160">
          <w:rPr>
            <w:rStyle w:val="Hyperlink"/>
            <w:sz w:val="24"/>
            <w:szCs w:val="24"/>
            <w:lang w:val="en-NZ"/>
          </w:rPr>
          <w:t>Appendix C</w:t>
        </w:r>
      </w:hyperlink>
      <w:r w:rsidRPr="00E318C0">
        <w:rPr>
          <w:sz w:val="24"/>
          <w:szCs w:val="24"/>
          <w:lang w:val="en-NZ"/>
        </w:rPr>
        <w:t xml:space="preserve">.  </w:t>
      </w:r>
    </w:p>
    <w:p w14:paraId="2945E2B7" w14:textId="522ADD90" w:rsidR="00BD27FE" w:rsidRPr="003425D9" w:rsidRDefault="00BD27FE" w:rsidP="00030F31">
      <w:pPr>
        <w:pStyle w:val="ListParagraph"/>
        <w:numPr>
          <w:ilvl w:val="0"/>
          <w:numId w:val="15"/>
        </w:numPr>
        <w:ind w:left="426" w:hanging="426"/>
        <w:rPr>
          <w:sz w:val="24"/>
          <w:szCs w:val="24"/>
          <w:lang w:val="en-NZ"/>
        </w:rPr>
      </w:pPr>
      <w:r w:rsidRPr="00E318C0">
        <w:rPr>
          <w:sz w:val="24"/>
          <w:szCs w:val="24"/>
          <w:lang w:val="en-NZ"/>
        </w:rPr>
        <w:t>Find out about the exposed person’s current and past</w:t>
      </w:r>
      <w:r w:rsidRPr="003425D9">
        <w:rPr>
          <w:sz w:val="24"/>
          <w:szCs w:val="24"/>
          <w:lang w:val="en-NZ"/>
        </w:rPr>
        <w:t xml:space="preserve"> health status and consider groups at higher risk of adverse health outcomes.</w:t>
      </w:r>
    </w:p>
    <w:p w14:paraId="7917427F" w14:textId="03B73F25" w:rsidR="00BD27FE" w:rsidRPr="003425D9" w:rsidRDefault="00BD27FE" w:rsidP="00030F31">
      <w:pPr>
        <w:pStyle w:val="ListParagraph"/>
        <w:numPr>
          <w:ilvl w:val="0"/>
          <w:numId w:val="15"/>
        </w:numPr>
        <w:ind w:left="426" w:hanging="426"/>
        <w:rPr>
          <w:sz w:val="24"/>
          <w:szCs w:val="24"/>
          <w:lang w:val="en-NZ"/>
        </w:rPr>
      </w:pPr>
      <w:r w:rsidRPr="003425D9">
        <w:rPr>
          <w:sz w:val="24"/>
          <w:szCs w:val="24"/>
          <w:lang w:val="en-NZ"/>
        </w:rPr>
        <w:t>Consider any other obvious potential causes of their symptoms, such as microbial pathogens, eg, Escherichia coli identified in stool sample.</w:t>
      </w:r>
    </w:p>
    <w:p w14:paraId="0C5EEEF0" w14:textId="77777777" w:rsidR="00BD27FE" w:rsidRPr="00F42BD5" w:rsidRDefault="00BD27FE" w:rsidP="00BD27FE">
      <w:pPr>
        <w:pStyle w:val="Heading3"/>
        <w:rPr>
          <w:lang w:val="en-NZ"/>
        </w:rPr>
      </w:pPr>
      <w:r w:rsidRPr="00F42BD5">
        <w:rPr>
          <w:lang w:val="en-NZ"/>
        </w:rPr>
        <w:t>Consider the exposure context</w:t>
      </w:r>
    </w:p>
    <w:p w14:paraId="310116C6" w14:textId="19CC3B96" w:rsidR="00BD27FE" w:rsidRPr="003425D9" w:rsidRDefault="00BD27FE" w:rsidP="00BD27FE">
      <w:pPr>
        <w:rPr>
          <w:sz w:val="24"/>
          <w:szCs w:val="24"/>
          <w:lang w:val="en-NZ"/>
        </w:rPr>
      </w:pPr>
      <w:r w:rsidRPr="003425D9">
        <w:rPr>
          <w:sz w:val="24"/>
          <w:szCs w:val="24"/>
          <w:lang w:val="en-NZ"/>
        </w:rPr>
        <w:t>Weigh up the potential exposure type, time</w:t>
      </w:r>
      <w:r w:rsidR="001438C5" w:rsidRPr="003425D9">
        <w:rPr>
          <w:sz w:val="24"/>
          <w:szCs w:val="24"/>
          <w:lang w:val="en-NZ"/>
        </w:rPr>
        <w:t>,</w:t>
      </w:r>
      <w:r w:rsidRPr="003425D9">
        <w:rPr>
          <w:sz w:val="24"/>
          <w:szCs w:val="24"/>
          <w:lang w:val="en-NZ"/>
        </w:rPr>
        <w:t xml:space="preserve"> and likelihood of the waterbody containing biotoxins by considering the following</w:t>
      </w:r>
      <w:r w:rsidR="001438C5" w:rsidRPr="003425D9">
        <w:rPr>
          <w:sz w:val="24"/>
          <w:szCs w:val="24"/>
          <w:lang w:val="en-NZ"/>
        </w:rPr>
        <w:t>.</w:t>
      </w:r>
    </w:p>
    <w:p w14:paraId="11D37C81" w14:textId="5C1D1DE5" w:rsidR="00BD27FE" w:rsidRPr="003425D9" w:rsidRDefault="00BD27FE" w:rsidP="00030F31">
      <w:pPr>
        <w:pStyle w:val="ListParagraph"/>
        <w:numPr>
          <w:ilvl w:val="0"/>
          <w:numId w:val="17"/>
        </w:numPr>
        <w:ind w:left="426" w:hanging="426"/>
        <w:rPr>
          <w:sz w:val="24"/>
          <w:szCs w:val="24"/>
          <w:lang w:val="en-NZ"/>
        </w:rPr>
      </w:pPr>
      <w:r w:rsidRPr="003425D9">
        <w:rPr>
          <w:sz w:val="24"/>
          <w:szCs w:val="24"/>
          <w:lang w:val="en-NZ"/>
        </w:rPr>
        <w:t>There is a suitable timeline (eg, the exposure occurred hours to days before symptoms). Consider repeated chronic exposure.</w:t>
      </w:r>
    </w:p>
    <w:p w14:paraId="795C1AC8" w14:textId="0E6E66D2" w:rsidR="00BD27FE" w:rsidRPr="003425D9" w:rsidRDefault="00BD27FE" w:rsidP="00030F31">
      <w:pPr>
        <w:pStyle w:val="ListParagraph"/>
        <w:numPr>
          <w:ilvl w:val="0"/>
          <w:numId w:val="17"/>
        </w:numPr>
        <w:ind w:left="426" w:hanging="426"/>
        <w:rPr>
          <w:sz w:val="24"/>
          <w:szCs w:val="24"/>
          <w:lang w:val="en-NZ"/>
        </w:rPr>
      </w:pPr>
      <w:r w:rsidRPr="003425D9">
        <w:rPr>
          <w:sz w:val="24"/>
          <w:szCs w:val="24"/>
          <w:lang w:val="en-NZ"/>
        </w:rPr>
        <w:t>There is a compatible dose and mechanism of exposure (eg, accidental swallowing of water) or long enough duration of direct contact with water (eg, minutes rather than seconds in the water).</w:t>
      </w:r>
    </w:p>
    <w:p w14:paraId="5D7C5427" w14:textId="4B16B8B1" w:rsidR="00BD27FE" w:rsidRPr="003425D9" w:rsidRDefault="00BD27FE" w:rsidP="00030F31">
      <w:pPr>
        <w:pStyle w:val="ListParagraph"/>
        <w:numPr>
          <w:ilvl w:val="0"/>
          <w:numId w:val="17"/>
        </w:numPr>
        <w:ind w:left="426" w:hanging="426"/>
        <w:rPr>
          <w:sz w:val="24"/>
          <w:szCs w:val="24"/>
          <w:lang w:val="en-NZ"/>
        </w:rPr>
      </w:pPr>
      <w:r w:rsidRPr="003425D9">
        <w:rPr>
          <w:sz w:val="24"/>
          <w:szCs w:val="24"/>
          <w:lang w:val="en-NZ"/>
        </w:rPr>
        <w:t>It is plausible that there is a HAB in the recreational water</w:t>
      </w:r>
      <w:r w:rsidR="0087193E" w:rsidRPr="003425D9">
        <w:rPr>
          <w:sz w:val="24"/>
          <w:szCs w:val="24"/>
          <w:lang w:val="en-NZ"/>
        </w:rPr>
        <w:t>?</w:t>
      </w:r>
      <w:r w:rsidR="00373A24" w:rsidRPr="003425D9">
        <w:rPr>
          <w:sz w:val="24"/>
          <w:szCs w:val="24"/>
          <w:lang w:val="en-NZ"/>
        </w:rPr>
        <w:t xml:space="preserve"> Factors to consider could include: </w:t>
      </w:r>
    </w:p>
    <w:p w14:paraId="05B552C9" w14:textId="7C28DC9E" w:rsidR="00BD27FE" w:rsidRPr="003425D9" w:rsidRDefault="00BD27FE" w:rsidP="00030F31">
      <w:pPr>
        <w:pStyle w:val="ListParagraph"/>
        <w:numPr>
          <w:ilvl w:val="1"/>
          <w:numId w:val="17"/>
        </w:numPr>
        <w:ind w:left="851" w:hanging="284"/>
        <w:rPr>
          <w:sz w:val="24"/>
          <w:szCs w:val="24"/>
          <w:lang w:val="en-NZ"/>
        </w:rPr>
      </w:pPr>
      <w:r w:rsidRPr="003425D9">
        <w:rPr>
          <w:sz w:val="24"/>
          <w:szCs w:val="24"/>
          <w:lang w:val="en-NZ"/>
        </w:rPr>
        <w:t>Visual reports or photos from the water body by those present at the time are consistent with the presence of harmful algae (eg, water discoloration, surface scum, odour, visible algae in the water or algal mats).</w:t>
      </w:r>
    </w:p>
    <w:p w14:paraId="18358ABD" w14:textId="1D3C054E" w:rsidR="00BD27FE" w:rsidRPr="003425D9" w:rsidRDefault="00BD27FE" w:rsidP="00030F31">
      <w:pPr>
        <w:pStyle w:val="ListParagraph"/>
        <w:numPr>
          <w:ilvl w:val="1"/>
          <w:numId w:val="17"/>
        </w:numPr>
        <w:ind w:left="851" w:hanging="284"/>
        <w:rPr>
          <w:sz w:val="24"/>
          <w:szCs w:val="24"/>
          <w:lang w:val="en-NZ"/>
        </w:rPr>
      </w:pPr>
      <w:r w:rsidRPr="003425D9">
        <w:rPr>
          <w:sz w:val="24"/>
          <w:szCs w:val="24"/>
          <w:lang w:val="en-NZ"/>
        </w:rPr>
        <w:t xml:space="preserve">Monitoring of the waterbody at the time (within a week) of exposure confirms the presence of harmful algae and no other pathogens. Algal bloom surveillance and monitoring is the responsibility of regional </w:t>
      </w:r>
      <w:r w:rsidRPr="00D95202">
        <w:rPr>
          <w:sz w:val="24"/>
          <w:szCs w:val="24"/>
          <w:lang w:val="en-NZ"/>
        </w:rPr>
        <w:t xml:space="preserve">councils as per the roles and responsibilities </w:t>
      </w:r>
      <w:r w:rsidR="00974E78">
        <w:rPr>
          <w:sz w:val="24"/>
          <w:szCs w:val="24"/>
          <w:lang w:val="en-NZ"/>
        </w:rPr>
        <w:t>sectionof th</w:t>
      </w:r>
      <w:r w:rsidR="00431A01">
        <w:rPr>
          <w:sz w:val="24"/>
          <w:szCs w:val="24"/>
          <w:lang w:val="en-NZ"/>
        </w:rPr>
        <w:t xml:space="preserve">ese </w:t>
      </w:r>
      <w:r w:rsidR="00974E78">
        <w:rPr>
          <w:sz w:val="24"/>
          <w:szCs w:val="24"/>
          <w:lang w:val="en-NZ"/>
        </w:rPr>
        <w:t>guid</w:t>
      </w:r>
      <w:r w:rsidR="00431A01">
        <w:rPr>
          <w:sz w:val="24"/>
          <w:szCs w:val="24"/>
          <w:lang w:val="en-NZ"/>
        </w:rPr>
        <w:t>elines</w:t>
      </w:r>
      <w:r w:rsidRPr="00D95202">
        <w:rPr>
          <w:sz w:val="24"/>
          <w:szCs w:val="24"/>
          <w:lang w:val="en-NZ"/>
        </w:rPr>
        <w:t>. Exceedances are repo</w:t>
      </w:r>
      <w:r w:rsidRPr="003425D9">
        <w:rPr>
          <w:sz w:val="24"/>
          <w:szCs w:val="24"/>
          <w:lang w:val="en-NZ"/>
        </w:rPr>
        <w:t>rted to the</w:t>
      </w:r>
      <w:r w:rsidR="000A7044" w:rsidRPr="003425D9">
        <w:rPr>
          <w:sz w:val="24"/>
          <w:szCs w:val="24"/>
          <w:lang w:val="en-NZ"/>
        </w:rPr>
        <w:t xml:space="preserve"> relevant</w:t>
      </w:r>
      <w:r w:rsidRPr="003425D9">
        <w:rPr>
          <w:sz w:val="24"/>
          <w:szCs w:val="24"/>
          <w:lang w:val="en-NZ"/>
        </w:rPr>
        <w:t xml:space="preserve"> local </w:t>
      </w:r>
      <w:r w:rsidR="00A95BC4" w:rsidRPr="003425D9">
        <w:rPr>
          <w:sz w:val="24"/>
          <w:szCs w:val="24"/>
          <w:lang w:val="en-NZ"/>
        </w:rPr>
        <w:t>office of the National P</w:t>
      </w:r>
      <w:r w:rsidRPr="003425D9">
        <w:rPr>
          <w:sz w:val="24"/>
          <w:szCs w:val="24"/>
          <w:lang w:val="en-NZ"/>
        </w:rPr>
        <w:t xml:space="preserve">ublic </w:t>
      </w:r>
      <w:r w:rsidR="00A95BC4" w:rsidRPr="003425D9">
        <w:rPr>
          <w:sz w:val="24"/>
          <w:szCs w:val="24"/>
          <w:lang w:val="en-NZ"/>
        </w:rPr>
        <w:t>H</w:t>
      </w:r>
      <w:r w:rsidRPr="003425D9">
        <w:rPr>
          <w:sz w:val="24"/>
          <w:szCs w:val="24"/>
          <w:lang w:val="en-NZ"/>
        </w:rPr>
        <w:t xml:space="preserve">ealth </w:t>
      </w:r>
      <w:r w:rsidR="00A95BC4" w:rsidRPr="003425D9">
        <w:rPr>
          <w:sz w:val="24"/>
          <w:szCs w:val="24"/>
          <w:lang w:val="en-NZ"/>
        </w:rPr>
        <w:t>Service</w:t>
      </w:r>
      <w:r w:rsidRPr="003425D9">
        <w:rPr>
          <w:sz w:val="24"/>
          <w:szCs w:val="24"/>
          <w:lang w:val="en-NZ"/>
        </w:rPr>
        <w:t xml:space="preserve"> as outlined in the </w:t>
      </w:r>
      <w:hyperlink w:anchor="_Alert_Level_Framework" w:history="1">
        <w:r w:rsidR="0081704C">
          <w:rPr>
            <w:rStyle w:val="Hyperlink"/>
            <w:sz w:val="24"/>
            <w:szCs w:val="24"/>
            <w:lang w:val="en-NZ"/>
          </w:rPr>
          <w:t>a</w:t>
        </w:r>
        <w:r w:rsidRPr="009E55ED">
          <w:rPr>
            <w:rStyle w:val="Hyperlink"/>
            <w:sz w:val="24"/>
            <w:szCs w:val="24"/>
            <w:lang w:val="en-NZ"/>
          </w:rPr>
          <w:t xml:space="preserve">lert </w:t>
        </w:r>
        <w:r w:rsidR="0081704C">
          <w:rPr>
            <w:rStyle w:val="Hyperlink"/>
            <w:sz w:val="24"/>
            <w:szCs w:val="24"/>
            <w:lang w:val="en-NZ"/>
          </w:rPr>
          <w:t>l</w:t>
        </w:r>
        <w:r w:rsidRPr="009E55ED">
          <w:rPr>
            <w:rStyle w:val="Hyperlink"/>
            <w:sz w:val="24"/>
            <w:szCs w:val="24"/>
            <w:lang w:val="en-NZ"/>
          </w:rPr>
          <w:t xml:space="preserve">evel </w:t>
        </w:r>
        <w:r w:rsidR="0081704C">
          <w:rPr>
            <w:rStyle w:val="Hyperlink"/>
            <w:sz w:val="24"/>
            <w:szCs w:val="24"/>
            <w:lang w:val="en-NZ"/>
          </w:rPr>
          <w:t>f</w:t>
        </w:r>
        <w:r w:rsidRPr="009E55ED">
          <w:rPr>
            <w:rStyle w:val="Hyperlink"/>
            <w:sz w:val="24"/>
            <w:szCs w:val="24"/>
            <w:lang w:val="en-NZ"/>
          </w:rPr>
          <w:t>ramework</w:t>
        </w:r>
      </w:hyperlink>
      <w:r w:rsidR="00DD664D" w:rsidRPr="009E55ED">
        <w:rPr>
          <w:sz w:val="24"/>
          <w:szCs w:val="24"/>
          <w:lang w:val="en-NZ"/>
        </w:rPr>
        <w:t xml:space="preserve"> </w:t>
      </w:r>
      <w:r w:rsidRPr="00306794">
        <w:rPr>
          <w:sz w:val="24"/>
          <w:szCs w:val="24"/>
          <w:lang w:val="en-NZ"/>
        </w:rPr>
        <w:t>.</w:t>
      </w:r>
      <w:r w:rsidRPr="003425D9">
        <w:rPr>
          <w:sz w:val="24"/>
          <w:szCs w:val="24"/>
          <w:lang w:val="en-NZ"/>
        </w:rPr>
        <w:t xml:space="preserve"> Alerts for maritime HAB food collection areas are issued by MPI.</w:t>
      </w:r>
    </w:p>
    <w:p w14:paraId="59184475" w14:textId="610BC301" w:rsidR="00BD27FE" w:rsidRPr="003425D9" w:rsidRDefault="00BD27FE" w:rsidP="00030F31">
      <w:pPr>
        <w:pStyle w:val="ListParagraph"/>
        <w:numPr>
          <w:ilvl w:val="1"/>
          <w:numId w:val="17"/>
        </w:numPr>
        <w:ind w:left="851" w:hanging="284"/>
        <w:rPr>
          <w:sz w:val="24"/>
          <w:szCs w:val="24"/>
          <w:lang w:val="en-NZ"/>
        </w:rPr>
      </w:pPr>
      <w:r w:rsidRPr="003425D9">
        <w:rPr>
          <w:sz w:val="24"/>
          <w:szCs w:val="24"/>
          <w:lang w:val="en-NZ"/>
        </w:rPr>
        <w:t xml:space="preserve">If no specific monitoring has been conducted, </w:t>
      </w:r>
      <w:r w:rsidR="00117322" w:rsidRPr="003425D9">
        <w:rPr>
          <w:sz w:val="24"/>
          <w:szCs w:val="24"/>
          <w:lang w:val="en-NZ"/>
        </w:rPr>
        <w:t xml:space="preserve">consider guidance in the </w:t>
      </w:r>
      <w:r w:rsidR="00117322" w:rsidRPr="003425D9">
        <w:rPr>
          <w:i/>
          <w:iCs/>
          <w:sz w:val="24"/>
          <w:szCs w:val="24"/>
          <w:lang w:val="en-NZ"/>
        </w:rPr>
        <w:t>New Zealand Guidelines for Cyanobacteria in Recreational Fresh Waters</w:t>
      </w:r>
      <w:r w:rsidR="00C64DEF" w:rsidRPr="003425D9">
        <w:rPr>
          <w:i/>
          <w:iCs/>
          <w:sz w:val="24"/>
          <w:szCs w:val="24"/>
          <w:lang w:val="en-NZ"/>
        </w:rPr>
        <w:t xml:space="preserve"> </w:t>
      </w:r>
      <w:r w:rsidR="00905B8D" w:rsidRPr="003425D9">
        <w:rPr>
          <w:sz w:val="24"/>
          <w:szCs w:val="24"/>
          <w:lang w:val="en-NZ"/>
        </w:rPr>
        <w:t xml:space="preserve">(Ministry for the Environment &amp; </w:t>
      </w:r>
      <w:r w:rsidR="00C64DEF" w:rsidRPr="003425D9">
        <w:rPr>
          <w:sz w:val="24"/>
          <w:szCs w:val="24"/>
          <w:lang w:val="en-NZ"/>
        </w:rPr>
        <w:t>Ministry of Health 2009)</w:t>
      </w:r>
      <w:r w:rsidR="00730144" w:rsidRPr="003425D9">
        <w:rPr>
          <w:sz w:val="24"/>
          <w:szCs w:val="24"/>
          <w:lang w:val="en-NZ"/>
        </w:rPr>
        <w:t xml:space="preserve">. </w:t>
      </w:r>
      <w:r w:rsidR="006E75E8" w:rsidRPr="003425D9">
        <w:rPr>
          <w:sz w:val="24"/>
          <w:szCs w:val="24"/>
          <w:lang w:val="en-NZ"/>
        </w:rPr>
        <w:t xml:space="preserve">This includes a </w:t>
      </w:r>
      <w:r w:rsidR="001475DF" w:rsidRPr="003425D9">
        <w:rPr>
          <w:sz w:val="24"/>
          <w:szCs w:val="24"/>
          <w:lang w:val="en-NZ"/>
        </w:rPr>
        <w:t xml:space="preserve">decision </w:t>
      </w:r>
      <w:r w:rsidR="006E75E8" w:rsidRPr="003425D9">
        <w:rPr>
          <w:sz w:val="24"/>
          <w:szCs w:val="24"/>
          <w:lang w:val="en-NZ"/>
        </w:rPr>
        <w:t xml:space="preserve">tree that </w:t>
      </w:r>
      <w:r w:rsidR="001B12AE" w:rsidRPr="003425D9">
        <w:rPr>
          <w:sz w:val="24"/>
          <w:szCs w:val="24"/>
          <w:lang w:val="en-NZ"/>
        </w:rPr>
        <w:t>summarises the major environmental variables important in the development of cyanobacterial blooms and benthic mats, and the selection of specific genera</w:t>
      </w:r>
      <w:r w:rsidR="00453C5E" w:rsidRPr="003425D9">
        <w:rPr>
          <w:sz w:val="24"/>
          <w:szCs w:val="24"/>
          <w:lang w:val="en-NZ"/>
        </w:rPr>
        <w:t>.</w:t>
      </w:r>
      <w:r w:rsidR="006E75E8" w:rsidRPr="003425D9">
        <w:rPr>
          <w:rStyle w:val="FootnoteReference"/>
          <w:sz w:val="24"/>
          <w:szCs w:val="24"/>
          <w:lang w:val="en-NZ"/>
        </w:rPr>
        <w:footnoteReference w:id="2"/>
      </w:r>
      <w:r w:rsidR="006E75E8" w:rsidRPr="003425D9">
        <w:rPr>
          <w:sz w:val="24"/>
          <w:szCs w:val="24"/>
          <w:lang w:val="en-NZ"/>
        </w:rPr>
        <w:t xml:space="preserve"> </w:t>
      </w:r>
      <w:r w:rsidR="001B12AE" w:rsidRPr="003425D9">
        <w:rPr>
          <w:sz w:val="24"/>
          <w:szCs w:val="24"/>
          <w:lang w:val="en-NZ"/>
        </w:rPr>
        <w:t>Th</w:t>
      </w:r>
      <w:r w:rsidR="00453C5E" w:rsidRPr="003425D9">
        <w:rPr>
          <w:sz w:val="24"/>
          <w:szCs w:val="24"/>
          <w:lang w:val="en-NZ"/>
        </w:rPr>
        <w:t xml:space="preserve">e decision tree can help </w:t>
      </w:r>
      <w:r w:rsidR="00EA07C6" w:rsidRPr="003425D9">
        <w:rPr>
          <w:sz w:val="24"/>
          <w:szCs w:val="24"/>
          <w:lang w:val="en-NZ"/>
        </w:rPr>
        <w:t xml:space="preserve">to </w:t>
      </w:r>
      <w:r w:rsidR="00117322" w:rsidRPr="003425D9">
        <w:rPr>
          <w:sz w:val="24"/>
          <w:szCs w:val="24"/>
          <w:lang w:val="en-NZ"/>
        </w:rPr>
        <w:t>estimat</w:t>
      </w:r>
      <w:r w:rsidR="00EA07C6" w:rsidRPr="003425D9">
        <w:rPr>
          <w:sz w:val="24"/>
          <w:szCs w:val="24"/>
          <w:lang w:val="en-NZ"/>
        </w:rPr>
        <w:t>e</w:t>
      </w:r>
      <w:r w:rsidR="00117322" w:rsidRPr="003425D9">
        <w:rPr>
          <w:sz w:val="24"/>
          <w:szCs w:val="24"/>
          <w:lang w:val="en-NZ"/>
        </w:rPr>
        <w:t xml:space="preserve"> whether there is a high or low probability of cyanobacteria bloom or mat in the water </w:t>
      </w:r>
      <w:r w:rsidR="00117322" w:rsidRPr="003425D9">
        <w:rPr>
          <w:sz w:val="24"/>
          <w:szCs w:val="24"/>
          <w:lang w:val="en-NZ"/>
        </w:rPr>
        <w:lastRenderedPageBreak/>
        <w:t xml:space="preserve">body reported. </w:t>
      </w:r>
      <w:r w:rsidRPr="003425D9">
        <w:rPr>
          <w:sz w:val="24"/>
          <w:szCs w:val="24"/>
          <w:lang w:val="en-NZ"/>
        </w:rPr>
        <w:t>For example, low river flows, high water temperatures and eutrophic conditions, make the presence of cyanobacteria more likely.</w:t>
      </w:r>
    </w:p>
    <w:p w14:paraId="13072781" w14:textId="25070A8F" w:rsidR="00BD27FE" w:rsidRPr="003425D9" w:rsidRDefault="00F259CD" w:rsidP="00030F31">
      <w:pPr>
        <w:pStyle w:val="ListParagraph"/>
        <w:numPr>
          <w:ilvl w:val="1"/>
          <w:numId w:val="17"/>
        </w:numPr>
        <w:ind w:left="851" w:hanging="284"/>
        <w:rPr>
          <w:sz w:val="24"/>
          <w:szCs w:val="24"/>
          <w:lang w:val="en-NZ"/>
        </w:rPr>
      </w:pPr>
      <w:r w:rsidRPr="003425D9">
        <w:rPr>
          <w:sz w:val="24"/>
          <w:szCs w:val="24"/>
          <w:lang w:val="en-NZ"/>
        </w:rPr>
        <w:t>Any c</w:t>
      </w:r>
      <w:r w:rsidR="00BD27FE" w:rsidRPr="003425D9">
        <w:rPr>
          <w:sz w:val="24"/>
          <w:szCs w:val="24"/>
          <w:lang w:val="en-NZ"/>
        </w:rPr>
        <w:t>oinciding significant animal health issues that were reported by veterinarians to be caused by harmful algae.</w:t>
      </w:r>
    </w:p>
    <w:p w14:paraId="14834207" w14:textId="77777777" w:rsidR="00BD27FE" w:rsidRPr="00431A01" w:rsidRDefault="00BD27FE" w:rsidP="00DE4243">
      <w:pPr>
        <w:pStyle w:val="Heading3"/>
        <w:keepNext/>
        <w:rPr>
          <w:lang w:val="en-NZ"/>
        </w:rPr>
      </w:pPr>
      <w:r w:rsidRPr="00431A01">
        <w:rPr>
          <w:lang w:val="en-NZ"/>
        </w:rPr>
        <w:t>Probable case definition</w:t>
      </w:r>
    </w:p>
    <w:p w14:paraId="0A88C8EF" w14:textId="7FD3DBD0" w:rsidR="00BD27FE" w:rsidRPr="003425D9" w:rsidRDefault="00BD27FE" w:rsidP="00030F31">
      <w:pPr>
        <w:pStyle w:val="ListParagraph"/>
        <w:numPr>
          <w:ilvl w:val="0"/>
          <w:numId w:val="20"/>
        </w:numPr>
        <w:ind w:left="426" w:hanging="426"/>
        <w:rPr>
          <w:sz w:val="24"/>
          <w:szCs w:val="24"/>
          <w:lang w:val="en-NZ"/>
        </w:rPr>
      </w:pPr>
      <w:r w:rsidRPr="003425D9">
        <w:rPr>
          <w:sz w:val="24"/>
          <w:szCs w:val="24"/>
          <w:lang w:val="en-NZ"/>
        </w:rPr>
        <w:t xml:space="preserve">A clinically compatible illness suggestive of </w:t>
      </w:r>
      <w:r w:rsidR="00A865A2" w:rsidRPr="003425D9">
        <w:rPr>
          <w:sz w:val="24"/>
          <w:szCs w:val="24"/>
          <w:lang w:val="en-NZ"/>
        </w:rPr>
        <w:t xml:space="preserve">HAB </w:t>
      </w:r>
      <w:r w:rsidRPr="003425D9">
        <w:rPr>
          <w:sz w:val="24"/>
          <w:szCs w:val="24"/>
          <w:lang w:val="en-NZ"/>
        </w:rPr>
        <w:t>poisoning (eg, gastrointestinal, respiratory, dermal, neurological, or hepatic signs and/or symptoms),</w:t>
      </w:r>
      <w:r w:rsidR="000207B7" w:rsidRPr="003425D9">
        <w:rPr>
          <w:sz w:val="24"/>
          <w:szCs w:val="24"/>
          <w:lang w:val="en-NZ"/>
        </w:rPr>
        <w:t xml:space="preserve"> </w:t>
      </w:r>
      <w:r w:rsidR="000207B7" w:rsidRPr="000313FC">
        <w:rPr>
          <w:b/>
          <w:bCs/>
          <w:sz w:val="24"/>
          <w:szCs w:val="24"/>
          <w:lang w:val="en-NZ"/>
        </w:rPr>
        <w:t>AND</w:t>
      </w:r>
    </w:p>
    <w:p w14:paraId="3C9129C1" w14:textId="1A2CD230" w:rsidR="00BD27FE" w:rsidRPr="003425D9" w:rsidRDefault="00BD27FE" w:rsidP="00030F31">
      <w:pPr>
        <w:pStyle w:val="ListParagraph"/>
        <w:numPr>
          <w:ilvl w:val="0"/>
          <w:numId w:val="20"/>
        </w:numPr>
        <w:ind w:left="426" w:hanging="426"/>
        <w:rPr>
          <w:sz w:val="24"/>
          <w:szCs w:val="24"/>
          <w:lang w:val="en-NZ"/>
        </w:rPr>
      </w:pPr>
      <w:r w:rsidRPr="003425D9">
        <w:rPr>
          <w:sz w:val="24"/>
          <w:szCs w:val="24"/>
          <w:lang w:val="en-NZ"/>
        </w:rPr>
        <w:t>other diagnoses have been excluded,</w:t>
      </w:r>
      <w:r w:rsidR="000207B7" w:rsidRPr="003425D9">
        <w:rPr>
          <w:sz w:val="24"/>
          <w:szCs w:val="24"/>
          <w:lang w:val="en-NZ"/>
        </w:rPr>
        <w:t xml:space="preserve"> </w:t>
      </w:r>
      <w:r w:rsidR="000207B7" w:rsidRPr="000313FC">
        <w:rPr>
          <w:b/>
          <w:bCs/>
          <w:sz w:val="24"/>
          <w:szCs w:val="24"/>
          <w:lang w:val="en-NZ"/>
        </w:rPr>
        <w:t>AND</w:t>
      </w:r>
    </w:p>
    <w:p w14:paraId="27FB9C0B" w14:textId="0A4AECAD" w:rsidR="00BD27FE" w:rsidRPr="003425D9" w:rsidRDefault="00BD27FE" w:rsidP="00030F31">
      <w:pPr>
        <w:pStyle w:val="ListParagraph"/>
        <w:numPr>
          <w:ilvl w:val="0"/>
          <w:numId w:val="20"/>
        </w:numPr>
        <w:ind w:left="426" w:hanging="426"/>
        <w:rPr>
          <w:sz w:val="24"/>
          <w:szCs w:val="24"/>
          <w:lang w:val="en-NZ"/>
        </w:rPr>
      </w:pPr>
      <w:r w:rsidRPr="003425D9">
        <w:rPr>
          <w:sz w:val="24"/>
          <w:szCs w:val="24"/>
          <w:lang w:val="en-NZ"/>
        </w:rPr>
        <w:t>th</w:t>
      </w:r>
      <w:r w:rsidR="00D8092E" w:rsidRPr="003425D9">
        <w:rPr>
          <w:sz w:val="24"/>
          <w:szCs w:val="24"/>
          <w:lang w:val="en-NZ"/>
        </w:rPr>
        <w:t xml:space="preserve">e illness </w:t>
      </w:r>
      <w:r w:rsidRPr="003425D9">
        <w:rPr>
          <w:sz w:val="24"/>
          <w:szCs w:val="24"/>
          <w:lang w:val="en-NZ"/>
        </w:rPr>
        <w:t xml:space="preserve">is associated with a probable history of exposure to a </w:t>
      </w:r>
      <w:r w:rsidR="00D8092E" w:rsidRPr="003425D9">
        <w:rPr>
          <w:sz w:val="24"/>
          <w:szCs w:val="24"/>
          <w:lang w:val="en-NZ"/>
        </w:rPr>
        <w:t>HAB</w:t>
      </w:r>
      <w:r w:rsidRPr="003425D9">
        <w:rPr>
          <w:sz w:val="24"/>
          <w:szCs w:val="24"/>
          <w:lang w:val="en-NZ"/>
        </w:rPr>
        <w:t xml:space="preserve"> bloom in recreational water in the week before illness.</w:t>
      </w:r>
    </w:p>
    <w:p w14:paraId="7A9E1E0C" w14:textId="04F265AC" w:rsidR="00BD27FE" w:rsidRPr="003425D9" w:rsidRDefault="00BD27FE" w:rsidP="00BD27FE">
      <w:pPr>
        <w:rPr>
          <w:sz w:val="24"/>
          <w:szCs w:val="24"/>
          <w:lang w:val="en-NZ"/>
        </w:rPr>
      </w:pPr>
      <w:r w:rsidRPr="003425D9">
        <w:rPr>
          <w:sz w:val="24"/>
          <w:szCs w:val="24"/>
          <w:lang w:val="en-NZ"/>
        </w:rPr>
        <w:t>Probable exposure history is defined as any one of the following (as reported by the person exposed or by first-hand knowledge):</w:t>
      </w:r>
    </w:p>
    <w:p w14:paraId="026FDA2B" w14:textId="33B7A1B6" w:rsidR="00BD27FE" w:rsidRPr="003425D9" w:rsidRDefault="009672CF" w:rsidP="00147585">
      <w:pPr>
        <w:pStyle w:val="ListParagraph"/>
        <w:numPr>
          <w:ilvl w:val="0"/>
          <w:numId w:val="23"/>
        </w:numPr>
        <w:ind w:left="426" w:hanging="426"/>
        <w:rPr>
          <w:b/>
          <w:bCs/>
          <w:sz w:val="24"/>
          <w:szCs w:val="24"/>
          <w:lang w:val="en-NZ"/>
        </w:rPr>
      </w:pPr>
      <w:r w:rsidRPr="003425D9">
        <w:rPr>
          <w:sz w:val="24"/>
          <w:szCs w:val="24"/>
          <w:lang w:val="en-NZ"/>
        </w:rPr>
        <w:t>V</w:t>
      </w:r>
      <w:r w:rsidR="00BD27FE" w:rsidRPr="003425D9">
        <w:rPr>
          <w:sz w:val="24"/>
          <w:szCs w:val="24"/>
          <w:lang w:val="en-NZ"/>
        </w:rPr>
        <w:t xml:space="preserve">isual evidence of a </w:t>
      </w:r>
      <w:r w:rsidR="00734D9A" w:rsidRPr="003425D9">
        <w:rPr>
          <w:sz w:val="24"/>
          <w:szCs w:val="24"/>
          <w:lang w:val="en-NZ"/>
        </w:rPr>
        <w:t>HAB</w:t>
      </w:r>
      <w:r w:rsidR="00BD27FE" w:rsidRPr="003425D9">
        <w:rPr>
          <w:sz w:val="24"/>
          <w:szCs w:val="24"/>
          <w:lang w:val="en-NZ"/>
        </w:rPr>
        <w:t xml:space="preserve"> (eg, water discoloration, surface scum, visible algae in the water or algal mats) at the time of exposure, </w:t>
      </w:r>
      <w:r w:rsidRPr="003425D9">
        <w:rPr>
          <w:b/>
          <w:bCs/>
          <w:sz w:val="24"/>
          <w:szCs w:val="24"/>
          <w:lang w:val="en-NZ"/>
        </w:rPr>
        <w:t>OR</w:t>
      </w:r>
    </w:p>
    <w:p w14:paraId="59BBE7F7" w14:textId="3E7DCA12" w:rsidR="009672CF" w:rsidRPr="003425D9" w:rsidRDefault="009672CF" w:rsidP="00147585">
      <w:pPr>
        <w:pStyle w:val="ListParagraph"/>
        <w:numPr>
          <w:ilvl w:val="0"/>
          <w:numId w:val="23"/>
        </w:numPr>
        <w:ind w:left="426" w:hanging="426"/>
        <w:rPr>
          <w:b/>
          <w:bCs/>
          <w:sz w:val="24"/>
          <w:szCs w:val="24"/>
          <w:lang w:val="en-NZ"/>
        </w:rPr>
      </w:pPr>
      <w:r w:rsidRPr="003425D9">
        <w:rPr>
          <w:sz w:val="24"/>
          <w:szCs w:val="24"/>
          <w:lang w:val="en-NZ"/>
        </w:rPr>
        <w:t>P</w:t>
      </w:r>
      <w:r w:rsidR="00BD27FE" w:rsidRPr="003425D9">
        <w:rPr>
          <w:sz w:val="24"/>
          <w:szCs w:val="24"/>
          <w:lang w:val="en-NZ"/>
        </w:rPr>
        <w:t xml:space="preserve">ublic health alerts or warning signage related to </w:t>
      </w:r>
      <w:r w:rsidR="00734D9A" w:rsidRPr="003425D9">
        <w:rPr>
          <w:sz w:val="24"/>
          <w:szCs w:val="24"/>
          <w:lang w:val="en-NZ"/>
        </w:rPr>
        <w:t>HABs</w:t>
      </w:r>
      <w:r w:rsidR="00BD27FE" w:rsidRPr="003425D9">
        <w:rPr>
          <w:sz w:val="24"/>
          <w:szCs w:val="24"/>
          <w:lang w:val="en-NZ"/>
        </w:rPr>
        <w:t xml:space="preserve"> in place at the time and location of the exposure based on regular monitoring results,</w:t>
      </w:r>
      <w:r w:rsidRPr="003425D9">
        <w:rPr>
          <w:sz w:val="24"/>
          <w:szCs w:val="24"/>
          <w:lang w:val="en-NZ"/>
        </w:rPr>
        <w:t xml:space="preserve"> </w:t>
      </w:r>
      <w:r w:rsidRPr="003425D9">
        <w:rPr>
          <w:b/>
          <w:bCs/>
          <w:sz w:val="24"/>
          <w:szCs w:val="24"/>
          <w:lang w:val="en-NZ"/>
        </w:rPr>
        <w:t>OR</w:t>
      </w:r>
    </w:p>
    <w:p w14:paraId="6DCB3A4B" w14:textId="4238D9F8" w:rsidR="00BD27FE" w:rsidRPr="003425D9" w:rsidRDefault="00734D9A" w:rsidP="00147585">
      <w:pPr>
        <w:pStyle w:val="ListParagraph"/>
        <w:numPr>
          <w:ilvl w:val="0"/>
          <w:numId w:val="23"/>
        </w:numPr>
        <w:ind w:left="426" w:hanging="426"/>
        <w:rPr>
          <w:sz w:val="24"/>
          <w:szCs w:val="24"/>
          <w:lang w:val="en-NZ"/>
        </w:rPr>
      </w:pPr>
      <w:r w:rsidRPr="003425D9">
        <w:rPr>
          <w:sz w:val="24"/>
          <w:szCs w:val="24"/>
          <w:lang w:val="en-NZ"/>
        </w:rPr>
        <w:t>D</w:t>
      </w:r>
      <w:r w:rsidR="00BD27FE" w:rsidRPr="003425D9">
        <w:rPr>
          <w:sz w:val="24"/>
          <w:szCs w:val="24"/>
          <w:lang w:val="en-NZ"/>
        </w:rPr>
        <w:t xml:space="preserve">ocumented elevation of </w:t>
      </w:r>
      <w:r w:rsidR="000E43B4" w:rsidRPr="003425D9">
        <w:rPr>
          <w:sz w:val="24"/>
          <w:szCs w:val="24"/>
          <w:lang w:val="en-NZ"/>
        </w:rPr>
        <w:t>HAB</w:t>
      </w:r>
      <w:r w:rsidR="00BD27FE" w:rsidRPr="003425D9">
        <w:rPr>
          <w:sz w:val="24"/>
          <w:szCs w:val="24"/>
          <w:lang w:val="en-NZ"/>
        </w:rPr>
        <w:t xml:space="preserve"> levels or algal biotoxin levels through laboratory testing of water samples within a week of exposure.</w:t>
      </w:r>
    </w:p>
    <w:p w14:paraId="288852BF" w14:textId="77777777" w:rsidR="00BD27FE" w:rsidRPr="00431A01" w:rsidRDefault="00BD27FE" w:rsidP="00CB0C77">
      <w:pPr>
        <w:pStyle w:val="Heading3"/>
        <w:rPr>
          <w:lang w:val="en-NZ"/>
        </w:rPr>
      </w:pPr>
      <w:r w:rsidRPr="00431A01">
        <w:rPr>
          <w:lang w:val="en-NZ"/>
        </w:rPr>
        <w:t>Confirmed case definition</w:t>
      </w:r>
    </w:p>
    <w:p w14:paraId="10DB3AD6" w14:textId="77777777" w:rsidR="00BD27FE" w:rsidRPr="003425D9" w:rsidRDefault="00BD27FE" w:rsidP="00BD27FE">
      <w:pPr>
        <w:rPr>
          <w:sz w:val="24"/>
          <w:szCs w:val="24"/>
          <w:lang w:val="en-NZ"/>
        </w:rPr>
      </w:pPr>
      <w:r w:rsidRPr="003425D9">
        <w:rPr>
          <w:sz w:val="24"/>
          <w:szCs w:val="24"/>
          <w:lang w:val="en-NZ"/>
        </w:rPr>
        <w:t>Clinical laboratory testing is usually required to confirm a case. However, cases can be classified as confirmed if:</w:t>
      </w:r>
    </w:p>
    <w:p w14:paraId="456CE83A" w14:textId="23D826CF" w:rsidR="00BD27FE" w:rsidRPr="003425D9" w:rsidRDefault="00BD27FE" w:rsidP="00030F31">
      <w:pPr>
        <w:pStyle w:val="ListParagraph"/>
        <w:numPr>
          <w:ilvl w:val="0"/>
          <w:numId w:val="25"/>
        </w:numPr>
        <w:ind w:left="426" w:hanging="426"/>
        <w:rPr>
          <w:sz w:val="24"/>
          <w:szCs w:val="24"/>
          <w:lang w:val="en-NZ"/>
        </w:rPr>
      </w:pPr>
      <w:r w:rsidRPr="003425D9">
        <w:rPr>
          <w:sz w:val="24"/>
          <w:szCs w:val="24"/>
          <w:lang w:val="en-NZ"/>
        </w:rPr>
        <w:t>There is more than one affected person,</w:t>
      </w:r>
      <w:r w:rsidR="002F552D" w:rsidRPr="003425D9">
        <w:rPr>
          <w:sz w:val="24"/>
          <w:szCs w:val="24"/>
          <w:lang w:val="en-NZ"/>
        </w:rPr>
        <w:t xml:space="preserve"> </w:t>
      </w:r>
      <w:r w:rsidR="002F552D" w:rsidRPr="003425D9">
        <w:rPr>
          <w:b/>
          <w:bCs/>
          <w:sz w:val="24"/>
          <w:szCs w:val="24"/>
          <w:lang w:val="en-NZ"/>
        </w:rPr>
        <w:t>AND</w:t>
      </w:r>
    </w:p>
    <w:p w14:paraId="7E15D3A8" w14:textId="4B2172F9" w:rsidR="00BD27FE" w:rsidRPr="003425D9" w:rsidRDefault="00111EAB" w:rsidP="00030F31">
      <w:pPr>
        <w:pStyle w:val="ListParagraph"/>
        <w:numPr>
          <w:ilvl w:val="0"/>
          <w:numId w:val="25"/>
        </w:numPr>
        <w:ind w:left="426" w:hanging="426"/>
        <w:rPr>
          <w:sz w:val="24"/>
          <w:szCs w:val="24"/>
          <w:lang w:val="en-NZ"/>
        </w:rPr>
      </w:pPr>
      <w:r w:rsidRPr="003425D9">
        <w:rPr>
          <w:sz w:val="24"/>
          <w:szCs w:val="24"/>
          <w:lang w:val="en-NZ"/>
        </w:rPr>
        <w:t>t</w:t>
      </w:r>
      <w:r w:rsidR="00BD27FE" w:rsidRPr="003425D9">
        <w:rPr>
          <w:sz w:val="24"/>
          <w:szCs w:val="24"/>
          <w:lang w:val="en-NZ"/>
        </w:rPr>
        <w:t xml:space="preserve">he affected people </w:t>
      </w:r>
      <w:r w:rsidR="009950BA" w:rsidRPr="003425D9">
        <w:rPr>
          <w:sz w:val="24"/>
          <w:szCs w:val="24"/>
          <w:lang w:val="en-NZ"/>
        </w:rPr>
        <w:t>we</w:t>
      </w:r>
      <w:r w:rsidR="00BD27FE" w:rsidRPr="003425D9">
        <w:rPr>
          <w:sz w:val="24"/>
          <w:szCs w:val="24"/>
          <w:lang w:val="en-NZ"/>
        </w:rPr>
        <w:t xml:space="preserve">re exposed to the same recreational waterbody within a similar time period (usually within 24 hours of each other, but </w:t>
      </w:r>
      <w:r w:rsidR="009950BA" w:rsidRPr="003425D9">
        <w:rPr>
          <w:sz w:val="24"/>
          <w:szCs w:val="24"/>
          <w:lang w:val="en-NZ"/>
        </w:rPr>
        <w:t xml:space="preserve">it </w:t>
      </w:r>
      <w:r w:rsidR="00BD27FE" w:rsidRPr="003425D9">
        <w:rPr>
          <w:sz w:val="24"/>
          <w:szCs w:val="24"/>
          <w:lang w:val="en-NZ"/>
        </w:rPr>
        <w:t>could be up to a week),</w:t>
      </w:r>
      <w:r w:rsidR="002F552D" w:rsidRPr="003425D9">
        <w:rPr>
          <w:sz w:val="24"/>
          <w:szCs w:val="24"/>
          <w:lang w:val="en-NZ"/>
        </w:rPr>
        <w:t xml:space="preserve"> </w:t>
      </w:r>
      <w:r w:rsidR="002F552D" w:rsidRPr="003425D9">
        <w:rPr>
          <w:b/>
          <w:bCs/>
          <w:sz w:val="24"/>
          <w:szCs w:val="24"/>
          <w:lang w:val="en-NZ"/>
        </w:rPr>
        <w:t>AND</w:t>
      </w:r>
    </w:p>
    <w:p w14:paraId="2665C506" w14:textId="398BB320" w:rsidR="00BD27FE" w:rsidRPr="003425D9" w:rsidRDefault="00FB1458" w:rsidP="00030F31">
      <w:pPr>
        <w:pStyle w:val="ListParagraph"/>
        <w:numPr>
          <w:ilvl w:val="0"/>
          <w:numId w:val="25"/>
        </w:numPr>
        <w:ind w:left="426" w:hanging="426"/>
        <w:rPr>
          <w:sz w:val="24"/>
          <w:szCs w:val="24"/>
          <w:lang w:val="en-NZ"/>
        </w:rPr>
      </w:pPr>
      <w:r w:rsidRPr="003425D9">
        <w:rPr>
          <w:sz w:val="24"/>
          <w:szCs w:val="24"/>
          <w:lang w:val="en-NZ"/>
        </w:rPr>
        <w:t>T</w:t>
      </w:r>
      <w:r w:rsidR="00BD27FE" w:rsidRPr="003425D9">
        <w:rPr>
          <w:sz w:val="24"/>
          <w:szCs w:val="24"/>
          <w:lang w:val="en-NZ"/>
        </w:rPr>
        <w:t xml:space="preserve">hey have a clinically compatible illness consistent with </w:t>
      </w:r>
      <w:r w:rsidRPr="003425D9">
        <w:rPr>
          <w:sz w:val="24"/>
          <w:szCs w:val="24"/>
          <w:lang w:val="en-NZ"/>
        </w:rPr>
        <w:t>HAB</w:t>
      </w:r>
      <w:r w:rsidR="00BD27FE" w:rsidRPr="003425D9">
        <w:rPr>
          <w:sz w:val="24"/>
          <w:szCs w:val="24"/>
          <w:lang w:val="en-NZ"/>
        </w:rPr>
        <w:t xml:space="preserve"> poisoning (eg, gastrointestinal, respiratory, dermal, neurological, or hepatic signs and/or symptoms),</w:t>
      </w:r>
      <w:r w:rsidR="002F552D" w:rsidRPr="003425D9">
        <w:rPr>
          <w:sz w:val="24"/>
          <w:szCs w:val="24"/>
          <w:lang w:val="en-NZ"/>
        </w:rPr>
        <w:t xml:space="preserve"> </w:t>
      </w:r>
      <w:r w:rsidR="002F552D" w:rsidRPr="003425D9">
        <w:rPr>
          <w:b/>
          <w:bCs/>
          <w:sz w:val="24"/>
          <w:szCs w:val="24"/>
          <w:lang w:val="en-NZ"/>
        </w:rPr>
        <w:t>AND</w:t>
      </w:r>
    </w:p>
    <w:p w14:paraId="29444DB9" w14:textId="3CBA28C6" w:rsidR="00BD27FE" w:rsidRPr="003425D9" w:rsidRDefault="00FB1458" w:rsidP="00030F31">
      <w:pPr>
        <w:pStyle w:val="ListParagraph"/>
        <w:numPr>
          <w:ilvl w:val="0"/>
          <w:numId w:val="25"/>
        </w:numPr>
        <w:ind w:left="426" w:hanging="426"/>
        <w:rPr>
          <w:sz w:val="24"/>
          <w:szCs w:val="24"/>
          <w:lang w:val="en-NZ"/>
        </w:rPr>
      </w:pPr>
      <w:r w:rsidRPr="003425D9">
        <w:rPr>
          <w:sz w:val="24"/>
          <w:szCs w:val="24"/>
          <w:lang w:val="en-NZ"/>
        </w:rPr>
        <w:t>O</w:t>
      </w:r>
      <w:r w:rsidR="00BD27FE" w:rsidRPr="003425D9">
        <w:rPr>
          <w:sz w:val="24"/>
          <w:szCs w:val="24"/>
          <w:lang w:val="en-NZ"/>
        </w:rPr>
        <w:t>ther diagnoses have been excluded,</w:t>
      </w:r>
      <w:r w:rsidR="002F552D" w:rsidRPr="003425D9">
        <w:rPr>
          <w:sz w:val="24"/>
          <w:szCs w:val="24"/>
          <w:lang w:val="en-NZ"/>
        </w:rPr>
        <w:t xml:space="preserve"> </w:t>
      </w:r>
      <w:r w:rsidR="002F552D" w:rsidRPr="003425D9">
        <w:rPr>
          <w:b/>
          <w:bCs/>
          <w:sz w:val="24"/>
          <w:szCs w:val="24"/>
          <w:lang w:val="en-NZ"/>
        </w:rPr>
        <w:t>AND</w:t>
      </w:r>
    </w:p>
    <w:p w14:paraId="3C66842E" w14:textId="4011A478" w:rsidR="00BD27FE" w:rsidRPr="003425D9" w:rsidRDefault="00FB1458" w:rsidP="00030F31">
      <w:pPr>
        <w:pStyle w:val="ListParagraph"/>
        <w:numPr>
          <w:ilvl w:val="0"/>
          <w:numId w:val="25"/>
        </w:numPr>
        <w:ind w:left="426" w:hanging="426"/>
        <w:rPr>
          <w:sz w:val="24"/>
          <w:szCs w:val="24"/>
          <w:lang w:val="en-NZ"/>
        </w:rPr>
      </w:pPr>
      <w:r w:rsidRPr="003425D9">
        <w:rPr>
          <w:sz w:val="24"/>
          <w:szCs w:val="24"/>
          <w:lang w:val="en-NZ"/>
        </w:rPr>
        <w:t>A</w:t>
      </w:r>
      <w:r w:rsidR="00BD27FE" w:rsidRPr="003425D9">
        <w:rPr>
          <w:sz w:val="24"/>
          <w:szCs w:val="24"/>
          <w:lang w:val="en-NZ"/>
        </w:rPr>
        <w:t xml:space="preserve"> health practitioner has diagnosed the case as </w:t>
      </w:r>
      <w:r w:rsidR="00AB61A5" w:rsidRPr="003425D9">
        <w:rPr>
          <w:sz w:val="24"/>
          <w:szCs w:val="24"/>
          <w:lang w:val="en-NZ"/>
        </w:rPr>
        <w:t>HAB</w:t>
      </w:r>
      <w:r w:rsidR="00BD27FE" w:rsidRPr="003425D9">
        <w:rPr>
          <w:sz w:val="24"/>
          <w:szCs w:val="24"/>
          <w:lang w:val="en-NZ"/>
        </w:rPr>
        <w:t xml:space="preserve"> bloom poisoning,</w:t>
      </w:r>
      <w:r w:rsidR="002F552D" w:rsidRPr="003425D9">
        <w:rPr>
          <w:sz w:val="24"/>
          <w:szCs w:val="24"/>
          <w:lang w:val="en-NZ"/>
        </w:rPr>
        <w:t xml:space="preserve"> </w:t>
      </w:r>
      <w:r w:rsidR="002F552D" w:rsidRPr="003425D9">
        <w:rPr>
          <w:b/>
          <w:bCs/>
          <w:sz w:val="24"/>
          <w:szCs w:val="24"/>
          <w:lang w:val="en-NZ"/>
        </w:rPr>
        <w:t>AND</w:t>
      </w:r>
    </w:p>
    <w:p w14:paraId="43E9A79C" w14:textId="6C2176D1" w:rsidR="00BD27FE" w:rsidRPr="003425D9" w:rsidRDefault="00AB61A5" w:rsidP="00030F31">
      <w:pPr>
        <w:pStyle w:val="ListParagraph"/>
        <w:numPr>
          <w:ilvl w:val="0"/>
          <w:numId w:val="25"/>
        </w:numPr>
        <w:ind w:left="426" w:hanging="426"/>
        <w:rPr>
          <w:sz w:val="24"/>
          <w:szCs w:val="24"/>
          <w:lang w:val="en-NZ"/>
        </w:rPr>
      </w:pPr>
      <w:r w:rsidRPr="003425D9">
        <w:rPr>
          <w:sz w:val="24"/>
          <w:szCs w:val="24"/>
          <w:lang w:val="en-NZ"/>
        </w:rPr>
        <w:t>T</w:t>
      </w:r>
      <w:r w:rsidR="00BD27FE" w:rsidRPr="003425D9">
        <w:rPr>
          <w:sz w:val="24"/>
          <w:szCs w:val="24"/>
          <w:lang w:val="en-NZ"/>
        </w:rPr>
        <w:t>heir symptoms occurred within a plausible time frame (eg, usually within 6 hours of exposure to the recreational waterbody</w:t>
      </w:r>
      <w:r w:rsidRPr="003425D9">
        <w:rPr>
          <w:sz w:val="24"/>
          <w:szCs w:val="24"/>
          <w:lang w:val="en-NZ"/>
        </w:rPr>
        <w:t>,</w:t>
      </w:r>
      <w:r w:rsidR="00BD27FE" w:rsidRPr="003425D9">
        <w:rPr>
          <w:sz w:val="24"/>
          <w:szCs w:val="24"/>
          <w:lang w:val="en-NZ"/>
        </w:rPr>
        <w:t xml:space="preserve"> but could be up to 24 hours since exposure),</w:t>
      </w:r>
      <w:r w:rsidR="002F552D" w:rsidRPr="003425D9">
        <w:rPr>
          <w:b/>
          <w:bCs/>
          <w:sz w:val="24"/>
          <w:szCs w:val="24"/>
          <w:lang w:val="en-NZ"/>
        </w:rPr>
        <w:t xml:space="preserve"> AND</w:t>
      </w:r>
    </w:p>
    <w:p w14:paraId="75CFEFC6" w14:textId="3A15EAE6" w:rsidR="00BD27FE" w:rsidRPr="003425D9" w:rsidRDefault="00AB61A5" w:rsidP="00431A01">
      <w:pPr>
        <w:pStyle w:val="ListParagraph"/>
        <w:numPr>
          <w:ilvl w:val="0"/>
          <w:numId w:val="25"/>
        </w:numPr>
        <w:ind w:left="426" w:hanging="426"/>
        <w:rPr>
          <w:sz w:val="24"/>
          <w:szCs w:val="24"/>
          <w:lang w:val="en-NZ"/>
        </w:rPr>
      </w:pPr>
      <w:r w:rsidRPr="003425D9">
        <w:rPr>
          <w:sz w:val="24"/>
          <w:szCs w:val="24"/>
          <w:lang w:val="en-NZ"/>
        </w:rPr>
        <w:t>L</w:t>
      </w:r>
      <w:r w:rsidR="00BD27FE" w:rsidRPr="003425D9">
        <w:rPr>
          <w:sz w:val="24"/>
          <w:szCs w:val="24"/>
          <w:lang w:val="en-NZ"/>
        </w:rPr>
        <w:t>aboratory testing of the recreational water sampled at a similar time to the exposure confirms there are elevated levels of harmful algae or the presence of algal biotoxins.</w:t>
      </w:r>
    </w:p>
    <w:p w14:paraId="54365ED6" w14:textId="77777777" w:rsidR="00A70369" w:rsidRDefault="00A70369">
      <w:pPr>
        <w:rPr>
          <w:sz w:val="24"/>
          <w:szCs w:val="24"/>
          <w:lang w:val="en-NZ"/>
        </w:rPr>
      </w:pPr>
      <w:r>
        <w:rPr>
          <w:sz w:val="24"/>
          <w:szCs w:val="24"/>
          <w:lang w:val="en-NZ"/>
        </w:rPr>
        <w:br w:type="page"/>
      </w:r>
    </w:p>
    <w:p w14:paraId="452E728B" w14:textId="108EE00F" w:rsidR="00BD27FE" w:rsidRPr="003425D9" w:rsidRDefault="00BD27FE" w:rsidP="00BD27FE">
      <w:pPr>
        <w:rPr>
          <w:sz w:val="24"/>
          <w:szCs w:val="24"/>
          <w:lang w:val="en-NZ"/>
        </w:rPr>
      </w:pPr>
      <w:r w:rsidRPr="003425D9">
        <w:rPr>
          <w:sz w:val="24"/>
          <w:szCs w:val="24"/>
          <w:lang w:val="en-NZ"/>
        </w:rPr>
        <w:lastRenderedPageBreak/>
        <w:t>Notes for confirmed case definition:</w:t>
      </w:r>
    </w:p>
    <w:p w14:paraId="21ED22D4" w14:textId="75E15E2E" w:rsidR="00BD27FE" w:rsidRPr="003425D9" w:rsidRDefault="00BD27FE" w:rsidP="001C679F">
      <w:pPr>
        <w:pStyle w:val="ListParagraph"/>
        <w:numPr>
          <w:ilvl w:val="0"/>
          <w:numId w:val="28"/>
        </w:numPr>
        <w:ind w:left="426" w:hanging="426"/>
        <w:rPr>
          <w:sz w:val="24"/>
          <w:szCs w:val="24"/>
          <w:lang w:val="en-NZ"/>
        </w:rPr>
      </w:pPr>
      <w:r w:rsidRPr="003425D9">
        <w:rPr>
          <w:sz w:val="24"/>
          <w:szCs w:val="24"/>
          <w:lang w:val="en-NZ"/>
        </w:rPr>
        <w:t xml:space="preserve">For the meaning of </w:t>
      </w:r>
      <w:r w:rsidR="00300D9F">
        <w:rPr>
          <w:sz w:val="24"/>
          <w:szCs w:val="24"/>
          <w:lang w:val="en-NZ"/>
        </w:rPr>
        <w:t>‘</w:t>
      </w:r>
      <w:r w:rsidRPr="003425D9">
        <w:rPr>
          <w:sz w:val="24"/>
          <w:szCs w:val="24"/>
          <w:lang w:val="en-NZ"/>
        </w:rPr>
        <w:t>health practitioner</w:t>
      </w:r>
      <w:r w:rsidR="00300D9F">
        <w:rPr>
          <w:sz w:val="24"/>
          <w:szCs w:val="24"/>
          <w:lang w:val="en-NZ"/>
        </w:rPr>
        <w:t>’</w:t>
      </w:r>
      <w:r w:rsidRPr="003425D9">
        <w:rPr>
          <w:sz w:val="24"/>
          <w:szCs w:val="24"/>
          <w:lang w:val="en-NZ"/>
        </w:rPr>
        <w:t xml:space="preserve"> </w:t>
      </w:r>
      <w:r w:rsidR="00327F89">
        <w:rPr>
          <w:sz w:val="24"/>
          <w:szCs w:val="24"/>
          <w:lang w:val="en-NZ"/>
        </w:rPr>
        <w:t xml:space="preserve">refer to </w:t>
      </w:r>
      <w:r w:rsidRPr="003425D9">
        <w:rPr>
          <w:sz w:val="24"/>
          <w:szCs w:val="24"/>
          <w:lang w:val="en-NZ"/>
        </w:rPr>
        <w:t>5(1) of the Health Practitioners Competence Assurance Act 2003. Ideally, confirmed cases should have been diagnosed by a health practitioner.</w:t>
      </w:r>
    </w:p>
    <w:p w14:paraId="215DDAD0" w14:textId="5AD81E25" w:rsidR="00BD27FE" w:rsidRPr="003425D9" w:rsidRDefault="00BD27FE" w:rsidP="001C679F">
      <w:pPr>
        <w:pStyle w:val="ListParagraph"/>
        <w:numPr>
          <w:ilvl w:val="0"/>
          <w:numId w:val="28"/>
        </w:numPr>
        <w:ind w:left="426" w:hanging="426"/>
        <w:rPr>
          <w:sz w:val="24"/>
          <w:szCs w:val="24"/>
          <w:lang w:val="en-NZ"/>
        </w:rPr>
      </w:pPr>
      <w:r w:rsidRPr="003425D9">
        <w:rPr>
          <w:sz w:val="24"/>
          <w:szCs w:val="24"/>
          <w:lang w:val="en-NZ"/>
        </w:rPr>
        <w:t xml:space="preserve">A plausible time frame is usually within 6 hours of exposure but could be up to 24 hours since exposure. The shorter the time period between exposure and the onset of symptoms characteristic of harmful algae poisoning, the more likely that algal biotoxins are the cause in the absence of other known causes of the symptoms and/or signs. Seek technical expert advice for classifying confirmed cases if symptom onset was more than 24 hours post exposure using </w:t>
      </w:r>
      <w:r w:rsidR="008A6162">
        <w:rPr>
          <w:sz w:val="24"/>
          <w:szCs w:val="24"/>
          <w:lang w:val="en-NZ"/>
        </w:rPr>
        <w:t xml:space="preserve">ESR’s </w:t>
      </w:r>
      <w:r w:rsidRPr="003425D9">
        <w:rPr>
          <w:sz w:val="24"/>
          <w:szCs w:val="24"/>
          <w:lang w:val="en-NZ"/>
        </w:rPr>
        <w:t>analysis and advice service</w:t>
      </w:r>
      <w:r w:rsidR="008A6162">
        <w:rPr>
          <w:sz w:val="24"/>
          <w:szCs w:val="24"/>
          <w:lang w:val="en-NZ"/>
        </w:rPr>
        <w:t xml:space="preserve"> for the </w:t>
      </w:r>
      <w:r w:rsidR="008A6162" w:rsidRPr="003425D9">
        <w:rPr>
          <w:sz w:val="24"/>
          <w:szCs w:val="24"/>
          <w:lang w:val="en-NZ"/>
        </w:rPr>
        <w:t>National Public Health Service</w:t>
      </w:r>
      <w:r w:rsidRPr="003425D9">
        <w:rPr>
          <w:sz w:val="24"/>
          <w:szCs w:val="24"/>
          <w:lang w:val="en-NZ"/>
        </w:rPr>
        <w:t>. A longer time between onset and exposure could be considered plausible if technical advice</w:t>
      </w:r>
      <w:r w:rsidR="00C547B9">
        <w:rPr>
          <w:sz w:val="24"/>
          <w:szCs w:val="24"/>
          <w:lang w:val="en-NZ"/>
        </w:rPr>
        <w:t xml:space="preserve"> or </w:t>
      </w:r>
      <w:r w:rsidRPr="003425D9">
        <w:rPr>
          <w:sz w:val="24"/>
          <w:szCs w:val="24"/>
          <w:lang w:val="en-NZ"/>
        </w:rPr>
        <w:t>scientific literature indicates that the signs and/or symptoms and biotoxins or species of harmful algae are compatible with a longer onset time, such as cylindrospermopsin-producing species.</w:t>
      </w:r>
    </w:p>
    <w:p w14:paraId="28A00F18" w14:textId="5694EBDB" w:rsidR="00BD27FE" w:rsidRPr="003425D9" w:rsidRDefault="00BD27FE" w:rsidP="001C679F">
      <w:pPr>
        <w:pStyle w:val="ListParagraph"/>
        <w:numPr>
          <w:ilvl w:val="0"/>
          <w:numId w:val="28"/>
        </w:numPr>
        <w:ind w:left="426" w:hanging="426"/>
        <w:rPr>
          <w:sz w:val="24"/>
          <w:szCs w:val="24"/>
          <w:lang w:val="en-NZ"/>
        </w:rPr>
      </w:pPr>
      <w:r w:rsidRPr="003425D9">
        <w:rPr>
          <w:sz w:val="24"/>
          <w:szCs w:val="24"/>
          <w:lang w:val="en-NZ"/>
        </w:rPr>
        <w:t>Water sampling (and subsequent laboratory testing) of recreational water should usually be conducted within 24 hours of exposure but could be up to a week since exposure if environmental and weather conditions remain stable.</w:t>
      </w:r>
    </w:p>
    <w:p w14:paraId="1D658E92" w14:textId="61B58678" w:rsidR="00BD27FE" w:rsidRPr="003425D9" w:rsidRDefault="00BD27FE" w:rsidP="001C679F">
      <w:pPr>
        <w:pStyle w:val="ListParagraph"/>
        <w:numPr>
          <w:ilvl w:val="0"/>
          <w:numId w:val="28"/>
        </w:numPr>
        <w:ind w:left="426" w:hanging="426"/>
        <w:rPr>
          <w:sz w:val="24"/>
          <w:szCs w:val="24"/>
          <w:lang w:val="en-NZ"/>
        </w:rPr>
      </w:pPr>
      <w:r w:rsidRPr="003425D9">
        <w:rPr>
          <w:sz w:val="24"/>
          <w:szCs w:val="24"/>
          <w:lang w:val="en-NZ"/>
        </w:rPr>
        <w:t xml:space="preserve">Elevated levels of freshwater cyanobacteria are defined as at least meeting the amber level threshold in the </w:t>
      </w:r>
      <w:hyperlink w:anchor="_Alert_Level_Framework" w:history="1">
        <w:r w:rsidR="0081704C">
          <w:rPr>
            <w:rStyle w:val="Hyperlink"/>
            <w:sz w:val="24"/>
            <w:szCs w:val="24"/>
            <w:lang w:val="en-NZ"/>
          </w:rPr>
          <w:t>a</w:t>
        </w:r>
        <w:r w:rsidRPr="001D35EC">
          <w:rPr>
            <w:rStyle w:val="Hyperlink"/>
            <w:sz w:val="24"/>
            <w:szCs w:val="24"/>
            <w:lang w:val="en-NZ"/>
          </w:rPr>
          <w:t xml:space="preserve">lert </w:t>
        </w:r>
        <w:r w:rsidR="0081704C">
          <w:rPr>
            <w:rStyle w:val="Hyperlink"/>
            <w:sz w:val="24"/>
            <w:szCs w:val="24"/>
            <w:lang w:val="en-NZ"/>
          </w:rPr>
          <w:t>l</w:t>
        </w:r>
        <w:r w:rsidRPr="001D35EC">
          <w:rPr>
            <w:rStyle w:val="Hyperlink"/>
            <w:sz w:val="24"/>
            <w:szCs w:val="24"/>
            <w:lang w:val="en-NZ"/>
          </w:rPr>
          <w:t xml:space="preserve">evel </w:t>
        </w:r>
        <w:r w:rsidR="0081704C">
          <w:rPr>
            <w:rStyle w:val="Hyperlink"/>
            <w:sz w:val="24"/>
            <w:szCs w:val="24"/>
            <w:lang w:val="en-NZ"/>
          </w:rPr>
          <w:t>f</w:t>
        </w:r>
        <w:r w:rsidRPr="001D35EC">
          <w:rPr>
            <w:rStyle w:val="Hyperlink"/>
            <w:sz w:val="24"/>
            <w:szCs w:val="24"/>
            <w:lang w:val="en-NZ"/>
          </w:rPr>
          <w:t>ramework</w:t>
        </w:r>
      </w:hyperlink>
      <w:r w:rsidRPr="003425D9">
        <w:rPr>
          <w:sz w:val="24"/>
          <w:szCs w:val="24"/>
          <w:lang w:val="en-NZ"/>
        </w:rPr>
        <w:t>, but more likely will meet the threshold for red levels.</w:t>
      </w:r>
    </w:p>
    <w:p w14:paraId="5C1B3B86" w14:textId="050C023E" w:rsidR="00BD27FE" w:rsidRPr="003425D9" w:rsidRDefault="00BD27FE" w:rsidP="00996BCE">
      <w:pPr>
        <w:pStyle w:val="ListParagraph"/>
        <w:numPr>
          <w:ilvl w:val="0"/>
          <w:numId w:val="28"/>
        </w:numPr>
        <w:ind w:left="426" w:hanging="426"/>
        <w:rPr>
          <w:sz w:val="24"/>
          <w:szCs w:val="24"/>
          <w:lang w:val="en-NZ"/>
        </w:rPr>
      </w:pPr>
      <w:r w:rsidRPr="003425D9">
        <w:rPr>
          <w:sz w:val="24"/>
          <w:szCs w:val="24"/>
          <w:lang w:val="en-NZ"/>
        </w:rPr>
        <w:t>Toxin levels are not specified, but the presence of a biotoxin known to produce similar effects to the symptomology observed provides strong evidence for harmful algal bloom poisoning.</w:t>
      </w:r>
    </w:p>
    <w:p w14:paraId="1BC75E45" w14:textId="7CE7A1A0" w:rsidR="00BD27FE" w:rsidRPr="00431A01" w:rsidRDefault="00BD27FE" w:rsidP="00CB0C77">
      <w:pPr>
        <w:pStyle w:val="Heading3"/>
        <w:rPr>
          <w:lang w:val="en-NZ"/>
        </w:rPr>
      </w:pPr>
      <w:r w:rsidRPr="00431A01">
        <w:rPr>
          <w:lang w:val="en-NZ"/>
        </w:rPr>
        <w:t>Outbreak definition</w:t>
      </w:r>
    </w:p>
    <w:p w14:paraId="4A7847B2" w14:textId="77777777" w:rsidR="00BD27FE" w:rsidRPr="003425D9" w:rsidRDefault="00BD27FE" w:rsidP="00BD27FE">
      <w:pPr>
        <w:rPr>
          <w:sz w:val="24"/>
          <w:szCs w:val="24"/>
          <w:lang w:val="en-NZ"/>
        </w:rPr>
      </w:pPr>
      <w:r w:rsidRPr="003425D9">
        <w:rPr>
          <w:sz w:val="24"/>
          <w:szCs w:val="24"/>
          <w:lang w:val="en-NZ"/>
        </w:rPr>
        <w:t>An outbreak is classified as two or more confirmed cases related to the same recreational water exposure within a similar time period (usually within 24 hours of each other but could be up to a week).</w:t>
      </w:r>
    </w:p>
    <w:p w14:paraId="03634E36" w14:textId="77777777" w:rsidR="00BD27FE" w:rsidRPr="00431A01" w:rsidRDefault="00BD27FE" w:rsidP="00CB0C77">
      <w:pPr>
        <w:pStyle w:val="Heading3"/>
        <w:rPr>
          <w:lang w:val="en-NZ"/>
        </w:rPr>
      </w:pPr>
      <w:r w:rsidRPr="00431A01">
        <w:rPr>
          <w:lang w:val="en-NZ"/>
        </w:rPr>
        <w:t>Under investigation</w:t>
      </w:r>
    </w:p>
    <w:p w14:paraId="13BC193A" w14:textId="77777777" w:rsidR="00BD27FE" w:rsidRPr="003425D9" w:rsidRDefault="00BD27FE" w:rsidP="00BD27FE">
      <w:pPr>
        <w:rPr>
          <w:sz w:val="24"/>
          <w:szCs w:val="24"/>
          <w:lang w:val="en-NZ"/>
        </w:rPr>
      </w:pPr>
      <w:r w:rsidRPr="003425D9">
        <w:rPr>
          <w:sz w:val="24"/>
          <w:szCs w:val="24"/>
          <w:lang w:val="en-NZ"/>
        </w:rPr>
        <w:t>A case which has been notified but information is not yet available to classify it as ‘probable’ or ‘confirmed’ is ‘under investigation’.</w:t>
      </w:r>
    </w:p>
    <w:p w14:paraId="322094F9" w14:textId="77777777" w:rsidR="00BD27FE" w:rsidRPr="00431A01" w:rsidRDefault="00BD27FE" w:rsidP="00CB0C77">
      <w:pPr>
        <w:pStyle w:val="Heading3"/>
        <w:rPr>
          <w:lang w:val="en-NZ"/>
        </w:rPr>
      </w:pPr>
      <w:r w:rsidRPr="00431A01">
        <w:rPr>
          <w:lang w:val="en-NZ"/>
        </w:rPr>
        <w:t>Not a case</w:t>
      </w:r>
    </w:p>
    <w:p w14:paraId="26FFD233" w14:textId="77777777" w:rsidR="00BD27FE" w:rsidRPr="003425D9" w:rsidRDefault="00BD27FE" w:rsidP="00BD27FE">
      <w:pPr>
        <w:rPr>
          <w:sz w:val="24"/>
          <w:szCs w:val="24"/>
          <w:lang w:val="en-NZ"/>
        </w:rPr>
      </w:pPr>
      <w:r w:rsidRPr="003425D9">
        <w:rPr>
          <w:sz w:val="24"/>
          <w:szCs w:val="24"/>
          <w:lang w:val="en-NZ"/>
        </w:rPr>
        <w:t>The classification ’not a case’ is used when a case has been investigated and is deemed to not be a case based on the exposure and clinical history.</w:t>
      </w:r>
    </w:p>
    <w:p w14:paraId="3F2FBBC7" w14:textId="77777777" w:rsidR="00BD27FE" w:rsidRPr="00431A01" w:rsidRDefault="00BD27FE" w:rsidP="00CB0C77">
      <w:pPr>
        <w:pStyle w:val="Heading3"/>
        <w:rPr>
          <w:lang w:val="en-NZ"/>
        </w:rPr>
      </w:pPr>
      <w:r w:rsidRPr="00431A01">
        <w:rPr>
          <w:lang w:val="en-NZ"/>
        </w:rPr>
        <w:t>Decision to conduct environmental investigation and testing</w:t>
      </w:r>
    </w:p>
    <w:p w14:paraId="2543A58D" w14:textId="0BF4A00F" w:rsidR="00BD27FE" w:rsidRPr="003425D9" w:rsidRDefault="00BD27FE" w:rsidP="00BD27FE">
      <w:pPr>
        <w:rPr>
          <w:sz w:val="24"/>
          <w:szCs w:val="24"/>
          <w:lang w:val="en-NZ"/>
        </w:rPr>
      </w:pPr>
      <w:r w:rsidRPr="003425D9">
        <w:rPr>
          <w:sz w:val="24"/>
          <w:szCs w:val="24"/>
          <w:lang w:val="en-NZ"/>
        </w:rPr>
        <w:t xml:space="preserve">If symptoms are consistent with HAB exposure, consider whether environmental testing is required to help quantify exposure to harmful algae and algal </w:t>
      </w:r>
      <w:r w:rsidRPr="00AA7EE0">
        <w:rPr>
          <w:sz w:val="24"/>
          <w:szCs w:val="24"/>
          <w:lang w:val="en-NZ"/>
        </w:rPr>
        <w:t>biotoxins, see Table 1</w:t>
      </w:r>
      <w:r w:rsidR="00AA7EE0" w:rsidRPr="00AA7EE0">
        <w:rPr>
          <w:sz w:val="24"/>
          <w:szCs w:val="24"/>
          <w:lang w:val="en-NZ"/>
        </w:rPr>
        <w:t xml:space="preserve"> below</w:t>
      </w:r>
      <w:r w:rsidRPr="00AA7EE0">
        <w:rPr>
          <w:sz w:val="24"/>
          <w:szCs w:val="24"/>
          <w:lang w:val="en-NZ"/>
        </w:rPr>
        <w:t>. Further environmental analysis for harmful algae algal biotoxins</w:t>
      </w:r>
      <w:r w:rsidRPr="003425D9">
        <w:rPr>
          <w:sz w:val="24"/>
          <w:szCs w:val="24"/>
          <w:lang w:val="en-NZ"/>
        </w:rPr>
        <w:t xml:space="preserve"> in samples from the site of exposure would be useful information to support case </w:t>
      </w:r>
      <w:r w:rsidRPr="003425D9">
        <w:rPr>
          <w:sz w:val="24"/>
          <w:szCs w:val="24"/>
          <w:lang w:val="en-NZ"/>
        </w:rPr>
        <w:lastRenderedPageBreak/>
        <w:t>classification in addition to the exposure and clinical history. However, this is rarely possible or practical, especially if the bloom has finished, plus there is the additional time and cost of extra testing (Weirich &amp; Miller 2014).</w:t>
      </w:r>
    </w:p>
    <w:p w14:paraId="6451B6BA" w14:textId="77777777" w:rsidR="00FF635F" w:rsidRDefault="00BD27FE" w:rsidP="00BD27FE">
      <w:pPr>
        <w:rPr>
          <w:sz w:val="24"/>
          <w:szCs w:val="24"/>
          <w:lang w:val="en-NZ"/>
        </w:rPr>
      </w:pPr>
      <w:r w:rsidRPr="003425D9">
        <w:rPr>
          <w:sz w:val="24"/>
          <w:szCs w:val="24"/>
          <w:lang w:val="en-NZ"/>
        </w:rPr>
        <w:t>Review local HAB monitoring results to determine if there is already a notified HAB reported at the location. Contact your regional council to find out if there is any additional recent information for the waterbody the case was exposed to. Find out when the waterbody was last monitored.</w:t>
      </w:r>
    </w:p>
    <w:p w14:paraId="2F32C70C" w14:textId="42AD1998" w:rsidR="00BD27FE" w:rsidRPr="003425D9" w:rsidRDefault="00BD27FE" w:rsidP="00BD27FE">
      <w:pPr>
        <w:rPr>
          <w:sz w:val="24"/>
          <w:szCs w:val="24"/>
          <w:lang w:val="en-NZ"/>
        </w:rPr>
      </w:pPr>
      <w:r w:rsidRPr="003425D9">
        <w:rPr>
          <w:sz w:val="24"/>
          <w:szCs w:val="24"/>
          <w:lang w:val="en-NZ"/>
        </w:rPr>
        <w:t>Whil</w:t>
      </w:r>
      <w:r w:rsidR="005F2EE2">
        <w:rPr>
          <w:sz w:val="24"/>
          <w:szCs w:val="24"/>
          <w:lang w:val="en-NZ"/>
        </w:rPr>
        <w:t>e</w:t>
      </w:r>
      <w:r w:rsidRPr="003425D9">
        <w:rPr>
          <w:sz w:val="24"/>
          <w:szCs w:val="24"/>
          <w:lang w:val="en-NZ"/>
        </w:rPr>
        <w:t xml:space="preserve"> data from samples collected within a few hours to 24 hours of the exposure is the most useful, data from within a week is still relevant unless weather conditions have changed substantially since the exposure. Strong winds or high rainfall events could affect the environmental monitoring to such a degree that conditions may be vastly different to the conditions when the exposure occurred. Surface blooms or scums can disperse within a few hours (Chorus &amp; Welker 2021).</w:t>
      </w:r>
    </w:p>
    <w:p w14:paraId="4A0AF35F" w14:textId="74D13D84" w:rsidR="00BD27FE" w:rsidRPr="003425D9" w:rsidRDefault="00BD27FE" w:rsidP="00BD27FE">
      <w:pPr>
        <w:rPr>
          <w:sz w:val="24"/>
          <w:szCs w:val="24"/>
          <w:lang w:val="en-NZ"/>
        </w:rPr>
      </w:pPr>
      <w:r w:rsidRPr="003425D9">
        <w:rPr>
          <w:sz w:val="24"/>
          <w:szCs w:val="24"/>
          <w:lang w:val="en-NZ"/>
        </w:rPr>
        <w:t>Check MPI shellfish biotoxin alerts for any current marine HAB locations (note: these alerts do not include all types of HABs but only HABs that cause illness from contaminated shellfish consumption).</w:t>
      </w:r>
      <w:r w:rsidR="0011042D">
        <w:rPr>
          <w:rStyle w:val="FootnoteReference"/>
          <w:sz w:val="24"/>
          <w:szCs w:val="24"/>
          <w:lang w:val="en-NZ"/>
        </w:rPr>
        <w:footnoteReference w:id="3"/>
      </w:r>
    </w:p>
    <w:p w14:paraId="21275F73" w14:textId="4CD67202" w:rsidR="00BD27FE" w:rsidRPr="003425D9" w:rsidRDefault="00BD27FE" w:rsidP="00BD27FE">
      <w:pPr>
        <w:rPr>
          <w:sz w:val="24"/>
          <w:szCs w:val="24"/>
          <w:lang w:val="en-NZ"/>
        </w:rPr>
      </w:pPr>
      <w:r w:rsidRPr="003425D9">
        <w:rPr>
          <w:sz w:val="24"/>
          <w:szCs w:val="24"/>
          <w:lang w:val="en-NZ"/>
        </w:rPr>
        <w:t xml:space="preserve">Discuss decisions to conduct environmental testing with the medical officer of health and see Table 1. If further water testing or a site visit is required to aid the environmental case investigation and public health risk assessment, contact your regional council to conduct the sample collection and arrange testing. Guidance for maintaining human and ecological safety whilst taking potentially contaminated water samples can be found in the </w:t>
      </w:r>
      <w:r w:rsidRPr="00BD7E7F">
        <w:rPr>
          <w:i/>
          <w:iCs/>
          <w:sz w:val="24"/>
          <w:szCs w:val="24"/>
          <w:lang w:val="en-NZ"/>
        </w:rPr>
        <w:t>New Zealand Guidelines for Cyanobacteria in Recreational Fresh Waters</w:t>
      </w:r>
      <w:r w:rsidR="00E700B6">
        <w:rPr>
          <w:sz w:val="24"/>
          <w:szCs w:val="24"/>
          <w:lang w:val="en-NZ"/>
        </w:rPr>
        <w:t xml:space="preserve"> (</w:t>
      </w:r>
      <w:r w:rsidR="00E700B6" w:rsidRPr="003425D9">
        <w:rPr>
          <w:sz w:val="24"/>
          <w:szCs w:val="24"/>
          <w:lang w:val="en-NZ"/>
        </w:rPr>
        <w:t>Ministry for the Environment &amp; Ministry of Health 2009)</w:t>
      </w:r>
      <w:r w:rsidRPr="003425D9">
        <w:rPr>
          <w:sz w:val="24"/>
          <w:szCs w:val="24"/>
          <w:lang w:val="en-NZ"/>
        </w:rPr>
        <w:t>.</w:t>
      </w:r>
    </w:p>
    <w:p w14:paraId="22E30C37" w14:textId="28602F29" w:rsidR="00DC34DA" w:rsidRPr="00AA7EE0" w:rsidRDefault="00DC34DA" w:rsidP="00DC34DA">
      <w:pPr>
        <w:pStyle w:val="Caption"/>
        <w:keepNext/>
        <w:rPr>
          <w:sz w:val="24"/>
          <w:szCs w:val="24"/>
          <w:lang w:val="en-NZ"/>
        </w:rPr>
      </w:pPr>
      <w:r w:rsidRPr="00AA7EE0">
        <w:rPr>
          <w:sz w:val="24"/>
          <w:szCs w:val="24"/>
          <w:lang w:val="en-NZ"/>
        </w:rPr>
        <w:t xml:space="preserve">Table </w:t>
      </w:r>
      <w:r w:rsidRPr="00AA7EE0">
        <w:rPr>
          <w:sz w:val="24"/>
          <w:szCs w:val="24"/>
          <w:lang w:val="en-NZ"/>
        </w:rPr>
        <w:fldChar w:fldCharType="begin"/>
      </w:r>
      <w:r w:rsidRPr="00AA7EE0">
        <w:rPr>
          <w:sz w:val="24"/>
          <w:szCs w:val="24"/>
          <w:lang w:val="en-NZ"/>
        </w:rPr>
        <w:instrText xml:space="preserve"> SEQ Table \* ARABIC </w:instrText>
      </w:r>
      <w:r w:rsidRPr="00AA7EE0">
        <w:rPr>
          <w:sz w:val="24"/>
          <w:szCs w:val="24"/>
          <w:lang w:val="en-NZ"/>
        </w:rPr>
        <w:fldChar w:fldCharType="separate"/>
      </w:r>
      <w:r w:rsidR="007643FB">
        <w:rPr>
          <w:noProof/>
          <w:sz w:val="24"/>
          <w:szCs w:val="24"/>
          <w:lang w:val="en-NZ"/>
        </w:rPr>
        <w:t>1</w:t>
      </w:r>
      <w:r w:rsidRPr="00AA7EE0">
        <w:rPr>
          <w:sz w:val="24"/>
          <w:szCs w:val="24"/>
          <w:lang w:val="en-NZ"/>
        </w:rPr>
        <w:fldChar w:fldCharType="end"/>
      </w:r>
      <w:r w:rsidRPr="00AA7EE0">
        <w:rPr>
          <w:sz w:val="24"/>
          <w:szCs w:val="24"/>
          <w:lang w:val="en-NZ"/>
        </w:rPr>
        <w:t xml:space="preserve"> Considerations for further environmental testing</w:t>
      </w:r>
    </w:p>
    <w:tbl>
      <w:tblPr>
        <w:tblStyle w:val="GridTable4-Accent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768"/>
      </w:tblGrid>
      <w:tr w:rsidR="002968E0" w:rsidRPr="003425D9" w14:paraId="728DC06E" w14:textId="77777777" w:rsidTr="00DA10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FFFFFF" w:themeColor="accent6"/>
            </w:tcBorders>
            <w:shd w:val="clear" w:color="auto" w:fill="15284C"/>
          </w:tcPr>
          <w:p w14:paraId="7A78CA34" w14:textId="3D31DC29" w:rsidR="00CD79FC" w:rsidRPr="00BD7E7F" w:rsidRDefault="00CD79FC" w:rsidP="00483D97">
            <w:pPr>
              <w:rPr>
                <w:color w:val="FFFFFF" w:themeColor="accent6"/>
                <w:sz w:val="24"/>
                <w:szCs w:val="24"/>
                <w:lang w:val="en-NZ"/>
              </w:rPr>
            </w:pPr>
            <w:r w:rsidRPr="00BD7E7F">
              <w:rPr>
                <w:color w:val="FFFFFF" w:themeColor="accent6"/>
                <w:sz w:val="24"/>
                <w:szCs w:val="24"/>
                <w:lang w:val="en-NZ"/>
              </w:rPr>
              <w:t>Further testing may be useful</w:t>
            </w:r>
          </w:p>
        </w:tc>
        <w:tc>
          <w:tcPr>
            <w:tcW w:w="0" w:type="pct"/>
            <w:tcBorders>
              <w:left w:val="single" w:sz="4" w:space="0" w:color="FFFFFF" w:themeColor="accent6"/>
            </w:tcBorders>
            <w:shd w:val="clear" w:color="auto" w:fill="15284C"/>
          </w:tcPr>
          <w:p w14:paraId="06F21EDC" w14:textId="6CE8AE06" w:rsidR="00CD79FC" w:rsidRPr="00BD7E7F" w:rsidRDefault="00CD79FC" w:rsidP="00483D97">
            <w:pPr>
              <w:cnfStyle w:val="100000000000" w:firstRow="1" w:lastRow="0" w:firstColumn="0" w:lastColumn="0" w:oddVBand="0" w:evenVBand="0" w:oddHBand="0" w:evenHBand="0" w:firstRowFirstColumn="0" w:firstRowLastColumn="0" w:lastRowFirstColumn="0" w:lastRowLastColumn="0"/>
              <w:rPr>
                <w:color w:val="FFFFFF" w:themeColor="accent6"/>
                <w:sz w:val="24"/>
                <w:szCs w:val="24"/>
                <w:lang w:val="en-NZ"/>
              </w:rPr>
            </w:pPr>
            <w:r w:rsidRPr="00BD7E7F">
              <w:rPr>
                <w:color w:val="FFFFFF" w:themeColor="accent6"/>
                <w:sz w:val="24"/>
                <w:szCs w:val="24"/>
                <w:lang w:val="en-NZ"/>
              </w:rPr>
              <w:t>No further testing</w:t>
            </w:r>
          </w:p>
        </w:tc>
      </w:tr>
      <w:tr w:rsidR="002968E0" w:rsidRPr="003425D9" w14:paraId="74732042" w14:textId="77777777" w:rsidTr="00BD7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pct"/>
            <w:tcBorders>
              <w:right w:val="single" w:sz="4" w:space="0" w:color="auto"/>
            </w:tcBorders>
            <w:shd w:val="clear" w:color="auto" w:fill="F2F2F2" w:themeFill="accent4" w:themeFillShade="F2"/>
          </w:tcPr>
          <w:p w14:paraId="431C3F63" w14:textId="492B02AA" w:rsidR="00CD79FC" w:rsidRPr="003425D9" w:rsidRDefault="00CD79FC" w:rsidP="00CD79FC">
            <w:pPr>
              <w:spacing w:after="160" w:line="259" w:lineRule="auto"/>
              <w:rPr>
                <w:b w:val="0"/>
                <w:bCs w:val="0"/>
                <w:sz w:val="24"/>
                <w:szCs w:val="24"/>
                <w:lang w:val="en-NZ"/>
              </w:rPr>
            </w:pPr>
            <w:r w:rsidRPr="003425D9">
              <w:rPr>
                <w:b w:val="0"/>
                <w:bCs w:val="0"/>
                <w:sz w:val="24"/>
                <w:szCs w:val="24"/>
                <w:lang w:val="en-NZ"/>
              </w:rPr>
              <w:t>More than one person exposed at the same waterbody.</w:t>
            </w:r>
          </w:p>
        </w:tc>
        <w:tc>
          <w:tcPr>
            <w:tcW w:w="2644" w:type="pct"/>
            <w:tcBorders>
              <w:top w:val="single" w:sz="4" w:space="0" w:color="15284C" w:themeColor="accent5"/>
              <w:left w:val="single" w:sz="4" w:space="0" w:color="auto"/>
            </w:tcBorders>
            <w:shd w:val="clear" w:color="auto" w:fill="F2F2F2" w:themeFill="accent4" w:themeFillShade="F2"/>
          </w:tcPr>
          <w:p w14:paraId="2DB88385" w14:textId="517191F6" w:rsidR="00CD79FC" w:rsidRPr="003425D9" w:rsidRDefault="00CD79FC" w:rsidP="00CD79FC">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lang w:val="en-NZ"/>
              </w:rPr>
            </w:pPr>
            <w:r w:rsidRPr="003425D9">
              <w:rPr>
                <w:sz w:val="24"/>
                <w:szCs w:val="24"/>
                <w:lang w:val="en-NZ"/>
              </w:rPr>
              <w:t>Minimal or no compatible illness.</w:t>
            </w:r>
          </w:p>
        </w:tc>
      </w:tr>
      <w:tr w:rsidR="002968E0" w:rsidRPr="003425D9" w14:paraId="6E268376" w14:textId="77777777" w:rsidTr="00BD7E7F">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7FA96B99" w14:textId="0CF97658" w:rsidR="00CD79FC" w:rsidRPr="003425D9" w:rsidRDefault="00CD79FC" w:rsidP="00483D97">
            <w:pPr>
              <w:rPr>
                <w:b w:val="0"/>
                <w:bCs w:val="0"/>
                <w:sz w:val="24"/>
                <w:szCs w:val="24"/>
                <w:lang w:val="en-NZ"/>
              </w:rPr>
            </w:pPr>
            <w:r w:rsidRPr="003425D9">
              <w:rPr>
                <w:b w:val="0"/>
                <w:bCs w:val="0"/>
                <w:sz w:val="24"/>
                <w:szCs w:val="24"/>
                <w:lang w:val="en-NZ"/>
              </w:rPr>
              <w:t>Accurate description of large quantities of HABs not already known about.</w:t>
            </w:r>
          </w:p>
        </w:tc>
        <w:tc>
          <w:tcPr>
            <w:tcW w:w="0" w:type="pct"/>
            <w:tcBorders>
              <w:left w:val="single" w:sz="4" w:space="0" w:color="auto"/>
            </w:tcBorders>
          </w:tcPr>
          <w:p w14:paraId="2191D4E1" w14:textId="18175055" w:rsidR="00CD79FC" w:rsidRPr="003425D9" w:rsidRDefault="00CD79FC" w:rsidP="00483D97">
            <w:pPr>
              <w:cnfStyle w:val="000000000000" w:firstRow="0" w:lastRow="0" w:firstColumn="0" w:lastColumn="0" w:oddVBand="0" w:evenVBand="0" w:oddHBand="0" w:evenHBand="0" w:firstRowFirstColumn="0" w:firstRowLastColumn="0" w:lastRowFirstColumn="0" w:lastRowLastColumn="0"/>
              <w:rPr>
                <w:sz w:val="24"/>
                <w:szCs w:val="24"/>
                <w:lang w:val="en-NZ"/>
              </w:rPr>
            </w:pPr>
            <w:r w:rsidRPr="003425D9">
              <w:rPr>
                <w:sz w:val="24"/>
                <w:szCs w:val="24"/>
                <w:lang w:val="en-NZ"/>
              </w:rPr>
              <w:t>Minimal or no exposure to waterbody</w:t>
            </w:r>
          </w:p>
        </w:tc>
      </w:tr>
      <w:tr w:rsidR="002968E0" w:rsidRPr="003425D9" w14:paraId="420CEC24" w14:textId="77777777" w:rsidTr="00BD7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pct"/>
            <w:tcBorders>
              <w:right w:val="single" w:sz="4" w:space="0" w:color="auto"/>
            </w:tcBorders>
            <w:shd w:val="clear" w:color="auto" w:fill="F2F2F2" w:themeFill="accent4" w:themeFillShade="F2"/>
          </w:tcPr>
          <w:p w14:paraId="568E4997" w14:textId="599B728E" w:rsidR="00CD79FC" w:rsidRPr="003425D9" w:rsidRDefault="00CD79FC" w:rsidP="00483D97">
            <w:pPr>
              <w:rPr>
                <w:b w:val="0"/>
                <w:bCs w:val="0"/>
                <w:sz w:val="24"/>
                <w:szCs w:val="24"/>
                <w:lang w:val="en-NZ"/>
              </w:rPr>
            </w:pPr>
            <w:r w:rsidRPr="003425D9">
              <w:rPr>
                <w:b w:val="0"/>
                <w:bCs w:val="0"/>
                <w:sz w:val="24"/>
                <w:szCs w:val="24"/>
                <w:lang w:val="en-NZ"/>
              </w:rPr>
              <w:t>Compatible illness and undetermined/unquantified exposure (not all HABs are visible)</w:t>
            </w:r>
            <w:r w:rsidR="00B07907">
              <w:rPr>
                <w:b w:val="0"/>
                <w:bCs w:val="0"/>
                <w:sz w:val="24"/>
                <w:szCs w:val="24"/>
                <w:lang w:val="en-NZ"/>
              </w:rPr>
              <w:t>.</w:t>
            </w:r>
          </w:p>
        </w:tc>
        <w:tc>
          <w:tcPr>
            <w:tcW w:w="2644" w:type="pct"/>
            <w:tcBorders>
              <w:left w:val="single" w:sz="4" w:space="0" w:color="auto"/>
            </w:tcBorders>
            <w:shd w:val="clear" w:color="auto" w:fill="F2F2F2" w:themeFill="accent4" w:themeFillShade="F2"/>
          </w:tcPr>
          <w:p w14:paraId="2BAA0C49" w14:textId="05BBB443" w:rsidR="00CD79FC" w:rsidRPr="003425D9" w:rsidRDefault="00CD79FC" w:rsidP="00483D97">
            <w:pPr>
              <w:cnfStyle w:val="000000100000" w:firstRow="0" w:lastRow="0" w:firstColumn="0" w:lastColumn="0" w:oddVBand="0" w:evenVBand="0" w:oddHBand="1" w:evenHBand="0" w:firstRowFirstColumn="0" w:firstRowLastColumn="0" w:lastRowFirstColumn="0" w:lastRowLastColumn="0"/>
              <w:rPr>
                <w:sz w:val="24"/>
                <w:szCs w:val="24"/>
                <w:lang w:val="en-NZ"/>
              </w:rPr>
            </w:pPr>
            <w:r w:rsidRPr="003425D9">
              <w:rPr>
                <w:sz w:val="24"/>
                <w:szCs w:val="24"/>
                <w:lang w:val="en-NZ"/>
              </w:rPr>
              <w:t xml:space="preserve">Exposure was more than </w:t>
            </w:r>
            <w:r w:rsidR="0004122B">
              <w:rPr>
                <w:sz w:val="24"/>
                <w:szCs w:val="24"/>
                <w:lang w:val="en-NZ"/>
              </w:rPr>
              <w:t>one</w:t>
            </w:r>
            <w:r w:rsidR="0004122B" w:rsidRPr="003425D9">
              <w:rPr>
                <w:sz w:val="24"/>
                <w:szCs w:val="24"/>
                <w:lang w:val="en-NZ"/>
              </w:rPr>
              <w:t xml:space="preserve"> </w:t>
            </w:r>
            <w:r w:rsidRPr="003425D9">
              <w:rPr>
                <w:sz w:val="24"/>
                <w:szCs w:val="24"/>
                <w:lang w:val="en-NZ"/>
              </w:rPr>
              <w:t>week ago.</w:t>
            </w:r>
          </w:p>
        </w:tc>
      </w:tr>
      <w:tr w:rsidR="002968E0" w:rsidRPr="003425D9" w14:paraId="438B9168" w14:textId="77777777" w:rsidTr="00BD7E7F">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shd w:val="clear" w:color="auto" w:fill="FFFFFF" w:themeFill="accent6"/>
          </w:tcPr>
          <w:p w14:paraId="04CC0303" w14:textId="77777777" w:rsidR="00CD79FC" w:rsidRPr="003425D9" w:rsidRDefault="00CD79FC" w:rsidP="00483D97">
            <w:pPr>
              <w:rPr>
                <w:b w:val="0"/>
                <w:bCs w:val="0"/>
                <w:sz w:val="24"/>
                <w:szCs w:val="24"/>
                <w:lang w:val="en-NZ"/>
              </w:rPr>
            </w:pPr>
          </w:p>
        </w:tc>
        <w:tc>
          <w:tcPr>
            <w:tcW w:w="0" w:type="pct"/>
            <w:tcBorders>
              <w:left w:val="single" w:sz="4" w:space="0" w:color="auto"/>
            </w:tcBorders>
          </w:tcPr>
          <w:p w14:paraId="219C4D14" w14:textId="44CBE4A1" w:rsidR="00CD79FC" w:rsidRPr="003425D9" w:rsidRDefault="00CD79FC" w:rsidP="00483D97">
            <w:pPr>
              <w:cnfStyle w:val="000000000000" w:firstRow="0" w:lastRow="0" w:firstColumn="0" w:lastColumn="0" w:oddVBand="0" w:evenVBand="0" w:oddHBand="0" w:evenHBand="0" w:firstRowFirstColumn="0" w:firstRowLastColumn="0" w:lastRowFirstColumn="0" w:lastRowLastColumn="0"/>
              <w:rPr>
                <w:sz w:val="24"/>
                <w:szCs w:val="24"/>
                <w:lang w:val="en-NZ"/>
              </w:rPr>
            </w:pPr>
            <w:r w:rsidRPr="003425D9">
              <w:rPr>
                <w:sz w:val="24"/>
                <w:szCs w:val="24"/>
                <w:lang w:val="en-NZ"/>
              </w:rPr>
              <w:t>Compatible illness and confirmed HAB exposure – HAB monitoring already in place and confirmed at waterbody</w:t>
            </w:r>
          </w:p>
        </w:tc>
      </w:tr>
      <w:tr w:rsidR="002968E0" w:rsidRPr="003425D9" w14:paraId="582DADED" w14:textId="77777777" w:rsidTr="00BD7E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6" w:type="pct"/>
            <w:tcBorders>
              <w:right w:val="single" w:sz="4" w:space="0" w:color="auto"/>
            </w:tcBorders>
            <w:shd w:val="clear" w:color="auto" w:fill="F2F2F2" w:themeFill="accent4" w:themeFillShade="F2"/>
          </w:tcPr>
          <w:p w14:paraId="59A1DEC8" w14:textId="77777777" w:rsidR="00CD79FC" w:rsidRPr="003425D9" w:rsidRDefault="00CD79FC" w:rsidP="00483D97">
            <w:pPr>
              <w:rPr>
                <w:b w:val="0"/>
                <w:bCs w:val="0"/>
                <w:sz w:val="24"/>
                <w:szCs w:val="24"/>
                <w:lang w:val="en-NZ"/>
              </w:rPr>
            </w:pPr>
          </w:p>
        </w:tc>
        <w:tc>
          <w:tcPr>
            <w:tcW w:w="2644" w:type="pct"/>
            <w:tcBorders>
              <w:left w:val="single" w:sz="4" w:space="0" w:color="auto"/>
            </w:tcBorders>
            <w:shd w:val="clear" w:color="auto" w:fill="F2F2F2" w:themeFill="accent4" w:themeFillShade="F2"/>
          </w:tcPr>
          <w:p w14:paraId="31EC7ABF" w14:textId="7F1DFD59" w:rsidR="00CD79FC" w:rsidRPr="003425D9" w:rsidRDefault="00DC34DA" w:rsidP="00483D97">
            <w:pPr>
              <w:cnfStyle w:val="000000100000" w:firstRow="0" w:lastRow="0" w:firstColumn="0" w:lastColumn="0" w:oddVBand="0" w:evenVBand="0" w:oddHBand="1" w:evenHBand="0" w:firstRowFirstColumn="0" w:firstRowLastColumn="0" w:lastRowFirstColumn="0" w:lastRowLastColumn="0"/>
              <w:rPr>
                <w:sz w:val="24"/>
                <w:szCs w:val="24"/>
                <w:lang w:val="en-NZ"/>
              </w:rPr>
            </w:pPr>
            <w:r w:rsidRPr="003C17C6">
              <w:rPr>
                <w:sz w:val="24"/>
                <w:szCs w:val="24"/>
                <w:shd w:val="clear" w:color="auto" w:fill="F2F2F2" w:themeFill="accent4" w:themeFillShade="F2"/>
                <w:lang w:val="en-NZ"/>
              </w:rPr>
              <w:t>Other causes are more likely than HAB poisoning</w:t>
            </w:r>
            <w:r w:rsidR="00C25B2F">
              <w:rPr>
                <w:sz w:val="24"/>
                <w:szCs w:val="24"/>
                <w:shd w:val="clear" w:color="auto" w:fill="F2F2F2" w:themeFill="accent4" w:themeFillShade="F2"/>
                <w:lang w:val="en-NZ"/>
              </w:rPr>
              <w:t xml:space="preserve">, </w:t>
            </w:r>
            <w:r w:rsidRPr="003C17C6">
              <w:rPr>
                <w:sz w:val="24"/>
                <w:szCs w:val="24"/>
                <w:shd w:val="clear" w:color="auto" w:fill="F2F2F2" w:themeFill="accent4" w:themeFillShade="F2"/>
                <w:lang w:val="en-NZ"/>
              </w:rPr>
              <w:t>eg known faecal indicator bacteria are present in water and compatible</w:t>
            </w:r>
            <w:r w:rsidRPr="003425D9">
              <w:rPr>
                <w:sz w:val="24"/>
                <w:szCs w:val="24"/>
                <w:lang w:val="en-NZ"/>
              </w:rPr>
              <w:t xml:space="preserve"> </w:t>
            </w:r>
            <w:r w:rsidRPr="003C17C6">
              <w:rPr>
                <w:sz w:val="24"/>
                <w:szCs w:val="24"/>
                <w:shd w:val="clear" w:color="auto" w:fill="F2F2F2" w:themeFill="accent4" w:themeFillShade="F2"/>
                <w:lang w:val="en-NZ"/>
              </w:rPr>
              <w:t>with illness or/and human laboratory test such as stool samples.</w:t>
            </w:r>
          </w:p>
        </w:tc>
      </w:tr>
      <w:tr w:rsidR="002968E0" w:rsidRPr="003425D9" w14:paraId="60F8C4BA" w14:textId="77777777" w:rsidTr="00BD7E7F">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A306894" w14:textId="77777777" w:rsidR="00DC34DA" w:rsidRPr="003425D9" w:rsidRDefault="00DC34DA" w:rsidP="00483D97">
            <w:pPr>
              <w:rPr>
                <w:b w:val="0"/>
                <w:bCs w:val="0"/>
                <w:sz w:val="24"/>
                <w:szCs w:val="24"/>
                <w:lang w:val="en-NZ"/>
              </w:rPr>
            </w:pPr>
          </w:p>
        </w:tc>
        <w:tc>
          <w:tcPr>
            <w:tcW w:w="0" w:type="pct"/>
            <w:tcBorders>
              <w:left w:val="single" w:sz="4" w:space="0" w:color="auto"/>
            </w:tcBorders>
          </w:tcPr>
          <w:p w14:paraId="5E28DED0" w14:textId="0CFF323A" w:rsidR="00DC34DA" w:rsidRPr="003425D9" w:rsidRDefault="00DC34DA" w:rsidP="00483D97">
            <w:pPr>
              <w:cnfStyle w:val="000000000000" w:firstRow="0" w:lastRow="0" w:firstColumn="0" w:lastColumn="0" w:oddVBand="0" w:evenVBand="0" w:oddHBand="0" w:evenHBand="0" w:firstRowFirstColumn="0" w:firstRowLastColumn="0" w:lastRowFirstColumn="0" w:lastRowLastColumn="0"/>
              <w:rPr>
                <w:sz w:val="24"/>
                <w:szCs w:val="24"/>
                <w:lang w:val="en-NZ"/>
              </w:rPr>
            </w:pPr>
            <w:r w:rsidRPr="003425D9">
              <w:rPr>
                <w:sz w:val="24"/>
                <w:szCs w:val="24"/>
                <w:lang w:val="en-NZ"/>
              </w:rPr>
              <w:t>Competing health system priorities</w:t>
            </w:r>
            <w:r w:rsidR="00C25B2F">
              <w:rPr>
                <w:sz w:val="24"/>
                <w:szCs w:val="24"/>
                <w:lang w:val="en-NZ"/>
              </w:rPr>
              <w:t xml:space="preserve">, </w:t>
            </w:r>
            <w:r w:rsidRPr="003425D9">
              <w:rPr>
                <w:sz w:val="24"/>
                <w:szCs w:val="24"/>
                <w:lang w:val="en-NZ"/>
              </w:rPr>
              <w:t>eg separate concurrent significant outbreak with high burden of disease consequences.</w:t>
            </w:r>
          </w:p>
        </w:tc>
      </w:tr>
    </w:tbl>
    <w:p w14:paraId="45C32E08" w14:textId="2D492D76" w:rsidR="00BD27FE" w:rsidRPr="00431A01" w:rsidRDefault="007F3756" w:rsidP="00CC17A1">
      <w:pPr>
        <w:pStyle w:val="Heading2"/>
        <w:spacing w:before="160"/>
        <w:rPr>
          <w:lang w:val="en-NZ"/>
        </w:rPr>
      </w:pPr>
      <w:bookmarkStart w:id="27" w:name="_Toc181101776"/>
      <w:r w:rsidRPr="00431A01">
        <w:rPr>
          <w:lang w:val="en-NZ"/>
        </w:rPr>
        <w:t xml:space="preserve">Case </w:t>
      </w:r>
      <w:r w:rsidR="00D2304B" w:rsidRPr="00431A01">
        <w:rPr>
          <w:lang w:val="en-NZ"/>
        </w:rPr>
        <w:t>m</w:t>
      </w:r>
      <w:r w:rsidRPr="00431A01">
        <w:rPr>
          <w:lang w:val="en-NZ"/>
        </w:rPr>
        <w:t>anagement</w:t>
      </w:r>
      <w:bookmarkEnd w:id="27"/>
    </w:p>
    <w:p w14:paraId="6BC9CF1B" w14:textId="77472894" w:rsidR="00BD27FE" w:rsidRPr="005D7BA3" w:rsidRDefault="00BD27FE" w:rsidP="00BD27FE">
      <w:pPr>
        <w:rPr>
          <w:sz w:val="24"/>
          <w:szCs w:val="24"/>
          <w:lang w:val="en-NZ"/>
        </w:rPr>
      </w:pPr>
      <w:r w:rsidRPr="005D7BA3">
        <w:rPr>
          <w:sz w:val="24"/>
          <w:szCs w:val="24"/>
          <w:lang w:val="en-NZ"/>
        </w:rPr>
        <w:t>The</w:t>
      </w:r>
      <w:r w:rsidR="00D86B99">
        <w:rPr>
          <w:sz w:val="24"/>
          <w:szCs w:val="24"/>
          <w:lang w:val="en-NZ"/>
        </w:rPr>
        <w:t xml:space="preserve"> focus </w:t>
      </w:r>
      <w:r w:rsidRPr="005D7BA3">
        <w:rPr>
          <w:sz w:val="24"/>
          <w:szCs w:val="24"/>
          <w:lang w:val="en-NZ"/>
        </w:rPr>
        <w:t>of public health case management is education, risk communication</w:t>
      </w:r>
      <w:r w:rsidR="00D86B99">
        <w:rPr>
          <w:sz w:val="24"/>
          <w:szCs w:val="24"/>
          <w:lang w:val="en-NZ"/>
        </w:rPr>
        <w:t>,</w:t>
      </w:r>
      <w:r w:rsidRPr="005D7BA3">
        <w:rPr>
          <w:sz w:val="24"/>
          <w:szCs w:val="24"/>
          <w:lang w:val="en-NZ"/>
        </w:rPr>
        <w:t xml:space="preserve"> and the prevention of future exposures to HABs.</w:t>
      </w:r>
    </w:p>
    <w:p w14:paraId="381B35B8" w14:textId="15A6365E" w:rsidR="00BD27FE" w:rsidRPr="005D7BA3" w:rsidRDefault="00BD27FE" w:rsidP="00BD27FE">
      <w:pPr>
        <w:rPr>
          <w:sz w:val="24"/>
          <w:szCs w:val="24"/>
          <w:lang w:val="en-NZ"/>
        </w:rPr>
      </w:pPr>
      <w:r w:rsidRPr="005D7BA3">
        <w:rPr>
          <w:sz w:val="24"/>
          <w:szCs w:val="24"/>
          <w:lang w:val="en-NZ"/>
        </w:rPr>
        <w:t>Any people exposed to HABs should be advised to seek medical advice from their usual health care practitioner. Treatment for cyanobacterial</w:t>
      </w:r>
      <w:r w:rsidR="000E1733">
        <w:rPr>
          <w:sz w:val="24"/>
          <w:szCs w:val="24"/>
          <w:lang w:val="en-NZ"/>
        </w:rPr>
        <w:t>-</w:t>
      </w:r>
      <w:r w:rsidRPr="005D7BA3">
        <w:rPr>
          <w:sz w:val="24"/>
          <w:szCs w:val="24"/>
          <w:lang w:val="en-NZ"/>
        </w:rPr>
        <w:t>related illness is supportive, with the focus on managing symptoms. There is no specific antidote to cyanotoxin poisoning (BPAC 2020; Centers for Disease Control and Prevention 2022a; TOXINZ 2011).</w:t>
      </w:r>
    </w:p>
    <w:p w14:paraId="06E8B7E0" w14:textId="0BFE5843" w:rsidR="00BD27FE" w:rsidRPr="005D7BA3" w:rsidRDefault="00BD27FE" w:rsidP="00BD27FE">
      <w:pPr>
        <w:rPr>
          <w:sz w:val="24"/>
          <w:szCs w:val="24"/>
          <w:lang w:val="en-NZ"/>
        </w:rPr>
      </w:pPr>
      <w:r w:rsidRPr="005D7BA3">
        <w:rPr>
          <w:sz w:val="24"/>
          <w:szCs w:val="24"/>
          <w:lang w:val="en-NZ"/>
        </w:rPr>
        <w:t>There are no contact tracing requirements as there is no person-to-person spread of illness from HABs, including cyanobacteria</w:t>
      </w:r>
      <w:r w:rsidR="00D837E8">
        <w:rPr>
          <w:sz w:val="24"/>
          <w:szCs w:val="24"/>
          <w:lang w:val="en-NZ"/>
        </w:rPr>
        <w:t>. I</w:t>
      </w:r>
      <w:r w:rsidRPr="005D7BA3">
        <w:rPr>
          <w:sz w:val="24"/>
          <w:szCs w:val="24"/>
          <w:lang w:val="en-NZ"/>
        </w:rPr>
        <w:t>llness from biotoxins requires exposure to the biotoxin. However, it is useful to find out about any other people (or animals) that were exposed to the same recreational waterbody as the case</w:t>
      </w:r>
      <w:r w:rsidR="00F04123">
        <w:rPr>
          <w:sz w:val="24"/>
          <w:szCs w:val="24"/>
          <w:lang w:val="en-NZ"/>
        </w:rPr>
        <w:t xml:space="preserve"> was. Such </w:t>
      </w:r>
      <w:r w:rsidRPr="005D7BA3">
        <w:rPr>
          <w:sz w:val="24"/>
          <w:szCs w:val="24"/>
          <w:lang w:val="en-NZ"/>
        </w:rPr>
        <w:t>information can inform public health risk characterisation and management decisions relating to the recreational waterbody.</w:t>
      </w:r>
    </w:p>
    <w:p w14:paraId="28E2D2A9" w14:textId="77777777" w:rsidR="00BD27FE" w:rsidRPr="00431A01" w:rsidRDefault="00BD27FE" w:rsidP="006B5FB5">
      <w:pPr>
        <w:pStyle w:val="Heading3"/>
        <w:keepNext/>
        <w:rPr>
          <w:lang w:val="en-NZ"/>
        </w:rPr>
      </w:pPr>
      <w:r w:rsidRPr="00431A01">
        <w:rPr>
          <w:lang w:val="en-NZ"/>
        </w:rPr>
        <w:t>Cultural and social</w:t>
      </w:r>
    </w:p>
    <w:p w14:paraId="79961770" w14:textId="43EA5AB8" w:rsidR="009D5CE5" w:rsidRDefault="00BD27FE" w:rsidP="00BD27FE">
      <w:pPr>
        <w:rPr>
          <w:sz w:val="24"/>
          <w:szCs w:val="24"/>
          <w:lang w:val="en-NZ"/>
        </w:rPr>
      </w:pPr>
      <w:r w:rsidRPr="005D7BA3">
        <w:rPr>
          <w:sz w:val="24"/>
          <w:szCs w:val="24"/>
          <w:lang w:val="en-NZ"/>
        </w:rPr>
        <w:t>It is important to understand the exposed person’s cultural and social context and to ensure advice and public health responses are tailored to the person</w:t>
      </w:r>
      <w:r w:rsidR="00A22F18">
        <w:rPr>
          <w:sz w:val="24"/>
          <w:szCs w:val="24"/>
          <w:lang w:val="en-NZ"/>
        </w:rPr>
        <w:t xml:space="preserve">, </w:t>
      </w:r>
      <w:r w:rsidR="00711BA6">
        <w:rPr>
          <w:sz w:val="24"/>
          <w:szCs w:val="24"/>
          <w:lang w:val="en-NZ"/>
        </w:rPr>
        <w:t>acknowledging their beliefs and practices. How this looks will var</w:t>
      </w:r>
      <w:r w:rsidR="009D5CE5">
        <w:rPr>
          <w:sz w:val="24"/>
          <w:szCs w:val="24"/>
          <w:lang w:val="en-NZ"/>
        </w:rPr>
        <w:t>y from person to person but should include consider</w:t>
      </w:r>
      <w:r w:rsidR="00132862">
        <w:rPr>
          <w:sz w:val="24"/>
          <w:szCs w:val="24"/>
          <w:lang w:val="en-NZ"/>
        </w:rPr>
        <w:t>ation of the individual’s</w:t>
      </w:r>
      <w:r w:rsidR="009D5CE5">
        <w:rPr>
          <w:sz w:val="24"/>
          <w:szCs w:val="24"/>
          <w:lang w:val="en-NZ"/>
        </w:rPr>
        <w:t>:</w:t>
      </w:r>
    </w:p>
    <w:p w14:paraId="788C57F1" w14:textId="1ABA76DF" w:rsidR="00E8775D" w:rsidRDefault="00B67D26" w:rsidP="00E8775D">
      <w:pPr>
        <w:pStyle w:val="ListParagraph"/>
        <w:numPr>
          <w:ilvl w:val="0"/>
          <w:numId w:val="42"/>
        </w:numPr>
        <w:rPr>
          <w:sz w:val="24"/>
          <w:szCs w:val="24"/>
          <w:lang w:val="en-NZ"/>
        </w:rPr>
      </w:pPr>
      <w:r>
        <w:rPr>
          <w:sz w:val="24"/>
          <w:szCs w:val="24"/>
          <w:lang w:val="en-NZ"/>
        </w:rPr>
        <w:t>a</w:t>
      </w:r>
      <w:r w:rsidR="00FC5E4F">
        <w:rPr>
          <w:sz w:val="24"/>
          <w:szCs w:val="24"/>
          <w:lang w:val="en-NZ"/>
        </w:rPr>
        <w:t>ge or generation</w:t>
      </w:r>
    </w:p>
    <w:p w14:paraId="08D8AFAF" w14:textId="06AA6D1D" w:rsidR="00BB67AE" w:rsidRDefault="00B67D26" w:rsidP="00E8775D">
      <w:pPr>
        <w:pStyle w:val="ListParagraph"/>
        <w:numPr>
          <w:ilvl w:val="0"/>
          <w:numId w:val="42"/>
        </w:numPr>
        <w:rPr>
          <w:sz w:val="24"/>
          <w:szCs w:val="24"/>
          <w:lang w:val="en-NZ"/>
        </w:rPr>
      </w:pPr>
      <w:r>
        <w:rPr>
          <w:sz w:val="24"/>
          <w:szCs w:val="24"/>
          <w:lang w:val="en-NZ"/>
        </w:rPr>
        <w:t>g</w:t>
      </w:r>
      <w:r w:rsidR="00FC5E4F">
        <w:rPr>
          <w:sz w:val="24"/>
          <w:szCs w:val="24"/>
          <w:lang w:val="en-NZ"/>
        </w:rPr>
        <w:t>ender</w:t>
      </w:r>
    </w:p>
    <w:p w14:paraId="2B64E851" w14:textId="5C0116B9" w:rsidR="00FC5E4F" w:rsidRDefault="00B67D26" w:rsidP="00E8775D">
      <w:pPr>
        <w:pStyle w:val="ListParagraph"/>
        <w:numPr>
          <w:ilvl w:val="0"/>
          <w:numId w:val="42"/>
        </w:numPr>
        <w:rPr>
          <w:sz w:val="24"/>
          <w:szCs w:val="24"/>
          <w:lang w:val="en-NZ"/>
        </w:rPr>
      </w:pPr>
      <w:r>
        <w:rPr>
          <w:sz w:val="24"/>
          <w:szCs w:val="24"/>
          <w:lang w:val="en-NZ"/>
        </w:rPr>
        <w:t>s</w:t>
      </w:r>
      <w:r w:rsidR="00FC5E4F">
        <w:rPr>
          <w:sz w:val="24"/>
          <w:szCs w:val="24"/>
          <w:lang w:val="en-NZ"/>
        </w:rPr>
        <w:t>exual orientation</w:t>
      </w:r>
    </w:p>
    <w:p w14:paraId="4176709F" w14:textId="73E6FD52" w:rsidR="00FC5E4F" w:rsidRDefault="00B67D26" w:rsidP="00E8775D">
      <w:pPr>
        <w:pStyle w:val="ListParagraph"/>
        <w:numPr>
          <w:ilvl w:val="0"/>
          <w:numId w:val="42"/>
        </w:numPr>
        <w:rPr>
          <w:sz w:val="24"/>
          <w:szCs w:val="24"/>
          <w:lang w:val="en-NZ"/>
        </w:rPr>
      </w:pPr>
      <w:r>
        <w:rPr>
          <w:sz w:val="24"/>
          <w:szCs w:val="24"/>
          <w:lang w:val="en-NZ"/>
        </w:rPr>
        <w:t>o</w:t>
      </w:r>
      <w:r w:rsidR="00FC5E4F">
        <w:rPr>
          <w:sz w:val="24"/>
          <w:szCs w:val="24"/>
          <w:lang w:val="en-NZ"/>
        </w:rPr>
        <w:t>ccupation and socioeconomic status</w:t>
      </w:r>
    </w:p>
    <w:p w14:paraId="0B8656EB" w14:textId="7E13A666" w:rsidR="00FC5E4F" w:rsidRDefault="00B67D26" w:rsidP="00E8775D">
      <w:pPr>
        <w:pStyle w:val="ListParagraph"/>
        <w:numPr>
          <w:ilvl w:val="0"/>
          <w:numId w:val="42"/>
        </w:numPr>
        <w:rPr>
          <w:sz w:val="24"/>
          <w:szCs w:val="24"/>
          <w:lang w:val="en-NZ"/>
        </w:rPr>
      </w:pPr>
      <w:r>
        <w:rPr>
          <w:sz w:val="24"/>
          <w:szCs w:val="24"/>
          <w:lang w:val="en-NZ"/>
        </w:rPr>
        <w:t>c</w:t>
      </w:r>
      <w:r w:rsidR="00FC67A4">
        <w:rPr>
          <w:sz w:val="24"/>
          <w:szCs w:val="24"/>
          <w:lang w:val="en-NZ"/>
        </w:rPr>
        <w:t xml:space="preserve">ultural </w:t>
      </w:r>
      <w:r w:rsidR="00132862">
        <w:rPr>
          <w:sz w:val="24"/>
          <w:szCs w:val="24"/>
          <w:lang w:val="en-NZ"/>
        </w:rPr>
        <w:t xml:space="preserve">or community </w:t>
      </w:r>
      <w:r w:rsidR="00FC67A4">
        <w:rPr>
          <w:sz w:val="24"/>
          <w:szCs w:val="24"/>
          <w:lang w:val="en-NZ"/>
        </w:rPr>
        <w:t>background</w:t>
      </w:r>
    </w:p>
    <w:p w14:paraId="2D108DA0" w14:textId="00AD0B0A" w:rsidR="00FC5E4F" w:rsidRDefault="00B67D26" w:rsidP="00E8775D">
      <w:pPr>
        <w:pStyle w:val="ListParagraph"/>
        <w:numPr>
          <w:ilvl w:val="0"/>
          <w:numId w:val="42"/>
        </w:numPr>
        <w:rPr>
          <w:sz w:val="24"/>
          <w:szCs w:val="24"/>
          <w:lang w:val="en-NZ"/>
        </w:rPr>
      </w:pPr>
      <w:r>
        <w:rPr>
          <w:sz w:val="24"/>
          <w:szCs w:val="24"/>
          <w:lang w:val="en-NZ"/>
        </w:rPr>
        <w:t>r</w:t>
      </w:r>
      <w:r w:rsidR="00FC5E4F">
        <w:rPr>
          <w:sz w:val="24"/>
          <w:szCs w:val="24"/>
          <w:lang w:val="en-NZ"/>
        </w:rPr>
        <w:t>eligious or s</w:t>
      </w:r>
      <w:r w:rsidR="00FC67A4">
        <w:rPr>
          <w:sz w:val="24"/>
          <w:szCs w:val="24"/>
          <w:lang w:val="en-NZ"/>
        </w:rPr>
        <w:t>piritual belief</w:t>
      </w:r>
    </w:p>
    <w:p w14:paraId="5CD515B8" w14:textId="098D1CC2" w:rsidR="00BB67AE" w:rsidRDefault="00B67D26" w:rsidP="00E8775D">
      <w:pPr>
        <w:pStyle w:val="ListParagraph"/>
        <w:numPr>
          <w:ilvl w:val="0"/>
          <w:numId w:val="42"/>
        </w:numPr>
        <w:rPr>
          <w:sz w:val="24"/>
          <w:szCs w:val="24"/>
          <w:lang w:val="en-NZ"/>
        </w:rPr>
      </w:pPr>
      <w:r>
        <w:rPr>
          <w:sz w:val="24"/>
          <w:szCs w:val="24"/>
          <w:lang w:val="en-NZ"/>
        </w:rPr>
        <w:t>h</w:t>
      </w:r>
      <w:r w:rsidR="007814A2">
        <w:rPr>
          <w:sz w:val="24"/>
          <w:szCs w:val="24"/>
          <w:lang w:val="en-NZ"/>
        </w:rPr>
        <w:t xml:space="preserve">ealth and </w:t>
      </w:r>
      <w:r w:rsidR="00132862">
        <w:rPr>
          <w:sz w:val="24"/>
          <w:szCs w:val="24"/>
          <w:lang w:val="en-NZ"/>
        </w:rPr>
        <w:t>disability level</w:t>
      </w:r>
      <w:r>
        <w:rPr>
          <w:sz w:val="24"/>
          <w:szCs w:val="24"/>
          <w:lang w:val="en-NZ"/>
        </w:rPr>
        <w:t>.</w:t>
      </w:r>
    </w:p>
    <w:p w14:paraId="20B85F69" w14:textId="0594F2B5" w:rsidR="004978D4" w:rsidRPr="00BD7E7F" w:rsidRDefault="00BD27FE" w:rsidP="00BB67AE">
      <w:pPr>
        <w:rPr>
          <w:sz w:val="24"/>
          <w:szCs w:val="24"/>
          <w:lang w:val="en-NZ"/>
        </w:rPr>
      </w:pPr>
      <w:r w:rsidRPr="00BD7E7F">
        <w:rPr>
          <w:sz w:val="24"/>
          <w:szCs w:val="24"/>
          <w:lang w:val="en-NZ"/>
        </w:rPr>
        <w:t>Request an interpreter if required.</w:t>
      </w:r>
    </w:p>
    <w:p w14:paraId="5CFDEDC0" w14:textId="2AFC0585" w:rsidR="00BD27FE" w:rsidRPr="008567E0" w:rsidRDefault="007F3756" w:rsidP="00DC34DA">
      <w:pPr>
        <w:pStyle w:val="Heading2"/>
        <w:rPr>
          <w:lang w:val="en-NZ"/>
        </w:rPr>
      </w:pPr>
      <w:bookmarkStart w:id="28" w:name="_Toc181101777"/>
      <w:r w:rsidRPr="00431A01">
        <w:rPr>
          <w:lang w:val="en-NZ"/>
        </w:rPr>
        <w:t xml:space="preserve">Risk </w:t>
      </w:r>
      <w:r w:rsidR="00D2304B" w:rsidRPr="00431A01">
        <w:rPr>
          <w:lang w:val="en-NZ"/>
        </w:rPr>
        <w:t>c</w:t>
      </w:r>
      <w:r w:rsidRPr="00431A01">
        <w:rPr>
          <w:lang w:val="en-NZ"/>
        </w:rPr>
        <w:t xml:space="preserve">ommunication </w:t>
      </w:r>
      <w:r w:rsidRPr="008567E0">
        <w:rPr>
          <w:lang w:val="en-NZ"/>
        </w:rPr>
        <w:t xml:space="preserve">/ </w:t>
      </w:r>
      <w:r w:rsidR="00D2304B" w:rsidRPr="008567E0">
        <w:rPr>
          <w:lang w:val="en-NZ"/>
        </w:rPr>
        <w:t>e</w:t>
      </w:r>
      <w:r w:rsidRPr="008567E0">
        <w:rPr>
          <w:lang w:val="en-NZ"/>
        </w:rPr>
        <w:t>ducation</w:t>
      </w:r>
      <w:bookmarkEnd w:id="28"/>
    </w:p>
    <w:p w14:paraId="77734B4D" w14:textId="0DBBEB25" w:rsidR="00BD27FE" w:rsidRPr="005D7BA3" w:rsidRDefault="00BD27FE" w:rsidP="00BD27FE">
      <w:pPr>
        <w:rPr>
          <w:sz w:val="24"/>
          <w:szCs w:val="24"/>
          <w:lang w:val="en-NZ"/>
        </w:rPr>
      </w:pPr>
      <w:r w:rsidRPr="005D7BA3">
        <w:rPr>
          <w:sz w:val="24"/>
          <w:szCs w:val="24"/>
          <w:lang w:val="en-NZ"/>
        </w:rPr>
        <w:t>If there is a HAB, risk communication is an important component of preventing further exposures. All exposed cases</w:t>
      </w:r>
      <w:r w:rsidR="002A49FB">
        <w:rPr>
          <w:sz w:val="24"/>
          <w:szCs w:val="24"/>
          <w:lang w:val="en-NZ"/>
        </w:rPr>
        <w:t xml:space="preserve"> </w:t>
      </w:r>
      <w:r w:rsidR="00BE08B8">
        <w:rPr>
          <w:sz w:val="24"/>
          <w:szCs w:val="24"/>
          <w:lang w:val="en-NZ"/>
        </w:rPr>
        <w:t xml:space="preserve">and their </w:t>
      </w:r>
      <w:r w:rsidRPr="005D7BA3">
        <w:rPr>
          <w:sz w:val="24"/>
          <w:szCs w:val="24"/>
          <w:lang w:val="en-NZ"/>
        </w:rPr>
        <w:t>whānau should be provided information about HABs, their</w:t>
      </w:r>
      <w:r w:rsidR="00DC34DA" w:rsidRPr="005D7BA3">
        <w:rPr>
          <w:sz w:val="24"/>
          <w:szCs w:val="24"/>
          <w:lang w:val="en-NZ"/>
        </w:rPr>
        <w:t xml:space="preserve"> </w:t>
      </w:r>
      <w:r w:rsidRPr="005D7BA3">
        <w:rPr>
          <w:sz w:val="24"/>
          <w:szCs w:val="24"/>
          <w:lang w:val="en-NZ"/>
        </w:rPr>
        <w:t>health consequence, what to do if exposed</w:t>
      </w:r>
      <w:r w:rsidR="0076791D">
        <w:rPr>
          <w:sz w:val="24"/>
          <w:szCs w:val="24"/>
          <w:lang w:val="en-NZ"/>
        </w:rPr>
        <w:t>,</w:t>
      </w:r>
      <w:r w:rsidRPr="005D7BA3">
        <w:rPr>
          <w:sz w:val="24"/>
          <w:szCs w:val="24"/>
          <w:lang w:val="en-NZ"/>
        </w:rPr>
        <w:t xml:space="preserve"> and how to avoid future HAB exposure, including advice about food-collection/mahinga kai and where to find more information.</w:t>
      </w:r>
    </w:p>
    <w:p w14:paraId="1D1CBBFD" w14:textId="378CB5BE" w:rsidR="00BD27FE" w:rsidRPr="005D7BA3" w:rsidRDefault="00BD27FE" w:rsidP="00BD27FE">
      <w:pPr>
        <w:rPr>
          <w:sz w:val="24"/>
          <w:szCs w:val="24"/>
          <w:lang w:val="en-NZ"/>
        </w:rPr>
      </w:pPr>
      <w:r w:rsidRPr="005D7BA3">
        <w:rPr>
          <w:sz w:val="24"/>
          <w:szCs w:val="24"/>
          <w:lang w:val="en-NZ"/>
        </w:rPr>
        <w:lastRenderedPageBreak/>
        <w:t>Public health services also have a role in longer term public health education about HABs. This could include explaining what HABs can look like, the environmental conditions under which they occur</w:t>
      </w:r>
      <w:r w:rsidR="00AE64B9">
        <w:rPr>
          <w:sz w:val="24"/>
          <w:szCs w:val="24"/>
          <w:lang w:val="en-NZ"/>
        </w:rPr>
        <w:t xml:space="preserve">, </w:t>
      </w:r>
      <w:r w:rsidRPr="005D7BA3">
        <w:rPr>
          <w:sz w:val="24"/>
          <w:szCs w:val="24"/>
          <w:lang w:val="en-NZ"/>
        </w:rPr>
        <w:t>the limitations of relying solely on visual appearance</w:t>
      </w:r>
      <w:r w:rsidR="00D165F2">
        <w:rPr>
          <w:sz w:val="24"/>
          <w:szCs w:val="24"/>
          <w:lang w:val="en-NZ"/>
        </w:rPr>
        <w:t>,</w:t>
      </w:r>
      <w:r w:rsidRPr="005D7BA3">
        <w:rPr>
          <w:sz w:val="24"/>
          <w:szCs w:val="24"/>
          <w:lang w:val="en-NZ"/>
        </w:rPr>
        <w:t xml:space="preserve"> and caveats around monitoring intervals especially if weather and environmental conditions change.</w:t>
      </w:r>
    </w:p>
    <w:p w14:paraId="7264ABDA" w14:textId="77777777" w:rsidR="00BD27FE" w:rsidRPr="005D7BA3" w:rsidRDefault="00BD27FE" w:rsidP="00BD27FE">
      <w:pPr>
        <w:rPr>
          <w:sz w:val="24"/>
          <w:szCs w:val="24"/>
          <w:lang w:val="en-NZ"/>
        </w:rPr>
      </w:pPr>
      <w:r w:rsidRPr="005D7BA3">
        <w:rPr>
          <w:sz w:val="24"/>
          <w:szCs w:val="24"/>
          <w:lang w:val="en-NZ"/>
        </w:rPr>
        <w:t>It is important to note that the community perception of risk is not based on technical risk assessment alone. Public recognition of risks, in contrast to risk assessment based on probabilities prepared by experts, includes intuitive risk perception. The characteristics of such perceptions are related to concepts of fairness, familiarity, future and present ‘catastrophic potential’, and outrage at involuntary exposure to hazards not of their making.</w:t>
      </w:r>
    </w:p>
    <w:p w14:paraId="1B21CD53" w14:textId="7D38A389" w:rsidR="00BD27FE" w:rsidRPr="005D7BA3" w:rsidRDefault="00BD27FE" w:rsidP="00BD27FE">
      <w:pPr>
        <w:rPr>
          <w:sz w:val="24"/>
          <w:szCs w:val="24"/>
          <w:lang w:val="en-NZ"/>
        </w:rPr>
      </w:pPr>
      <w:r w:rsidRPr="005D7BA3">
        <w:rPr>
          <w:sz w:val="24"/>
          <w:szCs w:val="24"/>
          <w:lang w:val="en-NZ"/>
        </w:rPr>
        <w:t>The public may perceive that cyanobacteria pose a lower risk to health compared to other hazardous substances because cyanobacteria are thought of as “naturally-occurring” (Chorus &amp; Welker 2021). Low risk may be conflated with no risk. Therefore, it is important that the exposed person and their whānau understand the risks associated with HABs and other potential hazards associated with recreational water.</w:t>
      </w:r>
    </w:p>
    <w:p w14:paraId="7ACE97D4" w14:textId="46A3D8CB" w:rsidR="00BD27FE" w:rsidRPr="005D7BA3" w:rsidRDefault="00BD27FE" w:rsidP="00BD27FE">
      <w:pPr>
        <w:rPr>
          <w:sz w:val="24"/>
          <w:szCs w:val="24"/>
          <w:lang w:val="en-NZ"/>
        </w:rPr>
      </w:pPr>
      <w:r w:rsidRPr="005D7BA3">
        <w:rPr>
          <w:sz w:val="24"/>
          <w:szCs w:val="24"/>
          <w:lang w:val="en-NZ"/>
        </w:rPr>
        <w:t>Information provided needs to be accessible, including for those with disabilities or those from Culturally and Linguistically Diverse (CALD) communities. Provide the exposed person and their whānau / family with written information for their future reference. Land, Air, Water Aotearoa (LAWA) provide</w:t>
      </w:r>
      <w:r w:rsidR="00DA49C4">
        <w:rPr>
          <w:sz w:val="24"/>
          <w:szCs w:val="24"/>
          <w:lang w:val="en-NZ"/>
        </w:rPr>
        <w:t>s</w:t>
      </w:r>
      <w:r w:rsidRPr="005D7BA3">
        <w:rPr>
          <w:sz w:val="24"/>
          <w:szCs w:val="24"/>
          <w:lang w:val="en-NZ"/>
        </w:rPr>
        <w:t xml:space="preserve"> public information on HABs, see</w:t>
      </w:r>
      <w:r w:rsidR="00902BEE">
        <w:rPr>
          <w:sz w:val="24"/>
          <w:szCs w:val="24"/>
          <w:lang w:val="en-NZ"/>
        </w:rPr>
        <w:t xml:space="preserve"> </w:t>
      </w:r>
      <w:hyperlink r:id="rId12" w:history="1">
        <w:r w:rsidR="00902BEE" w:rsidRPr="00902BEE">
          <w:rPr>
            <w:rStyle w:val="Hyperlink"/>
            <w:sz w:val="24"/>
            <w:szCs w:val="24"/>
            <w:lang w:val="en-NZ"/>
          </w:rPr>
          <w:t>Factsheets – Toxic alage</w:t>
        </w:r>
      </w:hyperlink>
      <w:r w:rsidR="00902BEE">
        <w:rPr>
          <w:sz w:val="24"/>
          <w:szCs w:val="24"/>
          <w:lang w:val="en-NZ"/>
        </w:rPr>
        <w:t>.</w:t>
      </w:r>
    </w:p>
    <w:p w14:paraId="62A3A66F" w14:textId="68C05AD6" w:rsidR="00BD27FE" w:rsidRPr="005D7BA3" w:rsidRDefault="00BD27FE" w:rsidP="00BD27FE">
      <w:pPr>
        <w:rPr>
          <w:sz w:val="24"/>
          <w:szCs w:val="24"/>
          <w:lang w:val="en-NZ"/>
        </w:rPr>
      </w:pPr>
      <w:r w:rsidRPr="005D7BA3">
        <w:rPr>
          <w:sz w:val="24"/>
          <w:szCs w:val="24"/>
          <w:lang w:val="en-NZ"/>
        </w:rPr>
        <w:t xml:space="preserve">Overall, risk communication needs to be a two-way process and ongoing, as described in some detail in the USEPA’s </w:t>
      </w:r>
      <w:r w:rsidRPr="003A7BAC">
        <w:rPr>
          <w:i/>
          <w:iCs/>
          <w:sz w:val="24"/>
          <w:szCs w:val="24"/>
          <w:lang w:val="en-NZ"/>
        </w:rPr>
        <w:t>Risk Communication in Action: The risk communication workbook</w:t>
      </w:r>
      <w:r w:rsidRPr="005D7BA3">
        <w:rPr>
          <w:sz w:val="24"/>
          <w:szCs w:val="24"/>
          <w:lang w:val="en-NZ"/>
        </w:rPr>
        <w:t xml:space="preserve"> (Reckelhoff-Dangel &amp; Petersen 2007). The goal of risk communication is to establish trust and credibility. It needs to be done in such a way that people are well informed and guided in the actions they can take, while knowing that the experts are also taking account of, and acting on, people’s concerns.</w:t>
      </w:r>
    </w:p>
    <w:p w14:paraId="7838C582" w14:textId="4949EFED" w:rsidR="00BD27FE" w:rsidRPr="00585D41" w:rsidRDefault="007F3756" w:rsidP="00DC34DA">
      <w:pPr>
        <w:pStyle w:val="Heading2"/>
        <w:rPr>
          <w:lang w:val="en-NZ"/>
        </w:rPr>
      </w:pPr>
      <w:bookmarkStart w:id="29" w:name="_Toc181101778"/>
      <w:r w:rsidRPr="00585D41">
        <w:rPr>
          <w:lang w:val="en-NZ"/>
        </w:rPr>
        <w:t>Reporting</w:t>
      </w:r>
      <w:bookmarkEnd w:id="29"/>
    </w:p>
    <w:p w14:paraId="34FDF14E" w14:textId="77777777" w:rsidR="00BD27FE" w:rsidRPr="00585D41" w:rsidRDefault="00BD27FE" w:rsidP="00DC34DA">
      <w:pPr>
        <w:pStyle w:val="Heading3"/>
        <w:rPr>
          <w:lang w:val="en-NZ"/>
        </w:rPr>
      </w:pPr>
      <w:r w:rsidRPr="00585D41">
        <w:rPr>
          <w:lang w:val="en-NZ"/>
        </w:rPr>
        <w:t>Data Sovereignty</w:t>
      </w:r>
    </w:p>
    <w:p w14:paraId="0D1F1887" w14:textId="18EC6805" w:rsidR="00BD27FE" w:rsidRPr="005D7BA3" w:rsidRDefault="00BD27FE" w:rsidP="00BD27FE">
      <w:pPr>
        <w:rPr>
          <w:sz w:val="24"/>
          <w:szCs w:val="24"/>
          <w:lang w:val="en-NZ"/>
        </w:rPr>
      </w:pPr>
      <w:r w:rsidRPr="005D7BA3">
        <w:rPr>
          <w:sz w:val="24"/>
          <w:szCs w:val="24"/>
          <w:lang w:val="en-NZ"/>
        </w:rPr>
        <w:t>All data collection and reporting should adhere to the key principles set out by Te Mana Raraunga, Māori Data Sovereignty Network (Te Mana Raraunga 2022). In addition to comprehensive case notes, enter case details into HSDIRT, please refer to the HSDIRT user guide produced by EHINZ for further information.</w:t>
      </w:r>
    </w:p>
    <w:p w14:paraId="7CFCA8B0" w14:textId="77777777" w:rsidR="00BD27FE" w:rsidRPr="00585D41" w:rsidRDefault="00BD27FE" w:rsidP="00DC34DA">
      <w:pPr>
        <w:pStyle w:val="Heading3"/>
        <w:rPr>
          <w:lang w:val="en-NZ"/>
        </w:rPr>
      </w:pPr>
      <w:r w:rsidRPr="00585D41">
        <w:rPr>
          <w:lang w:val="en-NZ"/>
        </w:rPr>
        <w:t>Occupational case reporting</w:t>
      </w:r>
    </w:p>
    <w:p w14:paraId="5D78E95C" w14:textId="77777777" w:rsidR="0030506B" w:rsidRDefault="00BD27FE" w:rsidP="00BD27FE">
      <w:pPr>
        <w:rPr>
          <w:sz w:val="24"/>
          <w:szCs w:val="24"/>
          <w:lang w:val="en-NZ"/>
        </w:rPr>
      </w:pPr>
      <w:r w:rsidRPr="005D7BA3">
        <w:rPr>
          <w:sz w:val="24"/>
          <w:szCs w:val="24"/>
          <w:lang w:val="en-NZ"/>
        </w:rPr>
        <w:t xml:space="preserve">Medical officers of health are required to advise WorkSafe New Zealand of work-related notifiable disease or hazardous substances injury (under section 199 of the Health and Safety and Work Act 2015). </w:t>
      </w:r>
    </w:p>
    <w:p w14:paraId="059DC8CA" w14:textId="4B5AFDF5" w:rsidR="00693ED5" w:rsidRDefault="00BD27FE" w:rsidP="00BD27FE">
      <w:pPr>
        <w:rPr>
          <w:sz w:val="24"/>
          <w:szCs w:val="24"/>
          <w:lang w:val="en-NZ"/>
        </w:rPr>
      </w:pPr>
      <w:r w:rsidRPr="005D7BA3">
        <w:rPr>
          <w:sz w:val="24"/>
          <w:szCs w:val="24"/>
          <w:lang w:val="en-NZ"/>
        </w:rPr>
        <w:lastRenderedPageBreak/>
        <w:t>If a case is notified arising from occupational exposure, consent is needed from the individual to notify identifiable information to WorkSafe New Zealand. If the case meets the definition of ‘serious harm’, the employer is required to inform WorkSafe New Zealand under the Health and Safety at Work Act 2015 and the H</w:t>
      </w:r>
      <w:r w:rsidR="004E71FD">
        <w:rPr>
          <w:sz w:val="24"/>
          <w:szCs w:val="24"/>
          <w:lang w:val="en-NZ"/>
        </w:rPr>
        <w:t xml:space="preserve">azardous </w:t>
      </w:r>
      <w:r w:rsidRPr="005D7BA3">
        <w:rPr>
          <w:sz w:val="24"/>
          <w:szCs w:val="24"/>
          <w:lang w:val="en-NZ"/>
        </w:rPr>
        <w:t>S</w:t>
      </w:r>
      <w:r w:rsidR="004E71FD">
        <w:rPr>
          <w:sz w:val="24"/>
          <w:szCs w:val="24"/>
          <w:lang w:val="en-NZ"/>
        </w:rPr>
        <w:t xml:space="preserve">ubstances and </w:t>
      </w:r>
      <w:r w:rsidRPr="005D7BA3">
        <w:rPr>
          <w:sz w:val="24"/>
          <w:szCs w:val="24"/>
          <w:lang w:val="en-NZ"/>
        </w:rPr>
        <w:t>N</w:t>
      </w:r>
      <w:r w:rsidR="004E71FD">
        <w:rPr>
          <w:sz w:val="24"/>
          <w:szCs w:val="24"/>
          <w:lang w:val="en-NZ"/>
        </w:rPr>
        <w:t xml:space="preserve">ew Organisms </w:t>
      </w:r>
      <w:r w:rsidRPr="005D7BA3">
        <w:rPr>
          <w:sz w:val="24"/>
          <w:szCs w:val="24"/>
          <w:lang w:val="en-NZ"/>
        </w:rPr>
        <w:t>Act</w:t>
      </w:r>
      <w:r w:rsidR="004E71FD">
        <w:rPr>
          <w:sz w:val="24"/>
          <w:szCs w:val="24"/>
          <w:lang w:val="en-NZ"/>
        </w:rPr>
        <w:t xml:space="preserve"> 1996</w:t>
      </w:r>
      <w:r w:rsidRPr="005D7BA3">
        <w:rPr>
          <w:sz w:val="24"/>
          <w:szCs w:val="24"/>
          <w:lang w:val="en-NZ"/>
        </w:rPr>
        <w:t>. The Medical Officer of Health should inform the case (and the employer if the case agrees) of this obligation.</w:t>
      </w:r>
    </w:p>
    <w:p w14:paraId="03E06A3E" w14:textId="14AD37EA" w:rsidR="00BD27FE" w:rsidRPr="005D7BA3" w:rsidRDefault="00BD27FE" w:rsidP="00BD27FE">
      <w:pPr>
        <w:rPr>
          <w:sz w:val="24"/>
          <w:szCs w:val="24"/>
          <w:lang w:val="en-NZ"/>
        </w:rPr>
      </w:pPr>
      <w:r w:rsidRPr="005D7BA3">
        <w:rPr>
          <w:sz w:val="24"/>
          <w:szCs w:val="24"/>
          <w:lang w:val="en-NZ"/>
        </w:rPr>
        <w:t>To notify WorkSafe, please use the form</w:t>
      </w:r>
      <w:r w:rsidR="007B2127">
        <w:rPr>
          <w:sz w:val="24"/>
          <w:szCs w:val="24"/>
          <w:lang w:val="en-NZ"/>
        </w:rPr>
        <w:t xml:space="preserve"> provided at </w:t>
      </w:r>
      <w:hyperlink w:anchor="_Appendix_C:_Examples" w:history="1">
        <w:r w:rsidR="007B2127" w:rsidRPr="00AE2430">
          <w:rPr>
            <w:rStyle w:val="Hyperlink"/>
            <w:sz w:val="24"/>
            <w:szCs w:val="24"/>
            <w:lang w:val="en-NZ"/>
          </w:rPr>
          <w:t>Appendix C</w:t>
        </w:r>
      </w:hyperlink>
      <w:r w:rsidR="007B2127" w:rsidRPr="00BA6B97">
        <w:rPr>
          <w:sz w:val="24"/>
          <w:szCs w:val="24"/>
          <w:lang w:val="en-NZ"/>
        </w:rPr>
        <w:t xml:space="preserve"> – </w:t>
      </w:r>
      <w:r w:rsidRPr="00BA6B97">
        <w:rPr>
          <w:i/>
          <w:iCs/>
          <w:sz w:val="24"/>
          <w:szCs w:val="24"/>
          <w:lang w:val="en-NZ"/>
        </w:rPr>
        <w:t>"Notifications under section 199 of the Health and Safety at Work Act 2015 Notifications by Medical Officers of Health"</w:t>
      </w:r>
      <w:r w:rsidR="00693ED5">
        <w:rPr>
          <w:sz w:val="24"/>
          <w:szCs w:val="24"/>
          <w:lang w:val="en-NZ"/>
        </w:rPr>
        <w:t xml:space="preserve"> </w:t>
      </w:r>
      <w:r w:rsidRPr="005D7BA3">
        <w:rPr>
          <w:sz w:val="24"/>
          <w:szCs w:val="24"/>
          <w:lang w:val="en-NZ"/>
        </w:rPr>
        <w:t xml:space="preserve">Please email the notification to: </w:t>
      </w:r>
      <w:hyperlink r:id="rId13" w:history="1">
        <w:r w:rsidR="00902BEE" w:rsidRPr="004F7328">
          <w:rPr>
            <w:rStyle w:val="Hyperlink"/>
            <w:sz w:val="24"/>
            <w:szCs w:val="24"/>
            <w:lang w:val="en-NZ"/>
          </w:rPr>
          <w:t>healthsafety.notification@worksafe.govt.nz</w:t>
        </w:r>
      </w:hyperlink>
      <w:r w:rsidR="00902BEE">
        <w:rPr>
          <w:sz w:val="24"/>
          <w:szCs w:val="24"/>
          <w:lang w:val="en-NZ"/>
        </w:rPr>
        <w:t>.</w:t>
      </w:r>
    </w:p>
    <w:p w14:paraId="047B59F4" w14:textId="7BC64F67" w:rsidR="00BD27FE" w:rsidRPr="00585D41" w:rsidRDefault="00BD27FE" w:rsidP="00DC34DA">
      <w:pPr>
        <w:pStyle w:val="Heading2"/>
        <w:rPr>
          <w:lang w:val="en-NZ"/>
        </w:rPr>
      </w:pPr>
      <w:bookmarkStart w:id="30" w:name="_Toc181101779"/>
      <w:r w:rsidRPr="00585D41">
        <w:rPr>
          <w:lang w:val="en-NZ"/>
        </w:rPr>
        <w:t>F</w:t>
      </w:r>
      <w:r w:rsidR="007F3756" w:rsidRPr="00585D41">
        <w:rPr>
          <w:lang w:val="en-NZ"/>
        </w:rPr>
        <w:t xml:space="preserve">uture </w:t>
      </w:r>
      <w:r w:rsidR="00D2304B" w:rsidRPr="00585D41">
        <w:rPr>
          <w:lang w:val="en-NZ"/>
        </w:rPr>
        <w:t>e</w:t>
      </w:r>
      <w:r w:rsidR="007F3756" w:rsidRPr="00585D41">
        <w:rPr>
          <w:lang w:val="en-NZ"/>
        </w:rPr>
        <w:t xml:space="preserve">xposure </w:t>
      </w:r>
      <w:r w:rsidR="00D2304B" w:rsidRPr="00585D41">
        <w:rPr>
          <w:lang w:val="en-NZ"/>
        </w:rPr>
        <w:t>r</w:t>
      </w:r>
      <w:r w:rsidR="007F3756" w:rsidRPr="00585D41">
        <w:rPr>
          <w:lang w:val="en-NZ"/>
        </w:rPr>
        <w:t xml:space="preserve">isk </w:t>
      </w:r>
      <w:r w:rsidR="00D2304B" w:rsidRPr="00585D41">
        <w:rPr>
          <w:lang w:val="en-NZ"/>
        </w:rPr>
        <w:t>c</w:t>
      </w:r>
      <w:r w:rsidR="007F3756" w:rsidRPr="00585D41">
        <w:rPr>
          <w:lang w:val="en-NZ"/>
        </w:rPr>
        <w:t>haracterisation</w:t>
      </w:r>
      <w:bookmarkEnd w:id="30"/>
    </w:p>
    <w:p w14:paraId="0B3693E0" w14:textId="77777777" w:rsidR="00BD27FE" w:rsidRPr="005D7BA3" w:rsidRDefault="00BD27FE" w:rsidP="00BD27FE">
      <w:pPr>
        <w:rPr>
          <w:sz w:val="24"/>
          <w:szCs w:val="24"/>
          <w:lang w:val="en-NZ"/>
        </w:rPr>
      </w:pPr>
      <w:r w:rsidRPr="005D7BA3">
        <w:rPr>
          <w:sz w:val="24"/>
          <w:szCs w:val="24"/>
          <w:lang w:val="en-NZ"/>
        </w:rPr>
        <w:t>Categorisation of the risk of future HAB exposures at the recreational waterbody is based on the public health case investigation and/or environmental testing.</w:t>
      </w:r>
    </w:p>
    <w:p w14:paraId="47D3AE9F" w14:textId="5577C9A4" w:rsidR="00BD27FE" w:rsidRPr="005D7BA3" w:rsidRDefault="00BD27FE" w:rsidP="00BD27FE">
      <w:pPr>
        <w:rPr>
          <w:sz w:val="24"/>
          <w:szCs w:val="24"/>
          <w:lang w:val="en-NZ"/>
        </w:rPr>
      </w:pPr>
      <w:r w:rsidRPr="005D7BA3">
        <w:rPr>
          <w:sz w:val="24"/>
          <w:szCs w:val="24"/>
          <w:lang w:val="en-NZ"/>
        </w:rPr>
        <w:t xml:space="preserve">Public health </w:t>
      </w:r>
      <w:r w:rsidR="001E350D">
        <w:rPr>
          <w:sz w:val="24"/>
          <w:szCs w:val="24"/>
          <w:lang w:val="en-NZ"/>
        </w:rPr>
        <w:t>officers</w:t>
      </w:r>
      <w:r w:rsidRPr="005D7BA3">
        <w:rPr>
          <w:sz w:val="24"/>
          <w:szCs w:val="24"/>
          <w:lang w:val="en-NZ"/>
        </w:rPr>
        <w:t xml:space="preserve"> should discuss taking </w:t>
      </w:r>
      <w:r w:rsidR="001E350D" w:rsidRPr="005D7BA3">
        <w:rPr>
          <w:sz w:val="24"/>
          <w:szCs w:val="24"/>
          <w:lang w:val="en-NZ"/>
        </w:rPr>
        <w:t xml:space="preserve">immediate </w:t>
      </w:r>
      <w:r w:rsidRPr="005D7BA3">
        <w:rPr>
          <w:sz w:val="24"/>
          <w:szCs w:val="24"/>
          <w:lang w:val="en-NZ"/>
        </w:rPr>
        <w:t>public health management with the medical officer of health if there are any of the following</w:t>
      </w:r>
      <w:r w:rsidR="00AD4F8F">
        <w:rPr>
          <w:sz w:val="24"/>
          <w:szCs w:val="24"/>
          <w:lang w:val="en-NZ"/>
        </w:rPr>
        <w:t>.</w:t>
      </w:r>
    </w:p>
    <w:p w14:paraId="1EDEF716" w14:textId="4EF15DF4" w:rsidR="00BD27FE" w:rsidRPr="005D7BA3" w:rsidRDefault="00BD27FE" w:rsidP="00996BCE">
      <w:pPr>
        <w:pStyle w:val="ListParagraph"/>
        <w:numPr>
          <w:ilvl w:val="1"/>
          <w:numId w:val="30"/>
        </w:numPr>
        <w:ind w:left="426" w:hanging="426"/>
        <w:rPr>
          <w:sz w:val="24"/>
          <w:szCs w:val="24"/>
          <w:lang w:val="en-NZ"/>
        </w:rPr>
      </w:pPr>
      <w:r w:rsidRPr="005D7BA3">
        <w:rPr>
          <w:sz w:val="24"/>
          <w:szCs w:val="24"/>
          <w:lang w:val="en-NZ"/>
        </w:rPr>
        <w:t>The recreational waterbody is the exposure site of a probable or confirmed case of exposure to a HAB without an existing public health warning in place.</w:t>
      </w:r>
    </w:p>
    <w:p w14:paraId="6AB9BAFD" w14:textId="3EA402D8" w:rsidR="00BD27FE" w:rsidRPr="005D7BA3" w:rsidRDefault="00BD27FE" w:rsidP="00996BCE">
      <w:pPr>
        <w:pStyle w:val="ListParagraph"/>
        <w:numPr>
          <w:ilvl w:val="1"/>
          <w:numId w:val="30"/>
        </w:numPr>
        <w:ind w:left="426" w:hanging="426"/>
        <w:rPr>
          <w:sz w:val="24"/>
          <w:szCs w:val="24"/>
          <w:lang w:val="en-NZ"/>
        </w:rPr>
      </w:pPr>
      <w:r w:rsidRPr="005D7BA3">
        <w:rPr>
          <w:sz w:val="24"/>
          <w:szCs w:val="24"/>
          <w:lang w:val="en-NZ"/>
        </w:rPr>
        <w:t>The recreational waterbody is the exposure site of an animal death confirmed as being caused by exposure to a HAB without an existing public health warning in place.</w:t>
      </w:r>
    </w:p>
    <w:p w14:paraId="64AC6BC2" w14:textId="62DD4003" w:rsidR="00141B9B" w:rsidRPr="005D7BA3" w:rsidRDefault="00BD27FE" w:rsidP="00996BCE">
      <w:pPr>
        <w:pStyle w:val="ListParagraph"/>
        <w:numPr>
          <w:ilvl w:val="1"/>
          <w:numId w:val="30"/>
        </w:numPr>
        <w:ind w:left="426" w:hanging="426"/>
        <w:rPr>
          <w:sz w:val="24"/>
          <w:szCs w:val="24"/>
          <w:lang w:val="en-NZ"/>
        </w:rPr>
      </w:pPr>
      <w:r w:rsidRPr="005D7BA3">
        <w:rPr>
          <w:sz w:val="24"/>
          <w:szCs w:val="24"/>
          <w:lang w:val="en-NZ"/>
        </w:rPr>
        <w:t xml:space="preserve">Surveillance and monitoring of the freshwater recreational waterbody shows the threshold for action (red) mode in the </w:t>
      </w:r>
      <w:hyperlink w:anchor="_Alert_Level_Framework" w:history="1">
        <w:r w:rsidR="00623381">
          <w:rPr>
            <w:rStyle w:val="Hyperlink"/>
            <w:sz w:val="24"/>
            <w:szCs w:val="24"/>
            <w:lang w:val="en-NZ"/>
          </w:rPr>
          <w:t>alert level framework</w:t>
        </w:r>
      </w:hyperlink>
      <w:r w:rsidRPr="005D7BA3">
        <w:rPr>
          <w:sz w:val="24"/>
          <w:szCs w:val="24"/>
          <w:lang w:val="en-NZ"/>
        </w:rPr>
        <w:t xml:space="preserve"> is met either by cyanobacterial biovolume, cell concentration of toxin-producing cyanobacteria, cyanotoxin concentrations, consistent scum presence, detaching mats or the percentage of benthic cyanobacteria mat coverage.</w:t>
      </w:r>
    </w:p>
    <w:p w14:paraId="6AD462B6" w14:textId="19D4550C" w:rsidR="00DC34DA" w:rsidRPr="005D7BA3" w:rsidRDefault="00DC34DA">
      <w:pPr>
        <w:rPr>
          <w:sz w:val="24"/>
          <w:szCs w:val="24"/>
          <w:lang w:val="en-NZ"/>
        </w:rPr>
      </w:pPr>
      <w:r w:rsidRPr="005D7BA3">
        <w:rPr>
          <w:sz w:val="24"/>
          <w:szCs w:val="24"/>
          <w:lang w:val="en-NZ"/>
        </w:rPr>
        <w:br w:type="page"/>
      </w:r>
    </w:p>
    <w:p w14:paraId="6ABAC0C7" w14:textId="130EA678" w:rsidR="00DC34DA" w:rsidRPr="00585D41" w:rsidRDefault="00DC34DA" w:rsidP="00496185">
      <w:pPr>
        <w:pStyle w:val="Heading1"/>
        <w:spacing w:line="240" w:lineRule="auto"/>
        <w:rPr>
          <w:sz w:val="44"/>
          <w:szCs w:val="44"/>
          <w:lang w:val="en-NZ"/>
        </w:rPr>
      </w:pPr>
      <w:bookmarkStart w:id="31" w:name="_Toc181101780"/>
      <w:r w:rsidRPr="00585D41">
        <w:rPr>
          <w:sz w:val="44"/>
          <w:szCs w:val="44"/>
          <w:lang w:val="en-NZ"/>
        </w:rPr>
        <w:lastRenderedPageBreak/>
        <w:t>R</w:t>
      </w:r>
      <w:r w:rsidR="00496185" w:rsidRPr="00585D41">
        <w:rPr>
          <w:sz w:val="44"/>
          <w:szCs w:val="44"/>
          <w:lang w:val="en-NZ"/>
        </w:rPr>
        <w:t xml:space="preserve">isk </w:t>
      </w:r>
      <w:r w:rsidR="00D2304B" w:rsidRPr="00585D41">
        <w:rPr>
          <w:sz w:val="44"/>
          <w:szCs w:val="44"/>
          <w:lang w:val="en-NZ"/>
        </w:rPr>
        <w:t>r</w:t>
      </w:r>
      <w:r w:rsidR="00496185" w:rsidRPr="00585D41">
        <w:rPr>
          <w:sz w:val="44"/>
          <w:szCs w:val="44"/>
          <w:lang w:val="en-NZ"/>
        </w:rPr>
        <w:t xml:space="preserve">eduction – </w:t>
      </w:r>
      <w:r w:rsidR="00D2304B" w:rsidRPr="00585D41">
        <w:rPr>
          <w:sz w:val="44"/>
          <w:szCs w:val="44"/>
          <w:lang w:val="en-NZ"/>
        </w:rPr>
        <w:t>i</w:t>
      </w:r>
      <w:r w:rsidR="00496185" w:rsidRPr="00585D41">
        <w:rPr>
          <w:sz w:val="44"/>
          <w:szCs w:val="44"/>
          <w:lang w:val="en-NZ"/>
        </w:rPr>
        <w:t xml:space="preserve">mmediate </w:t>
      </w:r>
      <w:r w:rsidR="00D2304B" w:rsidRPr="00585D41">
        <w:rPr>
          <w:sz w:val="44"/>
          <w:szCs w:val="44"/>
          <w:lang w:val="en-NZ"/>
        </w:rPr>
        <w:t>p</w:t>
      </w:r>
      <w:r w:rsidR="00496185" w:rsidRPr="00585D41">
        <w:rPr>
          <w:sz w:val="44"/>
          <w:szCs w:val="44"/>
          <w:lang w:val="en-NZ"/>
        </w:rPr>
        <w:t xml:space="preserve">ublic </w:t>
      </w:r>
      <w:r w:rsidR="00D2304B" w:rsidRPr="00585D41">
        <w:rPr>
          <w:sz w:val="44"/>
          <w:szCs w:val="44"/>
          <w:lang w:val="en-NZ"/>
        </w:rPr>
        <w:t>h</w:t>
      </w:r>
      <w:r w:rsidR="00496185" w:rsidRPr="00585D41">
        <w:rPr>
          <w:sz w:val="44"/>
          <w:szCs w:val="44"/>
          <w:lang w:val="en-NZ"/>
        </w:rPr>
        <w:t xml:space="preserve">ealth </w:t>
      </w:r>
      <w:r w:rsidR="00D2304B" w:rsidRPr="00585D41">
        <w:rPr>
          <w:sz w:val="44"/>
          <w:szCs w:val="44"/>
          <w:lang w:val="en-NZ"/>
        </w:rPr>
        <w:t>m</w:t>
      </w:r>
      <w:r w:rsidR="00496185" w:rsidRPr="00585D41">
        <w:rPr>
          <w:sz w:val="44"/>
          <w:szCs w:val="44"/>
          <w:lang w:val="en-NZ"/>
        </w:rPr>
        <w:t xml:space="preserve">anagement of </w:t>
      </w:r>
      <w:r w:rsidR="00D2304B" w:rsidRPr="00585D41">
        <w:rPr>
          <w:sz w:val="44"/>
          <w:szCs w:val="44"/>
          <w:lang w:val="en-NZ"/>
        </w:rPr>
        <w:t>r</w:t>
      </w:r>
      <w:r w:rsidR="00496185" w:rsidRPr="00585D41">
        <w:rPr>
          <w:sz w:val="44"/>
          <w:szCs w:val="44"/>
          <w:lang w:val="en-NZ"/>
        </w:rPr>
        <w:t xml:space="preserve">ecreational </w:t>
      </w:r>
      <w:r w:rsidR="00D2304B" w:rsidRPr="00585D41">
        <w:rPr>
          <w:sz w:val="44"/>
          <w:szCs w:val="44"/>
          <w:lang w:val="en-NZ"/>
        </w:rPr>
        <w:t>w</w:t>
      </w:r>
      <w:r w:rsidR="00496185" w:rsidRPr="00585D41">
        <w:rPr>
          <w:sz w:val="44"/>
          <w:szCs w:val="44"/>
          <w:lang w:val="en-NZ"/>
        </w:rPr>
        <w:t xml:space="preserve">ater with a </w:t>
      </w:r>
      <w:r w:rsidR="00D2304B" w:rsidRPr="00585D41">
        <w:rPr>
          <w:sz w:val="44"/>
          <w:szCs w:val="44"/>
          <w:lang w:val="en-NZ"/>
        </w:rPr>
        <w:t>HAB</w:t>
      </w:r>
      <w:bookmarkEnd w:id="31"/>
    </w:p>
    <w:p w14:paraId="5228AE06" w14:textId="2F60A48D" w:rsidR="00DC34DA" w:rsidRPr="00585D41" w:rsidRDefault="00496185" w:rsidP="00DC34DA">
      <w:pPr>
        <w:pStyle w:val="Heading2"/>
        <w:rPr>
          <w:lang w:val="en-NZ"/>
        </w:rPr>
      </w:pPr>
      <w:bookmarkStart w:id="32" w:name="_Alert_Level_Framework"/>
      <w:bookmarkStart w:id="33" w:name="_Toc181101781"/>
      <w:bookmarkEnd w:id="32"/>
      <w:r w:rsidRPr="00585D41">
        <w:rPr>
          <w:lang w:val="en-NZ"/>
        </w:rPr>
        <w:t xml:space="preserve">Alert </w:t>
      </w:r>
      <w:r w:rsidR="00D2304B" w:rsidRPr="00585D41">
        <w:rPr>
          <w:lang w:val="en-NZ"/>
        </w:rPr>
        <w:t>l</w:t>
      </w:r>
      <w:r w:rsidRPr="00585D41">
        <w:rPr>
          <w:lang w:val="en-NZ"/>
        </w:rPr>
        <w:t xml:space="preserve">evel </w:t>
      </w:r>
      <w:r w:rsidR="00D2304B" w:rsidRPr="00585D41">
        <w:rPr>
          <w:lang w:val="en-NZ"/>
        </w:rPr>
        <w:t>f</w:t>
      </w:r>
      <w:r w:rsidRPr="00585D41">
        <w:rPr>
          <w:lang w:val="en-NZ"/>
        </w:rPr>
        <w:t xml:space="preserve">ramework for </w:t>
      </w:r>
      <w:r w:rsidR="00D2304B" w:rsidRPr="00585D41">
        <w:rPr>
          <w:lang w:val="en-NZ"/>
        </w:rPr>
        <w:t>f</w:t>
      </w:r>
      <w:r w:rsidRPr="00585D41">
        <w:rPr>
          <w:lang w:val="en-NZ"/>
        </w:rPr>
        <w:t xml:space="preserve">reshwater </w:t>
      </w:r>
      <w:r w:rsidR="00D2304B" w:rsidRPr="00585D41">
        <w:rPr>
          <w:lang w:val="en-NZ"/>
        </w:rPr>
        <w:t>c</w:t>
      </w:r>
      <w:r w:rsidRPr="00585D41">
        <w:rPr>
          <w:lang w:val="en-NZ"/>
        </w:rPr>
        <w:t>yanobacteria</w:t>
      </w:r>
      <w:bookmarkEnd w:id="33"/>
    </w:p>
    <w:p w14:paraId="7DA90F44" w14:textId="310F3A03" w:rsidR="00DC34DA" w:rsidRPr="005D7BA3" w:rsidRDefault="002A5435" w:rsidP="00DC34DA">
      <w:pPr>
        <w:rPr>
          <w:sz w:val="24"/>
          <w:szCs w:val="24"/>
          <w:lang w:val="en-NZ"/>
        </w:rPr>
      </w:pPr>
      <w:r>
        <w:rPr>
          <w:sz w:val="24"/>
          <w:szCs w:val="24"/>
          <w:lang w:val="en-NZ"/>
        </w:rPr>
        <w:t>New Zealand</w:t>
      </w:r>
      <w:r w:rsidR="00924905">
        <w:rPr>
          <w:sz w:val="24"/>
          <w:szCs w:val="24"/>
          <w:lang w:val="en-NZ"/>
        </w:rPr>
        <w:t xml:space="preserve"> </w:t>
      </w:r>
      <w:r w:rsidR="00DC34DA" w:rsidRPr="005D7BA3">
        <w:rPr>
          <w:sz w:val="24"/>
          <w:szCs w:val="24"/>
          <w:lang w:val="en-NZ"/>
        </w:rPr>
        <w:t xml:space="preserve">guidance uses three </w:t>
      </w:r>
      <w:r w:rsidR="00E651BD" w:rsidRPr="005D7BA3">
        <w:rPr>
          <w:sz w:val="24"/>
          <w:szCs w:val="24"/>
          <w:lang w:val="en-NZ"/>
        </w:rPr>
        <w:t xml:space="preserve">separate </w:t>
      </w:r>
      <w:r w:rsidR="00DC34DA" w:rsidRPr="005D7BA3">
        <w:rPr>
          <w:sz w:val="24"/>
          <w:szCs w:val="24"/>
          <w:lang w:val="en-NZ"/>
        </w:rPr>
        <w:t xml:space="preserve">tier alert-level frameworks for planktonic and benthic cyanobacteria documented in detail in the </w:t>
      </w:r>
      <w:r w:rsidR="00DC34DA" w:rsidRPr="00F26450">
        <w:rPr>
          <w:i/>
          <w:iCs/>
          <w:sz w:val="24"/>
          <w:szCs w:val="24"/>
          <w:lang w:val="en-NZ"/>
        </w:rPr>
        <w:t>New Zealand Guidelines for Cyanobacteria in Recreational Fresh Waters</w:t>
      </w:r>
      <w:r w:rsidR="00DC34DA" w:rsidRPr="005D7BA3">
        <w:rPr>
          <w:sz w:val="24"/>
          <w:szCs w:val="24"/>
          <w:lang w:val="en-NZ"/>
        </w:rPr>
        <w:t xml:space="preserve"> (Ministry for the Environment &amp; Ministry of Health 2009). The frameworks define increased frequencies of monitoring for increasing potential exposure risk, as well as defining thresholds for additional public health actions such as risk communication.</w:t>
      </w:r>
    </w:p>
    <w:p w14:paraId="59BBA3E7" w14:textId="13E04979" w:rsidR="00DC34DA" w:rsidRPr="005D7BA3" w:rsidRDefault="00DC34DA" w:rsidP="00996BCE">
      <w:pPr>
        <w:pStyle w:val="ListParagraph"/>
        <w:numPr>
          <w:ilvl w:val="1"/>
          <w:numId w:val="30"/>
        </w:numPr>
        <w:ind w:left="426" w:hanging="426"/>
        <w:rPr>
          <w:sz w:val="24"/>
          <w:szCs w:val="24"/>
          <w:lang w:val="en-NZ"/>
        </w:rPr>
      </w:pPr>
      <w:r w:rsidRPr="003A7BAC">
        <w:rPr>
          <w:b/>
          <w:bCs/>
          <w:sz w:val="24"/>
          <w:szCs w:val="24"/>
          <w:lang w:val="en-NZ"/>
        </w:rPr>
        <w:t>Green: Surveillance mode</w:t>
      </w:r>
      <w:r w:rsidRPr="005D7BA3">
        <w:rPr>
          <w:sz w:val="24"/>
          <w:szCs w:val="24"/>
          <w:lang w:val="en-NZ"/>
        </w:rPr>
        <w:t xml:space="preserve"> </w:t>
      </w:r>
      <w:r w:rsidR="000210D2">
        <w:rPr>
          <w:sz w:val="24"/>
          <w:szCs w:val="24"/>
          <w:lang w:val="en-NZ"/>
        </w:rPr>
        <w:t>–</w:t>
      </w:r>
      <w:r w:rsidRPr="005D7BA3">
        <w:rPr>
          <w:sz w:val="24"/>
          <w:szCs w:val="24"/>
          <w:lang w:val="en-NZ"/>
        </w:rPr>
        <w:t xml:space="preserve"> weekly or fortnightly visual inspections and sampling of water bodies where cyanobacteria are known to proliferate between spring and autumn.</w:t>
      </w:r>
    </w:p>
    <w:p w14:paraId="0E8BCD08" w14:textId="52D1FA69" w:rsidR="00DC34DA" w:rsidRPr="005D7BA3" w:rsidRDefault="00DC34DA" w:rsidP="00996BCE">
      <w:pPr>
        <w:pStyle w:val="ListParagraph"/>
        <w:numPr>
          <w:ilvl w:val="1"/>
          <w:numId w:val="30"/>
        </w:numPr>
        <w:ind w:left="426" w:hanging="426"/>
        <w:rPr>
          <w:sz w:val="24"/>
          <w:szCs w:val="24"/>
          <w:lang w:val="en-NZ"/>
        </w:rPr>
      </w:pPr>
      <w:r w:rsidRPr="003A7BAC">
        <w:rPr>
          <w:b/>
          <w:bCs/>
          <w:sz w:val="24"/>
          <w:szCs w:val="24"/>
          <w:lang w:val="en-NZ"/>
        </w:rPr>
        <w:t>Amber: Alert mode</w:t>
      </w:r>
      <w:r w:rsidRPr="005D7BA3">
        <w:rPr>
          <w:sz w:val="24"/>
          <w:szCs w:val="24"/>
          <w:lang w:val="en-NZ"/>
        </w:rPr>
        <w:t xml:space="preserve"> </w:t>
      </w:r>
      <w:r w:rsidR="000210D2">
        <w:rPr>
          <w:sz w:val="24"/>
          <w:szCs w:val="24"/>
          <w:lang w:val="en-NZ"/>
        </w:rPr>
        <w:t>–</w:t>
      </w:r>
      <w:r w:rsidRPr="005D7BA3">
        <w:rPr>
          <w:sz w:val="24"/>
          <w:szCs w:val="24"/>
          <w:lang w:val="en-NZ"/>
        </w:rPr>
        <w:t xml:space="preserve"> requires notification to and consultation with the </w:t>
      </w:r>
      <w:r w:rsidR="00D81382">
        <w:rPr>
          <w:sz w:val="24"/>
          <w:szCs w:val="24"/>
          <w:lang w:val="en-NZ"/>
        </w:rPr>
        <w:t>local office of the National P</w:t>
      </w:r>
      <w:r w:rsidRPr="005D7BA3">
        <w:rPr>
          <w:sz w:val="24"/>
          <w:szCs w:val="24"/>
          <w:lang w:val="en-NZ"/>
        </w:rPr>
        <w:t xml:space="preserve">ublic </w:t>
      </w:r>
      <w:r w:rsidR="00D81382">
        <w:rPr>
          <w:sz w:val="24"/>
          <w:szCs w:val="24"/>
          <w:lang w:val="en-NZ"/>
        </w:rPr>
        <w:t>H</w:t>
      </w:r>
      <w:r w:rsidRPr="005D7BA3">
        <w:rPr>
          <w:sz w:val="24"/>
          <w:szCs w:val="24"/>
          <w:lang w:val="en-NZ"/>
        </w:rPr>
        <w:t xml:space="preserve">ealth </w:t>
      </w:r>
      <w:r w:rsidR="00D81382">
        <w:rPr>
          <w:sz w:val="24"/>
          <w:szCs w:val="24"/>
          <w:lang w:val="en-NZ"/>
        </w:rPr>
        <w:t>Service</w:t>
      </w:r>
      <w:r w:rsidRPr="005D7BA3">
        <w:rPr>
          <w:sz w:val="24"/>
          <w:szCs w:val="24"/>
          <w:lang w:val="en-NZ"/>
        </w:rPr>
        <w:t xml:space="preserve"> and other stakeholders, and increased frequency of sampling, to at least weekly across multiple sites.</w:t>
      </w:r>
    </w:p>
    <w:p w14:paraId="244565E7" w14:textId="30315E68" w:rsidR="00DC34DA" w:rsidRPr="005D7BA3" w:rsidRDefault="00DC34DA" w:rsidP="00996BCE">
      <w:pPr>
        <w:pStyle w:val="ListParagraph"/>
        <w:numPr>
          <w:ilvl w:val="1"/>
          <w:numId w:val="30"/>
        </w:numPr>
        <w:ind w:left="426" w:hanging="426"/>
        <w:rPr>
          <w:sz w:val="24"/>
          <w:szCs w:val="24"/>
          <w:lang w:val="en-NZ"/>
        </w:rPr>
      </w:pPr>
      <w:r w:rsidRPr="000313FC">
        <w:rPr>
          <w:b/>
          <w:bCs/>
          <w:sz w:val="24"/>
          <w:szCs w:val="24"/>
          <w:lang w:val="en-NZ"/>
        </w:rPr>
        <w:t>Red: Action mode</w:t>
      </w:r>
      <w:r w:rsidRPr="005D7BA3">
        <w:rPr>
          <w:sz w:val="24"/>
          <w:szCs w:val="24"/>
          <w:lang w:val="en-NZ"/>
        </w:rPr>
        <w:t xml:space="preserve"> </w:t>
      </w:r>
      <w:r w:rsidR="000210D2">
        <w:rPr>
          <w:sz w:val="24"/>
          <w:szCs w:val="24"/>
          <w:lang w:val="en-NZ"/>
        </w:rPr>
        <w:t>–</w:t>
      </w:r>
      <w:r w:rsidRPr="005D7BA3">
        <w:rPr>
          <w:sz w:val="24"/>
          <w:szCs w:val="24"/>
          <w:lang w:val="en-NZ"/>
        </w:rPr>
        <w:t xml:space="preserve"> contact with the specified recreational water should be avoided and the public are notified of a potential risk to health from exposure to the recreational water. Monitoring continues and if potentially toxic cyanobacterial taxa are present, testing for cyanotoxins is considered (Ministry for the Environment &amp; Ministry of Health 2009; World Health Organization 2021).</w:t>
      </w:r>
    </w:p>
    <w:p w14:paraId="15631906" w14:textId="77777777" w:rsidR="00DC34DA" w:rsidRPr="005D7BA3" w:rsidRDefault="00DC34DA" w:rsidP="00DC34DA">
      <w:pPr>
        <w:rPr>
          <w:sz w:val="24"/>
          <w:szCs w:val="24"/>
          <w:lang w:val="en-NZ"/>
        </w:rPr>
      </w:pPr>
      <w:r w:rsidRPr="005D7BA3">
        <w:rPr>
          <w:sz w:val="24"/>
          <w:szCs w:val="24"/>
          <w:lang w:val="en-NZ"/>
        </w:rPr>
        <w:t>For benthic cyanobacteria, the potential recreational exposure risk is assessed by measuring the percentage of benthic mat covering the riverbed or the presence of detached mats.</w:t>
      </w:r>
    </w:p>
    <w:p w14:paraId="15C3C74F" w14:textId="77777777" w:rsidR="00DC34DA" w:rsidRPr="005D7BA3" w:rsidRDefault="00DC34DA" w:rsidP="00DC34DA">
      <w:pPr>
        <w:rPr>
          <w:sz w:val="24"/>
          <w:szCs w:val="24"/>
          <w:lang w:val="en-NZ"/>
        </w:rPr>
      </w:pPr>
      <w:r w:rsidRPr="005D7BA3">
        <w:rPr>
          <w:sz w:val="24"/>
          <w:szCs w:val="24"/>
          <w:lang w:val="en-NZ"/>
        </w:rPr>
        <w:t>For planktonic cyanobacteria, action mode red alert levels are determined by any of the following ways: cell concentration thresholds for toxin producing cyanobacteria, total biovolume of all cyanobacteria, cyanotoxin concentration thresholds, or consistent cyanobacteria scums.</w:t>
      </w:r>
    </w:p>
    <w:p w14:paraId="12C1EA28" w14:textId="70FF8309" w:rsidR="00DC34DA" w:rsidRPr="005D7BA3" w:rsidRDefault="00DC34DA" w:rsidP="00DC34DA">
      <w:pPr>
        <w:rPr>
          <w:sz w:val="24"/>
          <w:szCs w:val="24"/>
          <w:lang w:val="en-NZ"/>
        </w:rPr>
      </w:pPr>
      <w:r w:rsidRPr="005D7BA3">
        <w:rPr>
          <w:sz w:val="24"/>
          <w:szCs w:val="24"/>
          <w:lang w:val="en-NZ"/>
        </w:rPr>
        <w:t>Biotoxin concentration thresholds are based on the 2020 World Health Organi</w:t>
      </w:r>
      <w:r w:rsidR="005A4286">
        <w:rPr>
          <w:sz w:val="24"/>
          <w:szCs w:val="24"/>
          <w:lang w:val="en-NZ"/>
        </w:rPr>
        <w:t>z</w:t>
      </w:r>
      <w:r w:rsidRPr="005D7BA3">
        <w:rPr>
          <w:sz w:val="24"/>
          <w:szCs w:val="24"/>
          <w:lang w:val="en-NZ"/>
        </w:rPr>
        <w:t>ation guideline values for cyanotoxins in recreational waters (anatoxins, cylindrospermopsins, microcystins and saxitoxins). The WHO recreational guideline values are based on a worst</w:t>
      </w:r>
      <w:r w:rsidR="00CF0790">
        <w:rPr>
          <w:sz w:val="24"/>
          <w:szCs w:val="24"/>
          <w:lang w:val="en-NZ"/>
        </w:rPr>
        <w:t>-</w:t>
      </w:r>
      <w:r w:rsidRPr="005D7BA3">
        <w:rPr>
          <w:sz w:val="24"/>
          <w:szCs w:val="24"/>
          <w:lang w:val="en-NZ"/>
        </w:rPr>
        <w:t>case exposure situation of a 15 kg toddler swallowing 250 mL of water.</w:t>
      </w:r>
    </w:p>
    <w:p w14:paraId="3440CCCF" w14:textId="77777777" w:rsidR="00DC34DA" w:rsidRPr="005D7BA3" w:rsidRDefault="00DC34DA" w:rsidP="00DC34DA">
      <w:pPr>
        <w:rPr>
          <w:sz w:val="24"/>
          <w:szCs w:val="24"/>
          <w:lang w:val="en-NZ"/>
        </w:rPr>
      </w:pPr>
      <w:r w:rsidRPr="005D7BA3">
        <w:rPr>
          <w:sz w:val="24"/>
          <w:szCs w:val="24"/>
          <w:lang w:val="en-NZ"/>
        </w:rPr>
        <w:t>Other local criteria may also be established to contribute to the alert level framework such as prolonged time (weeks) between flushing flows in rivers and low river flows.</w:t>
      </w:r>
    </w:p>
    <w:p w14:paraId="417948CB" w14:textId="35B1809F" w:rsidR="00496185" w:rsidRPr="005D7BA3" w:rsidRDefault="00DC34DA">
      <w:pPr>
        <w:rPr>
          <w:b/>
          <w:bCs/>
          <w:color w:val="15284C"/>
          <w:sz w:val="24"/>
          <w:szCs w:val="24"/>
          <w:lang w:val="en-NZ"/>
        </w:rPr>
      </w:pPr>
      <w:r w:rsidRPr="005D7BA3">
        <w:rPr>
          <w:sz w:val="24"/>
          <w:szCs w:val="24"/>
          <w:lang w:val="en-NZ"/>
        </w:rPr>
        <w:t xml:space="preserve">The frameworks can be used for routine monitoring of HABs or unexpected detection of blooms. Cases of cyanobacterial poisoning where clinical history and or </w:t>
      </w:r>
      <w:r w:rsidRPr="005D7BA3">
        <w:rPr>
          <w:sz w:val="24"/>
          <w:szCs w:val="24"/>
          <w:lang w:val="en-NZ"/>
        </w:rPr>
        <w:lastRenderedPageBreak/>
        <w:t>environmental investigation ascertain relevant cyanobacterial exposure will also trigger action to prevent further exposures.</w:t>
      </w:r>
    </w:p>
    <w:p w14:paraId="216402C2" w14:textId="76BE6E0B" w:rsidR="00DC34DA" w:rsidRPr="00723B38" w:rsidRDefault="00DC34DA" w:rsidP="00DC34DA">
      <w:pPr>
        <w:pStyle w:val="Heading2"/>
        <w:rPr>
          <w:lang w:val="en-NZ"/>
        </w:rPr>
      </w:pPr>
      <w:bookmarkStart w:id="34" w:name="_Toc181101782"/>
      <w:r w:rsidRPr="00723B38">
        <w:rPr>
          <w:lang w:val="en-NZ"/>
        </w:rPr>
        <w:t>M</w:t>
      </w:r>
      <w:r w:rsidR="00496185" w:rsidRPr="00723B38">
        <w:rPr>
          <w:lang w:val="en-NZ"/>
        </w:rPr>
        <w:t xml:space="preserve">arine </w:t>
      </w:r>
      <w:r w:rsidR="00D2304B" w:rsidRPr="00723B38">
        <w:rPr>
          <w:lang w:val="en-NZ"/>
        </w:rPr>
        <w:t>r</w:t>
      </w:r>
      <w:r w:rsidR="00496185" w:rsidRPr="00723B38">
        <w:rPr>
          <w:lang w:val="en-NZ"/>
        </w:rPr>
        <w:t xml:space="preserve">ecreational </w:t>
      </w:r>
      <w:r w:rsidR="00D2304B" w:rsidRPr="00723B38">
        <w:rPr>
          <w:lang w:val="en-NZ"/>
        </w:rPr>
        <w:t>w</w:t>
      </w:r>
      <w:r w:rsidR="00496185" w:rsidRPr="00723B38">
        <w:rPr>
          <w:lang w:val="en-NZ"/>
        </w:rPr>
        <w:t>ater</w:t>
      </w:r>
      <w:bookmarkEnd w:id="34"/>
    </w:p>
    <w:p w14:paraId="14CA8979" w14:textId="77777777" w:rsidR="00DC34DA" w:rsidRPr="005D7BA3" w:rsidRDefault="00DC34DA" w:rsidP="00DC34DA">
      <w:pPr>
        <w:rPr>
          <w:sz w:val="24"/>
          <w:szCs w:val="24"/>
          <w:lang w:val="en-NZ"/>
        </w:rPr>
      </w:pPr>
      <w:r w:rsidRPr="005D7BA3">
        <w:rPr>
          <w:sz w:val="24"/>
          <w:szCs w:val="24"/>
          <w:lang w:val="en-NZ"/>
        </w:rPr>
        <w:t>There is no alert level framework for HABs in recreational marine water to guide safe swimming.</w:t>
      </w:r>
    </w:p>
    <w:p w14:paraId="390894E4" w14:textId="023329F3" w:rsidR="00DC34DA" w:rsidRPr="005D7BA3" w:rsidRDefault="00DC34DA" w:rsidP="00DC34DA">
      <w:pPr>
        <w:rPr>
          <w:sz w:val="24"/>
          <w:szCs w:val="24"/>
          <w:lang w:val="en-NZ"/>
        </w:rPr>
      </w:pPr>
      <w:r w:rsidRPr="005D7BA3">
        <w:rPr>
          <w:sz w:val="24"/>
          <w:szCs w:val="24"/>
          <w:lang w:val="en-NZ"/>
        </w:rPr>
        <w:t xml:space="preserve">MPI test shellfish and seawater for toxic algae every week from popular shellfish gathering areas around </w:t>
      </w:r>
      <w:r w:rsidR="002A5435">
        <w:rPr>
          <w:sz w:val="24"/>
          <w:szCs w:val="24"/>
          <w:lang w:val="en-NZ"/>
        </w:rPr>
        <w:t>New Zealand</w:t>
      </w:r>
      <w:r w:rsidR="00BC0BD3">
        <w:rPr>
          <w:sz w:val="24"/>
          <w:szCs w:val="24"/>
          <w:lang w:val="en-NZ"/>
        </w:rPr>
        <w:t xml:space="preserve"> </w:t>
      </w:r>
      <w:r w:rsidRPr="005D7BA3">
        <w:rPr>
          <w:sz w:val="24"/>
          <w:szCs w:val="24"/>
          <w:lang w:val="en-NZ"/>
        </w:rPr>
        <w:t>as the greatest public health risks from marine HABs are via seafood. If the shellfish are not safe to eat, MPI issue public health warnings and put up signs at affected beaches (Ministry for Primary Industries 2022b).</w:t>
      </w:r>
    </w:p>
    <w:p w14:paraId="1944AF92" w14:textId="5DC832A1" w:rsidR="00DC34DA" w:rsidRPr="005D7BA3" w:rsidRDefault="00DC34DA" w:rsidP="00DC34DA">
      <w:pPr>
        <w:rPr>
          <w:sz w:val="24"/>
          <w:szCs w:val="24"/>
          <w:lang w:val="en-NZ"/>
        </w:rPr>
      </w:pPr>
      <w:r w:rsidRPr="005D7BA3">
        <w:rPr>
          <w:sz w:val="24"/>
          <w:szCs w:val="24"/>
          <w:lang w:val="en-NZ"/>
        </w:rPr>
        <w:t>MPI set toxigenic phytoplankton levels in seawater that trigger testing of commercial bivalve molluscan shellfish (Ministry for Primary Industries 2022a).</w:t>
      </w:r>
    </w:p>
    <w:p w14:paraId="356CC8C4" w14:textId="476A98C5" w:rsidR="00DC34DA" w:rsidRPr="00723B38" w:rsidRDefault="00496185" w:rsidP="00DC34DA">
      <w:pPr>
        <w:pStyle w:val="Heading2"/>
        <w:rPr>
          <w:lang w:val="en-NZ"/>
        </w:rPr>
      </w:pPr>
      <w:bookmarkStart w:id="35" w:name="_Toc181101783"/>
      <w:r w:rsidRPr="00723B38">
        <w:rPr>
          <w:lang w:val="en-NZ"/>
        </w:rPr>
        <w:t xml:space="preserve">Activating a </w:t>
      </w:r>
      <w:r w:rsidR="00D2304B" w:rsidRPr="00723B38">
        <w:rPr>
          <w:lang w:val="en-NZ"/>
        </w:rPr>
        <w:t>p</w:t>
      </w:r>
      <w:r w:rsidRPr="00723B38">
        <w:rPr>
          <w:lang w:val="en-NZ"/>
        </w:rPr>
        <w:t xml:space="preserve">ublic </w:t>
      </w:r>
      <w:r w:rsidR="001A0A2F" w:rsidRPr="00723B38">
        <w:rPr>
          <w:lang w:val="en-NZ"/>
        </w:rPr>
        <w:t>h</w:t>
      </w:r>
      <w:r w:rsidRPr="00723B38">
        <w:rPr>
          <w:lang w:val="en-NZ"/>
        </w:rPr>
        <w:t xml:space="preserve">ealth </w:t>
      </w:r>
      <w:r w:rsidR="001A0A2F" w:rsidRPr="00723B38">
        <w:rPr>
          <w:lang w:val="en-NZ"/>
        </w:rPr>
        <w:t>a</w:t>
      </w:r>
      <w:r w:rsidRPr="00723B38">
        <w:rPr>
          <w:lang w:val="en-NZ"/>
        </w:rPr>
        <w:t xml:space="preserve">lert – </w:t>
      </w:r>
      <w:r w:rsidR="001A0A2F" w:rsidRPr="00723B38">
        <w:rPr>
          <w:lang w:val="en-NZ"/>
        </w:rPr>
        <w:t>c</w:t>
      </w:r>
      <w:r w:rsidRPr="00723B38">
        <w:rPr>
          <w:lang w:val="en-NZ"/>
        </w:rPr>
        <w:t xml:space="preserve">ommunicating the </w:t>
      </w:r>
      <w:r w:rsidR="001A0A2F" w:rsidRPr="00723B38">
        <w:rPr>
          <w:lang w:val="en-NZ"/>
        </w:rPr>
        <w:t>p</w:t>
      </w:r>
      <w:r w:rsidRPr="00723B38">
        <w:rPr>
          <w:lang w:val="en-NZ"/>
        </w:rPr>
        <w:t xml:space="preserve">ublic </w:t>
      </w:r>
      <w:r w:rsidR="001A0A2F" w:rsidRPr="00723B38">
        <w:rPr>
          <w:lang w:val="en-NZ"/>
        </w:rPr>
        <w:t>h</w:t>
      </w:r>
      <w:r w:rsidRPr="00723B38">
        <w:rPr>
          <w:lang w:val="en-NZ"/>
        </w:rPr>
        <w:t xml:space="preserve">ealth </w:t>
      </w:r>
      <w:r w:rsidR="001A0A2F" w:rsidRPr="00723B38">
        <w:rPr>
          <w:lang w:val="en-NZ"/>
        </w:rPr>
        <w:t>r</w:t>
      </w:r>
      <w:r w:rsidRPr="00723B38">
        <w:rPr>
          <w:lang w:val="en-NZ"/>
        </w:rPr>
        <w:t>isk</w:t>
      </w:r>
      <w:bookmarkEnd w:id="35"/>
    </w:p>
    <w:p w14:paraId="295ECB2A" w14:textId="1552E682" w:rsidR="00DC34DA" w:rsidRPr="005D7BA3" w:rsidRDefault="00DC34DA" w:rsidP="00DC34DA">
      <w:pPr>
        <w:rPr>
          <w:sz w:val="24"/>
          <w:szCs w:val="24"/>
          <w:lang w:val="en-NZ"/>
        </w:rPr>
      </w:pPr>
      <w:r w:rsidRPr="005D7BA3">
        <w:rPr>
          <w:sz w:val="24"/>
          <w:szCs w:val="24"/>
          <w:lang w:val="en-NZ"/>
        </w:rPr>
        <w:t>If the public health risk assessment based on the case investigation of an exposed person to a HAB or monitoring of recreational water finds HAB levels meet the threshold for (red) action mode in the alert level framework, then it is vital to communicate the health risk to the public as well as hapū and iwi in a timely way.</w:t>
      </w:r>
    </w:p>
    <w:p w14:paraId="34A4DA6F" w14:textId="2861D4FB" w:rsidR="00DC34DA" w:rsidRPr="005D7BA3" w:rsidRDefault="00DC34DA" w:rsidP="00DC34DA">
      <w:pPr>
        <w:rPr>
          <w:sz w:val="24"/>
          <w:szCs w:val="24"/>
          <w:lang w:val="en-NZ"/>
        </w:rPr>
      </w:pPr>
      <w:r w:rsidRPr="005D7BA3">
        <w:rPr>
          <w:sz w:val="24"/>
          <w:szCs w:val="24"/>
          <w:lang w:val="en-NZ"/>
        </w:rPr>
        <w:t xml:space="preserve">The roles and responsibilities </w:t>
      </w:r>
      <w:r w:rsidR="00123DAC">
        <w:rPr>
          <w:sz w:val="24"/>
          <w:szCs w:val="24"/>
          <w:lang w:val="en-NZ"/>
        </w:rPr>
        <w:t>section of th</w:t>
      </w:r>
      <w:r w:rsidR="00723B38">
        <w:rPr>
          <w:sz w:val="24"/>
          <w:szCs w:val="24"/>
          <w:lang w:val="en-NZ"/>
        </w:rPr>
        <w:t>ese</w:t>
      </w:r>
      <w:r w:rsidR="00123DAC">
        <w:rPr>
          <w:sz w:val="24"/>
          <w:szCs w:val="24"/>
          <w:lang w:val="en-NZ"/>
        </w:rPr>
        <w:t xml:space="preserve"> guid</w:t>
      </w:r>
      <w:r w:rsidR="00723B38">
        <w:rPr>
          <w:sz w:val="24"/>
          <w:szCs w:val="24"/>
          <w:lang w:val="en-NZ"/>
        </w:rPr>
        <w:t>elines</w:t>
      </w:r>
      <w:r w:rsidR="00123DAC">
        <w:rPr>
          <w:sz w:val="24"/>
          <w:szCs w:val="24"/>
          <w:lang w:val="en-NZ"/>
        </w:rPr>
        <w:t xml:space="preserve"> </w:t>
      </w:r>
      <w:r w:rsidRPr="005D7BA3">
        <w:rPr>
          <w:sz w:val="24"/>
          <w:szCs w:val="24"/>
          <w:lang w:val="en-NZ"/>
        </w:rPr>
        <w:t xml:space="preserve">outlines the roles of the </w:t>
      </w:r>
      <w:r w:rsidR="00A12025">
        <w:rPr>
          <w:sz w:val="24"/>
          <w:szCs w:val="24"/>
          <w:lang w:val="en-NZ"/>
        </w:rPr>
        <w:t>public health officers in the National Public Health Service</w:t>
      </w:r>
      <w:r w:rsidRPr="005D7BA3">
        <w:rPr>
          <w:sz w:val="24"/>
          <w:szCs w:val="24"/>
          <w:lang w:val="en-NZ"/>
        </w:rPr>
        <w:t>, territorial authorit</w:t>
      </w:r>
      <w:r w:rsidR="005C2630">
        <w:rPr>
          <w:sz w:val="24"/>
          <w:szCs w:val="24"/>
          <w:lang w:val="en-NZ"/>
        </w:rPr>
        <w:t xml:space="preserve">ies, and </w:t>
      </w:r>
      <w:r w:rsidRPr="005D7BA3">
        <w:rPr>
          <w:sz w:val="24"/>
          <w:szCs w:val="24"/>
          <w:lang w:val="en-NZ"/>
        </w:rPr>
        <w:t>regional council, all of whom engage with their local rūnanga or hapū or iwi regarding HABs.</w:t>
      </w:r>
    </w:p>
    <w:p w14:paraId="335C9570" w14:textId="77777777" w:rsidR="00DC34DA" w:rsidRPr="00723B38" w:rsidRDefault="00DC34DA" w:rsidP="00DC34DA">
      <w:pPr>
        <w:pStyle w:val="Heading3"/>
        <w:rPr>
          <w:lang w:val="en-NZ"/>
        </w:rPr>
      </w:pPr>
      <w:r w:rsidRPr="00723B38">
        <w:rPr>
          <w:lang w:val="en-NZ"/>
        </w:rPr>
        <w:t>Engagement with iwi and hapū</w:t>
      </w:r>
    </w:p>
    <w:p w14:paraId="1E816A3D" w14:textId="77777777" w:rsidR="00AA0995" w:rsidRDefault="00DC34DA" w:rsidP="00DC34DA">
      <w:pPr>
        <w:rPr>
          <w:sz w:val="24"/>
          <w:szCs w:val="24"/>
          <w:lang w:val="en-NZ"/>
        </w:rPr>
      </w:pPr>
      <w:r w:rsidRPr="005D7BA3">
        <w:rPr>
          <w:sz w:val="24"/>
          <w:szCs w:val="24"/>
          <w:lang w:val="en-NZ"/>
        </w:rPr>
        <w:t>Discuss the health risks and risk mitigation of HABs through existing relationships with the local rūnanga. Te Arawhiti have some useful resources for crown engagement with Māori.</w:t>
      </w:r>
      <w:r w:rsidR="00225FEE">
        <w:rPr>
          <w:sz w:val="24"/>
          <w:szCs w:val="24"/>
          <w:lang w:val="en-NZ"/>
        </w:rPr>
        <w:t xml:space="preserve"> Items to discuss (</w:t>
      </w:r>
      <w:r w:rsidR="00AA0995">
        <w:rPr>
          <w:sz w:val="24"/>
          <w:szCs w:val="24"/>
          <w:lang w:val="en-NZ"/>
        </w:rPr>
        <w:t>as part of these existing relationships) could include:</w:t>
      </w:r>
    </w:p>
    <w:p w14:paraId="01DDBD9C" w14:textId="4C346D29" w:rsidR="00DC34DA" w:rsidRDefault="00E57169" w:rsidP="00AA0995">
      <w:pPr>
        <w:pStyle w:val="ListParagraph"/>
        <w:numPr>
          <w:ilvl w:val="0"/>
          <w:numId w:val="43"/>
        </w:numPr>
        <w:rPr>
          <w:sz w:val="24"/>
          <w:szCs w:val="24"/>
          <w:lang w:val="en-NZ"/>
        </w:rPr>
      </w:pPr>
      <w:r>
        <w:rPr>
          <w:sz w:val="24"/>
          <w:szCs w:val="24"/>
          <w:lang w:val="en-NZ"/>
        </w:rPr>
        <w:t xml:space="preserve">Do they want to be </w:t>
      </w:r>
      <w:r w:rsidR="00CC5E7C">
        <w:rPr>
          <w:sz w:val="24"/>
          <w:szCs w:val="24"/>
          <w:lang w:val="en-NZ"/>
        </w:rPr>
        <w:t>informed</w:t>
      </w:r>
      <w:r>
        <w:rPr>
          <w:sz w:val="24"/>
          <w:szCs w:val="24"/>
          <w:lang w:val="en-NZ"/>
        </w:rPr>
        <w:t xml:space="preserve"> when a case has been </w:t>
      </w:r>
      <w:r w:rsidR="00EB766B">
        <w:rPr>
          <w:sz w:val="24"/>
          <w:szCs w:val="24"/>
          <w:lang w:val="en-NZ"/>
        </w:rPr>
        <w:t>confirmed</w:t>
      </w:r>
      <w:r w:rsidR="00123DAC">
        <w:rPr>
          <w:sz w:val="24"/>
          <w:szCs w:val="24"/>
          <w:lang w:val="en-NZ"/>
        </w:rPr>
        <w:t>?</w:t>
      </w:r>
    </w:p>
    <w:p w14:paraId="4642AE7E" w14:textId="124C9EC8" w:rsidR="00E57169" w:rsidRDefault="00E57169" w:rsidP="00AA0995">
      <w:pPr>
        <w:pStyle w:val="ListParagraph"/>
        <w:numPr>
          <w:ilvl w:val="0"/>
          <w:numId w:val="43"/>
        </w:numPr>
        <w:rPr>
          <w:sz w:val="24"/>
          <w:szCs w:val="24"/>
          <w:lang w:val="en-NZ"/>
        </w:rPr>
      </w:pPr>
      <w:r>
        <w:rPr>
          <w:sz w:val="24"/>
          <w:szCs w:val="24"/>
          <w:lang w:val="en-NZ"/>
        </w:rPr>
        <w:t>Do they want to be involved in the collection of environmental samples</w:t>
      </w:r>
      <w:r w:rsidR="00EB766B">
        <w:rPr>
          <w:sz w:val="24"/>
          <w:szCs w:val="24"/>
          <w:lang w:val="en-NZ"/>
        </w:rPr>
        <w:t xml:space="preserve"> (if required)</w:t>
      </w:r>
      <w:r w:rsidR="00571AC7">
        <w:rPr>
          <w:sz w:val="24"/>
          <w:szCs w:val="24"/>
          <w:lang w:val="en-NZ"/>
        </w:rPr>
        <w:t>?</w:t>
      </w:r>
    </w:p>
    <w:p w14:paraId="3ADECC58" w14:textId="489B5604" w:rsidR="009D036F" w:rsidRDefault="00037864" w:rsidP="00AA0995">
      <w:pPr>
        <w:pStyle w:val="ListParagraph"/>
        <w:numPr>
          <w:ilvl w:val="0"/>
          <w:numId w:val="43"/>
        </w:numPr>
        <w:rPr>
          <w:sz w:val="24"/>
          <w:szCs w:val="24"/>
          <w:lang w:val="en-NZ"/>
        </w:rPr>
      </w:pPr>
      <w:r>
        <w:rPr>
          <w:sz w:val="24"/>
          <w:szCs w:val="24"/>
          <w:lang w:val="en-NZ"/>
        </w:rPr>
        <w:t>The best way to provide the results and interpretation of them.</w:t>
      </w:r>
    </w:p>
    <w:p w14:paraId="75290DA4" w14:textId="5D356B73" w:rsidR="00037864" w:rsidRPr="00BD7E7F" w:rsidRDefault="00CC5E7C" w:rsidP="00BD7E7F">
      <w:pPr>
        <w:pStyle w:val="ListParagraph"/>
        <w:numPr>
          <w:ilvl w:val="0"/>
          <w:numId w:val="43"/>
        </w:numPr>
        <w:rPr>
          <w:sz w:val="24"/>
          <w:szCs w:val="24"/>
          <w:lang w:val="en-NZ"/>
        </w:rPr>
      </w:pPr>
      <w:r>
        <w:rPr>
          <w:sz w:val="24"/>
          <w:szCs w:val="24"/>
          <w:lang w:val="en-NZ"/>
        </w:rPr>
        <w:t>Agree ways to work in partnership on any response.</w:t>
      </w:r>
    </w:p>
    <w:p w14:paraId="32BFCDEF" w14:textId="77777777" w:rsidR="00DC34DA" w:rsidRPr="00723B38" w:rsidRDefault="00DC34DA" w:rsidP="00DC34DA">
      <w:pPr>
        <w:pStyle w:val="Heading3"/>
        <w:rPr>
          <w:lang w:val="en-NZ"/>
        </w:rPr>
      </w:pPr>
      <w:r w:rsidRPr="00723B38">
        <w:rPr>
          <w:lang w:val="en-NZ"/>
        </w:rPr>
        <w:t>Media release and social media</w:t>
      </w:r>
    </w:p>
    <w:p w14:paraId="034C0F84" w14:textId="20740CD0" w:rsidR="00DC34DA" w:rsidRPr="005D7BA3" w:rsidRDefault="00DC34DA" w:rsidP="00DC34DA">
      <w:pPr>
        <w:rPr>
          <w:sz w:val="24"/>
          <w:szCs w:val="24"/>
          <w:lang w:val="en-NZ"/>
        </w:rPr>
      </w:pPr>
      <w:r w:rsidRPr="005D7BA3">
        <w:rPr>
          <w:sz w:val="24"/>
          <w:szCs w:val="24"/>
          <w:lang w:val="en-NZ"/>
        </w:rPr>
        <w:t>Issue a media release providing information on HABs, their health consequence, what to do if exposed and how to avoid HAB exposure, including advice about food-collection</w:t>
      </w:r>
      <w:r w:rsidR="00571AC7">
        <w:rPr>
          <w:sz w:val="24"/>
          <w:szCs w:val="24"/>
          <w:lang w:val="en-NZ"/>
        </w:rPr>
        <w:t xml:space="preserve"> | </w:t>
      </w:r>
      <w:r w:rsidRPr="005D7BA3">
        <w:rPr>
          <w:sz w:val="24"/>
          <w:szCs w:val="24"/>
          <w:lang w:val="en-NZ"/>
        </w:rPr>
        <w:t xml:space="preserve">mahinga kai and where to find more information. Where available, social media platforms allow the dissemination of public health information to engaged </w:t>
      </w:r>
      <w:r w:rsidRPr="005D7BA3">
        <w:rPr>
          <w:sz w:val="24"/>
          <w:szCs w:val="24"/>
          <w:lang w:val="en-NZ"/>
        </w:rPr>
        <w:lastRenderedPageBreak/>
        <w:t xml:space="preserve">members of the public and provides a convenient opportunity for them to share it with their own networks. Templates for warning signs and media releases are found in the </w:t>
      </w:r>
      <w:r w:rsidRPr="009433F6">
        <w:rPr>
          <w:i/>
          <w:iCs/>
          <w:sz w:val="24"/>
          <w:szCs w:val="24"/>
          <w:lang w:val="en-NZ"/>
        </w:rPr>
        <w:t>N</w:t>
      </w:r>
      <w:r w:rsidR="0069184D" w:rsidRPr="009433F6">
        <w:rPr>
          <w:i/>
          <w:iCs/>
          <w:sz w:val="24"/>
          <w:szCs w:val="24"/>
          <w:lang w:val="en-NZ"/>
        </w:rPr>
        <w:t xml:space="preserve">ew </w:t>
      </w:r>
      <w:r w:rsidRPr="009433F6">
        <w:rPr>
          <w:i/>
          <w:iCs/>
          <w:sz w:val="24"/>
          <w:szCs w:val="24"/>
          <w:lang w:val="en-NZ"/>
        </w:rPr>
        <w:t>Z</w:t>
      </w:r>
      <w:r w:rsidR="0069184D" w:rsidRPr="009433F6">
        <w:rPr>
          <w:i/>
          <w:iCs/>
          <w:sz w:val="24"/>
          <w:szCs w:val="24"/>
          <w:lang w:val="en-NZ"/>
        </w:rPr>
        <w:t xml:space="preserve">ealand </w:t>
      </w:r>
      <w:r w:rsidRPr="009433F6">
        <w:rPr>
          <w:i/>
          <w:iCs/>
          <w:sz w:val="24"/>
          <w:szCs w:val="24"/>
          <w:lang w:val="en-NZ"/>
        </w:rPr>
        <w:t xml:space="preserve">Guidelines for Cyanobacteria in Recreational Fresh Waters </w:t>
      </w:r>
      <w:r w:rsidR="0069184D" w:rsidRPr="0069184D">
        <w:rPr>
          <w:sz w:val="24"/>
          <w:szCs w:val="24"/>
          <w:lang w:val="en-NZ"/>
        </w:rPr>
        <w:t>(Ministry for the Environment &amp; Ministry of Health 2009)</w:t>
      </w:r>
      <w:r w:rsidRPr="0069184D">
        <w:rPr>
          <w:sz w:val="24"/>
          <w:szCs w:val="24"/>
          <w:lang w:val="en-NZ"/>
        </w:rPr>
        <w:t>.</w:t>
      </w:r>
    </w:p>
    <w:p w14:paraId="17FBDC39" w14:textId="77777777" w:rsidR="00DC34DA" w:rsidRPr="00723B38" w:rsidRDefault="00DC34DA" w:rsidP="006B5FB5">
      <w:pPr>
        <w:pStyle w:val="Heading3"/>
        <w:keepNext/>
        <w:rPr>
          <w:lang w:val="en-NZ"/>
        </w:rPr>
      </w:pPr>
      <w:r w:rsidRPr="00723B38">
        <w:rPr>
          <w:lang w:val="en-NZ"/>
        </w:rPr>
        <w:t>Warning signs</w:t>
      </w:r>
    </w:p>
    <w:p w14:paraId="343C4310" w14:textId="77777777" w:rsidR="00DC34DA" w:rsidRPr="005D7BA3" w:rsidRDefault="00DC34DA" w:rsidP="00DC34DA">
      <w:pPr>
        <w:rPr>
          <w:sz w:val="24"/>
          <w:szCs w:val="24"/>
          <w:lang w:val="en-NZ"/>
        </w:rPr>
      </w:pPr>
      <w:r w:rsidRPr="005D7BA3">
        <w:rPr>
          <w:sz w:val="24"/>
          <w:szCs w:val="24"/>
          <w:lang w:val="en-NZ"/>
        </w:rPr>
        <w:t>Temporary health warning signs should be erected at recreational waterbodies with cyanobacteria levels meeting the action mode (red) alert level thresholds.</w:t>
      </w:r>
    </w:p>
    <w:p w14:paraId="2C32C2BC" w14:textId="1F1C5D35" w:rsidR="002A2E3E" w:rsidRDefault="00DC34DA" w:rsidP="00DC34DA">
      <w:pPr>
        <w:rPr>
          <w:sz w:val="24"/>
          <w:szCs w:val="24"/>
          <w:lang w:val="en-NZ"/>
        </w:rPr>
      </w:pPr>
      <w:r w:rsidRPr="005D7BA3">
        <w:rPr>
          <w:sz w:val="24"/>
          <w:szCs w:val="24"/>
          <w:lang w:val="en-NZ"/>
        </w:rPr>
        <w:t xml:space="preserve">Some waterbodies may have a long-term or permanent warning applied to them where there is evidence of frequent HAB activity. It may be useful to think about how to convey long-term warnings </w:t>
      </w:r>
      <w:r w:rsidR="00666A20">
        <w:rPr>
          <w:sz w:val="24"/>
          <w:szCs w:val="24"/>
          <w:lang w:val="en-NZ"/>
        </w:rPr>
        <w:t>so</w:t>
      </w:r>
      <w:r w:rsidRPr="005D7BA3">
        <w:rPr>
          <w:sz w:val="24"/>
          <w:szCs w:val="24"/>
          <w:lang w:val="en-NZ"/>
        </w:rPr>
        <w:t xml:space="preserve"> they remain up to date and are reviewed regularly, for example, by adding dated comments that the warning remains in place. </w:t>
      </w:r>
    </w:p>
    <w:p w14:paraId="06E58AD1" w14:textId="12A3F416" w:rsidR="00DC34DA" w:rsidRPr="005D7BA3" w:rsidRDefault="00DC34DA" w:rsidP="00DC34DA">
      <w:pPr>
        <w:rPr>
          <w:sz w:val="24"/>
          <w:szCs w:val="24"/>
          <w:lang w:val="en-NZ"/>
        </w:rPr>
      </w:pPr>
      <w:r w:rsidRPr="005D7BA3">
        <w:rPr>
          <w:sz w:val="24"/>
          <w:szCs w:val="24"/>
          <w:lang w:val="en-NZ"/>
        </w:rPr>
        <w:t>As HABs can change more rapidly than they may be monitored, it is important that recreational water users know what conditions to avoid when making their own risk assessment</w:t>
      </w:r>
      <w:r w:rsidR="002A2E3E">
        <w:rPr>
          <w:sz w:val="24"/>
          <w:szCs w:val="24"/>
          <w:lang w:val="en-NZ"/>
        </w:rPr>
        <w:t>. F</w:t>
      </w:r>
      <w:r w:rsidRPr="005D7BA3">
        <w:rPr>
          <w:sz w:val="24"/>
          <w:szCs w:val="24"/>
          <w:lang w:val="en-NZ"/>
        </w:rPr>
        <w:t>or example</w:t>
      </w:r>
      <w:r w:rsidR="002A2E3E">
        <w:rPr>
          <w:sz w:val="24"/>
          <w:szCs w:val="24"/>
          <w:lang w:val="en-NZ"/>
        </w:rPr>
        <w:t>,</w:t>
      </w:r>
      <w:r w:rsidRPr="005D7BA3">
        <w:rPr>
          <w:sz w:val="24"/>
          <w:szCs w:val="24"/>
          <w:lang w:val="en-NZ"/>
        </w:rPr>
        <w:t xml:space="preserve"> it is especially important to avoid contact with surface scums as well as algal mats or water with pronounced green turbidity (World Health Organization 2020b).</w:t>
      </w:r>
    </w:p>
    <w:p w14:paraId="4CE724D3" w14:textId="649BE334" w:rsidR="00DC34DA" w:rsidRPr="005D7BA3" w:rsidRDefault="00DC34DA" w:rsidP="00DC34DA">
      <w:pPr>
        <w:rPr>
          <w:sz w:val="24"/>
          <w:szCs w:val="24"/>
          <w:lang w:val="en-NZ"/>
        </w:rPr>
      </w:pPr>
      <w:r w:rsidRPr="005D7BA3">
        <w:rPr>
          <w:sz w:val="24"/>
          <w:szCs w:val="24"/>
          <w:lang w:val="en-NZ"/>
        </w:rPr>
        <w:t>Consider additional communication methods depending on the public health risk and primary users of the waterbody, including telephone messaging, mailbox drops, direct connection with relevant businesses, clubs, and organisations. Consider the cultural safety and accessibility of all communication, including for people with disabilities and people from Culturally and Linguistically Diverse (CALD) communities.</w:t>
      </w:r>
    </w:p>
    <w:p w14:paraId="5A7C91BC" w14:textId="77777777" w:rsidR="00DC34DA" w:rsidRPr="00723B38" w:rsidRDefault="00DC34DA" w:rsidP="00DC34DA">
      <w:pPr>
        <w:pStyle w:val="Heading3"/>
        <w:rPr>
          <w:lang w:val="en-NZ"/>
        </w:rPr>
      </w:pPr>
      <w:r w:rsidRPr="00723B38">
        <w:rPr>
          <w:lang w:val="en-NZ"/>
        </w:rPr>
        <w:t>Communication with primary care</w:t>
      </w:r>
    </w:p>
    <w:p w14:paraId="77EFC664" w14:textId="4677E7DE" w:rsidR="00DC34DA" w:rsidRPr="005D7BA3" w:rsidRDefault="00DC34DA" w:rsidP="00DC34DA">
      <w:pPr>
        <w:rPr>
          <w:sz w:val="24"/>
          <w:szCs w:val="24"/>
          <w:lang w:val="en-NZ"/>
        </w:rPr>
      </w:pPr>
      <w:r w:rsidRPr="005D7BA3">
        <w:rPr>
          <w:sz w:val="24"/>
          <w:szCs w:val="24"/>
          <w:lang w:val="en-NZ"/>
        </w:rPr>
        <w:t xml:space="preserve">In addition to media releases and public signage it is appropriate to provide information to primary care regarding the health consequences of exposure to HABs and information on how to notify public health. Consider issuing communications to primary care at the start of the HAB season or if notified of a probable or suspected case in the local area (World Health Organization 2003). Refer primary care to the Best Practice Advocacy Centre New Zealand (BPAC) guidance </w:t>
      </w:r>
      <w:r w:rsidRPr="00BD7E7F">
        <w:rPr>
          <w:i/>
          <w:iCs/>
          <w:sz w:val="24"/>
          <w:szCs w:val="24"/>
          <w:lang w:val="en-NZ"/>
        </w:rPr>
        <w:t>Consider blue-green algal blooms this summer: Identifying and managing suspected cyanotoxin poisoning in primary care</w:t>
      </w:r>
      <w:r w:rsidRPr="005D7BA3">
        <w:rPr>
          <w:sz w:val="24"/>
          <w:szCs w:val="24"/>
          <w:lang w:val="en-NZ"/>
        </w:rPr>
        <w:t xml:space="preserve"> (BPAC 2020).</w:t>
      </w:r>
    </w:p>
    <w:p w14:paraId="03165855" w14:textId="65B1D068" w:rsidR="00DC34DA" w:rsidRPr="00723B38" w:rsidRDefault="00DC34DA" w:rsidP="00DC34DA">
      <w:pPr>
        <w:pStyle w:val="Heading2"/>
        <w:rPr>
          <w:lang w:val="en-NZ"/>
        </w:rPr>
      </w:pPr>
      <w:bookmarkStart w:id="36" w:name="_Toc181101784"/>
      <w:r w:rsidRPr="00723B38">
        <w:rPr>
          <w:lang w:val="en-NZ"/>
        </w:rPr>
        <w:t>D</w:t>
      </w:r>
      <w:r w:rsidR="00496185" w:rsidRPr="00723B38">
        <w:rPr>
          <w:lang w:val="en-NZ"/>
        </w:rPr>
        <w:t xml:space="preserve">owngrading a </w:t>
      </w:r>
      <w:r w:rsidR="001A0A2F" w:rsidRPr="00723B38">
        <w:rPr>
          <w:lang w:val="en-NZ"/>
        </w:rPr>
        <w:t>p</w:t>
      </w:r>
      <w:r w:rsidR="00496185" w:rsidRPr="00723B38">
        <w:rPr>
          <w:lang w:val="en-NZ"/>
        </w:rPr>
        <w:t xml:space="preserve">ublic </w:t>
      </w:r>
      <w:r w:rsidR="001A0A2F" w:rsidRPr="00723B38">
        <w:rPr>
          <w:lang w:val="en-NZ"/>
        </w:rPr>
        <w:t>h</w:t>
      </w:r>
      <w:r w:rsidR="00496185" w:rsidRPr="00723B38">
        <w:rPr>
          <w:lang w:val="en-NZ"/>
        </w:rPr>
        <w:t xml:space="preserve">ealth </w:t>
      </w:r>
      <w:r w:rsidR="001A0A2F" w:rsidRPr="00723B38">
        <w:rPr>
          <w:lang w:val="en-NZ"/>
        </w:rPr>
        <w:t>a</w:t>
      </w:r>
      <w:r w:rsidR="00496185" w:rsidRPr="00723B38">
        <w:rPr>
          <w:lang w:val="en-NZ"/>
        </w:rPr>
        <w:t>lert</w:t>
      </w:r>
      <w:bookmarkEnd w:id="36"/>
    </w:p>
    <w:p w14:paraId="0B477745" w14:textId="062C49DB" w:rsidR="00DC34DA" w:rsidRPr="005D7BA3" w:rsidRDefault="00DC34DA" w:rsidP="00DC34DA">
      <w:pPr>
        <w:rPr>
          <w:sz w:val="24"/>
          <w:szCs w:val="24"/>
          <w:lang w:val="en-NZ"/>
        </w:rPr>
      </w:pPr>
      <w:r w:rsidRPr="005D7BA3">
        <w:rPr>
          <w:sz w:val="24"/>
          <w:szCs w:val="24"/>
          <w:lang w:val="en-NZ"/>
        </w:rPr>
        <w:t>As well as timely initiation of public health alerts it is prudent to ensure health alerts are rescinded when the public health risk has reduced to surveillance (green) levels as per the alert level framework. Robust monitoring plans are imperative because although there are potential health consequences of HABs, being overcautious with alerts and warnings may lead people to become complacent, resulting in them ignoring warnings (Stewart, Webb, Schluter, Fleming et al 2006).</w:t>
      </w:r>
    </w:p>
    <w:p w14:paraId="266548E3" w14:textId="77777777" w:rsidR="00413F41" w:rsidRDefault="00DC34DA" w:rsidP="00DC34DA">
      <w:pPr>
        <w:rPr>
          <w:sz w:val="24"/>
          <w:szCs w:val="24"/>
          <w:lang w:val="en-NZ"/>
        </w:rPr>
      </w:pPr>
      <w:r w:rsidRPr="005D7BA3">
        <w:rPr>
          <w:sz w:val="24"/>
          <w:szCs w:val="24"/>
          <w:lang w:val="en-NZ"/>
        </w:rPr>
        <w:lastRenderedPageBreak/>
        <w:t>Additionally, there are potential negative heath impacts of people choosing to avoid green and blue spaces based on out-of-date risk communications, as cultural and spiritual connections to natural environments may be impacted. Additionally, avoiding nature can limit the mental health benefits of connections to nature, opportunities for physical activity during outdoor recreation, or participating in income generating activities such as tourism (Carmichael &amp; Boyer 2016; Mackay &amp; Taylor 2020; Martin et al 2020).</w:t>
      </w:r>
    </w:p>
    <w:p w14:paraId="4FB742FF" w14:textId="06CD229B" w:rsidR="00DC34DA" w:rsidRPr="005D7BA3" w:rsidRDefault="00DC34DA" w:rsidP="00DC34DA">
      <w:pPr>
        <w:rPr>
          <w:sz w:val="24"/>
          <w:szCs w:val="24"/>
          <w:lang w:val="en-NZ"/>
        </w:rPr>
      </w:pPr>
      <w:r w:rsidRPr="005D7BA3">
        <w:rPr>
          <w:sz w:val="24"/>
          <w:szCs w:val="24"/>
          <w:lang w:val="en-NZ"/>
        </w:rPr>
        <w:t xml:space="preserve">An American study found that lake visitors were willing to drive long distances to avoid sites with HAB warnings, lasting up to </w:t>
      </w:r>
      <w:r w:rsidR="00413F41">
        <w:rPr>
          <w:sz w:val="24"/>
          <w:szCs w:val="24"/>
          <w:lang w:val="en-NZ"/>
        </w:rPr>
        <w:t xml:space="preserve">six </w:t>
      </w:r>
      <w:r w:rsidRPr="005D7BA3">
        <w:rPr>
          <w:sz w:val="24"/>
          <w:szCs w:val="24"/>
          <w:lang w:val="en-NZ"/>
        </w:rPr>
        <w:t xml:space="preserve">days after warnings were lifted, although avoidance reduced towards </w:t>
      </w:r>
      <w:r w:rsidR="00413F41">
        <w:rPr>
          <w:sz w:val="24"/>
          <w:szCs w:val="24"/>
          <w:lang w:val="en-NZ"/>
        </w:rPr>
        <w:t>six</w:t>
      </w:r>
      <w:r w:rsidR="00413F41" w:rsidRPr="005D7BA3">
        <w:rPr>
          <w:sz w:val="24"/>
          <w:szCs w:val="24"/>
          <w:lang w:val="en-NZ"/>
        </w:rPr>
        <w:t xml:space="preserve"> </w:t>
      </w:r>
      <w:r w:rsidRPr="005D7BA3">
        <w:rPr>
          <w:sz w:val="24"/>
          <w:szCs w:val="24"/>
          <w:lang w:val="en-NZ"/>
        </w:rPr>
        <w:t>days post warnings (Boudreaux et al 2023).</w:t>
      </w:r>
    </w:p>
    <w:p w14:paraId="5C4918CB" w14:textId="77777777" w:rsidR="00151A9A" w:rsidRDefault="00DC34DA">
      <w:pPr>
        <w:rPr>
          <w:sz w:val="24"/>
          <w:szCs w:val="24"/>
          <w:lang w:val="en-NZ"/>
        </w:rPr>
      </w:pPr>
      <w:r w:rsidRPr="005D7BA3">
        <w:rPr>
          <w:sz w:val="24"/>
          <w:szCs w:val="24"/>
          <w:lang w:val="en-NZ"/>
        </w:rPr>
        <w:t>When surveillance and monitoring results indicate a HAB has abated, cyanotoxin testing results can support the decision making and risk assessment when considering downgrading a public health alert. Although cyanotoxin concentrations can change over the duration of a bloom, in slow moving waterbodies, such as lakes, blooms are unlikely to become non-toxic within a few days. Therefore, it is recommended that alert levels should not be reduced until two consecutive results, taken more than seven days apart, from representative samples, have been reviewed (Ministry for the Environment &amp; Ministry of Health 2009).</w:t>
      </w:r>
    </w:p>
    <w:p w14:paraId="65BC9D1E" w14:textId="06B53E29" w:rsidR="00496185" w:rsidRPr="00CC0F9B" w:rsidRDefault="00DC34DA">
      <w:pPr>
        <w:rPr>
          <w:b/>
          <w:bCs/>
          <w:color w:val="15284C"/>
          <w:sz w:val="32"/>
          <w:szCs w:val="32"/>
          <w:lang w:val="en-NZ"/>
        </w:rPr>
      </w:pPr>
      <w:r w:rsidRPr="005D7BA3">
        <w:rPr>
          <w:sz w:val="24"/>
          <w:szCs w:val="24"/>
          <w:lang w:val="en-NZ"/>
        </w:rPr>
        <w:t>Additionally, seek advice from local monitoring experts regarding the monitoring parameters that indicate a HAB and/or HAB biotoxins have reduced to a lower alert level.</w:t>
      </w:r>
    </w:p>
    <w:p w14:paraId="292BA3AB" w14:textId="675CD825" w:rsidR="00DC34DA" w:rsidRPr="00723B38" w:rsidRDefault="00496185" w:rsidP="00DC34DA">
      <w:pPr>
        <w:pStyle w:val="Heading2"/>
        <w:rPr>
          <w:lang w:val="en-NZ"/>
        </w:rPr>
      </w:pPr>
      <w:bookmarkStart w:id="37" w:name="_Toc181101785"/>
      <w:r w:rsidRPr="00723B38">
        <w:rPr>
          <w:lang w:val="en-NZ"/>
        </w:rPr>
        <w:t xml:space="preserve">Surveillance and </w:t>
      </w:r>
      <w:r w:rsidR="001A0A2F" w:rsidRPr="00723B38">
        <w:rPr>
          <w:lang w:val="en-NZ"/>
        </w:rPr>
        <w:t>m</w:t>
      </w:r>
      <w:r w:rsidRPr="00723B38">
        <w:rPr>
          <w:lang w:val="en-NZ"/>
        </w:rPr>
        <w:t xml:space="preserve">onitoring of </w:t>
      </w:r>
      <w:r w:rsidR="001A0A2F" w:rsidRPr="00723B38">
        <w:rPr>
          <w:lang w:val="en-NZ"/>
        </w:rPr>
        <w:t>w</w:t>
      </w:r>
      <w:r w:rsidRPr="00723B38">
        <w:rPr>
          <w:lang w:val="en-NZ"/>
        </w:rPr>
        <w:t>aterbodies</w:t>
      </w:r>
      <w:bookmarkEnd w:id="37"/>
    </w:p>
    <w:p w14:paraId="0AD4AAE2" w14:textId="77777777" w:rsidR="00D14337" w:rsidRDefault="00DC34DA" w:rsidP="00DC34DA">
      <w:pPr>
        <w:rPr>
          <w:sz w:val="24"/>
          <w:szCs w:val="24"/>
          <w:lang w:val="en-NZ"/>
        </w:rPr>
      </w:pPr>
      <w:r w:rsidRPr="005D7BA3">
        <w:rPr>
          <w:sz w:val="24"/>
          <w:szCs w:val="24"/>
          <w:lang w:val="en-NZ"/>
        </w:rPr>
        <w:t xml:space="preserve">Monitoring for HABs in all rivers, lakes, estuaries, and coastlines in </w:t>
      </w:r>
      <w:r w:rsidR="002A5435">
        <w:rPr>
          <w:sz w:val="24"/>
          <w:szCs w:val="24"/>
          <w:lang w:val="en-NZ"/>
        </w:rPr>
        <w:t>New Zealand</w:t>
      </w:r>
      <w:r w:rsidR="00D14337">
        <w:rPr>
          <w:sz w:val="24"/>
          <w:szCs w:val="24"/>
          <w:lang w:val="en-NZ"/>
        </w:rPr>
        <w:t xml:space="preserve"> </w:t>
      </w:r>
      <w:r w:rsidRPr="005D7BA3">
        <w:rPr>
          <w:sz w:val="24"/>
          <w:szCs w:val="24"/>
          <w:lang w:val="en-NZ"/>
        </w:rPr>
        <w:t>would be entirely impractical</w:t>
      </w:r>
      <w:r w:rsidR="006B282E">
        <w:rPr>
          <w:sz w:val="24"/>
          <w:szCs w:val="24"/>
          <w:lang w:val="en-NZ"/>
        </w:rPr>
        <w:t>. Therefore</w:t>
      </w:r>
      <w:r w:rsidRPr="005D7BA3">
        <w:rPr>
          <w:sz w:val="24"/>
          <w:szCs w:val="24"/>
          <w:lang w:val="en-NZ"/>
        </w:rPr>
        <w:t xml:space="preserve">, criteria for monitoring are determined regionally. Regional councils have a responsibility to monitor regularly used recreational </w:t>
      </w:r>
      <w:r w:rsidR="003461F8" w:rsidRPr="005D7BA3">
        <w:rPr>
          <w:sz w:val="24"/>
          <w:szCs w:val="24"/>
          <w:lang w:val="en-NZ"/>
        </w:rPr>
        <w:t>freshwater</w:t>
      </w:r>
      <w:r w:rsidRPr="005D7BA3">
        <w:rPr>
          <w:sz w:val="24"/>
          <w:szCs w:val="24"/>
          <w:lang w:val="en-NZ"/>
        </w:rPr>
        <w:t xml:space="preserve"> bodies for their risk to human health (Ministry for the Environment 2020).</w:t>
      </w:r>
    </w:p>
    <w:p w14:paraId="53D01527" w14:textId="721E5C4F" w:rsidR="00DC34DA" w:rsidRPr="005D7BA3" w:rsidRDefault="00DC34DA" w:rsidP="00DC34DA">
      <w:pPr>
        <w:rPr>
          <w:sz w:val="24"/>
          <w:szCs w:val="24"/>
          <w:lang w:val="en-NZ"/>
        </w:rPr>
      </w:pPr>
      <w:r w:rsidRPr="005D7BA3">
        <w:rPr>
          <w:sz w:val="24"/>
          <w:szCs w:val="24"/>
          <w:lang w:val="en-NZ"/>
        </w:rPr>
        <w:t xml:space="preserve">The </w:t>
      </w:r>
      <w:r w:rsidRPr="00BB36F5">
        <w:rPr>
          <w:i/>
          <w:iCs/>
          <w:sz w:val="24"/>
          <w:szCs w:val="24"/>
          <w:lang w:val="en-NZ"/>
        </w:rPr>
        <w:t>New Zealand Guidelines for Cyanobacteria in Recreational Fresh Waters</w:t>
      </w:r>
      <w:r w:rsidRPr="005D7BA3">
        <w:rPr>
          <w:sz w:val="24"/>
          <w:szCs w:val="24"/>
          <w:lang w:val="en-NZ"/>
        </w:rPr>
        <w:t xml:space="preserve"> recommend that the regional council, territorial authority, and </w:t>
      </w:r>
      <w:r w:rsidR="00BB36F5">
        <w:rPr>
          <w:sz w:val="24"/>
          <w:szCs w:val="24"/>
          <w:lang w:val="en-NZ"/>
        </w:rPr>
        <w:t xml:space="preserve">local </w:t>
      </w:r>
      <w:r w:rsidRPr="005D7BA3">
        <w:rPr>
          <w:sz w:val="24"/>
          <w:szCs w:val="24"/>
          <w:lang w:val="en-NZ"/>
        </w:rPr>
        <w:t xml:space="preserve">public health </w:t>
      </w:r>
      <w:r w:rsidR="00BB36F5">
        <w:rPr>
          <w:sz w:val="24"/>
          <w:szCs w:val="24"/>
          <w:lang w:val="en-NZ"/>
        </w:rPr>
        <w:t xml:space="preserve">service </w:t>
      </w:r>
      <w:r w:rsidRPr="005D7BA3">
        <w:rPr>
          <w:sz w:val="24"/>
          <w:szCs w:val="24"/>
          <w:lang w:val="en-NZ"/>
        </w:rPr>
        <w:t xml:space="preserve">agree and document general areas to be included in routine monitoring programmes in partnership with the local rūnanga (Ministry for the Environment &amp; Ministry of Health 2009). MPI are responsible for monitoring seafood (kai moana) gathering locations. </w:t>
      </w:r>
    </w:p>
    <w:p w14:paraId="34B7A969" w14:textId="77777777" w:rsidR="00663D2B" w:rsidRDefault="00DC34DA" w:rsidP="00DC34DA">
      <w:pPr>
        <w:rPr>
          <w:sz w:val="24"/>
          <w:szCs w:val="24"/>
          <w:lang w:val="en-NZ"/>
        </w:rPr>
      </w:pPr>
      <w:r w:rsidRPr="005D7BA3">
        <w:rPr>
          <w:sz w:val="24"/>
          <w:szCs w:val="24"/>
          <w:lang w:val="en-NZ"/>
        </w:rPr>
        <w:t>HABs are more common in summer</w:t>
      </w:r>
      <w:r w:rsidR="000B58B2">
        <w:rPr>
          <w:sz w:val="24"/>
          <w:szCs w:val="24"/>
          <w:lang w:val="en-NZ"/>
        </w:rPr>
        <w:t>. T</w:t>
      </w:r>
      <w:r w:rsidRPr="005D7BA3">
        <w:rPr>
          <w:sz w:val="24"/>
          <w:szCs w:val="24"/>
          <w:lang w:val="en-NZ"/>
        </w:rPr>
        <w:t>herefore, routine monitoring of water bodies with frequent recreational activity should occur during warmer months and months corresponding with increased recreational activity. Local longer-term HAB trends and results can be useful in determining the seasonal monitoring period.</w:t>
      </w:r>
    </w:p>
    <w:p w14:paraId="70C860B7" w14:textId="11C827BE" w:rsidR="00DC34DA" w:rsidRPr="005D7BA3" w:rsidRDefault="00DC34DA" w:rsidP="00DC34DA">
      <w:pPr>
        <w:rPr>
          <w:sz w:val="24"/>
          <w:szCs w:val="24"/>
          <w:lang w:val="en-NZ"/>
        </w:rPr>
      </w:pPr>
      <w:r w:rsidRPr="005D7BA3">
        <w:rPr>
          <w:sz w:val="24"/>
          <w:szCs w:val="24"/>
          <w:lang w:val="en-NZ"/>
        </w:rPr>
        <w:t xml:space="preserve">The monitoring season may need to be reviewed on a local basis and potentially extended with future climate change induced warmer temperatures. Warmer temperatures may also affect the geographic distribution of waterbodies affected by </w:t>
      </w:r>
      <w:r w:rsidRPr="005D7BA3">
        <w:rPr>
          <w:sz w:val="24"/>
          <w:szCs w:val="24"/>
          <w:lang w:val="en-NZ"/>
        </w:rPr>
        <w:lastRenderedPageBreak/>
        <w:t>HABs, with new waterbodies becoming affected as the climate changes (Puddick, Kelly, et al 2022; Rhodes &amp; Smith 2022).</w:t>
      </w:r>
    </w:p>
    <w:p w14:paraId="3418C27B" w14:textId="77777777" w:rsidR="00663D2B" w:rsidRDefault="00DC34DA" w:rsidP="00DC34DA">
      <w:pPr>
        <w:rPr>
          <w:sz w:val="24"/>
          <w:szCs w:val="24"/>
          <w:lang w:val="en-NZ"/>
        </w:rPr>
      </w:pPr>
      <w:r w:rsidRPr="005D7BA3">
        <w:rPr>
          <w:sz w:val="24"/>
          <w:szCs w:val="24"/>
          <w:lang w:val="en-NZ"/>
        </w:rPr>
        <w:t>Determining monitoring intervals is complex as blooms and benthic proliferations may change rapidly (within days or even hours for surface scums) affecting biotoxin concentrations and therefore changing the health risk</w:t>
      </w:r>
      <w:r w:rsidR="002F6B95">
        <w:rPr>
          <w:sz w:val="24"/>
          <w:szCs w:val="24"/>
          <w:lang w:val="en-NZ"/>
        </w:rPr>
        <w:t>. Therefore,</w:t>
      </w:r>
      <w:r w:rsidRPr="005D7BA3">
        <w:rPr>
          <w:sz w:val="24"/>
          <w:szCs w:val="24"/>
          <w:lang w:val="en-NZ"/>
        </w:rPr>
        <w:t xml:space="preserve"> flexibility is needed to adjust monitoring to respond to environmental conditions (Ministry for the Environment &amp; Ministry of Health 2009).</w:t>
      </w:r>
    </w:p>
    <w:p w14:paraId="52334DBB" w14:textId="46A96895" w:rsidR="00DC34DA" w:rsidRPr="005D7BA3" w:rsidRDefault="00DC34DA" w:rsidP="00DC34DA">
      <w:pPr>
        <w:rPr>
          <w:sz w:val="24"/>
          <w:szCs w:val="24"/>
          <w:lang w:val="en-NZ"/>
        </w:rPr>
      </w:pPr>
      <w:r w:rsidRPr="005D7BA3">
        <w:rPr>
          <w:sz w:val="24"/>
          <w:szCs w:val="24"/>
          <w:lang w:val="en-NZ"/>
        </w:rPr>
        <w:t>Recreational water site visits to conduct visual assessment for turbidity, water discolouration</w:t>
      </w:r>
      <w:r w:rsidR="002F6EAF">
        <w:rPr>
          <w:sz w:val="24"/>
          <w:szCs w:val="24"/>
          <w:lang w:val="en-NZ"/>
        </w:rPr>
        <w:t>,</w:t>
      </w:r>
      <w:r w:rsidRPr="005D7BA3">
        <w:rPr>
          <w:sz w:val="24"/>
          <w:szCs w:val="24"/>
          <w:lang w:val="en-NZ"/>
        </w:rPr>
        <w:t xml:space="preserve"> or scums can trigger increased surveillance and monitoring vigilance if HABs are observed (World Health Organization 2020b). Monitoring programmes should be adaptive, so that sampling and analyses are increased when there is evidence of increasing amounts of harmful algae as per the alert level framework (World Health Organization 2020b).</w:t>
      </w:r>
    </w:p>
    <w:p w14:paraId="1539E583" w14:textId="6C1DFDAF" w:rsidR="00DC34DA" w:rsidRPr="005D7BA3" w:rsidRDefault="00DC34DA" w:rsidP="00DC34DA">
      <w:pPr>
        <w:rPr>
          <w:sz w:val="24"/>
          <w:szCs w:val="24"/>
          <w:lang w:val="en-NZ"/>
        </w:rPr>
      </w:pPr>
      <w:r w:rsidRPr="005D7BA3">
        <w:rPr>
          <w:sz w:val="24"/>
          <w:szCs w:val="24"/>
          <w:lang w:val="en-NZ"/>
        </w:rPr>
        <w:t>Satellite remote sensing of cyanobacteria can augment monitoring programmes especially in areas where there is a need for multiple sampling points. However, there are a range of limitations with satellite imagery</w:t>
      </w:r>
      <w:r w:rsidR="003C1CED">
        <w:rPr>
          <w:sz w:val="24"/>
          <w:szCs w:val="24"/>
          <w:lang w:val="en-NZ"/>
        </w:rPr>
        <w:t>. F</w:t>
      </w:r>
      <w:r w:rsidRPr="005D7BA3">
        <w:rPr>
          <w:sz w:val="24"/>
          <w:szCs w:val="24"/>
          <w:lang w:val="en-NZ"/>
        </w:rPr>
        <w:t>or example, the density of HABs does not necessarily correlate with the amount of toxins in the bloom. Th</w:t>
      </w:r>
      <w:r w:rsidR="00892F83">
        <w:rPr>
          <w:sz w:val="24"/>
          <w:szCs w:val="24"/>
          <w:lang w:val="en-NZ"/>
        </w:rPr>
        <w:t>erefore</w:t>
      </w:r>
      <w:r w:rsidRPr="005D7BA3">
        <w:rPr>
          <w:sz w:val="24"/>
          <w:szCs w:val="24"/>
          <w:lang w:val="en-NZ"/>
        </w:rPr>
        <w:t>, it is important that satellite results are validated with field measurements (Chorus &amp; Welker 2021; Von Tress et al 2021; Whitman et al 2022).</w:t>
      </w:r>
    </w:p>
    <w:p w14:paraId="69269F9D" w14:textId="77777777" w:rsidR="00DC34DA" w:rsidRPr="00723B38" w:rsidRDefault="00DC34DA" w:rsidP="006B5FB5">
      <w:pPr>
        <w:pStyle w:val="Heading3"/>
        <w:keepNext/>
        <w:rPr>
          <w:lang w:val="en-NZ"/>
        </w:rPr>
      </w:pPr>
      <w:r w:rsidRPr="00723B38">
        <w:rPr>
          <w:lang w:val="en-NZ"/>
        </w:rPr>
        <w:t>Public information about monitoring</w:t>
      </w:r>
    </w:p>
    <w:p w14:paraId="09C63FC0" w14:textId="7DC9440A" w:rsidR="00DC34DA" w:rsidRPr="005D7BA3" w:rsidRDefault="00DC34DA" w:rsidP="00DC34DA">
      <w:pPr>
        <w:rPr>
          <w:sz w:val="24"/>
          <w:szCs w:val="24"/>
          <w:lang w:val="en-NZ"/>
        </w:rPr>
      </w:pPr>
      <w:r w:rsidRPr="005D7BA3">
        <w:rPr>
          <w:sz w:val="24"/>
          <w:szCs w:val="24"/>
          <w:lang w:val="en-NZ"/>
        </w:rPr>
        <w:t>LAWA</w:t>
      </w:r>
      <w:r w:rsidR="005769BA">
        <w:rPr>
          <w:sz w:val="24"/>
          <w:szCs w:val="24"/>
          <w:lang w:val="en-NZ"/>
        </w:rPr>
        <w:t xml:space="preserve"> </w:t>
      </w:r>
      <w:r w:rsidRPr="005D7BA3">
        <w:rPr>
          <w:sz w:val="24"/>
          <w:szCs w:val="24"/>
          <w:lang w:val="en-NZ"/>
        </w:rPr>
        <w:t>provide</w:t>
      </w:r>
      <w:r w:rsidR="005769BA">
        <w:rPr>
          <w:sz w:val="24"/>
          <w:szCs w:val="24"/>
          <w:lang w:val="en-NZ"/>
        </w:rPr>
        <w:t>s</w:t>
      </w:r>
      <w:r w:rsidRPr="005D7BA3">
        <w:rPr>
          <w:sz w:val="24"/>
          <w:szCs w:val="24"/>
          <w:lang w:val="en-NZ"/>
        </w:rPr>
        <w:t xml:space="preserve"> a useful website (</w:t>
      </w:r>
      <w:hyperlink r:id="rId14" w:history="1">
        <w:r w:rsidR="00B07773" w:rsidRPr="004F7328">
          <w:rPr>
            <w:rStyle w:val="Hyperlink"/>
            <w:sz w:val="24"/>
            <w:szCs w:val="24"/>
            <w:lang w:val="en-NZ"/>
          </w:rPr>
          <w:t>www.lawa.org.nz</w:t>
        </w:r>
      </w:hyperlink>
      <w:r w:rsidRPr="005D7BA3">
        <w:rPr>
          <w:sz w:val="24"/>
          <w:szCs w:val="24"/>
          <w:lang w:val="en-NZ"/>
        </w:rPr>
        <w:t>) which documents weekly summer monitoring results and the long-term water quality status of common swimming sites in New Zealand. Some councils may also report monitoring data on their own websites.</w:t>
      </w:r>
    </w:p>
    <w:p w14:paraId="158869F1" w14:textId="77777777" w:rsidR="00DC34DA" w:rsidRPr="00723B38" w:rsidRDefault="00DC34DA" w:rsidP="00DC34DA">
      <w:pPr>
        <w:pStyle w:val="Heading3"/>
        <w:rPr>
          <w:lang w:val="en-NZ"/>
        </w:rPr>
      </w:pPr>
      <w:r w:rsidRPr="00723B38">
        <w:rPr>
          <w:lang w:val="en-NZ"/>
        </w:rPr>
        <w:t>Caveats</w:t>
      </w:r>
    </w:p>
    <w:p w14:paraId="2D54F714" w14:textId="509D06CF" w:rsidR="00DC34DA" w:rsidRDefault="00DC34DA" w:rsidP="00DC34DA">
      <w:pPr>
        <w:rPr>
          <w:sz w:val="24"/>
          <w:szCs w:val="24"/>
          <w:lang w:val="en-NZ"/>
        </w:rPr>
      </w:pPr>
      <w:r w:rsidRPr="005D7BA3">
        <w:rPr>
          <w:sz w:val="24"/>
          <w:szCs w:val="24"/>
          <w:lang w:val="en-NZ"/>
        </w:rPr>
        <w:t>Monitoring and surveillance do not guarantee a body of water is safe for recreation, as localised sites are assessed rather than the entire waterbody</w:t>
      </w:r>
      <w:r w:rsidR="00C24AD3">
        <w:rPr>
          <w:sz w:val="24"/>
          <w:szCs w:val="24"/>
          <w:lang w:val="en-NZ"/>
        </w:rPr>
        <w:t>. A</w:t>
      </w:r>
      <w:r w:rsidRPr="005D7BA3">
        <w:rPr>
          <w:sz w:val="24"/>
          <w:szCs w:val="24"/>
          <w:lang w:val="en-NZ"/>
        </w:rPr>
        <w:t xml:space="preserve">lgal bloom and cyanotoxin activity can change between monitoring intervals and other (unmonitored) environmental hazards may exist (Australian Government 2008). </w:t>
      </w:r>
      <w:r w:rsidR="000F5283">
        <w:rPr>
          <w:sz w:val="24"/>
          <w:szCs w:val="24"/>
          <w:lang w:val="en-NZ"/>
        </w:rPr>
        <w:t>Additionally</w:t>
      </w:r>
      <w:r w:rsidRPr="005D7BA3">
        <w:rPr>
          <w:sz w:val="24"/>
          <w:szCs w:val="24"/>
          <w:lang w:val="en-NZ"/>
        </w:rPr>
        <w:t>, absence of reported HABs may be due to a lack of monitoring rather than the absence of HABs and absence of reported health symptoms associated with HABs may be due to under reporting rather than absence of HAB exposure related illness.</w:t>
      </w:r>
    </w:p>
    <w:p w14:paraId="674CE179" w14:textId="6E7D262B" w:rsidR="003C6D56" w:rsidRDefault="003C6D56">
      <w:pPr>
        <w:rPr>
          <w:sz w:val="24"/>
          <w:szCs w:val="24"/>
          <w:lang w:val="en-NZ"/>
        </w:rPr>
      </w:pPr>
      <w:r>
        <w:rPr>
          <w:sz w:val="24"/>
          <w:szCs w:val="24"/>
          <w:lang w:val="en-NZ"/>
        </w:rPr>
        <w:br w:type="page"/>
      </w:r>
    </w:p>
    <w:p w14:paraId="613FADD6" w14:textId="23B87BFE" w:rsidR="00DC34DA" w:rsidRPr="00723B38" w:rsidRDefault="00DC34DA" w:rsidP="00496185">
      <w:pPr>
        <w:pStyle w:val="Heading1"/>
        <w:spacing w:line="240" w:lineRule="auto"/>
        <w:rPr>
          <w:sz w:val="44"/>
          <w:szCs w:val="44"/>
          <w:lang w:val="en-NZ"/>
        </w:rPr>
      </w:pPr>
      <w:bookmarkStart w:id="38" w:name="_Toc181101786"/>
      <w:r w:rsidRPr="00723B38">
        <w:rPr>
          <w:sz w:val="44"/>
          <w:szCs w:val="44"/>
          <w:lang w:val="en-NZ"/>
        </w:rPr>
        <w:lastRenderedPageBreak/>
        <w:t>R</w:t>
      </w:r>
      <w:r w:rsidR="00496185" w:rsidRPr="00723B38">
        <w:rPr>
          <w:sz w:val="44"/>
          <w:szCs w:val="44"/>
          <w:lang w:val="en-NZ"/>
        </w:rPr>
        <w:t xml:space="preserve">isk </w:t>
      </w:r>
      <w:r w:rsidR="001A0A2F" w:rsidRPr="00723B38">
        <w:rPr>
          <w:sz w:val="44"/>
          <w:szCs w:val="44"/>
          <w:lang w:val="en-NZ"/>
        </w:rPr>
        <w:t>r</w:t>
      </w:r>
      <w:r w:rsidR="00496185" w:rsidRPr="00723B38">
        <w:rPr>
          <w:sz w:val="44"/>
          <w:szCs w:val="44"/>
          <w:lang w:val="en-NZ"/>
        </w:rPr>
        <w:t xml:space="preserve">eduction – </w:t>
      </w:r>
      <w:r w:rsidR="001A0A2F" w:rsidRPr="00723B38">
        <w:rPr>
          <w:sz w:val="44"/>
          <w:szCs w:val="44"/>
          <w:lang w:val="en-NZ"/>
        </w:rPr>
        <w:t>l</w:t>
      </w:r>
      <w:r w:rsidR="00496185" w:rsidRPr="00723B38">
        <w:rPr>
          <w:sz w:val="44"/>
          <w:szCs w:val="44"/>
          <w:lang w:val="en-NZ"/>
        </w:rPr>
        <w:t xml:space="preserve">onger-term </w:t>
      </w:r>
      <w:r w:rsidR="001A0A2F" w:rsidRPr="00723B38">
        <w:rPr>
          <w:sz w:val="44"/>
          <w:szCs w:val="44"/>
          <w:lang w:val="en-NZ"/>
        </w:rPr>
        <w:t>p</w:t>
      </w:r>
      <w:r w:rsidR="00496185" w:rsidRPr="00723B38">
        <w:rPr>
          <w:sz w:val="44"/>
          <w:szCs w:val="44"/>
          <w:lang w:val="en-NZ"/>
        </w:rPr>
        <w:t xml:space="preserve">ublic </w:t>
      </w:r>
      <w:r w:rsidR="001A0A2F" w:rsidRPr="00723B38">
        <w:rPr>
          <w:sz w:val="44"/>
          <w:szCs w:val="44"/>
          <w:lang w:val="en-NZ"/>
        </w:rPr>
        <w:t>h</w:t>
      </w:r>
      <w:r w:rsidR="00496185" w:rsidRPr="00723B38">
        <w:rPr>
          <w:sz w:val="44"/>
          <w:szCs w:val="44"/>
          <w:lang w:val="en-NZ"/>
        </w:rPr>
        <w:t xml:space="preserve">ealth </w:t>
      </w:r>
      <w:r w:rsidR="001A0A2F" w:rsidRPr="00723B38">
        <w:rPr>
          <w:sz w:val="44"/>
          <w:szCs w:val="44"/>
          <w:lang w:val="en-NZ"/>
        </w:rPr>
        <w:t>r</w:t>
      </w:r>
      <w:r w:rsidR="00496185" w:rsidRPr="00723B38">
        <w:rPr>
          <w:sz w:val="44"/>
          <w:szCs w:val="44"/>
          <w:lang w:val="en-NZ"/>
        </w:rPr>
        <w:t xml:space="preserve">isk </w:t>
      </w:r>
      <w:r w:rsidR="001A0A2F" w:rsidRPr="00723B38">
        <w:rPr>
          <w:sz w:val="44"/>
          <w:szCs w:val="44"/>
          <w:lang w:val="en-NZ"/>
        </w:rPr>
        <w:t>m</w:t>
      </w:r>
      <w:r w:rsidR="00496185" w:rsidRPr="00723B38">
        <w:rPr>
          <w:sz w:val="44"/>
          <w:szCs w:val="44"/>
          <w:lang w:val="en-NZ"/>
        </w:rPr>
        <w:t>anagement</w:t>
      </w:r>
      <w:bookmarkEnd w:id="38"/>
    </w:p>
    <w:p w14:paraId="2F0A862D" w14:textId="2FEF6CE1" w:rsidR="00DC34DA" w:rsidRPr="005D7BA3" w:rsidRDefault="00DC34DA" w:rsidP="00DC34DA">
      <w:pPr>
        <w:rPr>
          <w:sz w:val="24"/>
          <w:szCs w:val="24"/>
          <w:lang w:val="en-NZ"/>
        </w:rPr>
      </w:pPr>
      <w:r w:rsidRPr="005D7BA3">
        <w:rPr>
          <w:sz w:val="24"/>
          <w:szCs w:val="24"/>
          <w:lang w:val="en-NZ"/>
        </w:rPr>
        <w:t xml:space="preserve">The </w:t>
      </w:r>
      <w:r w:rsidRPr="00BD7E7F">
        <w:rPr>
          <w:i/>
          <w:iCs/>
          <w:sz w:val="24"/>
          <w:szCs w:val="24"/>
          <w:lang w:val="en-NZ"/>
        </w:rPr>
        <w:t>National Policy Statement for Freshwater Management 2020</w:t>
      </w:r>
      <w:r w:rsidRPr="005D7BA3">
        <w:rPr>
          <w:sz w:val="24"/>
          <w:szCs w:val="24"/>
          <w:lang w:val="en-NZ"/>
        </w:rPr>
        <w:t xml:space="preserve"> (Amended December 2022) sets out targets for improving the proportions of specified rivers and lakes that are suitable for recreational activities. This includes targets for reducing the concentration of biovolume of all cyanobacteria and potentially toxic cyanobacteria. There are also targets for volume of algae, periphyton</w:t>
      </w:r>
      <w:r w:rsidR="00AD79DC">
        <w:rPr>
          <w:sz w:val="24"/>
          <w:szCs w:val="24"/>
          <w:lang w:val="en-NZ"/>
        </w:rPr>
        <w:t>,</w:t>
      </w:r>
      <w:r w:rsidRPr="005D7BA3">
        <w:rPr>
          <w:sz w:val="24"/>
          <w:szCs w:val="24"/>
          <w:lang w:val="en-NZ"/>
        </w:rPr>
        <w:t xml:space="preserve"> and phytoplankton. Additionally, regional councils may impose conditions on resource consents to achieve targets (Ministry for the Environment 2020).</w:t>
      </w:r>
    </w:p>
    <w:p w14:paraId="41CA4117" w14:textId="06BDF711" w:rsidR="00DC34DA" w:rsidRPr="005D7BA3" w:rsidRDefault="00DC34DA" w:rsidP="00DC34DA">
      <w:pPr>
        <w:rPr>
          <w:sz w:val="24"/>
          <w:szCs w:val="24"/>
          <w:lang w:val="en-NZ"/>
        </w:rPr>
      </w:pPr>
      <w:r w:rsidRPr="005D7BA3">
        <w:rPr>
          <w:sz w:val="24"/>
          <w:szCs w:val="24"/>
          <w:lang w:val="en-NZ"/>
        </w:rPr>
        <w:t xml:space="preserve">To reduce HAB occurrence and the potential for human exposure and adverse health outcomes, it is essential to prevent anthropogenic acceleration of HABs. Public health </w:t>
      </w:r>
      <w:r w:rsidR="00006001">
        <w:rPr>
          <w:sz w:val="24"/>
          <w:szCs w:val="24"/>
          <w:lang w:val="en-NZ"/>
        </w:rPr>
        <w:t>officers</w:t>
      </w:r>
      <w:r w:rsidRPr="005D7BA3">
        <w:rPr>
          <w:sz w:val="24"/>
          <w:szCs w:val="24"/>
          <w:lang w:val="en-NZ"/>
        </w:rPr>
        <w:t xml:space="preserve"> can advocate for health promoting environmental management strategies and collaborate or provide advice</w:t>
      </w:r>
      <w:r w:rsidR="0069524A">
        <w:rPr>
          <w:sz w:val="24"/>
          <w:szCs w:val="24"/>
          <w:lang w:val="en-NZ"/>
        </w:rPr>
        <w:t xml:space="preserve"> or </w:t>
      </w:r>
      <w:r w:rsidRPr="005D7BA3">
        <w:rPr>
          <w:sz w:val="24"/>
          <w:szCs w:val="24"/>
          <w:lang w:val="en-NZ"/>
        </w:rPr>
        <w:t>submit on environmental policy and regional council’s long-term plans.</w:t>
      </w:r>
    </w:p>
    <w:p w14:paraId="215E20A8" w14:textId="77777777" w:rsidR="00925021" w:rsidRDefault="00DC34DA" w:rsidP="00DC34DA">
      <w:pPr>
        <w:rPr>
          <w:sz w:val="24"/>
          <w:szCs w:val="24"/>
          <w:lang w:val="en-NZ"/>
        </w:rPr>
      </w:pPr>
      <w:r w:rsidRPr="005D7BA3">
        <w:rPr>
          <w:sz w:val="24"/>
          <w:szCs w:val="24"/>
          <w:lang w:val="en-NZ"/>
        </w:rPr>
        <w:t>Long-term river catchment management is a key solution to reduce HABs. It is important to reduce nutrient and sediment runoff from land entering waterways to prevent eutrophication and subsequent HAB proliferation. In general, reducing nutrient loads entering waterways can be addressed by avoiding excessive use of fertilisers and manure on agricultural land within the catchments and maintaining riparian vegetation to provide shade (block light) and reduce soil erosion into waterways. It is also important to remove nitrogen and phosphorus and treat sewage before it enters waterways (Chorus &amp; Welker 2021; Water NSW 2022; World Health Organization 2021).</w:t>
      </w:r>
    </w:p>
    <w:p w14:paraId="072FF9E8" w14:textId="40BC072A" w:rsidR="00DC34DA" w:rsidRPr="005D7BA3" w:rsidRDefault="00DC34DA" w:rsidP="00DC34DA">
      <w:pPr>
        <w:rPr>
          <w:sz w:val="24"/>
          <w:szCs w:val="24"/>
          <w:lang w:val="en-NZ"/>
        </w:rPr>
      </w:pPr>
      <w:r w:rsidRPr="005D7BA3">
        <w:rPr>
          <w:sz w:val="24"/>
          <w:szCs w:val="24"/>
          <w:lang w:val="en-NZ"/>
        </w:rPr>
        <w:t>Implementation and monitoring of integrated coastal management plans can be useful levers to control nutrient discharges into marine environments (Australian Government 2008). Additionally, climate change mitigation is vitally important for a myriad of health and ecological reasons, including that warming temperatures are likely to promote HAB proliferation (World Health Organization 2021).</w:t>
      </w:r>
    </w:p>
    <w:p w14:paraId="04B3698D" w14:textId="77777777" w:rsidR="00FA18CD" w:rsidRDefault="00DC34DA" w:rsidP="00DC34DA">
      <w:pPr>
        <w:rPr>
          <w:sz w:val="24"/>
          <w:szCs w:val="24"/>
          <w:lang w:val="en-NZ"/>
        </w:rPr>
      </w:pPr>
      <w:r w:rsidRPr="005D7BA3">
        <w:rPr>
          <w:sz w:val="24"/>
          <w:szCs w:val="24"/>
          <w:lang w:val="en-NZ"/>
        </w:rPr>
        <w:t xml:space="preserve">It is useful to understand the local species and human factors driving proliferation of HABs to address them. Seeking appropriate expertise should be included in catchment management plans. </w:t>
      </w:r>
      <w:r w:rsidR="00BF55E9">
        <w:rPr>
          <w:sz w:val="24"/>
          <w:szCs w:val="24"/>
          <w:lang w:val="en-NZ"/>
        </w:rPr>
        <w:t>Additionally</w:t>
      </w:r>
      <w:r w:rsidRPr="005D7BA3">
        <w:rPr>
          <w:sz w:val="24"/>
          <w:szCs w:val="24"/>
          <w:lang w:val="en-NZ"/>
        </w:rPr>
        <w:t>, every local authority must actively involve tangata whenua (to the extent they wish to be involved) in freshwater management and giving effect to Te Mana o te Wai (Ministry for the Environment 2020).</w:t>
      </w:r>
    </w:p>
    <w:p w14:paraId="3DCFFBB3" w14:textId="086BB4BF" w:rsidR="003C6D56" w:rsidRDefault="00DC34DA">
      <w:pPr>
        <w:rPr>
          <w:sz w:val="24"/>
          <w:szCs w:val="24"/>
          <w:lang w:val="en-NZ"/>
        </w:rPr>
      </w:pPr>
      <w:r w:rsidRPr="005D7BA3">
        <w:rPr>
          <w:sz w:val="24"/>
          <w:szCs w:val="24"/>
          <w:lang w:val="en-NZ"/>
        </w:rPr>
        <w:t xml:space="preserve">One example of a tool that may facilitate a shared understanding of water </w:t>
      </w:r>
      <w:r w:rsidR="003461F8" w:rsidRPr="005D7BA3">
        <w:rPr>
          <w:sz w:val="24"/>
          <w:szCs w:val="24"/>
          <w:lang w:val="en-NZ"/>
        </w:rPr>
        <w:t>management</w:t>
      </w:r>
      <w:r w:rsidRPr="005D7BA3">
        <w:rPr>
          <w:sz w:val="24"/>
          <w:szCs w:val="24"/>
          <w:lang w:val="en-NZ"/>
        </w:rPr>
        <w:t xml:space="preserve"> is The Cultural Health Index (CHI) for rivers and streams. The CHI is a tool that is based on mātauranga Māori and cultural values that Māori can use to assess and manage waterways in their area. The CHI can provide a framework by which iwi can communicate with water managers in a way that can be understood and integrated into environmental management processes (Tipa &amp; Teirney 2006a, 2006b).</w:t>
      </w:r>
      <w:r w:rsidR="003C6D56">
        <w:rPr>
          <w:sz w:val="24"/>
          <w:szCs w:val="24"/>
          <w:lang w:val="en-NZ"/>
        </w:rPr>
        <w:br w:type="page"/>
      </w:r>
    </w:p>
    <w:p w14:paraId="53FBB6CB" w14:textId="502BFCEB" w:rsidR="00DC34DA" w:rsidRPr="00723B38" w:rsidRDefault="006B4004" w:rsidP="00BE6F03">
      <w:pPr>
        <w:pStyle w:val="Heading1"/>
        <w:rPr>
          <w:sz w:val="44"/>
          <w:szCs w:val="44"/>
          <w:lang w:val="en-NZ"/>
        </w:rPr>
      </w:pPr>
      <w:bookmarkStart w:id="39" w:name="_Toc181101787"/>
      <w:r w:rsidRPr="00723B38">
        <w:rPr>
          <w:sz w:val="44"/>
          <w:szCs w:val="44"/>
          <w:lang w:val="en-NZ"/>
        </w:rPr>
        <w:lastRenderedPageBreak/>
        <w:t xml:space="preserve">Roles and </w:t>
      </w:r>
      <w:r w:rsidR="001A0A2F" w:rsidRPr="00723B38">
        <w:rPr>
          <w:sz w:val="44"/>
          <w:szCs w:val="44"/>
          <w:lang w:val="en-NZ"/>
        </w:rPr>
        <w:t>r</w:t>
      </w:r>
      <w:r w:rsidRPr="00723B38">
        <w:rPr>
          <w:sz w:val="44"/>
          <w:szCs w:val="44"/>
          <w:lang w:val="en-NZ"/>
        </w:rPr>
        <w:t>esponsibilities</w:t>
      </w:r>
      <w:bookmarkEnd w:id="39"/>
    </w:p>
    <w:p w14:paraId="31BC03B6" w14:textId="3B875E84" w:rsidR="00126DCC" w:rsidRPr="00FC5A07" w:rsidRDefault="00126DCC" w:rsidP="002A5435">
      <w:pPr>
        <w:pStyle w:val="Heading2"/>
        <w:rPr>
          <w:lang w:val="en-GB"/>
        </w:rPr>
      </w:pPr>
      <w:bookmarkStart w:id="40" w:name="_Toc181101788"/>
      <w:r w:rsidRPr="00FC5A07">
        <w:rPr>
          <w:lang w:val="en-GB"/>
        </w:rPr>
        <w:t>Local authorities</w:t>
      </w:r>
      <w:bookmarkEnd w:id="40"/>
      <w:r w:rsidRPr="00FC5A07">
        <w:rPr>
          <w:lang w:val="en-GB"/>
        </w:rPr>
        <w:t xml:space="preserve"> </w:t>
      </w:r>
    </w:p>
    <w:p w14:paraId="497358D4" w14:textId="282A8A7C" w:rsidR="00C757EF" w:rsidRPr="00FF2AE7" w:rsidRDefault="00C757EF" w:rsidP="00FF2AE7">
      <w:pPr>
        <w:rPr>
          <w:sz w:val="24"/>
          <w:szCs w:val="24"/>
          <w:lang w:val="en-NZ"/>
        </w:rPr>
      </w:pPr>
      <w:r w:rsidRPr="00FF2AE7">
        <w:rPr>
          <w:sz w:val="24"/>
          <w:szCs w:val="24"/>
          <w:lang w:val="en-NZ"/>
        </w:rPr>
        <w:t>Local Authorities are territorial authorities, regional councils</w:t>
      </w:r>
      <w:r w:rsidR="00081FC9">
        <w:rPr>
          <w:sz w:val="24"/>
          <w:szCs w:val="24"/>
          <w:lang w:val="en-NZ"/>
        </w:rPr>
        <w:t>,</w:t>
      </w:r>
      <w:r w:rsidRPr="00FF2AE7">
        <w:rPr>
          <w:sz w:val="24"/>
          <w:szCs w:val="24"/>
          <w:lang w:val="en-NZ"/>
        </w:rPr>
        <w:t xml:space="preserve"> and unitary authorities. Section 35 of the Resource Management Act 1991 (RMA) outlines the duties of local authorities to gather information, monitor, and keep records</w:t>
      </w:r>
      <w:r w:rsidR="00182744">
        <w:rPr>
          <w:sz w:val="24"/>
          <w:szCs w:val="24"/>
          <w:lang w:val="en-NZ"/>
        </w:rPr>
        <w:t xml:space="preserve">.  </w:t>
      </w:r>
    </w:p>
    <w:p w14:paraId="26EF085B" w14:textId="77777777" w:rsidR="001647D7" w:rsidRPr="001647D7" w:rsidRDefault="001647D7" w:rsidP="001647D7">
      <w:pPr>
        <w:rPr>
          <w:sz w:val="24"/>
          <w:szCs w:val="24"/>
          <w:lang w:val="en-NZ"/>
        </w:rPr>
      </w:pPr>
      <w:r w:rsidRPr="001647D7">
        <w:rPr>
          <w:sz w:val="24"/>
          <w:szCs w:val="24"/>
          <w:lang w:val="en-NZ"/>
        </w:rPr>
        <w:t xml:space="preserve">This requirement includes monitoring of freshwater and marine water (including natural thermal waters). Therefore, local authorities are responsible for maintaining recreational water monitoring programmes and carrying out reviews of compliance with consent conditions. </w:t>
      </w:r>
    </w:p>
    <w:p w14:paraId="0C65DD4D" w14:textId="77777777" w:rsidR="00E61CCD" w:rsidRPr="006B5FB5" w:rsidRDefault="00CA6912" w:rsidP="003C6D56">
      <w:pPr>
        <w:pStyle w:val="Heading3"/>
        <w:rPr>
          <w:lang w:val="en-GB"/>
        </w:rPr>
      </w:pPr>
      <w:r w:rsidRPr="006B5FB5">
        <w:rPr>
          <w:lang w:val="en-GB"/>
        </w:rPr>
        <w:t>Regional Councils</w:t>
      </w:r>
    </w:p>
    <w:p w14:paraId="59B5BFE2" w14:textId="118F802A" w:rsidR="00CA6912" w:rsidRPr="00CA6912" w:rsidRDefault="00D325C7" w:rsidP="00CA6912">
      <w:pPr>
        <w:rPr>
          <w:sz w:val="24"/>
          <w:szCs w:val="24"/>
          <w:lang w:val="en-GB"/>
        </w:rPr>
      </w:pPr>
      <w:r>
        <w:rPr>
          <w:sz w:val="24"/>
          <w:szCs w:val="24"/>
          <w:lang w:val="en-GB"/>
        </w:rPr>
        <w:t>R</w:t>
      </w:r>
      <w:r w:rsidR="00CA6912" w:rsidRPr="00CA6912">
        <w:rPr>
          <w:sz w:val="24"/>
          <w:szCs w:val="24"/>
          <w:lang w:val="en-GB"/>
        </w:rPr>
        <w:t xml:space="preserve">egional councils </w:t>
      </w:r>
      <w:r w:rsidR="009B3DDB">
        <w:rPr>
          <w:sz w:val="24"/>
          <w:szCs w:val="24"/>
          <w:lang w:val="en-GB"/>
        </w:rPr>
        <w:t xml:space="preserve">also </w:t>
      </w:r>
      <w:r w:rsidR="00CA6912" w:rsidRPr="00CA6912">
        <w:rPr>
          <w:sz w:val="24"/>
          <w:szCs w:val="24"/>
          <w:lang w:val="en-GB"/>
        </w:rPr>
        <w:t xml:space="preserve">have functions as defined </w:t>
      </w:r>
      <w:r w:rsidR="00254B94">
        <w:rPr>
          <w:sz w:val="24"/>
          <w:szCs w:val="24"/>
          <w:lang w:val="en-GB"/>
        </w:rPr>
        <w:t>in</w:t>
      </w:r>
      <w:r w:rsidR="00CA6912" w:rsidRPr="00CA6912">
        <w:rPr>
          <w:sz w:val="24"/>
          <w:szCs w:val="24"/>
          <w:lang w:val="en-GB"/>
        </w:rPr>
        <w:t xml:space="preserve"> section 30 of the R</w:t>
      </w:r>
      <w:r>
        <w:rPr>
          <w:sz w:val="24"/>
          <w:szCs w:val="24"/>
          <w:lang w:val="en-GB"/>
        </w:rPr>
        <w:t>MA</w:t>
      </w:r>
      <w:r w:rsidR="0037012A">
        <w:rPr>
          <w:sz w:val="24"/>
          <w:szCs w:val="24"/>
          <w:lang w:val="en-GB"/>
        </w:rPr>
        <w:t xml:space="preserve"> and some of these relate </w:t>
      </w:r>
      <w:r w:rsidR="00CA6912" w:rsidRPr="00CA6912">
        <w:rPr>
          <w:sz w:val="24"/>
          <w:szCs w:val="24"/>
          <w:lang w:val="en-GB"/>
        </w:rPr>
        <w:t>to water bodies.</w:t>
      </w:r>
    </w:p>
    <w:p w14:paraId="2C8F2CC6" w14:textId="30C21802" w:rsidR="00CA6912" w:rsidRPr="00CA6912" w:rsidRDefault="00CA6912" w:rsidP="00CA6912">
      <w:pPr>
        <w:rPr>
          <w:sz w:val="24"/>
          <w:szCs w:val="24"/>
          <w:lang w:val="en-GB"/>
        </w:rPr>
      </w:pPr>
      <w:r w:rsidRPr="00CA6912">
        <w:rPr>
          <w:sz w:val="24"/>
          <w:szCs w:val="24"/>
          <w:lang w:val="en-GB"/>
        </w:rPr>
        <w:t>Regional councils can set policies, establish rules in plans</w:t>
      </w:r>
      <w:r w:rsidR="0037012A">
        <w:rPr>
          <w:sz w:val="24"/>
          <w:szCs w:val="24"/>
          <w:lang w:val="en-GB"/>
        </w:rPr>
        <w:t>,</w:t>
      </w:r>
      <w:r w:rsidRPr="00CA6912">
        <w:rPr>
          <w:sz w:val="24"/>
          <w:szCs w:val="24"/>
          <w:lang w:val="en-GB"/>
        </w:rPr>
        <w:t xml:space="preserve"> and issue resource consents. They must produce regional policy statements and may produce regional plans including a regional coastal plan, regional freshwater plan</w:t>
      </w:r>
      <w:r w:rsidR="00C42373">
        <w:rPr>
          <w:sz w:val="24"/>
          <w:szCs w:val="24"/>
          <w:lang w:val="en-GB"/>
        </w:rPr>
        <w:t>,</w:t>
      </w:r>
      <w:r w:rsidRPr="00CA6912">
        <w:rPr>
          <w:sz w:val="24"/>
          <w:szCs w:val="24"/>
          <w:lang w:val="en-GB"/>
        </w:rPr>
        <w:t xml:space="preserve"> and others. They also issue resource consents (including for applications to discharge to water), infringement notices, abatement notices and enforcement orders.</w:t>
      </w:r>
    </w:p>
    <w:p w14:paraId="0BB58272" w14:textId="2701B8BD" w:rsidR="00CA6912" w:rsidRPr="00CA6912" w:rsidRDefault="00CA6912" w:rsidP="00CA6912">
      <w:pPr>
        <w:rPr>
          <w:sz w:val="24"/>
          <w:szCs w:val="24"/>
          <w:lang w:val="en-GB"/>
        </w:rPr>
      </w:pPr>
      <w:r w:rsidRPr="00CA6912">
        <w:rPr>
          <w:sz w:val="24"/>
          <w:szCs w:val="24"/>
          <w:lang w:val="en-GB"/>
        </w:rPr>
        <w:t xml:space="preserve">Regional Councils undertake </w:t>
      </w:r>
      <w:r w:rsidR="00B46F56">
        <w:rPr>
          <w:sz w:val="24"/>
          <w:szCs w:val="24"/>
          <w:lang w:val="en-GB"/>
        </w:rPr>
        <w:t xml:space="preserve">(or contract out) </w:t>
      </w:r>
      <w:r w:rsidRPr="00CA6912">
        <w:rPr>
          <w:sz w:val="24"/>
          <w:szCs w:val="24"/>
          <w:lang w:val="en-GB"/>
        </w:rPr>
        <w:t>the water quality sampling for the recreational bathing during the summer months in lakes, rivers</w:t>
      </w:r>
      <w:r w:rsidR="004B70F2">
        <w:rPr>
          <w:sz w:val="24"/>
          <w:szCs w:val="24"/>
          <w:lang w:val="en-GB"/>
        </w:rPr>
        <w:t>,</w:t>
      </w:r>
      <w:r w:rsidRPr="00CA6912">
        <w:rPr>
          <w:sz w:val="24"/>
          <w:szCs w:val="24"/>
          <w:lang w:val="en-GB"/>
        </w:rPr>
        <w:t xml:space="preserve"> and the beaches. Regional councils will also have the results of the sampling tests on their websites. </w:t>
      </w:r>
      <w:r w:rsidR="00BE240A">
        <w:rPr>
          <w:sz w:val="24"/>
          <w:szCs w:val="24"/>
          <w:lang w:val="en-GB"/>
        </w:rPr>
        <w:t xml:space="preserve">Lab </w:t>
      </w:r>
      <w:r w:rsidRPr="00CA6912">
        <w:rPr>
          <w:sz w:val="24"/>
          <w:szCs w:val="24"/>
          <w:lang w:val="en-GB"/>
        </w:rPr>
        <w:t xml:space="preserve">analysis </w:t>
      </w:r>
      <w:r w:rsidR="00BE240A">
        <w:rPr>
          <w:sz w:val="24"/>
          <w:szCs w:val="24"/>
          <w:lang w:val="en-GB"/>
        </w:rPr>
        <w:t xml:space="preserve">of samples can sometimes take </w:t>
      </w:r>
      <w:r w:rsidR="00D92D50">
        <w:rPr>
          <w:sz w:val="24"/>
          <w:szCs w:val="24"/>
          <w:lang w:val="en-GB"/>
        </w:rPr>
        <w:t xml:space="preserve">up to a few </w:t>
      </w:r>
      <w:r w:rsidR="00BE240A">
        <w:rPr>
          <w:sz w:val="24"/>
          <w:szCs w:val="24"/>
          <w:lang w:val="en-GB"/>
        </w:rPr>
        <w:t>day</w:t>
      </w:r>
      <w:r w:rsidR="00D92D50">
        <w:rPr>
          <w:sz w:val="24"/>
          <w:szCs w:val="24"/>
          <w:lang w:val="en-GB"/>
        </w:rPr>
        <w:t>s</w:t>
      </w:r>
      <w:r w:rsidR="00BE240A">
        <w:rPr>
          <w:sz w:val="24"/>
          <w:szCs w:val="24"/>
          <w:lang w:val="en-GB"/>
        </w:rPr>
        <w:t xml:space="preserve"> </w:t>
      </w:r>
      <w:r w:rsidR="00D92D50">
        <w:rPr>
          <w:sz w:val="24"/>
          <w:szCs w:val="24"/>
          <w:lang w:val="en-GB"/>
        </w:rPr>
        <w:t xml:space="preserve">to process, </w:t>
      </w:r>
      <w:r w:rsidR="00BE240A">
        <w:rPr>
          <w:sz w:val="24"/>
          <w:szCs w:val="24"/>
          <w:lang w:val="en-GB"/>
        </w:rPr>
        <w:t>so t</w:t>
      </w:r>
      <w:r w:rsidRPr="00CA6912">
        <w:rPr>
          <w:sz w:val="24"/>
          <w:szCs w:val="24"/>
          <w:lang w:val="en-GB"/>
        </w:rPr>
        <w:t xml:space="preserve">he results </w:t>
      </w:r>
      <w:r w:rsidR="001F7048">
        <w:rPr>
          <w:sz w:val="24"/>
          <w:szCs w:val="24"/>
          <w:lang w:val="en-GB"/>
        </w:rPr>
        <w:t xml:space="preserve">can be </w:t>
      </w:r>
      <w:r w:rsidR="005B2C9E">
        <w:rPr>
          <w:sz w:val="24"/>
          <w:szCs w:val="24"/>
          <w:lang w:val="en-GB"/>
        </w:rPr>
        <w:t xml:space="preserve">three to four </w:t>
      </w:r>
      <w:r w:rsidRPr="00CA6912">
        <w:rPr>
          <w:sz w:val="24"/>
          <w:szCs w:val="24"/>
          <w:lang w:val="en-GB"/>
        </w:rPr>
        <w:t>days behind</w:t>
      </w:r>
      <w:r w:rsidR="001F7048">
        <w:rPr>
          <w:sz w:val="24"/>
          <w:szCs w:val="24"/>
          <w:lang w:val="en-GB"/>
        </w:rPr>
        <w:t xml:space="preserve"> initial exposure, </w:t>
      </w:r>
      <w:r w:rsidRPr="00CA6912">
        <w:rPr>
          <w:sz w:val="24"/>
          <w:szCs w:val="24"/>
          <w:lang w:val="en-GB"/>
        </w:rPr>
        <w:t xml:space="preserve">which poses a risk to </w:t>
      </w:r>
      <w:r w:rsidR="005B2C9E">
        <w:rPr>
          <w:sz w:val="24"/>
          <w:szCs w:val="24"/>
          <w:lang w:val="en-GB"/>
        </w:rPr>
        <w:t xml:space="preserve">the </w:t>
      </w:r>
      <w:r w:rsidRPr="00CA6912">
        <w:rPr>
          <w:sz w:val="24"/>
          <w:szCs w:val="24"/>
          <w:lang w:val="en-GB"/>
        </w:rPr>
        <w:t xml:space="preserve">public as people can already be exposed to contaminated water. </w:t>
      </w:r>
    </w:p>
    <w:p w14:paraId="19B49B50" w14:textId="77777777" w:rsidR="00EB20C0" w:rsidRPr="006B5FB5" w:rsidRDefault="00E61CCD" w:rsidP="003C6D56">
      <w:pPr>
        <w:pStyle w:val="Heading3"/>
        <w:rPr>
          <w:lang w:val="en-GB"/>
        </w:rPr>
      </w:pPr>
      <w:r w:rsidRPr="006B5FB5">
        <w:rPr>
          <w:lang w:val="en-GB"/>
        </w:rPr>
        <w:t>Territorial authorities</w:t>
      </w:r>
    </w:p>
    <w:p w14:paraId="5A89EFE7" w14:textId="3EF1A0A9" w:rsidR="00E61CCD" w:rsidRPr="00FC5A07" w:rsidRDefault="00EB20C0" w:rsidP="00FC5A07">
      <w:pPr>
        <w:overflowPunct w:val="0"/>
        <w:autoSpaceDE w:val="0"/>
        <w:autoSpaceDN w:val="0"/>
        <w:adjustRightInd w:val="0"/>
        <w:spacing w:before="120" w:after="60" w:line="240" w:lineRule="auto"/>
        <w:textAlignment w:val="baseline"/>
        <w:rPr>
          <w:rFonts w:eastAsia="Franklin Gothic Book"/>
          <w:b/>
          <w:color w:val="000000"/>
          <w:sz w:val="24"/>
          <w:szCs w:val="24"/>
          <w:lang w:val="en-GB"/>
        </w:rPr>
      </w:pPr>
      <w:r>
        <w:rPr>
          <w:rFonts w:eastAsia="Franklin Gothic Book"/>
          <w:color w:val="000000"/>
          <w:sz w:val="24"/>
          <w:szCs w:val="24"/>
          <w:lang w:val="en-GB"/>
        </w:rPr>
        <w:t>T</w:t>
      </w:r>
      <w:r w:rsidR="00E61CCD" w:rsidRPr="00FC5A07">
        <w:rPr>
          <w:rFonts w:eastAsia="Franklin Gothic Book"/>
          <w:color w:val="000000"/>
          <w:sz w:val="24"/>
          <w:szCs w:val="24"/>
          <w:lang w:val="en-GB"/>
        </w:rPr>
        <w:t xml:space="preserve">erritorial authorities </w:t>
      </w:r>
      <w:r w:rsidR="007A2CFC">
        <w:rPr>
          <w:rFonts w:eastAsia="Franklin Gothic Book"/>
          <w:color w:val="000000"/>
          <w:sz w:val="24"/>
          <w:szCs w:val="24"/>
          <w:lang w:val="en-GB"/>
        </w:rPr>
        <w:t>(eg, d</w:t>
      </w:r>
      <w:r w:rsidR="007A2CFC" w:rsidRPr="005E3DFD">
        <w:rPr>
          <w:rFonts w:eastAsia="Franklin Gothic Book"/>
          <w:color w:val="000000"/>
          <w:sz w:val="24"/>
          <w:szCs w:val="24"/>
          <w:lang w:val="en-GB"/>
        </w:rPr>
        <w:t xml:space="preserve">istrict and </w:t>
      </w:r>
      <w:r w:rsidR="007A2CFC">
        <w:rPr>
          <w:rFonts w:eastAsia="Franklin Gothic Book"/>
          <w:color w:val="000000"/>
          <w:sz w:val="24"/>
          <w:szCs w:val="24"/>
          <w:lang w:val="en-GB"/>
        </w:rPr>
        <w:t>c</w:t>
      </w:r>
      <w:r w:rsidR="007A2CFC" w:rsidRPr="005E3DFD">
        <w:rPr>
          <w:rFonts w:eastAsia="Franklin Gothic Book"/>
          <w:color w:val="000000"/>
          <w:sz w:val="24"/>
          <w:szCs w:val="24"/>
          <w:lang w:val="en-GB"/>
        </w:rPr>
        <w:t xml:space="preserve">ity </w:t>
      </w:r>
      <w:r w:rsidR="007A2CFC">
        <w:rPr>
          <w:rFonts w:eastAsia="Franklin Gothic Book"/>
          <w:color w:val="000000"/>
          <w:sz w:val="24"/>
          <w:szCs w:val="24"/>
          <w:lang w:val="en-GB"/>
        </w:rPr>
        <w:t>c</w:t>
      </w:r>
      <w:r w:rsidR="007A2CFC" w:rsidRPr="005E3DFD">
        <w:rPr>
          <w:rFonts w:eastAsia="Franklin Gothic Book"/>
          <w:color w:val="000000"/>
          <w:sz w:val="24"/>
          <w:szCs w:val="24"/>
          <w:lang w:val="en-GB"/>
        </w:rPr>
        <w:t>ouncils</w:t>
      </w:r>
      <w:r w:rsidR="007A2CFC">
        <w:rPr>
          <w:rFonts w:eastAsia="Franklin Gothic Book"/>
          <w:color w:val="000000"/>
          <w:sz w:val="24"/>
          <w:szCs w:val="24"/>
          <w:lang w:val="en-GB"/>
        </w:rPr>
        <w:t>)</w:t>
      </w:r>
      <w:r w:rsidR="007A2CFC" w:rsidRPr="005E3DFD">
        <w:rPr>
          <w:rFonts w:eastAsia="Franklin Gothic Book"/>
          <w:color w:val="000000"/>
          <w:sz w:val="24"/>
          <w:szCs w:val="24"/>
          <w:lang w:val="en-GB"/>
        </w:rPr>
        <w:t xml:space="preserve"> </w:t>
      </w:r>
      <w:r w:rsidR="009B3DDB">
        <w:rPr>
          <w:rFonts w:eastAsia="Franklin Gothic Book"/>
          <w:color w:val="000000"/>
          <w:sz w:val="24"/>
          <w:szCs w:val="24"/>
          <w:lang w:val="en-GB"/>
        </w:rPr>
        <w:t xml:space="preserve">also </w:t>
      </w:r>
      <w:r w:rsidR="00E61CCD" w:rsidRPr="00FC5A07">
        <w:rPr>
          <w:rFonts w:eastAsia="Franklin Gothic Book"/>
          <w:color w:val="000000"/>
          <w:sz w:val="24"/>
          <w:szCs w:val="24"/>
          <w:lang w:val="en-GB"/>
        </w:rPr>
        <w:t xml:space="preserve">have functions as defined </w:t>
      </w:r>
      <w:r w:rsidR="00254B94">
        <w:rPr>
          <w:rFonts w:eastAsia="Franklin Gothic Book"/>
          <w:color w:val="000000"/>
          <w:sz w:val="24"/>
          <w:szCs w:val="24"/>
          <w:lang w:val="en-GB"/>
        </w:rPr>
        <w:t xml:space="preserve">in </w:t>
      </w:r>
      <w:r w:rsidR="00E61CCD" w:rsidRPr="00FC5A07">
        <w:rPr>
          <w:rFonts w:eastAsia="Franklin Gothic Book"/>
          <w:color w:val="000000"/>
          <w:sz w:val="24"/>
          <w:szCs w:val="24"/>
          <w:lang w:val="en-GB"/>
        </w:rPr>
        <w:t xml:space="preserve">section 31 of the </w:t>
      </w:r>
      <w:r w:rsidR="00D92D50">
        <w:rPr>
          <w:rFonts w:eastAsia="Franklin Gothic Book"/>
          <w:color w:val="000000"/>
          <w:sz w:val="24"/>
          <w:szCs w:val="24"/>
          <w:lang w:val="en-GB"/>
        </w:rPr>
        <w:t>RMA</w:t>
      </w:r>
      <w:r w:rsidR="00E61CCD" w:rsidRPr="00FC5A07">
        <w:rPr>
          <w:rFonts w:eastAsia="Franklin Gothic Book"/>
          <w:color w:val="000000"/>
          <w:sz w:val="24"/>
          <w:szCs w:val="24"/>
          <w:lang w:val="en-GB"/>
        </w:rPr>
        <w:t>. They can set policies, establish rules in plans</w:t>
      </w:r>
      <w:r w:rsidR="007A2CFC">
        <w:rPr>
          <w:rFonts w:eastAsia="Franklin Gothic Book"/>
          <w:color w:val="000000"/>
          <w:sz w:val="24"/>
          <w:szCs w:val="24"/>
          <w:lang w:val="en-GB"/>
        </w:rPr>
        <w:t>,</w:t>
      </w:r>
      <w:r w:rsidR="00E61CCD" w:rsidRPr="00FC5A07">
        <w:rPr>
          <w:rFonts w:eastAsia="Franklin Gothic Book"/>
          <w:color w:val="000000"/>
          <w:sz w:val="24"/>
          <w:szCs w:val="24"/>
          <w:lang w:val="en-GB"/>
        </w:rPr>
        <w:t xml:space="preserve"> and issue resource consents relating to land use and can issue infringement notices, abatement notices</w:t>
      </w:r>
      <w:r w:rsidR="007A2CFC">
        <w:rPr>
          <w:rFonts w:eastAsia="Franklin Gothic Book"/>
          <w:color w:val="000000"/>
          <w:sz w:val="24"/>
          <w:szCs w:val="24"/>
          <w:lang w:val="en-GB"/>
        </w:rPr>
        <w:t xml:space="preserve">, </w:t>
      </w:r>
      <w:r w:rsidR="00E61CCD" w:rsidRPr="00FC5A07">
        <w:rPr>
          <w:rFonts w:eastAsia="Franklin Gothic Book"/>
          <w:color w:val="000000"/>
          <w:sz w:val="24"/>
          <w:szCs w:val="24"/>
          <w:lang w:val="en-GB"/>
        </w:rPr>
        <w:t>and enforcement orders.</w:t>
      </w:r>
    </w:p>
    <w:p w14:paraId="78C561E8" w14:textId="0DC9A35B" w:rsidR="00E61CCD" w:rsidRPr="00FC5A07" w:rsidRDefault="000356F4" w:rsidP="00FC5A07">
      <w:pPr>
        <w:overflowPunct w:val="0"/>
        <w:autoSpaceDE w:val="0"/>
        <w:autoSpaceDN w:val="0"/>
        <w:adjustRightInd w:val="0"/>
        <w:spacing w:before="120" w:after="60" w:line="240" w:lineRule="auto"/>
        <w:textAlignment w:val="baseline"/>
        <w:rPr>
          <w:rFonts w:eastAsia="Franklin Gothic Book"/>
          <w:color w:val="000000"/>
          <w:sz w:val="24"/>
          <w:szCs w:val="24"/>
          <w:lang w:val="en-GB"/>
        </w:rPr>
      </w:pPr>
      <w:r>
        <w:rPr>
          <w:rFonts w:eastAsia="Franklin Gothic Book"/>
          <w:color w:val="000000"/>
          <w:sz w:val="24"/>
          <w:szCs w:val="24"/>
          <w:lang w:val="en-GB"/>
        </w:rPr>
        <w:t>U</w:t>
      </w:r>
      <w:r w:rsidR="00E61CCD" w:rsidRPr="00FC5A07">
        <w:rPr>
          <w:rFonts w:eastAsia="Franklin Gothic Book"/>
          <w:color w:val="000000"/>
          <w:sz w:val="24"/>
          <w:szCs w:val="24"/>
          <w:lang w:val="en-GB"/>
        </w:rPr>
        <w:t xml:space="preserve">nder the Health Act </w:t>
      </w:r>
      <w:r>
        <w:rPr>
          <w:rFonts w:eastAsia="Franklin Gothic Book"/>
          <w:color w:val="000000"/>
          <w:sz w:val="24"/>
          <w:szCs w:val="24"/>
          <w:lang w:val="en-GB"/>
        </w:rPr>
        <w:t xml:space="preserve">1956 </w:t>
      </w:r>
      <w:r w:rsidRPr="001053E4">
        <w:rPr>
          <w:rFonts w:eastAsia="Franklin Gothic Book"/>
          <w:color w:val="000000"/>
          <w:sz w:val="24"/>
          <w:szCs w:val="24"/>
          <w:lang w:val="en-GB"/>
        </w:rPr>
        <w:t xml:space="preserve">territorial authorities </w:t>
      </w:r>
      <w:r>
        <w:rPr>
          <w:rFonts w:eastAsia="Franklin Gothic Book"/>
          <w:color w:val="000000"/>
          <w:sz w:val="24"/>
          <w:szCs w:val="24"/>
          <w:lang w:val="en-GB"/>
        </w:rPr>
        <w:t xml:space="preserve">must </w:t>
      </w:r>
      <w:r w:rsidR="00E61CCD" w:rsidRPr="00FC5A07">
        <w:rPr>
          <w:rFonts w:eastAsia="Franklin Gothic Book"/>
          <w:color w:val="000000"/>
          <w:sz w:val="24"/>
          <w:szCs w:val="24"/>
          <w:lang w:val="en-GB"/>
        </w:rPr>
        <w:t>ensure health nuisance conditions are identified and abated and to endeavour to ensure that such conditions are not created.</w:t>
      </w:r>
    </w:p>
    <w:p w14:paraId="4749FE30" w14:textId="51228C59" w:rsidR="00E61CCD" w:rsidRPr="00FC5A07" w:rsidRDefault="00FB3CD9" w:rsidP="00FC5A07">
      <w:pPr>
        <w:overflowPunct w:val="0"/>
        <w:autoSpaceDE w:val="0"/>
        <w:autoSpaceDN w:val="0"/>
        <w:adjustRightInd w:val="0"/>
        <w:spacing w:before="120" w:after="60" w:line="240" w:lineRule="auto"/>
        <w:textAlignment w:val="baseline"/>
        <w:rPr>
          <w:rFonts w:eastAsia="Franklin Gothic Book"/>
          <w:color w:val="000000"/>
          <w:sz w:val="24"/>
          <w:szCs w:val="24"/>
          <w:lang w:val="en-GB"/>
        </w:rPr>
      </w:pPr>
      <w:r>
        <w:rPr>
          <w:rFonts w:eastAsia="Franklin Gothic Book"/>
          <w:color w:val="000000"/>
          <w:sz w:val="24"/>
          <w:szCs w:val="24"/>
          <w:lang w:val="en-GB"/>
        </w:rPr>
        <w:t xml:space="preserve">Health NZ </w:t>
      </w:r>
      <w:r w:rsidR="00E61CCD" w:rsidRPr="00FC5A07">
        <w:rPr>
          <w:rFonts w:eastAsia="Franklin Gothic Book"/>
          <w:color w:val="000000"/>
          <w:sz w:val="24"/>
          <w:szCs w:val="24"/>
          <w:lang w:val="en-GB"/>
        </w:rPr>
        <w:t>considers that the</w:t>
      </w:r>
      <w:r>
        <w:rPr>
          <w:rFonts w:eastAsia="Franklin Gothic Book"/>
          <w:color w:val="000000"/>
          <w:sz w:val="24"/>
          <w:szCs w:val="24"/>
          <w:lang w:val="en-GB"/>
        </w:rPr>
        <w:t xml:space="preserve"> nuisance prov</w:t>
      </w:r>
      <w:r w:rsidR="006C26C4">
        <w:rPr>
          <w:rFonts w:eastAsia="Franklin Gothic Book"/>
          <w:color w:val="000000"/>
          <w:sz w:val="24"/>
          <w:szCs w:val="24"/>
          <w:lang w:val="en-GB"/>
        </w:rPr>
        <w:t>i</w:t>
      </w:r>
      <w:r>
        <w:rPr>
          <w:rFonts w:eastAsia="Franklin Gothic Book"/>
          <w:color w:val="000000"/>
          <w:sz w:val="24"/>
          <w:szCs w:val="24"/>
          <w:lang w:val="en-GB"/>
        </w:rPr>
        <w:t xml:space="preserve">sions </w:t>
      </w:r>
      <w:r w:rsidR="006C26C4">
        <w:rPr>
          <w:rFonts w:eastAsia="Franklin Gothic Book"/>
          <w:color w:val="000000"/>
          <w:sz w:val="24"/>
          <w:szCs w:val="24"/>
          <w:lang w:val="en-GB"/>
        </w:rPr>
        <w:t>in the Health Act a</w:t>
      </w:r>
      <w:r w:rsidR="00E61CCD" w:rsidRPr="00FC5A07">
        <w:rPr>
          <w:rFonts w:eastAsia="Franklin Gothic Book"/>
          <w:color w:val="000000"/>
          <w:sz w:val="24"/>
          <w:szCs w:val="24"/>
          <w:lang w:val="en-GB"/>
        </w:rPr>
        <w:t xml:space="preserve">pply to all fresh and marine waters </w:t>
      </w:r>
      <w:r w:rsidR="006C26C4">
        <w:rPr>
          <w:rFonts w:eastAsia="Franklin Gothic Book"/>
          <w:color w:val="000000"/>
          <w:sz w:val="24"/>
          <w:szCs w:val="24"/>
          <w:lang w:val="en-GB"/>
        </w:rPr>
        <w:t xml:space="preserve">(along with </w:t>
      </w:r>
      <w:r w:rsidR="0077755F">
        <w:rPr>
          <w:rFonts w:eastAsia="Franklin Gothic Book"/>
          <w:color w:val="000000"/>
          <w:sz w:val="24"/>
          <w:szCs w:val="24"/>
          <w:lang w:val="en-GB"/>
        </w:rPr>
        <w:t xml:space="preserve">swimming pools such as </w:t>
      </w:r>
      <w:r w:rsidR="00E61CCD" w:rsidRPr="00FC5A07">
        <w:rPr>
          <w:rFonts w:eastAsia="Franklin Gothic Book"/>
          <w:color w:val="000000"/>
          <w:sz w:val="24"/>
          <w:szCs w:val="24"/>
          <w:lang w:val="en-GB"/>
        </w:rPr>
        <w:t xml:space="preserve">school pools). Therefore, territorial authorities’ responsibilities </w:t>
      </w:r>
      <w:r w:rsidR="007F0656">
        <w:rPr>
          <w:rFonts w:eastAsia="Franklin Gothic Book"/>
          <w:color w:val="000000"/>
          <w:sz w:val="24"/>
          <w:szCs w:val="24"/>
          <w:lang w:val="en-GB"/>
        </w:rPr>
        <w:t>can include th</w:t>
      </w:r>
      <w:r w:rsidR="00BE08A1">
        <w:rPr>
          <w:rFonts w:eastAsia="Franklin Gothic Book"/>
          <w:color w:val="000000"/>
          <w:sz w:val="24"/>
          <w:szCs w:val="24"/>
          <w:lang w:val="en-GB"/>
        </w:rPr>
        <w:t>e</w:t>
      </w:r>
      <w:r w:rsidR="007F0656">
        <w:rPr>
          <w:rFonts w:eastAsia="Franklin Gothic Book"/>
          <w:color w:val="000000"/>
          <w:sz w:val="24"/>
          <w:szCs w:val="24"/>
          <w:lang w:val="en-GB"/>
        </w:rPr>
        <w:t xml:space="preserve"> following</w:t>
      </w:r>
      <w:r w:rsidR="00BE08A1">
        <w:rPr>
          <w:rFonts w:eastAsia="Franklin Gothic Book"/>
          <w:color w:val="000000"/>
          <w:sz w:val="24"/>
          <w:szCs w:val="24"/>
          <w:lang w:val="en-GB"/>
        </w:rPr>
        <w:t>.</w:t>
      </w:r>
    </w:p>
    <w:p w14:paraId="7CA9497B" w14:textId="77777777"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t>Assessing all recreational waters for the presence of nuisance conditions.</w:t>
      </w:r>
    </w:p>
    <w:p w14:paraId="0574EFEB" w14:textId="77777777"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t>Securing the abatement of nuisances or removal of nuisance conditions.</w:t>
      </w:r>
    </w:p>
    <w:p w14:paraId="078574A5" w14:textId="77777777"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lastRenderedPageBreak/>
        <w:t>Acting to abate sources of pollution of recreational water sites.</w:t>
      </w:r>
    </w:p>
    <w:p w14:paraId="25D89038" w14:textId="016937B1"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t>Where abatement is not practicable, communicating the risks associated with specific sites (eg, through temporary and permanent signage and contact with key groups).</w:t>
      </w:r>
    </w:p>
    <w:p w14:paraId="323436EC" w14:textId="77777777" w:rsidR="00FC5A07" w:rsidRPr="00B14C27" w:rsidRDefault="00FC5A07"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B14C27">
        <w:rPr>
          <w:rFonts w:eastAsia="Franklin Gothic Book"/>
          <w:color w:val="000000"/>
          <w:sz w:val="24"/>
          <w:szCs w:val="24"/>
          <w:lang w:val="en-GB"/>
        </w:rPr>
        <w:t>Maintaining permanent standardised warning signs where necessary.</w:t>
      </w:r>
    </w:p>
    <w:p w14:paraId="0021899E" w14:textId="77777777"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t>Maintaining sufficient stocks of standardised signs for temporary warnings against swimming and/or the collection of shellfish in contaminated areas (these could be shared between authorities in some situations).</w:t>
      </w:r>
    </w:p>
    <w:p w14:paraId="6F6FA772" w14:textId="0F4319F3"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t xml:space="preserve">Providing reports to the </w:t>
      </w:r>
      <w:r w:rsidR="00420590">
        <w:rPr>
          <w:rFonts w:eastAsia="Franklin Gothic Book"/>
          <w:color w:val="000000"/>
          <w:sz w:val="24"/>
          <w:szCs w:val="24"/>
          <w:lang w:val="en-GB"/>
        </w:rPr>
        <w:t>m</w:t>
      </w:r>
      <w:r w:rsidRPr="00FC5A07">
        <w:rPr>
          <w:rFonts w:eastAsia="Franklin Gothic Book"/>
          <w:color w:val="000000"/>
          <w:sz w:val="24"/>
          <w:szCs w:val="24"/>
          <w:lang w:val="en-GB"/>
        </w:rPr>
        <w:t xml:space="preserve">edical </w:t>
      </w:r>
      <w:r w:rsidR="00420590">
        <w:rPr>
          <w:rFonts w:eastAsia="Franklin Gothic Book"/>
          <w:color w:val="000000"/>
          <w:sz w:val="24"/>
          <w:szCs w:val="24"/>
          <w:lang w:val="en-GB"/>
        </w:rPr>
        <w:t>o</w:t>
      </w:r>
      <w:r w:rsidRPr="00FC5A07">
        <w:rPr>
          <w:rFonts w:eastAsia="Franklin Gothic Book"/>
          <w:color w:val="000000"/>
          <w:sz w:val="24"/>
          <w:szCs w:val="24"/>
          <w:lang w:val="en-GB"/>
        </w:rPr>
        <w:t xml:space="preserve">fficer of </w:t>
      </w:r>
      <w:r w:rsidR="00420590">
        <w:rPr>
          <w:rFonts w:eastAsia="Franklin Gothic Book"/>
          <w:color w:val="000000"/>
          <w:sz w:val="24"/>
          <w:szCs w:val="24"/>
          <w:lang w:val="en-GB"/>
        </w:rPr>
        <w:t>h</w:t>
      </w:r>
      <w:r w:rsidRPr="00FC5A07">
        <w:rPr>
          <w:rFonts w:eastAsia="Franklin Gothic Book"/>
          <w:color w:val="000000"/>
          <w:sz w:val="24"/>
          <w:szCs w:val="24"/>
          <w:lang w:val="en-GB"/>
        </w:rPr>
        <w:t xml:space="preserve">ealth when requested under </w:t>
      </w:r>
      <w:r w:rsidR="00440D5C">
        <w:rPr>
          <w:rFonts w:eastAsia="Franklin Gothic Book"/>
          <w:color w:val="000000"/>
          <w:sz w:val="24"/>
          <w:szCs w:val="24"/>
          <w:lang w:val="en-GB"/>
        </w:rPr>
        <w:t>s</w:t>
      </w:r>
      <w:r w:rsidRPr="00FC5A07">
        <w:rPr>
          <w:rFonts w:eastAsia="Franklin Gothic Book"/>
          <w:color w:val="000000"/>
          <w:sz w:val="24"/>
          <w:szCs w:val="24"/>
          <w:lang w:val="en-GB"/>
        </w:rPr>
        <w:t>ection 23 of the Health Act 1956.</w:t>
      </w:r>
    </w:p>
    <w:p w14:paraId="2977AC8A" w14:textId="264B92BD" w:rsidR="00E61CCD" w:rsidRPr="00FC5A07" w:rsidRDefault="00E61CCD" w:rsidP="00FC5A07">
      <w:pPr>
        <w:numPr>
          <w:ilvl w:val="0"/>
          <w:numId w:val="40"/>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C5A07">
        <w:rPr>
          <w:rFonts w:eastAsia="Franklin Gothic Book"/>
          <w:color w:val="000000"/>
          <w:sz w:val="24"/>
          <w:szCs w:val="24"/>
          <w:lang w:val="en-GB"/>
        </w:rPr>
        <w:t xml:space="preserve">Administering any </w:t>
      </w:r>
      <w:r w:rsidR="00FC5A07">
        <w:rPr>
          <w:rFonts w:eastAsia="Franklin Gothic Book"/>
          <w:color w:val="000000"/>
          <w:sz w:val="24"/>
          <w:szCs w:val="24"/>
          <w:lang w:val="en-GB"/>
        </w:rPr>
        <w:t xml:space="preserve">relevant </w:t>
      </w:r>
      <w:r w:rsidRPr="00FC5A07">
        <w:rPr>
          <w:rFonts w:eastAsia="Franklin Gothic Book"/>
          <w:color w:val="000000"/>
          <w:sz w:val="24"/>
          <w:szCs w:val="24"/>
          <w:lang w:val="en-GB"/>
        </w:rPr>
        <w:t>bylaws.</w:t>
      </w:r>
    </w:p>
    <w:p w14:paraId="062BDAE5" w14:textId="77777777" w:rsidR="00BC516D" w:rsidRPr="001647D7" w:rsidRDefault="00BC516D" w:rsidP="003C6D56">
      <w:pPr>
        <w:rPr>
          <w:lang w:val="en-NZ"/>
        </w:rPr>
      </w:pPr>
    </w:p>
    <w:p w14:paraId="2C5AE3EF" w14:textId="5AC7F196" w:rsidR="00DB08D8" w:rsidRPr="00723B38" w:rsidRDefault="00DB08D8" w:rsidP="00DB08D8">
      <w:pPr>
        <w:pStyle w:val="Heading2"/>
        <w:rPr>
          <w:lang w:val="en-NZ"/>
        </w:rPr>
      </w:pPr>
      <w:bookmarkStart w:id="41" w:name="_Toc181101789"/>
      <w:r w:rsidRPr="00723B38">
        <w:rPr>
          <w:lang w:val="en-NZ"/>
        </w:rPr>
        <w:t>National Public Health Service</w:t>
      </w:r>
      <w:bookmarkEnd w:id="41"/>
    </w:p>
    <w:p w14:paraId="333CAE92" w14:textId="5F1510F5" w:rsidR="00E96A4C" w:rsidRDefault="00DB08D8" w:rsidP="00DB08D8">
      <w:pPr>
        <w:rPr>
          <w:sz w:val="24"/>
          <w:szCs w:val="24"/>
          <w:lang w:val="en-NZ"/>
        </w:rPr>
      </w:pPr>
      <w:r w:rsidRPr="005D7BA3">
        <w:rPr>
          <w:sz w:val="24"/>
          <w:szCs w:val="24"/>
          <w:lang w:val="en-NZ"/>
        </w:rPr>
        <w:t xml:space="preserve">The National Public Health Service </w:t>
      </w:r>
      <w:r w:rsidR="00E96A4C" w:rsidRPr="00FA1B3F">
        <w:rPr>
          <w:rFonts w:eastAsia="Franklin Gothic Book"/>
          <w:color w:val="000000"/>
          <w:sz w:val="24"/>
          <w:szCs w:val="24"/>
          <w:lang w:val="en-GB"/>
        </w:rPr>
        <w:t xml:space="preserve">provides operational public health services and employs public health officers. It works with the lead agencies (local authorities) to provide sound technical and professional advice on public health issues </w:t>
      </w:r>
      <w:r w:rsidR="00E96A4C">
        <w:rPr>
          <w:rFonts w:eastAsia="Franklin Gothic Book"/>
          <w:color w:val="000000"/>
          <w:sz w:val="24"/>
          <w:szCs w:val="24"/>
          <w:lang w:val="en-GB"/>
        </w:rPr>
        <w:t xml:space="preserve">relating to </w:t>
      </w:r>
      <w:r w:rsidR="00E96A4C" w:rsidRPr="00FA1B3F">
        <w:rPr>
          <w:rFonts w:eastAsia="Franklin Gothic Book"/>
          <w:color w:val="000000"/>
          <w:sz w:val="24"/>
          <w:szCs w:val="24"/>
          <w:lang w:val="en-GB"/>
        </w:rPr>
        <w:t>recreational waters.</w:t>
      </w:r>
    </w:p>
    <w:p w14:paraId="35E701E5" w14:textId="3FD2AF4E" w:rsidR="00DB08D8" w:rsidRPr="005D7BA3" w:rsidRDefault="005331C2" w:rsidP="00465C43">
      <w:pPr>
        <w:overflowPunct w:val="0"/>
        <w:autoSpaceDE w:val="0"/>
        <w:autoSpaceDN w:val="0"/>
        <w:adjustRightInd w:val="0"/>
        <w:spacing w:before="120" w:after="60" w:line="240" w:lineRule="auto"/>
        <w:textAlignment w:val="baseline"/>
        <w:rPr>
          <w:sz w:val="24"/>
          <w:szCs w:val="24"/>
          <w:lang w:val="en-NZ"/>
        </w:rPr>
      </w:pPr>
      <w:r w:rsidRPr="00FA1B3F">
        <w:rPr>
          <w:rFonts w:eastAsia="Franklin Gothic Book"/>
          <w:color w:val="000000"/>
          <w:sz w:val="24"/>
          <w:szCs w:val="24"/>
          <w:lang w:val="en-GB"/>
        </w:rPr>
        <w:t>Public health services do not have a role in monitoring</w:t>
      </w:r>
      <w:r w:rsidR="00DB336C">
        <w:rPr>
          <w:rFonts w:eastAsia="Franklin Gothic Book"/>
          <w:color w:val="000000"/>
          <w:sz w:val="24"/>
          <w:szCs w:val="24"/>
          <w:lang w:val="en-GB"/>
        </w:rPr>
        <w:t xml:space="preserve"> of recreational water bodies,</w:t>
      </w:r>
      <w:r w:rsidRPr="00FA1B3F">
        <w:rPr>
          <w:rFonts w:eastAsia="Franklin Gothic Book"/>
          <w:color w:val="000000"/>
          <w:sz w:val="24"/>
          <w:szCs w:val="24"/>
          <w:lang w:val="en-GB"/>
        </w:rPr>
        <w:t xml:space="preserve"> but may use the results of sampling and surveys to </w:t>
      </w:r>
      <w:r w:rsidR="00794D7A">
        <w:rPr>
          <w:rFonts w:eastAsia="Franklin Gothic Book"/>
          <w:color w:val="000000"/>
          <w:sz w:val="24"/>
          <w:szCs w:val="24"/>
          <w:lang w:val="en-GB"/>
        </w:rPr>
        <w:t xml:space="preserve">advise </w:t>
      </w:r>
      <w:r w:rsidRPr="00FA1B3F">
        <w:rPr>
          <w:rFonts w:eastAsia="Franklin Gothic Book"/>
          <w:color w:val="000000"/>
          <w:sz w:val="24"/>
          <w:szCs w:val="24"/>
          <w:lang w:val="en-GB"/>
        </w:rPr>
        <w:t xml:space="preserve">local authorities </w:t>
      </w:r>
      <w:r w:rsidR="00794D7A">
        <w:rPr>
          <w:rFonts w:eastAsia="Franklin Gothic Book"/>
          <w:color w:val="000000"/>
          <w:sz w:val="24"/>
          <w:szCs w:val="24"/>
          <w:lang w:val="en-GB"/>
        </w:rPr>
        <w:t xml:space="preserve">of public health implications and </w:t>
      </w:r>
      <w:r w:rsidR="004E0E98">
        <w:rPr>
          <w:rFonts w:eastAsia="Franklin Gothic Book"/>
          <w:color w:val="000000"/>
          <w:sz w:val="24"/>
          <w:szCs w:val="24"/>
          <w:lang w:val="en-GB"/>
        </w:rPr>
        <w:t xml:space="preserve">how this could </w:t>
      </w:r>
      <w:r w:rsidR="001A125E">
        <w:rPr>
          <w:rFonts w:eastAsia="Franklin Gothic Book"/>
          <w:color w:val="000000"/>
          <w:sz w:val="24"/>
          <w:szCs w:val="24"/>
          <w:lang w:val="en-GB"/>
        </w:rPr>
        <w:t xml:space="preserve">impact on their </w:t>
      </w:r>
      <w:r w:rsidRPr="00FA1B3F">
        <w:rPr>
          <w:rFonts w:eastAsia="Franklin Gothic Book"/>
          <w:color w:val="000000"/>
          <w:sz w:val="24"/>
          <w:szCs w:val="24"/>
          <w:lang w:val="en-GB"/>
        </w:rPr>
        <w:t>obligations.</w:t>
      </w:r>
      <w:r w:rsidR="003A08AE">
        <w:rPr>
          <w:rFonts w:eastAsia="Franklin Gothic Book"/>
          <w:color w:val="000000"/>
          <w:sz w:val="24"/>
          <w:szCs w:val="24"/>
          <w:lang w:val="en-GB"/>
        </w:rPr>
        <w:t xml:space="preserve"> </w:t>
      </w:r>
      <w:r w:rsidR="0058255B" w:rsidRPr="005D7BA3">
        <w:rPr>
          <w:sz w:val="24"/>
          <w:szCs w:val="24"/>
          <w:lang w:val="en-NZ"/>
        </w:rPr>
        <w:t xml:space="preserve">The National Public Health Service </w:t>
      </w:r>
      <w:r w:rsidR="00DB08D8" w:rsidRPr="005D7BA3">
        <w:rPr>
          <w:sz w:val="24"/>
          <w:szCs w:val="24"/>
          <w:lang w:val="en-NZ"/>
        </w:rPr>
        <w:t>oversee</w:t>
      </w:r>
      <w:r w:rsidR="003A08AE">
        <w:rPr>
          <w:sz w:val="24"/>
          <w:szCs w:val="24"/>
          <w:lang w:val="en-NZ"/>
        </w:rPr>
        <w:t>s</w:t>
      </w:r>
      <w:r w:rsidR="00DB08D8" w:rsidRPr="005D7BA3">
        <w:rPr>
          <w:sz w:val="24"/>
          <w:szCs w:val="24"/>
          <w:lang w:val="en-NZ"/>
        </w:rPr>
        <w:t xml:space="preserve"> analysis and surveillance information of notified cases of human exposures to HABs. Long-term surveillance data can be used to inform environmental health policy and prevention activities. Th</w:t>
      </w:r>
      <w:r w:rsidR="0058255B">
        <w:rPr>
          <w:sz w:val="24"/>
          <w:szCs w:val="24"/>
          <w:lang w:val="en-NZ"/>
        </w:rPr>
        <w:t xml:space="preserve">is work is currently </w:t>
      </w:r>
      <w:r w:rsidR="00DB08D8" w:rsidRPr="005D7BA3">
        <w:rPr>
          <w:sz w:val="24"/>
          <w:szCs w:val="24"/>
          <w:lang w:val="en-NZ"/>
        </w:rPr>
        <w:t>contract</w:t>
      </w:r>
      <w:r w:rsidR="0058255B">
        <w:rPr>
          <w:sz w:val="24"/>
          <w:szCs w:val="24"/>
          <w:lang w:val="en-NZ"/>
        </w:rPr>
        <w:t>ed</w:t>
      </w:r>
      <w:r w:rsidR="00DB08D8" w:rsidRPr="005D7BA3">
        <w:rPr>
          <w:sz w:val="24"/>
          <w:szCs w:val="24"/>
          <w:lang w:val="en-NZ"/>
        </w:rPr>
        <w:t xml:space="preserve"> to EHINZ at Massey University.</w:t>
      </w:r>
    </w:p>
    <w:p w14:paraId="7FAF24A4" w14:textId="33108238" w:rsidR="005D109E" w:rsidRPr="00FA1B3F" w:rsidRDefault="005D109E" w:rsidP="00FA1B3F">
      <w:p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The National Public Health Service undertakes a number of activities in relation to recreational waters</w:t>
      </w:r>
      <w:r w:rsidR="00440D5C">
        <w:rPr>
          <w:rFonts w:eastAsia="Franklin Gothic Book"/>
          <w:color w:val="000000"/>
          <w:sz w:val="24"/>
          <w:szCs w:val="24"/>
          <w:lang w:val="en-GB"/>
        </w:rPr>
        <w:t>.</w:t>
      </w:r>
    </w:p>
    <w:p w14:paraId="7D1D9DA9" w14:textId="4D9965E6"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Provid</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information and advice to other agencies, organisations</w:t>
      </w:r>
      <w:r w:rsidR="00B67758">
        <w:rPr>
          <w:rFonts w:eastAsia="Franklin Gothic Book"/>
          <w:color w:val="000000"/>
          <w:sz w:val="24"/>
          <w:szCs w:val="24"/>
          <w:lang w:val="en-GB"/>
        </w:rPr>
        <w:t>,</w:t>
      </w:r>
      <w:r w:rsidRPr="00FA1B3F">
        <w:rPr>
          <w:rFonts w:eastAsia="Franklin Gothic Book"/>
          <w:color w:val="000000"/>
          <w:sz w:val="24"/>
          <w:szCs w:val="24"/>
          <w:lang w:val="en-GB"/>
        </w:rPr>
        <w:t xml:space="preserve"> and the public on the health effects of recreational water.</w:t>
      </w:r>
    </w:p>
    <w:p w14:paraId="743666C9" w14:textId="3514FE44"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Maintain</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effective recreational water advocacy activities.</w:t>
      </w:r>
    </w:p>
    <w:p w14:paraId="661219BD" w14:textId="77777777"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Maintaining information systems on regional recreational water quality issues.</w:t>
      </w:r>
    </w:p>
    <w:p w14:paraId="5F725714" w14:textId="23090A5E"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Support</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local authorities in responding to public health events.</w:t>
      </w:r>
    </w:p>
    <w:p w14:paraId="408377ED" w14:textId="60D5E291"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Investigat</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cases of disease linked to recreational water.</w:t>
      </w:r>
    </w:p>
    <w:p w14:paraId="0E9C9AE3" w14:textId="1276C4AD"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Support</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local government implementation of national policy statements and national environmental standards, including awareness of the responsibilities of other agencies in regard to recreational water quality and the need to carry out surveillance to ensure that the public health aspects of those responsibilities are met (in particular those matters outlined in sections 23 and 29 of the Health Act 1956 and section 35 of the Resource Management Act 1991).</w:t>
      </w:r>
    </w:p>
    <w:p w14:paraId="28EEBD80" w14:textId="5775526B"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Mak</w:t>
      </w:r>
      <w:r w:rsidR="000E1D5E">
        <w:rPr>
          <w:rFonts w:eastAsia="Franklin Gothic Book"/>
          <w:color w:val="000000"/>
          <w:sz w:val="24"/>
          <w:szCs w:val="24"/>
          <w:lang w:val="en-GB"/>
        </w:rPr>
        <w:t xml:space="preserve">ing </w:t>
      </w:r>
      <w:r w:rsidRPr="00FA1B3F">
        <w:rPr>
          <w:rFonts w:eastAsia="Franklin Gothic Book"/>
          <w:color w:val="000000"/>
          <w:sz w:val="24"/>
          <w:szCs w:val="24"/>
          <w:lang w:val="en-GB"/>
        </w:rPr>
        <w:t>submissions on national and regional plans and policies, district plans and policies and applications for resource consents to ensure that public health aspects of recreational water quality management are considered.</w:t>
      </w:r>
    </w:p>
    <w:p w14:paraId="69E89277" w14:textId="187324AE"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lastRenderedPageBreak/>
        <w:t>Tak</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appropriate action to minimise risks and to protect public health from environmental hazards and environmental exposures to contaminated water.</w:t>
      </w:r>
    </w:p>
    <w:p w14:paraId="1A47DD90" w14:textId="1E22E279" w:rsidR="005D109E" w:rsidRPr="00FA1B3F" w:rsidRDefault="005D109E" w:rsidP="00FA1B3F">
      <w:pPr>
        <w:numPr>
          <w:ilvl w:val="0"/>
          <w:numId w:val="41"/>
        </w:numPr>
        <w:overflowPunct w:val="0"/>
        <w:autoSpaceDE w:val="0"/>
        <w:autoSpaceDN w:val="0"/>
        <w:adjustRightInd w:val="0"/>
        <w:spacing w:before="120" w:after="60" w:line="240" w:lineRule="auto"/>
        <w:textAlignment w:val="baseline"/>
        <w:rPr>
          <w:rFonts w:eastAsia="Franklin Gothic Book"/>
          <w:color w:val="000000"/>
          <w:sz w:val="24"/>
          <w:szCs w:val="24"/>
          <w:lang w:val="en-GB"/>
        </w:rPr>
      </w:pPr>
      <w:r w:rsidRPr="00FA1B3F">
        <w:rPr>
          <w:rFonts w:eastAsia="Franklin Gothic Book"/>
          <w:color w:val="000000"/>
          <w:sz w:val="24"/>
          <w:szCs w:val="24"/>
          <w:lang w:val="en-GB"/>
        </w:rPr>
        <w:t>Monitor</w:t>
      </w:r>
      <w:r w:rsidR="000E1D5E">
        <w:rPr>
          <w:rFonts w:eastAsia="Franklin Gothic Book"/>
          <w:color w:val="000000"/>
          <w:sz w:val="24"/>
          <w:szCs w:val="24"/>
          <w:lang w:val="en-GB"/>
        </w:rPr>
        <w:t>ing</w:t>
      </w:r>
      <w:r w:rsidRPr="00FA1B3F">
        <w:rPr>
          <w:rFonts w:eastAsia="Franklin Gothic Book"/>
          <w:color w:val="000000"/>
          <w:sz w:val="24"/>
          <w:szCs w:val="24"/>
          <w:lang w:val="en-GB"/>
        </w:rPr>
        <w:t xml:space="preserve"> territorial authorities’ actions on these issues to ensure health impacts are minimised.</w:t>
      </w:r>
    </w:p>
    <w:p w14:paraId="222896C3" w14:textId="25D40045" w:rsidR="005D109E" w:rsidRPr="00FA1B3F" w:rsidRDefault="005D109E" w:rsidP="002A5435">
      <w:pPr>
        <w:overflowPunct w:val="0"/>
        <w:autoSpaceDE w:val="0"/>
        <w:autoSpaceDN w:val="0"/>
        <w:adjustRightInd w:val="0"/>
        <w:spacing w:before="120" w:after="120" w:line="240" w:lineRule="auto"/>
        <w:textAlignment w:val="baseline"/>
        <w:rPr>
          <w:rFonts w:eastAsia="Franklin Gothic Book"/>
          <w:color w:val="000000"/>
          <w:sz w:val="24"/>
          <w:szCs w:val="24"/>
          <w:lang w:val="en-GB"/>
        </w:rPr>
      </w:pPr>
      <w:r w:rsidRPr="00FA1B3F">
        <w:rPr>
          <w:rFonts w:eastAsia="Franklin Gothic Book"/>
          <w:sz w:val="24"/>
          <w:szCs w:val="24"/>
          <w:lang w:val="en-GB"/>
        </w:rPr>
        <w:t>Collaborating with other stakeholders is a key part of the work related with recreational swimming. And as each region has their own specific water quality issues it is emphasised that building and maintaining a working relationship with all stakeholders is vital for an effective public health response.</w:t>
      </w:r>
    </w:p>
    <w:p w14:paraId="5947F73F" w14:textId="0159E58C" w:rsidR="00F66642" w:rsidRPr="00723B38" w:rsidRDefault="00F66642" w:rsidP="000975AE">
      <w:pPr>
        <w:pStyle w:val="Heading2"/>
        <w:rPr>
          <w:lang w:val="en-NZ"/>
        </w:rPr>
      </w:pPr>
      <w:bookmarkStart w:id="42" w:name="_Toc181101790"/>
      <w:r w:rsidRPr="00723B38">
        <w:rPr>
          <w:lang w:val="en-NZ"/>
        </w:rPr>
        <w:t>Other agencies</w:t>
      </w:r>
      <w:bookmarkEnd w:id="42"/>
      <w:r w:rsidRPr="00723B38">
        <w:rPr>
          <w:lang w:val="en-NZ"/>
        </w:rPr>
        <w:t xml:space="preserve"> </w:t>
      </w:r>
    </w:p>
    <w:p w14:paraId="220A7F0E" w14:textId="61522C9B" w:rsidR="00F66642" w:rsidRDefault="00F66642" w:rsidP="002A5435">
      <w:pPr>
        <w:rPr>
          <w:sz w:val="24"/>
          <w:szCs w:val="24"/>
          <w:lang w:val="en-NZ"/>
        </w:rPr>
      </w:pPr>
      <w:r w:rsidRPr="002A5435">
        <w:rPr>
          <w:sz w:val="24"/>
          <w:szCs w:val="24"/>
          <w:lang w:val="en-NZ"/>
        </w:rPr>
        <w:t>Taumata Arowai have the responsibility for addressing drinking water related issues and the Ministry for Primary Industries is responsible for food safety issues (including mahinga kai, wild foods and commercial foods).</w:t>
      </w:r>
    </w:p>
    <w:p w14:paraId="327DF38A" w14:textId="77777777" w:rsidR="00F66642" w:rsidRPr="00723B38" w:rsidRDefault="00F66642" w:rsidP="00F66642">
      <w:pPr>
        <w:pStyle w:val="Heading2"/>
        <w:rPr>
          <w:lang w:val="en-NZ"/>
        </w:rPr>
      </w:pPr>
      <w:bookmarkStart w:id="43" w:name="_Toc181101791"/>
      <w:r w:rsidRPr="00723B38">
        <w:rPr>
          <w:lang w:val="en-NZ"/>
        </w:rPr>
        <w:t>Local agreements</w:t>
      </w:r>
      <w:bookmarkEnd w:id="43"/>
    </w:p>
    <w:p w14:paraId="2786138D" w14:textId="3C8A439D" w:rsidR="00DC34DA" w:rsidRPr="005D7BA3" w:rsidRDefault="00DC34DA" w:rsidP="00DC34DA">
      <w:pPr>
        <w:rPr>
          <w:sz w:val="24"/>
          <w:szCs w:val="24"/>
          <w:lang w:val="en-NZ"/>
        </w:rPr>
      </w:pPr>
      <w:r w:rsidRPr="005D7BA3">
        <w:rPr>
          <w:sz w:val="24"/>
          <w:szCs w:val="24"/>
          <w:lang w:val="en-NZ"/>
        </w:rPr>
        <w:t xml:space="preserve">Roles and responsibilities </w:t>
      </w:r>
      <w:r w:rsidR="004F59C2">
        <w:rPr>
          <w:sz w:val="24"/>
          <w:szCs w:val="24"/>
          <w:lang w:val="en-NZ"/>
        </w:rPr>
        <w:t xml:space="preserve">should be confirmed </w:t>
      </w:r>
      <w:r w:rsidR="00582340">
        <w:rPr>
          <w:sz w:val="24"/>
          <w:szCs w:val="24"/>
          <w:lang w:val="en-NZ"/>
        </w:rPr>
        <w:t xml:space="preserve">and documented </w:t>
      </w:r>
      <w:r w:rsidRPr="005D7BA3">
        <w:rPr>
          <w:sz w:val="24"/>
          <w:szCs w:val="24"/>
          <w:lang w:val="en-NZ"/>
        </w:rPr>
        <w:t>for both routine monitoring and responding to an unexpected HAB exceedance or exposure.</w:t>
      </w:r>
      <w:r w:rsidR="009F5E4E">
        <w:rPr>
          <w:sz w:val="24"/>
          <w:szCs w:val="24"/>
          <w:lang w:val="en-NZ"/>
        </w:rPr>
        <w:t xml:space="preserve"> Local level agreements should include </w:t>
      </w:r>
      <w:r w:rsidR="00B74C97" w:rsidRPr="005D7BA3">
        <w:rPr>
          <w:sz w:val="24"/>
          <w:szCs w:val="24"/>
          <w:lang w:val="en-NZ"/>
        </w:rPr>
        <w:t xml:space="preserve">local </w:t>
      </w:r>
      <w:r w:rsidR="00B74C97">
        <w:rPr>
          <w:sz w:val="24"/>
          <w:szCs w:val="24"/>
          <w:lang w:val="en-NZ"/>
        </w:rPr>
        <w:t>offices of the National P</w:t>
      </w:r>
      <w:r w:rsidRPr="005D7BA3">
        <w:rPr>
          <w:sz w:val="24"/>
          <w:szCs w:val="24"/>
          <w:lang w:val="en-NZ"/>
        </w:rPr>
        <w:t xml:space="preserve">ublic </w:t>
      </w:r>
      <w:r w:rsidR="00B74C97">
        <w:rPr>
          <w:sz w:val="24"/>
          <w:szCs w:val="24"/>
          <w:lang w:val="en-NZ"/>
        </w:rPr>
        <w:t>H</w:t>
      </w:r>
      <w:r w:rsidRPr="005D7BA3">
        <w:rPr>
          <w:sz w:val="24"/>
          <w:szCs w:val="24"/>
          <w:lang w:val="en-NZ"/>
        </w:rPr>
        <w:t xml:space="preserve">ealth </w:t>
      </w:r>
      <w:r w:rsidR="006836B9">
        <w:rPr>
          <w:sz w:val="24"/>
          <w:szCs w:val="24"/>
          <w:lang w:val="en-NZ"/>
        </w:rPr>
        <w:t>S</w:t>
      </w:r>
      <w:r w:rsidR="00B74C97">
        <w:rPr>
          <w:sz w:val="24"/>
          <w:szCs w:val="24"/>
          <w:lang w:val="en-NZ"/>
        </w:rPr>
        <w:t>ervice</w:t>
      </w:r>
      <w:r w:rsidRPr="005D7BA3">
        <w:rPr>
          <w:sz w:val="24"/>
          <w:szCs w:val="24"/>
          <w:lang w:val="en-NZ"/>
        </w:rPr>
        <w:t>, local government</w:t>
      </w:r>
      <w:r w:rsidR="009F5E4E">
        <w:rPr>
          <w:sz w:val="24"/>
          <w:szCs w:val="24"/>
          <w:lang w:val="en-NZ"/>
        </w:rPr>
        <w:t>,</w:t>
      </w:r>
      <w:r w:rsidRPr="005D7BA3">
        <w:rPr>
          <w:sz w:val="24"/>
          <w:szCs w:val="24"/>
          <w:lang w:val="en-NZ"/>
        </w:rPr>
        <w:t xml:space="preserve"> and local rūnanga</w:t>
      </w:r>
      <w:r w:rsidR="004E7804">
        <w:rPr>
          <w:sz w:val="24"/>
          <w:szCs w:val="24"/>
          <w:lang w:val="en-NZ"/>
        </w:rPr>
        <w:t xml:space="preserve"> </w:t>
      </w:r>
      <w:r w:rsidRPr="005D7BA3">
        <w:rPr>
          <w:sz w:val="24"/>
          <w:szCs w:val="24"/>
          <w:lang w:val="en-NZ"/>
        </w:rPr>
        <w:t xml:space="preserve">/ iwi/ hapū. These agreements could be based on </w:t>
      </w:r>
      <w:r w:rsidR="009F6278">
        <w:rPr>
          <w:sz w:val="24"/>
          <w:szCs w:val="24"/>
          <w:lang w:val="en-NZ"/>
        </w:rPr>
        <w:t xml:space="preserve">the </w:t>
      </w:r>
      <w:r w:rsidRPr="005D7BA3">
        <w:rPr>
          <w:sz w:val="24"/>
          <w:szCs w:val="24"/>
          <w:lang w:val="en-NZ"/>
        </w:rPr>
        <w:t xml:space="preserve">framework in Table 2 (see below), which is adapted from the </w:t>
      </w:r>
      <w:r w:rsidRPr="00046ADE">
        <w:rPr>
          <w:i/>
          <w:iCs/>
          <w:sz w:val="24"/>
          <w:szCs w:val="24"/>
          <w:lang w:val="en-NZ"/>
        </w:rPr>
        <w:t>New Zealand Guidelines for Cyanobacteria in Recreational Fresh Waters</w:t>
      </w:r>
      <w:r w:rsidRPr="005D7BA3">
        <w:rPr>
          <w:sz w:val="24"/>
          <w:szCs w:val="24"/>
          <w:lang w:val="en-NZ"/>
        </w:rPr>
        <w:t xml:space="preserve"> (Ministry for the Environment &amp; Ministry of Health, 2009).</w:t>
      </w:r>
    </w:p>
    <w:p w14:paraId="5DA8D134" w14:textId="77777777" w:rsidR="00DC34DA" w:rsidRPr="005D7BA3" w:rsidRDefault="00DC34DA" w:rsidP="00DC34DA">
      <w:pPr>
        <w:rPr>
          <w:sz w:val="24"/>
          <w:szCs w:val="24"/>
          <w:lang w:val="en-NZ"/>
        </w:rPr>
      </w:pPr>
      <w:r w:rsidRPr="005D7BA3">
        <w:rPr>
          <w:sz w:val="24"/>
          <w:szCs w:val="24"/>
          <w:lang w:val="en-NZ"/>
        </w:rPr>
        <w:t>In general, regional councils and territorial authorities are responsible for all recreational water except for shellfish harvesting areas.</w:t>
      </w:r>
    </w:p>
    <w:p w14:paraId="306E8E95" w14:textId="2BDBA8A6" w:rsidR="00DC34DA" w:rsidRPr="005D7BA3" w:rsidRDefault="00DC34DA" w:rsidP="00DC34DA">
      <w:pPr>
        <w:rPr>
          <w:sz w:val="24"/>
          <w:szCs w:val="24"/>
          <w:lang w:val="en-NZ"/>
        </w:rPr>
      </w:pPr>
      <w:r w:rsidRPr="005D7BA3">
        <w:rPr>
          <w:sz w:val="24"/>
          <w:szCs w:val="24"/>
          <w:lang w:val="en-NZ"/>
        </w:rPr>
        <w:t>It is important that roles and responsibilities are agreed and documented for:</w:t>
      </w:r>
    </w:p>
    <w:p w14:paraId="1C60CA0A" w14:textId="60DE8FD9" w:rsidR="00DC34DA" w:rsidRPr="005D7BA3" w:rsidRDefault="000F4F64" w:rsidP="00EC5113">
      <w:pPr>
        <w:pStyle w:val="ListParagraph"/>
        <w:numPr>
          <w:ilvl w:val="1"/>
          <w:numId w:val="32"/>
        </w:numPr>
        <w:ind w:left="426" w:hanging="426"/>
        <w:rPr>
          <w:sz w:val="24"/>
          <w:szCs w:val="24"/>
          <w:lang w:val="en-NZ"/>
        </w:rPr>
      </w:pPr>
      <w:r>
        <w:rPr>
          <w:sz w:val="24"/>
          <w:szCs w:val="24"/>
          <w:lang w:val="en-NZ"/>
        </w:rPr>
        <w:t>f</w:t>
      </w:r>
      <w:r w:rsidR="00DC34DA" w:rsidRPr="005D7BA3">
        <w:rPr>
          <w:sz w:val="24"/>
          <w:szCs w:val="24"/>
          <w:lang w:val="en-NZ"/>
        </w:rPr>
        <w:t xml:space="preserve">reshwater recreational </w:t>
      </w:r>
      <w:r w:rsidR="009F6D53" w:rsidRPr="005D7BA3">
        <w:rPr>
          <w:sz w:val="24"/>
          <w:szCs w:val="24"/>
          <w:lang w:val="en-NZ"/>
        </w:rPr>
        <w:t xml:space="preserve">food gathering sites </w:t>
      </w:r>
      <w:r w:rsidR="009F6D53">
        <w:rPr>
          <w:sz w:val="24"/>
          <w:szCs w:val="24"/>
          <w:lang w:val="en-NZ"/>
        </w:rPr>
        <w:t xml:space="preserve">| </w:t>
      </w:r>
      <w:r w:rsidR="00DC34DA" w:rsidRPr="005D7BA3">
        <w:rPr>
          <w:sz w:val="24"/>
          <w:szCs w:val="24"/>
          <w:lang w:val="en-NZ"/>
        </w:rPr>
        <w:t>mahinga kai /</w:t>
      </w:r>
    </w:p>
    <w:p w14:paraId="4833A84A" w14:textId="760A9F9B" w:rsidR="00DC34DA" w:rsidRPr="005D7BA3" w:rsidRDefault="00F96955" w:rsidP="00EC5113">
      <w:pPr>
        <w:pStyle w:val="ListParagraph"/>
        <w:numPr>
          <w:ilvl w:val="1"/>
          <w:numId w:val="32"/>
        </w:numPr>
        <w:ind w:left="426" w:hanging="426"/>
        <w:rPr>
          <w:sz w:val="24"/>
          <w:szCs w:val="24"/>
          <w:lang w:val="en-NZ"/>
        </w:rPr>
      </w:pPr>
      <w:r>
        <w:rPr>
          <w:sz w:val="24"/>
          <w:szCs w:val="24"/>
          <w:lang w:val="en-NZ"/>
        </w:rPr>
        <w:t>m</w:t>
      </w:r>
      <w:r w:rsidR="00DC34DA" w:rsidRPr="005D7BA3">
        <w:rPr>
          <w:sz w:val="24"/>
          <w:szCs w:val="24"/>
          <w:lang w:val="en-NZ"/>
        </w:rPr>
        <w:t xml:space="preserve">arine recreational waterbodies that are not </w:t>
      </w:r>
      <w:r w:rsidR="009F6D53" w:rsidRPr="005D7BA3">
        <w:rPr>
          <w:sz w:val="24"/>
          <w:szCs w:val="24"/>
          <w:lang w:val="en-NZ"/>
        </w:rPr>
        <w:t xml:space="preserve">food gathering sites </w:t>
      </w:r>
      <w:r w:rsidR="004E7804">
        <w:rPr>
          <w:sz w:val="24"/>
          <w:szCs w:val="24"/>
          <w:lang w:val="en-NZ"/>
        </w:rPr>
        <w:t xml:space="preserve">| </w:t>
      </w:r>
      <w:r w:rsidR="00DC34DA" w:rsidRPr="005D7BA3">
        <w:rPr>
          <w:sz w:val="24"/>
          <w:szCs w:val="24"/>
          <w:lang w:val="en-NZ"/>
        </w:rPr>
        <w:t>mahinga kai .</w:t>
      </w:r>
    </w:p>
    <w:p w14:paraId="5E36E2F7" w14:textId="24B906DF" w:rsidR="000D4A33" w:rsidRPr="005D7BA3" w:rsidRDefault="000D4A33" w:rsidP="000D4A33">
      <w:pPr>
        <w:pStyle w:val="Caption"/>
        <w:keepNext/>
        <w:rPr>
          <w:sz w:val="24"/>
          <w:szCs w:val="24"/>
          <w:lang w:val="en-NZ"/>
        </w:rPr>
      </w:pPr>
      <w:r w:rsidRPr="005D7BA3">
        <w:rPr>
          <w:sz w:val="24"/>
          <w:szCs w:val="24"/>
          <w:lang w:val="en-NZ"/>
        </w:rPr>
        <w:t xml:space="preserve">Table </w:t>
      </w:r>
      <w:r w:rsidRPr="005D7BA3">
        <w:rPr>
          <w:sz w:val="24"/>
          <w:szCs w:val="24"/>
          <w:lang w:val="en-NZ"/>
        </w:rPr>
        <w:fldChar w:fldCharType="begin"/>
      </w:r>
      <w:r w:rsidRPr="005D7BA3">
        <w:rPr>
          <w:sz w:val="24"/>
          <w:szCs w:val="24"/>
          <w:lang w:val="en-NZ"/>
        </w:rPr>
        <w:instrText xml:space="preserve"> SEQ Table \* ARABIC </w:instrText>
      </w:r>
      <w:r w:rsidRPr="005D7BA3">
        <w:rPr>
          <w:sz w:val="24"/>
          <w:szCs w:val="24"/>
          <w:lang w:val="en-NZ"/>
        </w:rPr>
        <w:fldChar w:fldCharType="separate"/>
      </w:r>
      <w:r w:rsidR="007643FB">
        <w:rPr>
          <w:noProof/>
          <w:sz w:val="24"/>
          <w:szCs w:val="24"/>
          <w:lang w:val="en-NZ"/>
        </w:rPr>
        <w:t>2</w:t>
      </w:r>
      <w:r w:rsidRPr="005D7BA3">
        <w:rPr>
          <w:sz w:val="24"/>
          <w:szCs w:val="24"/>
          <w:lang w:val="en-NZ"/>
        </w:rPr>
        <w:fldChar w:fldCharType="end"/>
      </w:r>
      <w:r w:rsidRPr="005D7BA3">
        <w:rPr>
          <w:sz w:val="24"/>
          <w:szCs w:val="24"/>
          <w:lang w:val="en-NZ"/>
        </w:rPr>
        <w:t xml:space="preserve"> </w:t>
      </w:r>
      <w:r w:rsidR="00031D75">
        <w:rPr>
          <w:sz w:val="24"/>
          <w:szCs w:val="24"/>
          <w:lang w:val="en-NZ"/>
        </w:rPr>
        <w:t xml:space="preserve">Example </w:t>
      </w:r>
      <w:r w:rsidRPr="005D7BA3">
        <w:rPr>
          <w:sz w:val="24"/>
          <w:szCs w:val="24"/>
          <w:lang w:val="en-NZ"/>
        </w:rPr>
        <w:t>roles and responsibilities framework for routinely monitored HAB sites</w:t>
      </w:r>
      <w:r w:rsidR="00031D75">
        <w:rPr>
          <w:sz w:val="24"/>
          <w:szCs w:val="24"/>
          <w:lang w:val="en-NZ"/>
        </w:rPr>
        <w:t>.</w:t>
      </w:r>
    </w:p>
    <w:tbl>
      <w:tblPr>
        <w:tblStyle w:val="GridTable4-Accent5"/>
        <w:tblW w:w="5000" w:type="pct"/>
        <w:tblBorders>
          <w:top w:val="single" w:sz="4" w:space="0" w:color="FFFFFF" w:themeColor="accent6"/>
          <w:left w:val="single" w:sz="4" w:space="0" w:color="FFFFFF" w:themeColor="accent6"/>
          <w:bottom w:val="single" w:sz="4" w:space="0" w:color="FFFFFF" w:themeColor="accent6"/>
          <w:right w:val="single" w:sz="4" w:space="0" w:color="FFFFFF" w:themeColor="accent6"/>
          <w:insideH w:val="single" w:sz="4" w:space="0" w:color="FFFFFF" w:themeColor="accent6"/>
          <w:insideV w:val="single" w:sz="4" w:space="0" w:color="FFFFFF" w:themeColor="accent6"/>
        </w:tblBorders>
        <w:tblLook w:val="04A0" w:firstRow="1" w:lastRow="0" w:firstColumn="1" w:lastColumn="0" w:noHBand="0" w:noVBand="1"/>
      </w:tblPr>
      <w:tblGrid>
        <w:gridCol w:w="1697"/>
        <w:gridCol w:w="2097"/>
        <w:gridCol w:w="1617"/>
        <w:gridCol w:w="1688"/>
        <w:gridCol w:w="1917"/>
      </w:tblGrid>
      <w:tr w:rsidR="00B16524" w:rsidRPr="00CC0F9B" w14:paraId="66CFEF3A" w14:textId="77777777" w:rsidTr="00B165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04" w:type="pct"/>
            <w:tcBorders>
              <w:bottom w:val="single" w:sz="4" w:space="0" w:color="FFFFFF" w:themeColor="accent6"/>
            </w:tcBorders>
          </w:tcPr>
          <w:p w14:paraId="7AAE04D4" w14:textId="27E15F27" w:rsidR="000D4A33" w:rsidRPr="00C40770" w:rsidRDefault="000D4A33" w:rsidP="000D4A33">
            <w:pPr>
              <w:rPr>
                <w:sz w:val="24"/>
                <w:szCs w:val="24"/>
                <w:lang w:val="en-NZ"/>
              </w:rPr>
            </w:pPr>
            <w:r w:rsidRPr="00C40770">
              <w:rPr>
                <w:sz w:val="24"/>
                <w:szCs w:val="24"/>
                <w:lang w:val="en-NZ"/>
              </w:rPr>
              <w:t>Activity</w:t>
            </w:r>
          </w:p>
        </w:tc>
        <w:tc>
          <w:tcPr>
            <w:tcW w:w="1237" w:type="pct"/>
            <w:tcBorders>
              <w:bottom w:val="single" w:sz="4" w:space="0" w:color="FFFFFF" w:themeColor="accent6"/>
            </w:tcBorders>
          </w:tcPr>
          <w:p w14:paraId="2F9231C6" w14:textId="53F7E330" w:rsidR="000D4A33" w:rsidRPr="00C40770" w:rsidRDefault="00031D75" w:rsidP="000D4A33">
            <w:pPr>
              <w:cnfStyle w:val="100000000000" w:firstRow="1"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NPHS</w:t>
            </w:r>
            <w:r w:rsidR="000D4A33" w:rsidRPr="00C40770">
              <w:rPr>
                <w:sz w:val="24"/>
                <w:szCs w:val="24"/>
                <w:lang w:val="en-NZ"/>
              </w:rPr>
              <w:t xml:space="preserve"> (local </w:t>
            </w:r>
            <w:r w:rsidR="00925F13" w:rsidRPr="00C40770">
              <w:rPr>
                <w:sz w:val="24"/>
                <w:szCs w:val="24"/>
                <w:lang w:val="en-NZ"/>
              </w:rPr>
              <w:t>offices</w:t>
            </w:r>
            <w:r w:rsidR="000D4A33" w:rsidRPr="00C40770">
              <w:rPr>
                <w:sz w:val="24"/>
                <w:szCs w:val="24"/>
                <w:lang w:val="en-NZ"/>
              </w:rPr>
              <w:t>)</w:t>
            </w:r>
            <w:r w:rsidR="00925F13" w:rsidRPr="00C40770">
              <w:rPr>
                <w:sz w:val="24"/>
                <w:szCs w:val="24"/>
                <w:lang w:val="en-NZ"/>
              </w:rPr>
              <w:t xml:space="preserve"> – Health NZ</w:t>
            </w:r>
          </w:p>
        </w:tc>
        <w:tc>
          <w:tcPr>
            <w:tcW w:w="812" w:type="pct"/>
            <w:tcBorders>
              <w:bottom w:val="single" w:sz="4" w:space="0" w:color="FFFFFF" w:themeColor="accent6"/>
            </w:tcBorders>
          </w:tcPr>
          <w:p w14:paraId="633D6DAB" w14:textId="4663D88F" w:rsidR="000D4A33" w:rsidRPr="00C40770" w:rsidRDefault="000D4A33" w:rsidP="000D4A33">
            <w:pPr>
              <w:cnfStyle w:val="100000000000" w:firstRow="1"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Territorial authority (TA)</w:t>
            </w:r>
          </w:p>
        </w:tc>
        <w:tc>
          <w:tcPr>
            <w:tcW w:w="1010" w:type="pct"/>
            <w:tcBorders>
              <w:bottom w:val="single" w:sz="4" w:space="0" w:color="FFFFFF" w:themeColor="accent6"/>
            </w:tcBorders>
          </w:tcPr>
          <w:p w14:paraId="42B7403B" w14:textId="7F77D1C4" w:rsidR="000D4A33" w:rsidRPr="00C40770" w:rsidRDefault="000D4A33" w:rsidP="000D4A33">
            <w:pPr>
              <w:cnfStyle w:val="100000000000" w:firstRow="1"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Regional Council (RC)</w:t>
            </w:r>
          </w:p>
        </w:tc>
        <w:tc>
          <w:tcPr>
            <w:tcW w:w="1137" w:type="pct"/>
            <w:tcBorders>
              <w:bottom w:val="single" w:sz="4" w:space="0" w:color="FFFFFF" w:themeColor="accent6"/>
            </w:tcBorders>
          </w:tcPr>
          <w:p w14:paraId="00FC36D3" w14:textId="32B75B05" w:rsidR="000D4A33" w:rsidRPr="00C40770" w:rsidRDefault="000D4A33" w:rsidP="000D4A33">
            <w:pPr>
              <w:cnfStyle w:val="100000000000" w:firstRow="1"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Rūnanga / iwi / hapū</w:t>
            </w:r>
          </w:p>
        </w:tc>
      </w:tr>
      <w:tr w:rsidR="003038B5" w:rsidRPr="005D7BA3" w14:paraId="1D2DBE07" w14:textId="77777777" w:rsidTr="00B1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hemeFill="accent4" w:themeFillShade="F2"/>
          </w:tcPr>
          <w:p w14:paraId="52197536" w14:textId="7ADC73AE" w:rsidR="000D4A33" w:rsidRPr="00C40770" w:rsidRDefault="000D4A33" w:rsidP="000D4A33">
            <w:pPr>
              <w:spacing w:after="160" w:line="259" w:lineRule="auto"/>
              <w:rPr>
                <w:sz w:val="24"/>
                <w:szCs w:val="24"/>
                <w:lang w:val="en-NZ"/>
              </w:rPr>
            </w:pPr>
            <w:r w:rsidRPr="00C40770">
              <w:rPr>
                <w:sz w:val="24"/>
                <w:szCs w:val="24"/>
                <w:lang w:val="en-NZ"/>
              </w:rPr>
              <w:t>Monitoring</w:t>
            </w:r>
          </w:p>
        </w:tc>
        <w:tc>
          <w:tcPr>
            <w:tcW w:w="0" w:type="pct"/>
            <w:tcBorders>
              <w:left w:val="single" w:sz="4" w:space="0" w:color="15284C"/>
              <w:right w:val="single" w:sz="4" w:space="0" w:color="15284C"/>
            </w:tcBorders>
            <w:shd w:val="clear" w:color="auto" w:fill="F2F2F2" w:themeFill="accent4" w:themeFillShade="F2"/>
          </w:tcPr>
          <w:p w14:paraId="1C3130B4" w14:textId="764EC56E"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Reviews the effectiveness of the monitoring and reporting strategy.</w:t>
            </w:r>
          </w:p>
        </w:tc>
        <w:tc>
          <w:tcPr>
            <w:tcW w:w="0" w:type="pct"/>
            <w:tcBorders>
              <w:left w:val="single" w:sz="4" w:space="0" w:color="15284C"/>
              <w:right w:val="single" w:sz="4" w:space="0" w:color="15284C"/>
            </w:tcBorders>
            <w:shd w:val="clear" w:color="auto" w:fill="F2F2F2" w:themeFill="accent4" w:themeFillShade="F2"/>
          </w:tcPr>
          <w:p w14:paraId="469010A2" w14:textId="46F90A77"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If required / requested to, undertakes nuisance monitoring.</w:t>
            </w:r>
          </w:p>
        </w:tc>
        <w:tc>
          <w:tcPr>
            <w:tcW w:w="0" w:type="pct"/>
            <w:tcBorders>
              <w:left w:val="single" w:sz="4" w:space="0" w:color="15284C"/>
              <w:right w:val="single" w:sz="4" w:space="0" w:color="15284C" w:themeColor="accent5"/>
            </w:tcBorders>
            <w:shd w:val="clear" w:color="auto" w:fill="F2F2F2" w:themeFill="accent4" w:themeFillShade="F2"/>
          </w:tcPr>
          <w:p w14:paraId="189062E3" w14:textId="1BA66F8E"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Coordinates the monitoring, sample analysis</w:t>
            </w:r>
            <w:r w:rsidR="00032C06" w:rsidRPr="00C40770">
              <w:rPr>
                <w:sz w:val="24"/>
                <w:szCs w:val="24"/>
                <w:lang w:val="en-NZ"/>
              </w:rPr>
              <w:t>,</w:t>
            </w:r>
            <w:r w:rsidRPr="00C40770">
              <w:rPr>
                <w:sz w:val="24"/>
                <w:szCs w:val="24"/>
                <w:lang w:val="en-NZ"/>
              </w:rPr>
              <w:t xml:space="preserve"> and reporting strategy.</w:t>
            </w:r>
          </w:p>
        </w:tc>
        <w:tc>
          <w:tcPr>
            <w:tcW w:w="0" w:type="pct"/>
            <w:tcBorders>
              <w:left w:val="single" w:sz="4" w:space="0" w:color="15284C" w:themeColor="accent5"/>
            </w:tcBorders>
            <w:shd w:val="clear" w:color="auto" w:fill="F2F2F2" w:themeFill="accent4" w:themeFillShade="F2"/>
          </w:tcPr>
          <w:p w14:paraId="35B28890" w14:textId="37932F6E" w:rsidR="000D4A33" w:rsidRPr="00C40770" w:rsidRDefault="000D4A33" w:rsidP="000D4A33">
            <w:pPr>
              <w:spacing w:after="160" w:line="259" w:lineRule="auto"/>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 xml:space="preserve">Engages with RC and / or PHU regarding any relevant information / concerns about local HABs. Involved in sampling to </w:t>
            </w:r>
            <w:r w:rsidRPr="00C40770">
              <w:rPr>
                <w:sz w:val="24"/>
                <w:szCs w:val="24"/>
                <w:lang w:val="en-NZ"/>
              </w:rPr>
              <w:lastRenderedPageBreak/>
              <w:t>extent they wish to be</w:t>
            </w:r>
            <w:r w:rsidR="00036798" w:rsidRPr="00C40770">
              <w:rPr>
                <w:sz w:val="24"/>
                <w:szCs w:val="24"/>
                <w:lang w:val="en-NZ"/>
              </w:rPr>
              <w:t>.</w:t>
            </w:r>
          </w:p>
        </w:tc>
      </w:tr>
      <w:tr w:rsidR="006A7C24" w:rsidRPr="005D7BA3" w14:paraId="67890125" w14:textId="77777777" w:rsidTr="00BD7E7F">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tcPr>
          <w:p w14:paraId="7EDFD17B" w14:textId="0D30EF7E" w:rsidR="000D4A33" w:rsidRPr="00C40770" w:rsidRDefault="000D4A33" w:rsidP="000D4A33">
            <w:pPr>
              <w:rPr>
                <w:sz w:val="24"/>
                <w:szCs w:val="24"/>
                <w:lang w:val="en-NZ"/>
              </w:rPr>
            </w:pPr>
            <w:r w:rsidRPr="00C40770">
              <w:rPr>
                <w:sz w:val="24"/>
                <w:szCs w:val="24"/>
                <w:lang w:val="en-NZ"/>
              </w:rPr>
              <w:lastRenderedPageBreak/>
              <w:t>Case investigation</w:t>
            </w:r>
          </w:p>
        </w:tc>
        <w:tc>
          <w:tcPr>
            <w:tcW w:w="0" w:type="pct"/>
            <w:tcBorders>
              <w:left w:val="single" w:sz="4" w:space="0" w:color="15284C"/>
              <w:right w:val="single" w:sz="4" w:space="0" w:color="15284C"/>
            </w:tcBorders>
          </w:tcPr>
          <w:p w14:paraId="218CC709" w14:textId="7F96206E" w:rsidR="000D4A33" w:rsidRPr="00C40770" w:rsidRDefault="000D4A33"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Investigates notified human</w:t>
            </w:r>
            <w:r w:rsidR="006A7C24" w:rsidRPr="00C40770">
              <w:rPr>
                <w:sz w:val="24"/>
                <w:szCs w:val="24"/>
                <w:lang w:val="en-NZ"/>
              </w:rPr>
              <w:t xml:space="preserve"> </w:t>
            </w:r>
            <w:r w:rsidRPr="00C40770">
              <w:rPr>
                <w:sz w:val="24"/>
                <w:szCs w:val="24"/>
                <w:lang w:val="en-NZ"/>
              </w:rPr>
              <w:t>exposures to HABs.</w:t>
            </w:r>
          </w:p>
        </w:tc>
        <w:tc>
          <w:tcPr>
            <w:tcW w:w="0" w:type="pct"/>
            <w:tcBorders>
              <w:left w:val="single" w:sz="4" w:space="0" w:color="15284C"/>
              <w:right w:val="single" w:sz="4" w:space="0" w:color="15284C"/>
            </w:tcBorders>
          </w:tcPr>
          <w:p w14:paraId="2D592796" w14:textId="77777777" w:rsidR="000D4A33" w:rsidRPr="00C40770" w:rsidRDefault="000D4A33" w:rsidP="000D4A33">
            <w:pPr>
              <w:cnfStyle w:val="000000000000" w:firstRow="0" w:lastRow="0" w:firstColumn="0" w:lastColumn="0" w:oddVBand="0" w:evenVBand="0" w:oddHBand="0" w:evenHBand="0" w:firstRowFirstColumn="0" w:firstRowLastColumn="0" w:lastRowFirstColumn="0" w:lastRowLastColumn="0"/>
              <w:rPr>
                <w:sz w:val="24"/>
                <w:szCs w:val="24"/>
                <w:lang w:val="en-NZ"/>
              </w:rPr>
            </w:pPr>
          </w:p>
        </w:tc>
        <w:tc>
          <w:tcPr>
            <w:tcW w:w="0" w:type="pct"/>
            <w:tcBorders>
              <w:left w:val="single" w:sz="4" w:space="0" w:color="15284C"/>
              <w:right w:val="single" w:sz="4" w:space="0" w:color="15284C" w:themeColor="accent5"/>
            </w:tcBorders>
          </w:tcPr>
          <w:p w14:paraId="6A46B981" w14:textId="1FDAF0EB" w:rsidR="000D4A33" w:rsidRPr="00C40770" w:rsidRDefault="000D4A33" w:rsidP="000D4A33">
            <w:pPr>
              <w:cnfStyle w:val="000000000000" w:firstRow="0" w:lastRow="0" w:firstColumn="0" w:lastColumn="0" w:oddVBand="0" w:evenVBand="0" w:oddHBand="0" w:evenHBand="0" w:firstRowFirstColumn="0" w:firstRowLastColumn="0" w:lastRowFirstColumn="0" w:lastRowLastColumn="0"/>
              <w:rPr>
                <w:sz w:val="24"/>
                <w:szCs w:val="24"/>
                <w:lang w:val="en-NZ"/>
              </w:rPr>
            </w:pPr>
          </w:p>
        </w:tc>
        <w:tc>
          <w:tcPr>
            <w:tcW w:w="0" w:type="pct"/>
            <w:tcBorders>
              <w:left w:val="single" w:sz="4" w:space="0" w:color="15284C" w:themeColor="accent5"/>
            </w:tcBorders>
          </w:tcPr>
          <w:p w14:paraId="6B744BB3" w14:textId="37E72325" w:rsidR="000D4A33" w:rsidRPr="00C40770" w:rsidRDefault="000D4A33" w:rsidP="000D4A33">
            <w:pPr>
              <w:cnfStyle w:val="000000000000" w:firstRow="0" w:lastRow="0" w:firstColumn="0" w:lastColumn="0" w:oddVBand="0" w:evenVBand="0" w:oddHBand="0" w:evenHBand="0" w:firstRowFirstColumn="0" w:firstRowLastColumn="0" w:lastRowFirstColumn="0" w:lastRowLastColumn="0"/>
              <w:rPr>
                <w:sz w:val="24"/>
                <w:szCs w:val="24"/>
                <w:lang w:val="en-NZ"/>
              </w:rPr>
            </w:pPr>
          </w:p>
        </w:tc>
      </w:tr>
      <w:tr w:rsidR="003038B5" w:rsidRPr="005D7BA3" w14:paraId="3B08AA6A" w14:textId="77777777" w:rsidTr="00B1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hemeFill="accent4" w:themeFillShade="F2"/>
          </w:tcPr>
          <w:p w14:paraId="0DFDD0AC" w14:textId="64829363" w:rsidR="000D4A33" w:rsidRPr="00C40770" w:rsidRDefault="000D4A33" w:rsidP="00483D97">
            <w:pPr>
              <w:rPr>
                <w:sz w:val="24"/>
                <w:szCs w:val="24"/>
                <w:lang w:val="en-NZ"/>
              </w:rPr>
            </w:pPr>
            <w:r w:rsidRPr="00C40770">
              <w:rPr>
                <w:sz w:val="24"/>
                <w:szCs w:val="24"/>
                <w:lang w:val="en-NZ"/>
              </w:rPr>
              <w:t>Action /</w:t>
            </w:r>
            <w:r w:rsidR="00296A08" w:rsidRPr="00C40770">
              <w:rPr>
                <w:sz w:val="24"/>
                <w:szCs w:val="24"/>
                <w:lang w:val="en-NZ"/>
              </w:rPr>
              <w:t xml:space="preserve"> </w:t>
            </w:r>
            <w:r w:rsidRPr="00C40770">
              <w:rPr>
                <w:sz w:val="24"/>
                <w:szCs w:val="24"/>
                <w:lang w:val="en-NZ"/>
              </w:rPr>
              <w:t>issuing alerts</w:t>
            </w:r>
          </w:p>
        </w:tc>
        <w:tc>
          <w:tcPr>
            <w:tcW w:w="0" w:type="pct"/>
            <w:tcBorders>
              <w:left w:val="single" w:sz="4" w:space="0" w:color="15284C"/>
              <w:right w:val="single" w:sz="4" w:space="0" w:color="15284C"/>
            </w:tcBorders>
            <w:shd w:val="clear" w:color="auto" w:fill="F2F2F2" w:themeFill="accent4" w:themeFillShade="F2"/>
          </w:tcPr>
          <w:p w14:paraId="465956B8" w14:textId="4989B0C2"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 xml:space="preserve">Issues public health alerts / risk communication when public health action is required according to the </w:t>
            </w:r>
            <w:r w:rsidR="006A7AF2" w:rsidRPr="00C40770">
              <w:rPr>
                <w:sz w:val="24"/>
                <w:szCs w:val="24"/>
                <w:lang w:val="en-NZ"/>
              </w:rPr>
              <w:t>A</w:t>
            </w:r>
            <w:r w:rsidRPr="00C40770">
              <w:rPr>
                <w:sz w:val="24"/>
                <w:szCs w:val="24"/>
                <w:lang w:val="en-NZ"/>
              </w:rPr>
              <w:t xml:space="preserve">lert </w:t>
            </w:r>
            <w:r w:rsidR="006A7AF2" w:rsidRPr="00C40770">
              <w:rPr>
                <w:sz w:val="24"/>
                <w:szCs w:val="24"/>
                <w:lang w:val="en-NZ"/>
              </w:rPr>
              <w:t>L</w:t>
            </w:r>
            <w:r w:rsidRPr="00C40770">
              <w:rPr>
                <w:sz w:val="24"/>
                <w:szCs w:val="24"/>
                <w:lang w:val="en-NZ"/>
              </w:rPr>
              <w:t xml:space="preserve">evel </w:t>
            </w:r>
            <w:r w:rsidR="006A7AF2" w:rsidRPr="00C40770">
              <w:rPr>
                <w:sz w:val="24"/>
                <w:szCs w:val="24"/>
                <w:lang w:val="en-NZ"/>
              </w:rPr>
              <w:t>F</w:t>
            </w:r>
            <w:r w:rsidRPr="00C40770">
              <w:rPr>
                <w:sz w:val="24"/>
                <w:szCs w:val="24"/>
                <w:lang w:val="en-NZ"/>
              </w:rPr>
              <w:t>ramework, in partnership with rūnanga, TA, and RC.</w:t>
            </w:r>
          </w:p>
        </w:tc>
        <w:tc>
          <w:tcPr>
            <w:tcW w:w="0" w:type="pct"/>
            <w:tcBorders>
              <w:left w:val="single" w:sz="4" w:space="0" w:color="15284C"/>
              <w:right w:val="single" w:sz="4" w:space="0" w:color="15284C"/>
            </w:tcBorders>
            <w:shd w:val="clear" w:color="auto" w:fill="F2F2F2" w:themeFill="accent4" w:themeFillShade="F2"/>
          </w:tcPr>
          <w:p w14:paraId="394627AB" w14:textId="63B37CE8"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If required / requested to by RC, removes or abates the nuisance.</w:t>
            </w:r>
          </w:p>
        </w:tc>
        <w:tc>
          <w:tcPr>
            <w:tcW w:w="0" w:type="pct"/>
            <w:tcBorders>
              <w:left w:val="single" w:sz="4" w:space="0" w:color="15284C"/>
              <w:right w:val="single" w:sz="4" w:space="0" w:color="15284C" w:themeColor="accent5"/>
            </w:tcBorders>
            <w:shd w:val="clear" w:color="auto" w:fill="F2F2F2" w:themeFill="accent4" w:themeFillShade="F2"/>
          </w:tcPr>
          <w:p w14:paraId="7001916F" w14:textId="68DC64C6" w:rsidR="000D4A33" w:rsidRPr="00C40770" w:rsidRDefault="000D4A33" w:rsidP="006A7C24">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Implements</w:t>
            </w:r>
            <w:r w:rsidR="006A7C24" w:rsidRPr="00C40770">
              <w:rPr>
                <w:sz w:val="24"/>
                <w:szCs w:val="24"/>
                <w:lang w:val="en-NZ"/>
              </w:rPr>
              <w:t xml:space="preserve"> </w:t>
            </w:r>
            <w:r w:rsidRPr="00C40770">
              <w:rPr>
                <w:sz w:val="24"/>
                <w:szCs w:val="24"/>
                <w:lang w:val="en-NZ"/>
              </w:rPr>
              <w:t>surveillance and</w:t>
            </w:r>
            <w:r w:rsidR="006A7C24" w:rsidRPr="00C40770">
              <w:rPr>
                <w:sz w:val="24"/>
                <w:szCs w:val="24"/>
                <w:lang w:val="en-NZ"/>
              </w:rPr>
              <w:t xml:space="preserve"> </w:t>
            </w:r>
            <w:r w:rsidRPr="00C40770">
              <w:rPr>
                <w:sz w:val="24"/>
                <w:szCs w:val="24"/>
                <w:lang w:val="en-NZ"/>
              </w:rPr>
              <w:t>alert-level</w:t>
            </w:r>
            <w:r w:rsidR="006A7C24" w:rsidRPr="00C40770">
              <w:rPr>
                <w:sz w:val="24"/>
                <w:szCs w:val="24"/>
                <w:lang w:val="en-NZ"/>
              </w:rPr>
              <w:t xml:space="preserve"> </w:t>
            </w:r>
            <w:r w:rsidRPr="00C40770">
              <w:rPr>
                <w:sz w:val="24"/>
                <w:szCs w:val="24"/>
                <w:lang w:val="en-NZ"/>
              </w:rPr>
              <w:t>monitoring and</w:t>
            </w:r>
            <w:r w:rsidR="006A7C24" w:rsidRPr="00C40770">
              <w:rPr>
                <w:sz w:val="24"/>
                <w:szCs w:val="24"/>
                <w:lang w:val="en-NZ"/>
              </w:rPr>
              <w:t xml:space="preserve"> </w:t>
            </w:r>
            <w:r w:rsidRPr="00C40770">
              <w:rPr>
                <w:sz w:val="24"/>
                <w:szCs w:val="24"/>
                <w:lang w:val="en-NZ"/>
              </w:rPr>
              <w:t xml:space="preserve">provides </w:t>
            </w:r>
            <w:r w:rsidR="00296A08" w:rsidRPr="00C40770">
              <w:rPr>
                <w:sz w:val="24"/>
                <w:szCs w:val="24"/>
                <w:lang w:val="en-NZ"/>
              </w:rPr>
              <w:t xml:space="preserve">NPHS </w:t>
            </w:r>
            <w:r w:rsidRPr="00C40770">
              <w:rPr>
                <w:sz w:val="24"/>
                <w:szCs w:val="24"/>
                <w:lang w:val="en-NZ"/>
              </w:rPr>
              <w:t>with the results.</w:t>
            </w:r>
          </w:p>
        </w:tc>
        <w:tc>
          <w:tcPr>
            <w:tcW w:w="0" w:type="pct"/>
            <w:tcBorders>
              <w:left w:val="single" w:sz="4" w:space="0" w:color="15284C" w:themeColor="accent5"/>
            </w:tcBorders>
            <w:shd w:val="clear" w:color="auto" w:fill="F2F2F2" w:themeFill="accent4" w:themeFillShade="F2"/>
          </w:tcPr>
          <w:p w14:paraId="5D3AFCFF" w14:textId="0CA5675F"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Are involved (to the extent they wish to be) in decision making regarding issuing public health alerts.</w:t>
            </w:r>
          </w:p>
        </w:tc>
      </w:tr>
      <w:tr w:rsidR="006A7C24" w:rsidRPr="005D7BA3" w14:paraId="4D97DFB2" w14:textId="77777777" w:rsidTr="00BD7E7F">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tcPr>
          <w:p w14:paraId="567E6DF0" w14:textId="33E5CE26" w:rsidR="000D4A33" w:rsidRPr="00C40770" w:rsidRDefault="000D4A33" w:rsidP="000D4A33">
            <w:pPr>
              <w:rPr>
                <w:sz w:val="24"/>
                <w:szCs w:val="24"/>
                <w:lang w:val="en-NZ"/>
              </w:rPr>
            </w:pPr>
            <w:r w:rsidRPr="00C40770">
              <w:rPr>
                <w:sz w:val="24"/>
                <w:szCs w:val="24"/>
                <w:lang w:val="en-NZ"/>
              </w:rPr>
              <w:t>Warning signs</w:t>
            </w:r>
          </w:p>
        </w:tc>
        <w:tc>
          <w:tcPr>
            <w:tcW w:w="0" w:type="pct"/>
            <w:tcBorders>
              <w:left w:val="single" w:sz="4" w:space="0" w:color="15284C"/>
              <w:right w:val="single" w:sz="4" w:space="0" w:color="15284C"/>
            </w:tcBorders>
          </w:tcPr>
          <w:p w14:paraId="5504DBC9" w14:textId="1451F546" w:rsidR="000D4A33" w:rsidRPr="00C40770" w:rsidRDefault="000D4A33"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Requests that TA</w:t>
            </w:r>
            <w:r w:rsidR="006A7C24" w:rsidRPr="00C40770">
              <w:rPr>
                <w:sz w:val="24"/>
                <w:szCs w:val="24"/>
                <w:lang w:val="en-NZ"/>
              </w:rPr>
              <w:t xml:space="preserve"> </w:t>
            </w:r>
            <w:r w:rsidRPr="00C40770">
              <w:rPr>
                <w:sz w:val="24"/>
                <w:szCs w:val="24"/>
                <w:lang w:val="en-NZ"/>
              </w:rPr>
              <w:t>erect warning</w:t>
            </w:r>
            <w:r w:rsidR="006A7C24" w:rsidRPr="00C40770">
              <w:rPr>
                <w:sz w:val="24"/>
                <w:szCs w:val="24"/>
                <w:lang w:val="en-NZ"/>
              </w:rPr>
              <w:t xml:space="preserve"> </w:t>
            </w:r>
            <w:r w:rsidRPr="00C40770">
              <w:rPr>
                <w:sz w:val="24"/>
                <w:szCs w:val="24"/>
                <w:lang w:val="en-NZ"/>
              </w:rPr>
              <w:t>signs at affected</w:t>
            </w:r>
            <w:r w:rsidR="006A7C24" w:rsidRPr="00C40770">
              <w:rPr>
                <w:sz w:val="24"/>
                <w:szCs w:val="24"/>
                <w:lang w:val="en-NZ"/>
              </w:rPr>
              <w:t xml:space="preserve"> </w:t>
            </w:r>
            <w:r w:rsidRPr="00C40770">
              <w:rPr>
                <w:sz w:val="24"/>
                <w:szCs w:val="24"/>
                <w:lang w:val="en-NZ"/>
              </w:rPr>
              <w:t>waterbodies.</w:t>
            </w:r>
          </w:p>
        </w:tc>
        <w:tc>
          <w:tcPr>
            <w:tcW w:w="0" w:type="pct"/>
            <w:tcBorders>
              <w:left w:val="single" w:sz="4" w:space="0" w:color="15284C"/>
              <w:right w:val="single" w:sz="4" w:space="0" w:color="15284C"/>
            </w:tcBorders>
          </w:tcPr>
          <w:p w14:paraId="064F8D97" w14:textId="415AE35D" w:rsidR="000D4A33" w:rsidRPr="00C40770" w:rsidRDefault="000D4A33" w:rsidP="000D4A33">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 xml:space="preserve">At the direction of the </w:t>
            </w:r>
            <w:r w:rsidR="0038155E" w:rsidRPr="00C40770">
              <w:rPr>
                <w:sz w:val="24"/>
                <w:szCs w:val="24"/>
                <w:lang w:val="en-NZ"/>
              </w:rPr>
              <w:t>NPHS</w:t>
            </w:r>
            <w:r w:rsidRPr="00C40770">
              <w:rPr>
                <w:sz w:val="24"/>
                <w:szCs w:val="24"/>
                <w:lang w:val="en-NZ"/>
              </w:rPr>
              <w:t xml:space="preserve"> erects warning signs at affected water</w:t>
            </w:r>
            <w:r w:rsidR="00B0160B" w:rsidRPr="00C40770">
              <w:rPr>
                <w:sz w:val="24"/>
                <w:szCs w:val="24"/>
                <w:lang w:val="en-NZ"/>
              </w:rPr>
              <w:t xml:space="preserve"> </w:t>
            </w:r>
            <w:r w:rsidRPr="00C40770">
              <w:rPr>
                <w:sz w:val="24"/>
                <w:szCs w:val="24"/>
                <w:lang w:val="en-NZ"/>
              </w:rPr>
              <w:t>bodies</w:t>
            </w:r>
            <w:r w:rsidR="00036798" w:rsidRPr="00C40770">
              <w:rPr>
                <w:sz w:val="24"/>
                <w:szCs w:val="24"/>
                <w:lang w:val="en-NZ"/>
              </w:rPr>
              <w:t>.</w:t>
            </w:r>
          </w:p>
        </w:tc>
        <w:tc>
          <w:tcPr>
            <w:tcW w:w="0" w:type="pct"/>
            <w:tcBorders>
              <w:left w:val="single" w:sz="4" w:space="0" w:color="15284C"/>
              <w:right w:val="single" w:sz="4" w:space="0" w:color="15284C" w:themeColor="accent5"/>
            </w:tcBorders>
          </w:tcPr>
          <w:p w14:paraId="20E89A6F" w14:textId="536C8C4F" w:rsidR="000D4A33" w:rsidRPr="00C40770" w:rsidRDefault="000D4A33" w:rsidP="00483D97">
            <w:pPr>
              <w:cnfStyle w:val="000000000000" w:firstRow="0" w:lastRow="0" w:firstColumn="0" w:lastColumn="0" w:oddVBand="0" w:evenVBand="0" w:oddHBand="0" w:evenHBand="0" w:firstRowFirstColumn="0" w:firstRowLastColumn="0" w:lastRowFirstColumn="0" w:lastRowLastColumn="0"/>
              <w:rPr>
                <w:sz w:val="24"/>
                <w:szCs w:val="24"/>
                <w:lang w:val="en-NZ"/>
              </w:rPr>
            </w:pPr>
          </w:p>
        </w:tc>
        <w:tc>
          <w:tcPr>
            <w:tcW w:w="0" w:type="pct"/>
            <w:tcBorders>
              <w:left w:val="single" w:sz="4" w:space="0" w:color="15284C" w:themeColor="accent5"/>
            </w:tcBorders>
          </w:tcPr>
          <w:p w14:paraId="4B4C6A53" w14:textId="7431BF2E" w:rsidR="000D4A33" w:rsidRPr="00C40770" w:rsidRDefault="00503F05" w:rsidP="00483D97">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 xml:space="preserve">Are involved </w:t>
            </w:r>
            <w:r w:rsidR="00874792" w:rsidRPr="00C40770">
              <w:rPr>
                <w:sz w:val="24"/>
                <w:szCs w:val="24"/>
                <w:lang w:val="en-NZ"/>
              </w:rPr>
              <w:t>(</w:t>
            </w:r>
            <w:r w:rsidRPr="00C40770">
              <w:rPr>
                <w:sz w:val="24"/>
                <w:szCs w:val="24"/>
                <w:lang w:val="en-NZ"/>
              </w:rPr>
              <w:t>to the extent they wish to be</w:t>
            </w:r>
            <w:r w:rsidR="00874792" w:rsidRPr="00C40770">
              <w:rPr>
                <w:sz w:val="24"/>
                <w:szCs w:val="24"/>
                <w:lang w:val="en-NZ"/>
              </w:rPr>
              <w:t>)</w:t>
            </w:r>
            <w:r w:rsidRPr="00C40770">
              <w:rPr>
                <w:sz w:val="24"/>
                <w:szCs w:val="24"/>
                <w:lang w:val="en-NZ"/>
              </w:rPr>
              <w:t xml:space="preserve"> in </w:t>
            </w:r>
            <w:r w:rsidR="00874792" w:rsidRPr="00C40770">
              <w:rPr>
                <w:sz w:val="24"/>
                <w:szCs w:val="24"/>
                <w:lang w:val="en-NZ"/>
              </w:rPr>
              <w:t>erection of warning signs at affected water bodies</w:t>
            </w:r>
            <w:r w:rsidR="00036798" w:rsidRPr="00C40770">
              <w:rPr>
                <w:sz w:val="24"/>
                <w:szCs w:val="24"/>
                <w:lang w:val="en-NZ"/>
              </w:rPr>
              <w:t>.</w:t>
            </w:r>
          </w:p>
        </w:tc>
      </w:tr>
      <w:tr w:rsidR="003038B5" w:rsidRPr="005D7BA3" w14:paraId="5F430CE3" w14:textId="77777777" w:rsidTr="00B1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hemeFill="accent4" w:themeFillShade="F2"/>
          </w:tcPr>
          <w:p w14:paraId="7EE33627" w14:textId="77777777" w:rsidR="000D4A33" w:rsidRPr="00C40770" w:rsidRDefault="000D4A33" w:rsidP="000D4A33">
            <w:pPr>
              <w:rPr>
                <w:sz w:val="24"/>
                <w:szCs w:val="24"/>
                <w:lang w:val="en-NZ"/>
              </w:rPr>
            </w:pPr>
            <w:r w:rsidRPr="00C40770">
              <w:rPr>
                <w:sz w:val="24"/>
                <w:szCs w:val="24"/>
                <w:lang w:val="en-NZ"/>
              </w:rPr>
              <w:t>Action and</w:t>
            </w:r>
          </w:p>
          <w:p w14:paraId="566D9EEE" w14:textId="6DA181FB" w:rsidR="000D4A33" w:rsidRPr="00C40770" w:rsidRDefault="000D4A33" w:rsidP="000D4A33">
            <w:pPr>
              <w:rPr>
                <w:sz w:val="24"/>
                <w:szCs w:val="24"/>
                <w:lang w:val="en-NZ"/>
              </w:rPr>
            </w:pPr>
            <w:r w:rsidRPr="00C40770">
              <w:rPr>
                <w:sz w:val="24"/>
                <w:szCs w:val="24"/>
                <w:lang w:val="en-NZ"/>
              </w:rPr>
              <w:t>advice</w:t>
            </w:r>
          </w:p>
        </w:tc>
        <w:tc>
          <w:tcPr>
            <w:tcW w:w="0" w:type="pct"/>
            <w:tcBorders>
              <w:left w:val="single" w:sz="4" w:space="0" w:color="15284C"/>
              <w:right w:val="single" w:sz="4" w:space="0" w:color="15284C"/>
            </w:tcBorders>
            <w:shd w:val="clear" w:color="auto" w:fill="F2F2F2" w:themeFill="accent4" w:themeFillShade="F2"/>
          </w:tcPr>
          <w:p w14:paraId="18E77444" w14:textId="6C45C2AA" w:rsidR="000D4A33" w:rsidRPr="00C40770" w:rsidRDefault="000D4A33"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 xml:space="preserve">Provides </w:t>
            </w:r>
            <w:r w:rsidR="0038155E" w:rsidRPr="00C40770">
              <w:rPr>
                <w:sz w:val="24"/>
                <w:szCs w:val="24"/>
                <w:lang w:val="en-NZ"/>
              </w:rPr>
              <w:t xml:space="preserve">public health </w:t>
            </w:r>
            <w:r w:rsidRPr="00C40770">
              <w:rPr>
                <w:sz w:val="24"/>
                <w:szCs w:val="24"/>
                <w:lang w:val="en-NZ"/>
              </w:rPr>
              <w:t>advice, where requested, to help rūnanga, TA and / or RC undertake necessary actions.</w:t>
            </w:r>
          </w:p>
        </w:tc>
        <w:tc>
          <w:tcPr>
            <w:tcW w:w="0" w:type="pct"/>
            <w:tcBorders>
              <w:left w:val="single" w:sz="4" w:space="0" w:color="15284C"/>
              <w:right w:val="single" w:sz="4" w:space="0" w:color="15284C"/>
            </w:tcBorders>
            <w:shd w:val="clear" w:color="auto" w:fill="F2F2F2" w:themeFill="accent4" w:themeFillShade="F2"/>
          </w:tcPr>
          <w:p w14:paraId="19DB91B3" w14:textId="74CBAEDB" w:rsidR="000D4A33" w:rsidRPr="00C40770" w:rsidRDefault="00031D75" w:rsidP="00483D97">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Takes action based on advice received</w:t>
            </w:r>
            <w:r w:rsidR="00036798" w:rsidRPr="00C40770">
              <w:rPr>
                <w:sz w:val="24"/>
                <w:szCs w:val="24"/>
                <w:lang w:val="en-NZ"/>
              </w:rPr>
              <w:t>.</w:t>
            </w:r>
            <w:r w:rsidRPr="00C40770">
              <w:rPr>
                <w:sz w:val="24"/>
                <w:szCs w:val="24"/>
                <w:lang w:val="en-NZ"/>
              </w:rPr>
              <w:t xml:space="preserve"> </w:t>
            </w:r>
          </w:p>
        </w:tc>
        <w:tc>
          <w:tcPr>
            <w:tcW w:w="0" w:type="pct"/>
            <w:tcBorders>
              <w:left w:val="single" w:sz="4" w:space="0" w:color="15284C"/>
              <w:right w:val="single" w:sz="4" w:space="0" w:color="15284C" w:themeColor="accent5"/>
            </w:tcBorders>
            <w:shd w:val="clear" w:color="auto" w:fill="F2F2F2" w:themeFill="accent4" w:themeFillShade="F2"/>
          </w:tcPr>
          <w:p w14:paraId="477C215C" w14:textId="3AB57213" w:rsidR="000D4A33" w:rsidRPr="00C40770" w:rsidRDefault="00031D75" w:rsidP="00483D97">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Uses advice provided to implement appropriate surveillance</w:t>
            </w:r>
            <w:r w:rsidR="00036798" w:rsidRPr="00C40770">
              <w:rPr>
                <w:sz w:val="24"/>
                <w:szCs w:val="24"/>
                <w:lang w:val="en-NZ"/>
              </w:rPr>
              <w:t>.</w:t>
            </w:r>
          </w:p>
        </w:tc>
        <w:tc>
          <w:tcPr>
            <w:tcW w:w="0" w:type="pct"/>
            <w:tcBorders>
              <w:left w:val="single" w:sz="4" w:space="0" w:color="15284C" w:themeColor="accent5"/>
            </w:tcBorders>
            <w:shd w:val="clear" w:color="auto" w:fill="F2F2F2" w:themeFill="accent4" w:themeFillShade="F2"/>
          </w:tcPr>
          <w:p w14:paraId="2651E3EA" w14:textId="7D8E488B" w:rsidR="000D4A33" w:rsidRPr="00C40770" w:rsidRDefault="00AB0CEB"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 xml:space="preserve">Communicates </w:t>
            </w:r>
            <w:r w:rsidR="000D4A33" w:rsidRPr="00C40770">
              <w:rPr>
                <w:sz w:val="24"/>
                <w:szCs w:val="24"/>
                <w:lang w:val="en-NZ"/>
              </w:rPr>
              <w:t>advice and information regarding public health alerts</w:t>
            </w:r>
            <w:r w:rsidR="00031D75" w:rsidRPr="00C40770">
              <w:rPr>
                <w:sz w:val="24"/>
                <w:szCs w:val="24"/>
                <w:lang w:val="en-NZ"/>
              </w:rPr>
              <w:t xml:space="preserve"> to their community</w:t>
            </w:r>
            <w:r w:rsidR="000D4A33" w:rsidRPr="00C40770">
              <w:rPr>
                <w:sz w:val="24"/>
                <w:szCs w:val="24"/>
                <w:lang w:val="en-NZ"/>
              </w:rPr>
              <w:t>.</w:t>
            </w:r>
          </w:p>
          <w:p w14:paraId="4677068C" w14:textId="5682041E" w:rsidR="008A6BFF" w:rsidRPr="00C40770" w:rsidRDefault="008A6BFF" w:rsidP="000D4A33">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 xml:space="preserve">Can provide advice </w:t>
            </w:r>
            <w:r w:rsidR="00E7447E" w:rsidRPr="00C40770">
              <w:rPr>
                <w:sz w:val="24"/>
                <w:szCs w:val="24"/>
                <w:lang w:val="en-NZ"/>
              </w:rPr>
              <w:t>to TA, RC</w:t>
            </w:r>
            <w:r w:rsidR="00894AE6" w:rsidRPr="00C40770">
              <w:rPr>
                <w:sz w:val="24"/>
                <w:szCs w:val="24"/>
                <w:lang w:val="en-NZ"/>
              </w:rPr>
              <w:t xml:space="preserve"> and or NPHS on relevant cultural matters</w:t>
            </w:r>
            <w:r w:rsidR="00036798" w:rsidRPr="00C40770">
              <w:rPr>
                <w:sz w:val="24"/>
                <w:szCs w:val="24"/>
                <w:lang w:val="en-NZ"/>
              </w:rPr>
              <w:t>.</w:t>
            </w:r>
            <w:r w:rsidR="00894AE6" w:rsidRPr="00C40770">
              <w:rPr>
                <w:sz w:val="24"/>
                <w:szCs w:val="24"/>
                <w:lang w:val="en-NZ"/>
              </w:rPr>
              <w:t xml:space="preserve"> </w:t>
            </w:r>
          </w:p>
        </w:tc>
      </w:tr>
      <w:tr w:rsidR="006A7C24" w:rsidRPr="005D7BA3" w14:paraId="6AABBCAC" w14:textId="77777777" w:rsidTr="00BD7E7F">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tcPr>
          <w:p w14:paraId="2A524D1D" w14:textId="4F236820" w:rsidR="000D4A33" w:rsidRPr="00C40770" w:rsidRDefault="006A7C24" w:rsidP="00483D97">
            <w:pPr>
              <w:rPr>
                <w:sz w:val="24"/>
                <w:szCs w:val="24"/>
                <w:lang w:val="en-NZ"/>
              </w:rPr>
            </w:pPr>
            <w:r w:rsidRPr="00C40770">
              <w:rPr>
                <w:sz w:val="24"/>
                <w:szCs w:val="24"/>
                <w:lang w:val="en-NZ"/>
              </w:rPr>
              <w:t>Rescinding alerts</w:t>
            </w:r>
          </w:p>
        </w:tc>
        <w:tc>
          <w:tcPr>
            <w:tcW w:w="0" w:type="pct"/>
            <w:tcBorders>
              <w:left w:val="single" w:sz="4" w:space="0" w:color="15284C"/>
              <w:right w:val="single" w:sz="4" w:space="0" w:color="15284C"/>
            </w:tcBorders>
          </w:tcPr>
          <w:p w14:paraId="62B317D9" w14:textId="69B2A4A7" w:rsidR="006A7C24" w:rsidRPr="00C40770" w:rsidRDefault="006A7C24"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 xml:space="preserve">Downgrades alert levels in accordance with the </w:t>
            </w:r>
            <w:r w:rsidR="00E66933" w:rsidRPr="00C40770">
              <w:rPr>
                <w:sz w:val="24"/>
                <w:szCs w:val="24"/>
                <w:lang w:val="en-NZ"/>
              </w:rPr>
              <w:t>A</w:t>
            </w:r>
            <w:r w:rsidRPr="00C40770">
              <w:rPr>
                <w:sz w:val="24"/>
                <w:szCs w:val="24"/>
                <w:lang w:val="en-NZ"/>
              </w:rPr>
              <w:t xml:space="preserve">lert </w:t>
            </w:r>
            <w:r w:rsidR="00E66933" w:rsidRPr="00C40770">
              <w:rPr>
                <w:sz w:val="24"/>
                <w:szCs w:val="24"/>
                <w:lang w:val="en-NZ"/>
              </w:rPr>
              <w:t>L</w:t>
            </w:r>
            <w:r w:rsidRPr="00C40770">
              <w:rPr>
                <w:sz w:val="24"/>
                <w:szCs w:val="24"/>
                <w:lang w:val="en-NZ"/>
              </w:rPr>
              <w:t xml:space="preserve">evel </w:t>
            </w:r>
            <w:r w:rsidR="00E66933" w:rsidRPr="00C40770">
              <w:rPr>
                <w:sz w:val="24"/>
                <w:szCs w:val="24"/>
                <w:lang w:val="en-NZ"/>
              </w:rPr>
              <w:t>F</w:t>
            </w:r>
            <w:r w:rsidRPr="00C40770">
              <w:rPr>
                <w:sz w:val="24"/>
                <w:szCs w:val="24"/>
                <w:lang w:val="en-NZ"/>
              </w:rPr>
              <w:t>ramework and in</w:t>
            </w:r>
          </w:p>
          <w:p w14:paraId="277A8A0B" w14:textId="195E2C4D" w:rsidR="000D4A33" w:rsidRPr="00C40770" w:rsidRDefault="006A7C24"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lastRenderedPageBreak/>
              <w:t>partnership with rūnanga, TA, RC</w:t>
            </w:r>
            <w:r w:rsidR="00036798" w:rsidRPr="00C40770">
              <w:rPr>
                <w:sz w:val="24"/>
                <w:szCs w:val="24"/>
                <w:lang w:val="en-NZ"/>
              </w:rPr>
              <w:t>.</w:t>
            </w:r>
          </w:p>
          <w:p w14:paraId="535E1596" w14:textId="06022CD7" w:rsidR="00E70CFA" w:rsidRPr="00C40770" w:rsidRDefault="00E70CFA"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p>
        </w:tc>
        <w:tc>
          <w:tcPr>
            <w:tcW w:w="0" w:type="pct"/>
            <w:tcBorders>
              <w:left w:val="single" w:sz="4" w:space="0" w:color="15284C"/>
              <w:right w:val="single" w:sz="4" w:space="0" w:color="15284C"/>
            </w:tcBorders>
          </w:tcPr>
          <w:p w14:paraId="6BDD5887" w14:textId="77777777" w:rsidR="000D4A33" w:rsidRPr="00C40770" w:rsidRDefault="000D4A33" w:rsidP="00483D97">
            <w:pPr>
              <w:cnfStyle w:val="000000000000" w:firstRow="0" w:lastRow="0" w:firstColumn="0" w:lastColumn="0" w:oddVBand="0" w:evenVBand="0" w:oddHBand="0" w:evenHBand="0" w:firstRowFirstColumn="0" w:firstRowLastColumn="0" w:lastRowFirstColumn="0" w:lastRowLastColumn="0"/>
              <w:rPr>
                <w:sz w:val="24"/>
                <w:szCs w:val="24"/>
                <w:lang w:val="en-NZ"/>
              </w:rPr>
            </w:pPr>
          </w:p>
        </w:tc>
        <w:tc>
          <w:tcPr>
            <w:tcW w:w="0" w:type="pct"/>
            <w:tcBorders>
              <w:left w:val="single" w:sz="4" w:space="0" w:color="15284C"/>
              <w:right w:val="single" w:sz="4" w:space="0" w:color="15284C" w:themeColor="accent5"/>
            </w:tcBorders>
          </w:tcPr>
          <w:p w14:paraId="4936B9A1" w14:textId="418F0C96" w:rsidR="000D4A33" w:rsidRPr="00C40770" w:rsidRDefault="006A7C24"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t xml:space="preserve">Informs </w:t>
            </w:r>
            <w:r w:rsidR="00E66933" w:rsidRPr="00C40770">
              <w:rPr>
                <w:sz w:val="24"/>
                <w:szCs w:val="24"/>
                <w:lang w:val="en-NZ"/>
              </w:rPr>
              <w:t>NPHS</w:t>
            </w:r>
            <w:r w:rsidRPr="00C40770">
              <w:rPr>
                <w:sz w:val="24"/>
                <w:szCs w:val="24"/>
                <w:lang w:val="en-NZ"/>
              </w:rPr>
              <w:t xml:space="preserve"> and TA if monitoring indicates HAB levels </w:t>
            </w:r>
            <w:r w:rsidRPr="00C40770">
              <w:rPr>
                <w:sz w:val="24"/>
                <w:szCs w:val="24"/>
                <w:lang w:val="en-NZ"/>
              </w:rPr>
              <w:lastRenderedPageBreak/>
              <w:t xml:space="preserve">have reduced as per the </w:t>
            </w:r>
            <w:r w:rsidR="00E70CFA" w:rsidRPr="00C40770">
              <w:rPr>
                <w:sz w:val="24"/>
                <w:szCs w:val="24"/>
                <w:lang w:val="en-NZ"/>
              </w:rPr>
              <w:t>A</w:t>
            </w:r>
            <w:r w:rsidRPr="00C40770">
              <w:rPr>
                <w:sz w:val="24"/>
                <w:szCs w:val="24"/>
                <w:lang w:val="en-NZ"/>
              </w:rPr>
              <w:t>lert</w:t>
            </w:r>
            <w:r w:rsidR="00E70CFA" w:rsidRPr="00C40770">
              <w:rPr>
                <w:sz w:val="24"/>
                <w:szCs w:val="24"/>
                <w:lang w:val="en-NZ"/>
              </w:rPr>
              <w:t xml:space="preserve"> L</w:t>
            </w:r>
            <w:r w:rsidRPr="00C40770">
              <w:rPr>
                <w:sz w:val="24"/>
                <w:szCs w:val="24"/>
                <w:lang w:val="en-NZ"/>
              </w:rPr>
              <w:t xml:space="preserve">evel </w:t>
            </w:r>
            <w:r w:rsidR="00E70CFA" w:rsidRPr="00C40770">
              <w:rPr>
                <w:sz w:val="24"/>
                <w:szCs w:val="24"/>
                <w:lang w:val="en-NZ"/>
              </w:rPr>
              <w:t>F</w:t>
            </w:r>
            <w:r w:rsidRPr="00C40770">
              <w:rPr>
                <w:sz w:val="24"/>
                <w:szCs w:val="24"/>
                <w:lang w:val="en-NZ"/>
              </w:rPr>
              <w:t>ramework.</w:t>
            </w:r>
          </w:p>
        </w:tc>
        <w:tc>
          <w:tcPr>
            <w:tcW w:w="0" w:type="pct"/>
            <w:tcBorders>
              <w:left w:val="single" w:sz="4" w:space="0" w:color="15284C" w:themeColor="accent5"/>
            </w:tcBorders>
          </w:tcPr>
          <w:p w14:paraId="3265138C" w14:textId="0E02F45F" w:rsidR="000D4A33" w:rsidRPr="00C40770" w:rsidRDefault="006A7C24" w:rsidP="006A7C24">
            <w:pPr>
              <w:cnfStyle w:val="000000000000" w:firstRow="0" w:lastRow="0" w:firstColumn="0" w:lastColumn="0" w:oddVBand="0" w:evenVBand="0" w:oddHBand="0" w:evenHBand="0" w:firstRowFirstColumn="0" w:firstRowLastColumn="0" w:lastRowFirstColumn="0" w:lastRowLastColumn="0"/>
              <w:rPr>
                <w:sz w:val="24"/>
                <w:szCs w:val="24"/>
                <w:lang w:val="en-NZ"/>
              </w:rPr>
            </w:pPr>
            <w:r w:rsidRPr="00C40770">
              <w:rPr>
                <w:sz w:val="24"/>
                <w:szCs w:val="24"/>
                <w:lang w:val="en-NZ"/>
              </w:rPr>
              <w:lastRenderedPageBreak/>
              <w:t xml:space="preserve">Are involved (to the extent they wish to be) in decision making regarding </w:t>
            </w:r>
            <w:r w:rsidRPr="00C40770">
              <w:rPr>
                <w:sz w:val="24"/>
                <w:szCs w:val="24"/>
                <w:lang w:val="en-NZ"/>
              </w:rPr>
              <w:lastRenderedPageBreak/>
              <w:t>rescinding public health alerts.</w:t>
            </w:r>
          </w:p>
        </w:tc>
      </w:tr>
      <w:tr w:rsidR="003038B5" w:rsidRPr="005D7BA3" w14:paraId="1BA795F2" w14:textId="77777777" w:rsidTr="00B165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15284C"/>
            </w:tcBorders>
            <w:shd w:val="clear" w:color="auto" w:fill="F2F2F2" w:themeFill="accent4" w:themeFillShade="F2"/>
          </w:tcPr>
          <w:p w14:paraId="3AD43203" w14:textId="7C401D80" w:rsidR="006A7C24" w:rsidRPr="00C40770" w:rsidRDefault="006A7C24" w:rsidP="006A7C24">
            <w:pPr>
              <w:rPr>
                <w:sz w:val="24"/>
                <w:szCs w:val="24"/>
                <w:lang w:val="en-NZ"/>
              </w:rPr>
            </w:pPr>
            <w:r w:rsidRPr="00C40770">
              <w:rPr>
                <w:sz w:val="24"/>
                <w:szCs w:val="24"/>
                <w:lang w:val="en-NZ"/>
              </w:rPr>
              <w:lastRenderedPageBreak/>
              <w:t>Long term surveillance</w:t>
            </w:r>
          </w:p>
        </w:tc>
        <w:tc>
          <w:tcPr>
            <w:tcW w:w="0" w:type="pct"/>
            <w:tcBorders>
              <w:left w:val="single" w:sz="4" w:space="0" w:color="15284C"/>
              <w:right w:val="single" w:sz="4" w:space="0" w:color="15284C"/>
            </w:tcBorders>
            <w:shd w:val="clear" w:color="auto" w:fill="F2F2F2" w:themeFill="accent4" w:themeFillShade="F2"/>
          </w:tcPr>
          <w:p w14:paraId="798F6817" w14:textId="260CC215" w:rsidR="006A7C24" w:rsidRPr="00C40770" w:rsidRDefault="006A7C24" w:rsidP="006A7C24">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Advocates for health promoting environmental management strategies and collaborates / submits on environmental policy</w:t>
            </w:r>
            <w:r w:rsidR="00036798" w:rsidRPr="00C40770">
              <w:rPr>
                <w:sz w:val="24"/>
                <w:szCs w:val="24"/>
                <w:lang w:val="en-NZ"/>
              </w:rPr>
              <w:t>.</w:t>
            </w:r>
          </w:p>
        </w:tc>
        <w:tc>
          <w:tcPr>
            <w:tcW w:w="0" w:type="pct"/>
            <w:tcBorders>
              <w:left w:val="single" w:sz="4" w:space="0" w:color="15284C"/>
              <w:right w:val="single" w:sz="4" w:space="0" w:color="15284C"/>
            </w:tcBorders>
            <w:shd w:val="clear" w:color="auto" w:fill="F2F2F2" w:themeFill="accent4" w:themeFillShade="F2"/>
          </w:tcPr>
          <w:p w14:paraId="0D9933BE" w14:textId="66E1FF1A" w:rsidR="006A7C24" w:rsidRPr="00C40770" w:rsidRDefault="006A7C24" w:rsidP="006A7C24">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Actively involves rūnanga in freshwater management giving effect to Te Mana o te Wai.</w:t>
            </w:r>
          </w:p>
        </w:tc>
        <w:tc>
          <w:tcPr>
            <w:tcW w:w="0" w:type="pct"/>
            <w:tcBorders>
              <w:left w:val="single" w:sz="4" w:space="0" w:color="15284C"/>
              <w:right w:val="single" w:sz="4" w:space="0" w:color="15284C" w:themeColor="accent5"/>
            </w:tcBorders>
            <w:shd w:val="clear" w:color="auto" w:fill="F2F2F2" w:themeFill="accent4" w:themeFillShade="F2"/>
          </w:tcPr>
          <w:p w14:paraId="4962BD64" w14:textId="23AA9690" w:rsidR="006A7C24" w:rsidRPr="00C40770" w:rsidRDefault="006A7C24" w:rsidP="006A7C24">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Collates information for state of the environment reporting and a review of management policies.</w:t>
            </w:r>
          </w:p>
        </w:tc>
        <w:tc>
          <w:tcPr>
            <w:tcW w:w="0" w:type="pct"/>
            <w:tcBorders>
              <w:left w:val="single" w:sz="4" w:space="0" w:color="15284C" w:themeColor="accent5"/>
            </w:tcBorders>
            <w:shd w:val="clear" w:color="auto" w:fill="F2F2F2" w:themeFill="accent4" w:themeFillShade="F2"/>
          </w:tcPr>
          <w:p w14:paraId="6C087619" w14:textId="2F0057A0" w:rsidR="006A7C24" w:rsidRPr="00C40770" w:rsidRDefault="006A7C24" w:rsidP="006A7C24">
            <w:pPr>
              <w:cnfStyle w:val="000000100000" w:firstRow="0" w:lastRow="0" w:firstColumn="0" w:lastColumn="0" w:oddVBand="0" w:evenVBand="0" w:oddHBand="1" w:evenHBand="0" w:firstRowFirstColumn="0" w:firstRowLastColumn="0" w:lastRowFirstColumn="0" w:lastRowLastColumn="0"/>
              <w:rPr>
                <w:sz w:val="24"/>
                <w:szCs w:val="24"/>
                <w:lang w:val="en-NZ"/>
              </w:rPr>
            </w:pPr>
            <w:r w:rsidRPr="00C40770">
              <w:rPr>
                <w:sz w:val="24"/>
                <w:szCs w:val="24"/>
                <w:lang w:val="en-NZ"/>
              </w:rPr>
              <w:t>Are actively involved (to the extent they wish to be) in freshwater management.</w:t>
            </w:r>
          </w:p>
        </w:tc>
      </w:tr>
    </w:tbl>
    <w:p w14:paraId="0B4A7F7D" w14:textId="6E185F4A" w:rsidR="005D24F9" w:rsidRDefault="005D24F9">
      <w:pPr>
        <w:rPr>
          <w:lang w:val="en-NZ"/>
        </w:rPr>
      </w:pPr>
    </w:p>
    <w:p w14:paraId="61A3F8CF" w14:textId="77777777" w:rsidR="003C6D56" w:rsidRDefault="003C6D56" w:rsidP="003C6D56">
      <w:pPr>
        <w:rPr>
          <w:lang w:val="en-NZ"/>
        </w:rPr>
      </w:pPr>
    </w:p>
    <w:p w14:paraId="414D98B2" w14:textId="5FFDD523" w:rsidR="003C6D56" w:rsidRPr="00CC0F9B" w:rsidRDefault="003C6D56" w:rsidP="003C6D56">
      <w:pPr>
        <w:pStyle w:val="Heading2"/>
        <w:rPr>
          <w:lang w:val="en-NZ"/>
        </w:rPr>
      </w:pPr>
      <w:bookmarkStart w:id="44" w:name="_Toc181101792"/>
      <w:r w:rsidRPr="00CC0F9B">
        <w:rPr>
          <w:lang w:val="en-NZ"/>
        </w:rPr>
        <w:t xml:space="preserve">Recreational </w:t>
      </w:r>
      <w:r>
        <w:rPr>
          <w:lang w:val="en-NZ"/>
        </w:rPr>
        <w:t>s</w:t>
      </w:r>
      <w:r w:rsidRPr="00CC0F9B">
        <w:rPr>
          <w:lang w:val="en-NZ"/>
        </w:rPr>
        <w:t xml:space="preserve">hellfish </w:t>
      </w:r>
      <w:r>
        <w:rPr>
          <w:lang w:val="en-NZ"/>
        </w:rPr>
        <w:t>h</w:t>
      </w:r>
      <w:r w:rsidRPr="00CC0F9B">
        <w:rPr>
          <w:lang w:val="en-NZ"/>
        </w:rPr>
        <w:t xml:space="preserve">arvesting </w:t>
      </w:r>
      <w:r>
        <w:rPr>
          <w:lang w:val="en-NZ"/>
        </w:rPr>
        <w:t>a</w:t>
      </w:r>
      <w:r w:rsidRPr="00CC0F9B">
        <w:rPr>
          <w:lang w:val="en-NZ"/>
        </w:rPr>
        <w:t>reas</w:t>
      </w:r>
      <w:bookmarkEnd w:id="44"/>
    </w:p>
    <w:p w14:paraId="58E7B609" w14:textId="77777777" w:rsidR="003C6D56" w:rsidRPr="005D7BA3" w:rsidRDefault="003C6D56" w:rsidP="003C6D56">
      <w:pPr>
        <w:pStyle w:val="ListParagraph"/>
        <w:numPr>
          <w:ilvl w:val="1"/>
          <w:numId w:val="32"/>
        </w:numPr>
        <w:ind w:left="426" w:hanging="426"/>
        <w:rPr>
          <w:sz w:val="24"/>
          <w:szCs w:val="24"/>
          <w:lang w:val="en-NZ"/>
        </w:rPr>
      </w:pPr>
      <w:r w:rsidRPr="005D7BA3">
        <w:rPr>
          <w:sz w:val="24"/>
          <w:szCs w:val="24"/>
          <w:lang w:val="en-NZ"/>
        </w:rPr>
        <w:t xml:space="preserve">The local </w:t>
      </w:r>
      <w:r>
        <w:rPr>
          <w:sz w:val="24"/>
          <w:szCs w:val="24"/>
          <w:lang w:val="en-NZ"/>
        </w:rPr>
        <w:t xml:space="preserve">offices of the National Public Health Service </w:t>
      </w:r>
      <w:r w:rsidRPr="005D7BA3">
        <w:rPr>
          <w:sz w:val="24"/>
          <w:szCs w:val="24"/>
          <w:lang w:val="en-NZ"/>
        </w:rPr>
        <w:t>investigate and report all foodborne exposures to HABs.</w:t>
      </w:r>
    </w:p>
    <w:p w14:paraId="4C3F5B26" w14:textId="54E4C40B" w:rsidR="003C6D56" w:rsidRPr="005D7BA3" w:rsidRDefault="003C6D56" w:rsidP="003C6D56">
      <w:pPr>
        <w:pStyle w:val="ListParagraph"/>
        <w:numPr>
          <w:ilvl w:val="1"/>
          <w:numId w:val="32"/>
        </w:numPr>
        <w:ind w:left="426" w:hanging="426"/>
        <w:rPr>
          <w:sz w:val="24"/>
          <w:szCs w:val="24"/>
          <w:lang w:val="en-NZ"/>
        </w:rPr>
      </w:pPr>
      <w:r w:rsidRPr="005D7BA3">
        <w:rPr>
          <w:sz w:val="24"/>
          <w:szCs w:val="24"/>
          <w:lang w:val="en-NZ"/>
        </w:rPr>
        <w:t>MPI is the lead agency for monitoring, issuing</w:t>
      </w:r>
      <w:r>
        <w:rPr>
          <w:sz w:val="24"/>
          <w:szCs w:val="24"/>
          <w:lang w:val="en-NZ"/>
        </w:rPr>
        <w:t>,</w:t>
      </w:r>
      <w:r w:rsidRPr="005D7BA3">
        <w:rPr>
          <w:sz w:val="24"/>
          <w:szCs w:val="24"/>
          <w:lang w:val="en-NZ"/>
        </w:rPr>
        <w:t xml:space="preserve"> and directing warnings for the main recreational shellfish harvesting areas in New Zealand. The MPI shellfish monitoring programme involves regularly testing shellfish for toxins and sea water for toxic algae.</w:t>
      </w:r>
    </w:p>
    <w:p w14:paraId="35989F84" w14:textId="6741CF55" w:rsidR="003C6D56" w:rsidRPr="005D7BA3" w:rsidRDefault="003C6D56" w:rsidP="003C6D56">
      <w:pPr>
        <w:pStyle w:val="ListParagraph"/>
        <w:numPr>
          <w:ilvl w:val="1"/>
          <w:numId w:val="32"/>
        </w:numPr>
        <w:ind w:left="426" w:hanging="426"/>
        <w:rPr>
          <w:lang w:val="en-NZ"/>
        </w:rPr>
      </w:pPr>
      <w:r w:rsidRPr="005D7BA3">
        <w:rPr>
          <w:sz w:val="24"/>
          <w:szCs w:val="24"/>
          <w:lang w:val="en-NZ"/>
        </w:rPr>
        <w:t>Close communication and collaboration between agencies involved in recreational water and food safety is beneficial for long term public health risk management as the two activities often occur at the same time (recreational bathing and recreational food harvesting). For example, public health warnings at freshwater recreational sites should also include information about food gathering</w:t>
      </w:r>
      <w:r w:rsidR="00E71255">
        <w:rPr>
          <w:sz w:val="24"/>
          <w:szCs w:val="24"/>
          <w:lang w:val="en-NZ"/>
        </w:rPr>
        <w:t xml:space="preserve"> | </w:t>
      </w:r>
      <w:r w:rsidR="00E71255" w:rsidRPr="005D7BA3">
        <w:rPr>
          <w:sz w:val="24"/>
          <w:szCs w:val="24"/>
          <w:lang w:val="en-NZ"/>
        </w:rPr>
        <w:t>mahinga kai</w:t>
      </w:r>
      <w:r w:rsidRPr="005D7BA3">
        <w:rPr>
          <w:sz w:val="24"/>
          <w:szCs w:val="24"/>
          <w:lang w:val="en-NZ"/>
        </w:rPr>
        <w:t>.</w:t>
      </w:r>
    </w:p>
    <w:p w14:paraId="2F38CD8F" w14:textId="5416A260" w:rsidR="00932AB3" w:rsidRPr="00CC0F9B" w:rsidRDefault="00932AB3">
      <w:pPr>
        <w:rPr>
          <w:lang w:val="en-NZ"/>
        </w:rPr>
      </w:pPr>
      <w:r w:rsidRPr="00CC0F9B">
        <w:rPr>
          <w:lang w:val="en-NZ"/>
        </w:rPr>
        <w:br w:type="page"/>
      </w:r>
    </w:p>
    <w:p w14:paraId="2C5C98B1" w14:textId="57DE3DB7" w:rsidR="00932AB3" w:rsidRPr="002E5353" w:rsidRDefault="00496185" w:rsidP="00932AB3">
      <w:pPr>
        <w:pStyle w:val="Heading1"/>
        <w:rPr>
          <w:sz w:val="44"/>
          <w:szCs w:val="44"/>
          <w:lang w:val="en-NZ"/>
        </w:rPr>
      </w:pPr>
      <w:bookmarkStart w:id="45" w:name="_Toc181101793"/>
      <w:r w:rsidRPr="002E5353">
        <w:rPr>
          <w:sz w:val="44"/>
          <w:szCs w:val="44"/>
          <w:lang w:val="en-NZ"/>
        </w:rPr>
        <w:lastRenderedPageBreak/>
        <w:t>Glossary</w:t>
      </w:r>
      <w:bookmarkEnd w:id="45"/>
    </w:p>
    <w:p w14:paraId="6431231B" w14:textId="6453693A" w:rsidR="00932AB3" w:rsidRPr="00D91268" w:rsidRDefault="00932AB3" w:rsidP="00932AB3">
      <w:pPr>
        <w:rPr>
          <w:sz w:val="24"/>
          <w:szCs w:val="24"/>
          <w:lang w:val="en-NZ"/>
        </w:rPr>
      </w:pPr>
      <w:r w:rsidRPr="00E502C3">
        <w:rPr>
          <w:b/>
          <w:bCs/>
          <w:sz w:val="24"/>
          <w:szCs w:val="24"/>
          <w:lang w:val="en-NZ"/>
        </w:rPr>
        <w:t>Acute reference dose (ARfD)</w:t>
      </w:r>
      <w:r w:rsidRPr="00D91268">
        <w:rPr>
          <w:sz w:val="24"/>
          <w:szCs w:val="24"/>
          <w:lang w:val="en-NZ"/>
        </w:rPr>
        <w:t xml:space="preserve"> </w:t>
      </w:r>
      <w:r w:rsidR="00E71255">
        <w:rPr>
          <w:sz w:val="24"/>
          <w:szCs w:val="24"/>
          <w:lang w:val="en-NZ"/>
        </w:rPr>
        <w:t>– a</w:t>
      </w:r>
      <w:r w:rsidRPr="00D91268">
        <w:rPr>
          <w:sz w:val="24"/>
          <w:szCs w:val="24"/>
          <w:lang w:val="en-NZ"/>
        </w:rPr>
        <w:t>n estimate of the amount of a substance in food or drinking water that can be ingested over a short period of time, usually during one meal or one day, without appreciable health risk to the consumer.</w:t>
      </w:r>
    </w:p>
    <w:p w14:paraId="4C1CB0A7" w14:textId="10AECEC9" w:rsidR="00932AB3" w:rsidRPr="00D91268" w:rsidRDefault="00932AB3" w:rsidP="00932AB3">
      <w:pPr>
        <w:rPr>
          <w:sz w:val="24"/>
          <w:szCs w:val="24"/>
          <w:lang w:val="en-NZ"/>
        </w:rPr>
      </w:pPr>
      <w:r w:rsidRPr="00E502C3">
        <w:rPr>
          <w:b/>
          <w:bCs/>
          <w:sz w:val="24"/>
          <w:szCs w:val="24"/>
          <w:lang w:val="en-NZ"/>
        </w:rPr>
        <w:t>Anatoxins</w:t>
      </w:r>
      <w:r w:rsidRPr="00D91268">
        <w:rPr>
          <w:sz w:val="24"/>
          <w:szCs w:val="24"/>
          <w:lang w:val="en-NZ"/>
        </w:rPr>
        <w:t xml:space="preserve"> </w:t>
      </w:r>
      <w:r w:rsidR="001B2274">
        <w:rPr>
          <w:sz w:val="24"/>
          <w:szCs w:val="24"/>
          <w:lang w:val="en-NZ"/>
        </w:rPr>
        <w:t>–</w:t>
      </w:r>
      <w:r w:rsidRPr="00D91268">
        <w:rPr>
          <w:sz w:val="24"/>
          <w:szCs w:val="24"/>
          <w:lang w:val="en-NZ"/>
        </w:rPr>
        <w:t xml:space="preserve"> a group of neurotoxic alkaloids produced by </w:t>
      </w:r>
      <w:r w:rsidR="00FC7688">
        <w:rPr>
          <w:sz w:val="24"/>
          <w:szCs w:val="24"/>
          <w:lang w:val="en-NZ"/>
        </w:rPr>
        <w:t>some</w:t>
      </w:r>
      <w:r w:rsidRPr="00D91268">
        <w:rPr>
          <w:sz w:val="24"/>
          <w:szCs w:val="24"/>
          <w:lang w:val="en-NZ"/>
        </w:rPr>
        <w:t xml:space="preserve"> cyanobacterial genera.</w:t>
      </w:r>
    </w:p>
    <w:p w14:paraId="03B1DB73" w14:textId="5AEBA7E4" w:rsidR="00932AB3" w:rsidRPr="00D91268" w:rsidRDefault="00932AB3" w:rsidP="00932AB3">
      <w:pPr>
        <w:rPr>
          <w:sz w:val="24"/>
          <w:szCs w:val="24"/>
          <w:lang w:val="en-NZ"/>
        </w:rPr>
      </w:pPr>
      <w:r w:rsidRPr="00E502C3">
        <w:rPr>
          <w:b/>
          <w:bCs/>
          <w:sz w:val="24"/>
          <w:szCs w:val="24"/>
          <w:lang w:val="en-NZ"/>
        </w:rPr>
        <w:t>Alkaloids</w:t>
      </w:r>
      <w:r w:rsidRPr="00D91268">
        <w:rPr>
          <w:sz w:val="24"/>
          <w:szCs w:val="24"/>
          <w:lang w:val="en-NZ"/>
        </w:rPr>
        <w:t xml:space="preserve"> </w:t>
      </w:r>
      <w:r w:rsidR="001B2274">
        <w:rPr>
          <w:sz w:val="24"/>
          <w:szCs w:val="24"/>
          <w:lang w:val="en-NZ"/>
        </w:rPr>
        <w:t>–</w:t>
      </w:r>
      <w:r w:rsidRPr="00D91268">
        <w:rPr>
          <w:sz w:val="24"/>
          <w:szCs w:val="24"/>
          <w:lang w:val="en-NZ"/>
        </w:rPr>
        <w:t xml:space="preserve"> a class of basic, naturally occurring organic compounds that contain at least one nitrogen atom.</w:t>
      </w:r>
    </w:p>
    <w:p w14:paraId="593C8A04" w14:textId="20100B06" w:rsidR="00932AB3" w:rsidRPr="00D91268" w:rsidRDefault="00932AB3" w:rsidP="00932AB3">
      <w:pPr>
        <w:rPr>
          <w:sz w:val="24"/>
          <w:szCs w:val="24"/>
          <w:lang w:val="en-NZ"/>
        </w:rPr>
      </w:pPr>
      <w:r w:rsidRPr="00E502C3">
        <w:rPr>
          <w:b/>
          <w:bCs/>
          <w:sz w:val="24"/>
          <w:szCs w:val="24"/>
          <w:lang w:val="en-NZ"/>
        </w:rPr>
        <w:t>Benthic</w:t>
      </w:r>
      <w:r w:rsidRPr="00D91268">
        <w:rPr>
          <w:sz w:val="24"/>
          <w:szCs w:val="24"/>
          <w:lang w:val="en-NZ"/>
        </w:rPr>
        <w:t xml:space="preserve"> </w:t>
      </w:r>
      <w:r w:rsidR="001B2274">
        <w:rPr>
          <w:sz w:val="24"/>
          <w:szCs w:val="24"/>
          <w:lang w:val="en-NZ"/>
        </w:rPr>
        <w:t>–</w:t>
      </w:r>
      <w:r w:rsidRPr="00D91268">
        <w:rPr>
          <w:sz w:val="24"/>
          <w:szCs w:val="24"/>
          <w:lang w:val="en-NZ"/>
        </w:rPr>
        <w:t xml:space="preserve"> the bottom substrate of a waterbody.</w:t>
      </w:r>
    </w:p>
    <w:p w14:paraId="0287A0FC" w14:textId="4D5FBF6E" w:rsidR="00932AB3" w:rsidRPr="00D91268" w:rsidRDefault="00932AB3" w:rsidP="00932AB3">
      <w:pPr>
        <w:rPr>
          <w:sz w:val="24"/>
          <w:szCs w:val="24"/>
          <w:lang w:val="en-NZ"/>
        </w:rPr>
      </w:pPr>
      <w:r w:rsidRPr="00E502C3">
        <w:rPr>
          <w:b/>
          <w:bCs/>
          <w:sz w:val="24"/>
          <w:szCs w:val="24"/>
          <w:lang w:val="en-NZ"/>
        </w:rPr>
        <w:t>Benthic cyanobacteria</w:t>
      </w:r>
      <w:r w:rsidRPr="00D91268">
        <w:rPr>
          <w:sz w:val="24"/>
          <w:szCs w:val="24"/>
          <w:lang w:val="en-NZ"/>
        </w:rPr>
        <w:t xml:space="preserve"> </w:t>
      </w:r>
      <w:r w:rsidR="001B2274">
        <w:rPr>
          <w:sz w:val="24"/>
          <w:szCs w:val="24"/>
          <w:lang w:val="en-NZ"/>
        </w:rPr>
        <w:t>–</w:t>
      </w:r>
      <w:r w:rsidRPr="00D91268">
        <w:rPr>
          <w:sz w:val="24"/>
          <w:szCs w:val="24"/>
          <w:lang w:val="en-NZ"/>
        </w:rPr>
        <w:t xml:space="preserve"> cyanobacteria that live in the benthic zone, mat-forming or attached to the substrate of rivers, lakes, oceans</w:t>
      </w:r>
      <w:r w:rsidR="00812687">
        <w:rPr>
          <w:sz w:val="24"/>
          <w:szCs w:val="24"/>
          <w:lang w:val="en-NZ"/>
        </w:rPr>
        <w:t>,</w:t>
      </w:r>
      <w:r w:rsidRPr="00D91268">
        <w:rPr>
          <w:sz w:val="24"/>
          <w:szCs w:val="24"/>
          <w:lang w:val="en-NZ"/>
        </w:rPr>
        <w:t xml:space="preserve"> and other waterbodies.</w:t>
      </w:r>
    </w:p>
    <w:p w14:paraId="28379BBF" w14:textId="2D30895C" w:rsidR="00932AB3" w:rsidRPr="00D91268" w:rsidRDefault="00932AB3" w:rsidP="00932AB3">
      <w:pPr>
        <w:rPr>
          <w:sz w:val="24"/>
          <w:szCs w:val="24"/>
          <w:lang w:val="en-NZ"/>
        </w:rPr>
      </w:pPr>
      <w:r w:rsidRPr="00E502C3">
        <w:rPr>
          <w:b/>
          <w:bCs/>
          <w:sz w:val="24"/>
          <w:szCs w:val="24"/>
          <w:lang w:val="en-NZ"/>
        </w:rPr>
        <w:t>Biotoxin</w:t>
      </w:r>
      <w:r w:rsidRPr="00D91268">
        <w:rPr>
          <w:sz w:val="24"/>
          <w:szCs w:val="24"/>
          <w:lang w:val="en-NZ"/>
        </w:rPr>
        <w:t xml:space="preserve"> </w:t>
      </w:r>
      <w:r w:rsidR="001B2274">
        <w:rPr>
          <w:sz w:val="24"/>
          <w:szCs w:val="24"/>
          <w:lang w:val="en-NZ"/>
        </w:rPr>
        <w:t>–</w:t>
      </w:r>
      <w:r w:rsidRPr="00D91268">
        <w:rPr>
          <w:sz w:val="24"/>
          <w:szCs w:val="24"/>
          <w:lang w:val="en-NZ"/>
        </w:rPr>
        <w:t xml:space="preserve"> a poisonous substance produced by a living organism.</w:t>
      </w:r>
    </w:p>
    <w:p w14:paraId="785EAAB4" w14:textId="5048ADF8" w:rsidR="00932AB3" w:rsidRPr="00D91268" w:rsidRDefault="00932AB3" w:rsidP="00932AB3">
      <w:pPr>
        <w:rPr>
          <w:sz w:val="24"/>
          <w:szCs w:val="24"/>
          <w:lang w:val="en-NZ"/>
        </w:rPr>
      </w:pPr>
      <w:r w:rsidRPr="00E502C3">
        <w:rPr>
          <w:b/>
          <w:bCs/>
          <w:sz w:val="24"/>
          <w:szCs w:val="24"/>
          <w:lang w:val="en-NZ"/>
        </w:rPr>
        <w:t>Brackish water</w:t>
      </w:r>
      <w:r w:rsidRPr="00D91268">
        <w:rPr>
          <w:sz w:val="24"/>
          <w:szCs w:val="24"/>
          <w:lang w:val="en-NZ"/>
        </w:rPr>
        <w:t xml:space="preserve"> </w:t>
      </w:r>
      <w:r w:rsidR="00141EEE">
        <w:rPr>
          <w:sz w:val="24"/>
          <w:szCs w:val="24"/>
          <w:lang w:val="en-NZ"/>
        </w:rPr>
        <w:t>–</w:t>
      </w:r>
      <w:r w:rsidR="00C91E78">
        <w:rPr>
          <w:sz w:val="24"/>
          <w:szCs w:val="24"/>
          <w:lang w:val="en-NZ"/>
        </w:rPr>
        <w:t xml:space="preserve"> </w:t>
      </w:r>
      <w:r w:rsidRPr="00D91268">
        <w:rPr>
          <w:sz w:val="24"/>
          <w:szCs w:val="24"/>
          <w:lang w:val="en-NZ"/>
        </w:rPr>
        <w:t>water that is saltier than fresh water, but not as salty as seawater.</w:t>
      </w:r>
    </w:p>
    <w:p w14:paraId="62C7B4B3" w14:textId="13EE3F6E" w:rsidR="00932AB3" w:rsidRPr="00D91268" w:rsidRDefault="00932AB3" w:rsidP="00932AB3">
      <w:pPr>
        <w:rPr>
          <w:sz w:val="24"/>
          <w:szCs w:val="24"/>
          <w:lang w:val="en-NZ"/>
        </w:rPr>
      </w:pPr>
      <w:r w:rsidRPr="00E502C3">
        <w:rPr>
          <w:b/>
          <w:bCs/>
          <w:sz w:val="24"/>
          <w:szCs w:val="24"/>
          <w:lang w:val="en-NZ"/>
        </w:rPr>
        <w:t>Catchment</w:t>
      </w:r>
      <w:r w:rsidRPr="00D91268">
        <w:rPr>
          <w:sz w:val="24"/>
          <w:szCs w:val="24"/>
          <w:lang w:val="en-NZ"/>
        </w:rPr>
        <w:t xml:space="preserve"> </w:t>
      </w:r>
      <w:r w:rsidR="001B2274">
        <w:rPr>
          <w:sz w:val="24"/>
          <w:szCs w:val="24"/>
          <w:lang w:val="en-NZ"/>
        </w:rPr>
        <w:t>–</w:t>
      </w:r>
      <w:r w:rsidRPr="00D91268">
        <w:rPr>
          <w:sz w:val="24"/>
          <w:szCs w:val="24"/>
          <w:lang w:val="en-NZ"/>
        </w:rPr>
        <w:t xml:space="preserve"> is the entire land area from which rain, snowmelt</w:t>
      </w:r>
      <w:r w:rsidR="004A39F5">
        <w:rPr>
          <w:sz w:val="24"/>
          <w:szCs w:val="24"/>
          <w:lang w:val="en-NZ"/>
        </w:rPr>
        <w:t>,</w:t>
      </w:r>
      <w:r w:rsidRPr="00D91268">
        <w:rPr>
          <w:sz w:val="24"/>
          <w:szCs w:val="24"/>
          <w:lang w:val="en-NZ"/>
        </w:rPr>
        <w:t xml:space="preserve"> or groundwater drain into a waterbody, typically delineated by the crests of the hills or mountains that form water divides; synonyms include “watershed”, “river basin” and “drainage area”.</w:t>
      </w:r>
    </w:p>
    <w:p w14:paraId="226C13DE" w14:textId="5C464102" w:rsidR="00932AB3" w:rsidRPr="00D91268" w:rsidRDefault="00932AB3" w:rsidP="00932AB3">
      <w:pPr>
        <w:rPr>
          <w:sz w:val="24"/>
          <w:szCs w:val="24"/>
          <w:lang w:val="en-NZ"/>
        </w:rPr>
      </w:pPr>
      <w:r w:rsidRPr="00E502C3">
        <w:rPr>
          <w:b/>
          <w:bCs/>
          <w:sz w:val="24"/>
          <w:szCs w:val="24"/>
          <w:lang w:val="en-NZ"/>
        </w:rPr>
        <w:t xml:space="preserve">Chlorophyll </w:t>
      </w:r>
      <w:r w:rsidR="001B2274">
        <w:rPr>
          <w:sz w:val="24"/>
          <w:szCs w:val="24"/>
          <w:lang w:val="en-NZ"/>
        </w:rPr>
        <w:t>–</w:t>
      </w:r>
      <w:r w:rsidRPr="00D91268">
        <w:rPr>
          <w:sz w:val="24"/>
          <w:szCs w:val="24"/>
          <w:lang w:val="en-NZ"/>
        </w:rPr>
        <w:t xml:space="preserve"> any of several related green pigments that are involved in photosynthesis and are found in cyanobacteria, algae</w:t>
      </w:r>
      <w:r w:rsidR="00517EAE">
        <w:rPr>
          <w:sz w:val="24"/>
          <w:szCs w:val="24"/>
          <w:lang w:val="en-NZ"/>
        </w:rPr>
        <w:t>,</w:t>
      </w:r>
      <w:r w:rsidRPr="00D91268">
        <w:rPr>
          <w:sz w:val="24"/>
          <w:szCs w:val="24"/>
          <w:lang w:val="en-NZ"/>
        </w:rPr>
        <w:t xml:space="preserve"> and plants.</w:t>
      </w:r>
    </w:p>
    <w:p w14:paraId="2742E126" w14:textId="40307328" w:rsidR="00932AB3" w:rsidRPr="00D91268" w:rsidRDefault="00932AB3" w:rsidP="00932AB3">
      <w:pPr>
        <w:rPr>
          <w:sz w:val="24"/>
          <w:szCs w:val="24"/>
          <w:lang w:val="en-NZ"/>
        </w:rPr>
      </w:pPr>
      <w:r w:rsidRPr="00E502C3">
        <w:rPr>
          <w:b/>
          <w:bCs/>
          <w:sz w:val="24"/>
          <w:szCs w:val="24"/>
          <w:lang w:val="en-NZ"/>
        </w:rPr>
        <w:t>Chloroplast</w:t>
      </w:r>
      <w:r w:rsidRPr="00D91268">
        <w:rPr>
          <w:sz w:val="24"/>
          <w:szCs w:val="24"/>
          <w:lang w:val="en-NZ"/>
        </w:rPr>
        <w:t xml:space="preserve"> </w:t>
      </w:r>
      <w:r w:rsidR="001B2274">
        <w:rPr>
          <w:sz w:val="24"/>
          <w:szCs w:val="24"/>
          <w:lang w:val="en-NZ"/>
        </w:rPr>
        <w:t>–</w:t>
      </w:r>
      <w:r w:rsidRPr="00D91268">
        <w:rPr>
          <w:sz w:val="24"/>
          <w:szCs w:val="24"/>
          <w:lang w:val="en-NZ"/>
        </w:rPr>
        <w:t xml:space="preserve"> a structure (a type of membrane-bound organelle) within plant and algal cells that contains chlorophyll and is the site of photosynthesis.</w:t>
      </w:r>
    </w:p>
    <w:p w14:paraId="4BC43CCE" w14:textId="31A09F0B" w:rsidR="00932AB3" w:rsidRPr="00D91268" w:rsidRDefault="00932AB3" w:rsidP="00932AB3">
      <w:pPr>
        <w:rPr>
          <w:sz w:val="24"/>
          <w:szCs w:val="24"/>
          <w:lang w:val="en-NZ"/>
        </w:rPr>
      </w:pPr>
      <w:r w:rsidRPr="00E502C3">
        <w:rPr>
          <w:b/>
          <w:bCs/>
          <w:sz w:val="24"/>
          <w:szCs w:val="24"/>
          <w:lang w:val="en-NZ"/>
        </w:rPr>
        <w:t>Compound</w:t>
      </w:r>
      <w:r w:rsidRPr="00D91268">
        <w:rPr>
          <w:sz w:val="24"/>
          <w:szCs w:val="24"/>
          <w:lang w:val="en-NZ"/>
        </w:rPr>
        <w:t xml:space="preserve"> </w:t>
      </w:r>
      <w:r w:rsidR="001B2274">
        <w:rPr>
          <w:sz w:val="24"/>
          <w:szCs w:val="24"/>
          <w:lang w:val="en-NZ"/>
        </w:rPr>
        <w:t>–</w:t>
      </w:r>
      <w:r w:rsidRPr="00D91268">
        <w:rPr>
          <w:sz w:val="24"/>
          <w:szCs w:val="24"/>
          <w:lang w:val="en-NZ"/>
        </w:rPr>
        <w:t xml:space="preserve"> a substance made up of two or more elements that are chemically bonded together.</w:t>
      </w:r>
    </w:p>
    <w:p w14:paraId="425D880C" w14:textId="783A8D7C" w:rsidR="00932AB3" w:rsidRPr="00D91268" w:rsidRDefault="00932AB3" w:rsidP="00932AB3">
      <w:pPr>
        <w:rPr>
          <w:sz w:val="24"/>
          <w:szCs w:val="24"/>
          <w:lang w:val="en-NZ"/>
        </w:rPr>
      </w:pPr>
      <w:r w:rsidRPr="00E502C3">
        <w:rPr>
          <w:b/>
          <w:bCs/>
          <w:sz w:val="24"/>
          <w:szCs w:val="24"/>
          <w:lang w:val="en-NZ"/>
        </w:rPr>
        <w:t xml:space="preserve">Congener </w:t>
      </w:r>
      <w:r w:rsidR="001B2274">
        <w:rPr>
          <w:sz w:val="24"/>
          <w:szCs w:val="24"/>
          <w:lang w:val="en-NZ"/>
        </w:rPr>
        <w:t>–</w:t>
      </w:r>
      <w:r w:rsidRPr="00D91268">
        <w:rPr>
          <w:sz w:val="24"/>
          <w:szCs w:val="24"/>
          <w:lang w:val="en-NZ"/>
        </w:rPr>
        <w:t xml:space="preserve"> members of the same taxonomic genus.</w:t>
      </w:r>
    </w:p>
    <w:p w14:paraId="19390CB4" w14:textId="28FC1208" w:rsidR="00932AB3" w:rsidRPr="00D91268" w:rsidRDefault="00932AB3" w:rsidP="00932AB3">
      <w:pPr>
        <w:rPr>
          <w:sz w:val="24"/>
          <w:szCs w:val="24"/>
          <w:lang w:val="en-NZ"/>
        </w:rPr>
      </w:pPr>
      <w:r w:rsidRPr="00E502C3">
        <w:rPr>
          <w:b/>
          <w:bCs/>
          <w:sz w:val="24"/>
          <w:szCs w:val="24"/>
          <w:lang w:val="en-NZ"/>
        </w:rPr>
        <w:t xml:space="preserve">Cyanobacteria </w:t>
      </w:r>
      <w:r w:rsidRPr="00C32C63">
        <w:rPr>
          <w:sz w:val="24"/>
          <w:szCs w:val="24"/>
          <w:lang w:val="en-NZ"/>
        </w:rPr>
        <w:t>(also known as blue-green algae)</w:t>
      </w:r>
      <w:r w:rsidRPr="00D91268">
        <w:rPr>
          <w:sz w:val="24"/>
          <w:szCs w:val="24"/>
          <w:lang w:val="en-NZ"/>
        </w:rPr>
        <w:t xml:space="preserve"> </w:t>
      </w:r>
      <w:r w:rsidR="001B2274">
        <w:rPr>
          <w:sz w:val="24"/>
          <w:szCs w:val="24"/>
          <w:lang w:val="en-NZ"/>
        </w:rPr>
        <w:t>–</w:t>
      </w:r>
      <w:r w:rsidRPr="00D91268">
        <w:rPr>
          <w:sz w:val="24"/>
          <w:szCs w:val="24"/>
          <w:lang w:val="en-NZ"/>
        </w:rPr>
        <w:t xml:space="preserve"> a phylum of bacteria that obtain their energy through photosynthesis.</w:t>
      </w:r>
    </w:p>
    <w:p w14:paraId="6B3AA993" w14:textId="7AABABA7" w:rsidR="00B71402" w:rsidRDefault="00932AB3" w:rsidP="00932AB3">
      <w:pPr>
        <w:rPr>
          <w:sz w:val="24"/>
          <w:szCs w:val="24"/>
          <w:lang w:val="en-NZ"/>
        </w:rPr>
      </w:pPr>
      <w:r w:rsidRPr="00E502C3">
        <w:rPr>
          <w:b/>
          <w:bCs/>
          <w:sz w:val="24"/>
          <w:szCs w:val="24"/>
          <w:lang w:val="en-NZ"/>
        </w:rPr>
        <w:t>Cylindrospermopsin</w:t>
      </w:r>
      <w:r w:rsidRPr="00D91268">
        <w:rPr>
          <w:sz w:val="24"/>
          <w:szCs w:val="24"/>
          <w:lang w:val="en-NZ"/>
        </w:rPr>
        <w:t xml:space="preserve"> </w:t>
      </w:r>
      <w:r w:rsidR="001B2274">
        <w:rPr>
          <w:sz w:val="24"/>
          <w:szCs w:val="24"/>
          <w:lang w:val="en-NZ"/>
        </w:rPr>
        <w:t>–</w:t>
      </w:r>
      <w:r w:rsidRPr="00D91268">
        <w:rPr>
          <w:sz w:val="24"/>
          <w:szCs w:val="24"/>
          <w:lang w:val="en-NZ"/>
        </w:rPr>
        <w:t xml:space="preserve"> a hepatotoxic alkaloid produced by a variety of cyanobacterial genera. </w:t>
      </w:r>
    </w:p>
    <w:p w14:paraId="3CA90EC9" w14:textId="093E89EA" w:rsidR="00932AB3" w:rsidRPr="00D91268" w:rsidRDefault="00932AB3" w:rsidP="00932AB3">
      <w:pPr>
        <w:rPr>
          <w:sz w:val="24"/>
          <w:szCs w:val="24"/>
          <w:lang w:val="en-NZ"/>
        </w:rPr>
      </w:pPr>
      <w:r w:rsidRPr="00B71402">
        <w:rPr>
          <w:b/>
          <w:bCs/>
          <w:sz w:val="24"/>
          <w:szCs w:val="24"/>
          <w:lang w:val="en-NZ"/>
        </w:rPr>
        <w:t>Cytotoxic</w:t>
      </w:r>
      <w:r w:rsidRPr="00D91268">
        <w:rPr>
          <w:sz w:val="24"/>
          <w:szCs w:val="24"/>
          <w:lang w:val="en-NZ"/>
        </w:rPr>
        <w:t xml:space="preserve"> </w:t>
      </w:r>
      <w:r w:rsidR="001B2274">
        <w:rPr>
          <w:sz w:val="24"/>
          <w:szCs w:val="24"/>
          <w:lang w:val="en-NZ"/>
        </w:rPr>
        <w:t>–</w:t>
      </w:r>
      <w:r w:rsidRPr="00D91268">
        <w:rPr>
          <w:sz w:val="24"/>
          <w:szCs w:val="24"/>
          <w:lang w:val="en-NZ"/>
        </w:rPr>
        <w:t xml:space="preserve"> toxic to cells.</w:t>
      </w:r>
    </w:p>
    <w:p w14:paraId="3CA9141B" w14:textId="2588FAFF" w:rsidR="00932AB3" w:rsidRPr="00D91268" w:rsidRDefault="00932AB3" w:rsidP="00932AB3">
      <w:pPr>
        <w:rPr>
          <w:sz w:val="24"/>
          <w:szCs w:val="24"/>
          <w:lang w:val="en-NZ"/>
        </w:rPr>
      </w:pPr>
      <w:r w:rsidRPr="00E502C3">
        <w:rPr>
          <w:b/>
          <w:bCs/>
          <w:sz w:val="24"/>
          <w:szCs w:val="24"/>
          <w:lang w:val="en-NZ"/>
        </w:rPr>
        <w:t xml:space="preserve">Dermatotoxic </w:t>
      </w:r>
      <w:r w:rsidR="001B2274">
        <w:rPr>
          <w:sz w:val="24"/>
          <w:szCs w:val="24"/>
          <w:lang w:val="en-NZ"/>
        </w:rPr>
        <w:t>–</w:t>
      </w:r>
      <w:r w:rsidR="00C91E78" w:rsidRPr="00C91E78">
        <w:rPr>
          <w:sz w:val="24"/>
          <w:szCs w:val="24"/>
          <w:lang w:val="en-NZ"/>
        </w:rPr>
        <w:t xml:space="preserve"> </w:t>
      </w:r>
      <w:r w:rsidRPr="00C91E78">
        <w:rPr>
          <w:sz w:val="24"/>
          <w:szCs w:val="24"/>
          <w:lang w:val="en-NZ"/>
        </w:rPr>
        <w:t>t</w:t>
      </w:r>
      <w:r w:rsidRPr="00D91268">
        <w:rPr>
          <w:sz w:val="24"/>
          <w:szCs w:val="24"/>
          <w:lang w:val="en-NZ"/>
        </w:rPr>
        <w:t>oxic to the skin.</w:t>
      </w:r>
    </w:p>
    <w:p w14:paraId="3D75168B" w14:textId="3E12DA3B" w:rsidR="00932AB3" w:rsidRPr="00D91268" w:rsidRDefault="00932AB3" w:rsidP="00932AB3">
      <w:pPr>
        <w:rPr>
          <w:sz w:val="24"/>
          <w:szCs w:val="24"/>
          <w:lang w:val="en-NZ"/>
        </w:rPr>
      </w:pPr>
      <w:r w:rsidRPr="00E502C3">
        <w:rPr>
          <w:b/>
          <w:bCs/>
          <w:sz w:val="24"/>
          <w:szCs w:val="24"/>
          <w:lang w:val="en-NZ"/>
        </w:rPr>
        <w:t xml:space="preserve">Diatoms </w:t>
      </w:r>
      <w:r w:rsidR="001B2274">
        <w:rPr>
          <w:sz w:val="24"/>
          <w:szCs w:val="24"/>
          <w:lang w:val="en-NZ"/>
        </w:rPr>
        <w:t>–</w:t>
      </w:r>
      <w:r w:rsidRPr="00D91268">
        <w:rPr>
          <w:sz w:val="24"/>
          <w:szCs w:val="24"/>
          <w:lang w:val="en-NZ"/>
        </w:rPr>
        <w:t xml:space="preserve"> a type of microalgae comprising several diverse genera. Their cell walls are made from silica</w:t>
      </w:r>
      <w:r w:rsidR="000E0AC4">
        <w:rPr>
          <w:sz w:val="24"/>
          <w:szCs w:val="24"/>
          <w:lang w:val="en-NZ"/>
        </w:rPr>
        <w:t>,</w:t>
      </w:r>
      <w:r w:rsidRPr="00D91268">
        <w:rPr>
          <w:sz w:val="24"/>
          <w:szCs w:val="24"/>
          <w:lang w:val="en-NZ"/>
        </w:rPr>
        <w:t xml:space="preserve"> and they occur in both marine and freshwaters and can be planktonic or benthic.</w:t>
      </w:r>
    </w:p>
    <w:p w14:paraId="4FEE97F4" w14:textId="26CDD5DC" w:rsidR="00932AB3" w:rsidRPr="00D91268" w:rsidRDefault="00932AB3" w:rsidP="00932AB3">
      <w:pPr>
        <w:rPr>
          <w:sz w:val="24"/>
          <w:szCs w:val="24"/>
          <w:lang w:val="en-NZ"/>
        </w:rPr>
      </w:pPr>
      <w:r w:rsidRPr="00E502C3">
        <w:rPr>
          <w:b/>
          <w:bCs/>
          <w:sz w:val="24"/>
          <w:szCs w:val="24"/>
          <w:lang w:val="en-NZ"/>
        </w:rPr>
        <w:t>Dinoflagellates</w:t>
      </w:r>
      <w:r w:rsidRPr="00D91268">
        <w:rPr>
          <w:sz w:val="24"/>
          <w:szCs w:val="24"/>
          <w:lang w:val="en-NZ"/>
        </w:rPr>
        <w:t xml:space="preserve"> </w:t>
      </w:r>
      <w:r w:rsidR="001B2274">
        <w:rPr>
          <w:sz w:val="24"/>
          <w:szCs w:val="24"/>
          <w:lang w:val="en-NZ"/>
        </w:rPr>
        <w:t>–</w:t>
      </w:r>
      <w:r w:rsidRPr="00D91268">
        <w:rPr>
          <w:sz w:val="24"/>
          <w:szCs w:val="24"/>
          <w:lang w:val="en-NZ"/>
        </w:rPr>
        <w:t xml:space="preserve"> a type of microalgae that are primary unicellular and motile (they possess flagellar). Dinoflagellates occur mostly in marine habitats but also exist in freshwaters. They can be planktonic or epiphytic/benthic.</w:t>
      </w:r>
    </w:p>
    <w:p w14:paraId="0F485418" w14:textId="617CD9C9" w:rsidR="00932AB3" w:rsidRPr="00D91268" w:rsidRDefault="00932AB3" w:rsidP="00932AB3">
      <w:pPr>
        <w:rPr>
          <w:sz w:val="24"/>
          <w:szCs w:val="24"/>
          <w:lang w:val="en-NZ"/>
        </w:rPr>
      </w:pPr>
      <w:r w:rsidRPr="00E502C3">
        <w:rPr>
          <w:b/>
          <w:bCs/>
          <w:sz w:val="24"/>
          <w:szCs w:val="24"/>
          <w:lang w:val="en-NZ"/>
        </w:rPr>
        <w:lastRenderedPageBreak/>
        <w:t>Endotoxin</w:t>
      </w:r>
      <w:r w:rsidRPr="00D91268">
        <w:rPr>
          <w:sz w:val="24"/>
          <w:szCs w:val="24"/>
          <w:lang w:val="en-NZ"/>
        </w:rPr>
        <w:t xml:space="preserve"> </w:t>
      </w:r>
      <w:r w:rsidR="001B2274">
        <w:rPr>
          <w:sz w:val="24"/>
          <w:szCs w:val="24"/>
          <w:lang w:val="en-NZ"/>
        </w:rPr>
        <w:t>–</w:t>
      </w:r>
      <w:r w:rsidRPr="00D91268">
        <w:rPr>
          <w:sz w:val="24"/>
          <w:szCs w:val="24"/>
          <w:lang w:val="en-NZ"/>
        </w:rPr>
        <w:t xml:space="preserve"> components of the outer membrane of the cell wall of gram-negative bacteria; also called Lipopolysaccharides.</w:t>
      </w:r>
    </w:p>
    <w:p w14:paraId="64CED823" w14:textId="68624378" w:rsidR="00932AB3" w:rsidRPr="00D91268" w:rsidRDefault="00932AB3" w:rsidP="00932AB3">
      <w:pPr>
        <w:rPr>
          <w:sz w:val="24"/>
          <w:szCs w:val="24"/>
          <w:lang w:val="en-NZ"/>
        </w:rPr>
      </w:pPr>
      <w:r w:rsidRPr="00E502C3">
        <w:rPr>
          <w:b/>
          <w:bCs/>
          <w:sz w:val="24"/>
          <w:szCs w:val="24"/>
          <w:lang w:val="en-NZ"/>
        </w:rPr>
        <w:t xml:space="preserve">Epiphytic </w:t>
      </w:r>
      <w:r w:rsidR="001B2274">
        <w:rPr>
          <w:sz w:val="24"/>
          <w:szCs w:val="24"/>
          <w:lang w:val="en-NZ"/>
        </w:rPr>
        <w:t>–</w:t>
      </w:r>
      <w:r w:rsidR="00C91E78" w:rsidRPr="00C91E78">
        <w:rPr>
          <w:sz w:val="24"/>
          <w:szCs w:val="24"/>
          <w:lang w:val="en-NZ"/>
        </w:rPr>
        <w:t xml:space="preserve"> </w:t>
      </w:r>
      <w:r w:rsidRPr="00D91268">
        <w:rPr>
          <w:sz w:val="24"/>
          <w:szCs w:val="24"/>
          <w:lang w:val="en-NZ"/>
        </w:rPr>
        <w:t>an organism that grows on the surface of a plant.</w:t>
      </w:r>
    </w:p>
    <w:p w14:paraId="2460C68B" w14:textId="253C20E3" w:rsidR="00932AB3" w:rsidRPr="00D91268" w:rsidRDefault="00932AB3" w:rsidP="00932AB3">
      <w:pPr>
        <w:rPr>
          <w:sz w:val="24"/>
          <w:szCs w:val="24"/>
          <w:lang w:val="en-NZ"/>
        </w:rPr>
      </w:pPr>
      <w:r w:rsidRPr="00E502C3">
        <w:rPr>
          <w:b/>
          <w:bCs/>
          <w:sz w:val="24"/>
          <w:szCs w:val="24"/>
          <w:lang w:val="en-NZ"/>
        </w:rPr>
        <w:t>Eukaryote</w:t>
      </w:r>
      <w:r w:rsidRPr="00D91268">
        <w:rPr>
          <w:sz w:val="24"/>
          <w:szCs w:val="24"/>
          <w:lang w:val="en-NZ"/>
        </w:rPr>
        <w:t xml:space="preserve"> </w:t>
      </w:r>
      <w:r w:rsidR="001B2274">
        <w:rPr>
          <w:sz w:val="24"/>
          <w:szCs w:val="24"/>
          <w:lang w:val="en-NZ"/>
        </w:rPr>
        <w:t>–</w:t>
      </w:r>
      <w:r w:rsidRPr="00D91268">
        <w:rPr>
          <w:sz w:val="24"/>
          <w:szCs w:val="24"/>
          <w:lang w:val="en-NZ"/>
        </w:rPr>
        <w:t xml:space="preserve"> an organism whose cells have a nucleus enclosed within a nuclear envelope.  </w:t>
      </w:r>
    </w:p>
    <w:p w14:paraId="2FAD9225" w14:textId="1D408ECE" w:rsidR="00932AB3" w:rsidRPr="00D91268" w:rsidRDefault="00932AB3" w:rsidP="00932AB3">
      <w:pPr>
        <w:rPr>
          <w:sz w:val="24"/>
          <w:szCs w:val="24"/>
          <w:lang w:val="en-NZ"/>
        </w:rPr>
      </w:pPr>
      <w:r w:rsidRPr="00E502C3">
        <w:rPr>
          <w:b/>
          <w:bCs/>
          <w:sz w:val="24"/>
          <w:szCs w:val="24"/>
          <w:lang w:val="en-NZ"/>
        </w:rPr>
        <w:t>Eutrophication</w:t>
      </w:r>
      <w:r w:rsidRPr="00D91268">
        <w:rPr>
          <w:sz w:val="24"/>
          <w:szCs w:val="24"/>
          <w:lang w:val="en-NZ"/>
        </w:rPr>
        <w:t xml:space="preserve"> </w:t>
      </w:r>
      <w:r w:rsidR="001B2274">
        <w:rPr>
          <w:sz w:val="24"/>
          <w:szCs w:val="24"/>
          <w:lang w:val="en-NZ"/>
        </w:rPr>
        <w:t>–</w:t>
      </w:r>
      <w:r w:rsidRPr="00D91268">
        <w:rPr>
          <w:sz w:val="24"/>
          <w:szCs w:val="24"/>
          <w:lang w:val="en-NZ"/>
        </w:rPr>
        <w:t xml:space="preserve"> degradation of water quality due to enrichment by nutrients such as nitrogen and phosphorus, which can result in excessive algal growth and decay, and is often associated with low dissolved oxygen in the water.</w:t>
      </w:r>
    </w:p>
    <w:p w14:paraId="30CC7281" w14:textId="5BCB8BC5" w:rsidR="00932AB3" w:rsidRPr="00D91268" w:rsidRDefault="00932AB3" w:rsidP="00932AB3">
      <w:pPr>
        <w:rPr>
          <w:sz w:val="24"/>
          <w:szCs w:val="24"/>
          <w:lang w:val="en-NZ"/>
        </w:rPr>
      </w:pPr>
      <w:r w:rsidRPr="00E502C3">
        <w:rPr>
          <w:b/>
          <w:bCs/>
          <w:sz w:val="24"/>
          <w:szCs w:val="24"/>
          <w:lang w:val="en-NZ"/>
        </w:rPr>
        <w:t>Exposure</w:t>
      </w:r>
      <w:r w:rsidRPr="00D91268">
        <w:rPr>
          <w:sz w:val="24"/>
          <w:szCs w:val="24"/>
          <w:lang w:val="en-NZ"/>
        </w:rPr>
        <w:t xml:space="preserve"> </w:t>
      </w:r>
      <w:r w:rsidR="001B2274">
        <w:rPr>
          <w:sz w:val="24"/>
          <w:szCs w:val="24"/>
          <w:lang w:val="en-NZ"/>
        </w:rPr>
        <w:t>–</w:t>
      </w:r>
      <w:r w:rsidRPr="00D91268">
        <w:rPr>
          <w:sz w:val="24"/>
          <w:szCs w:val="24"/>
          <w:lang w:val="en-NZ"/>
        </w:rPr>
        <w:t xml:space="preserve"> contact of a chemical, physical or biological agent with the outer boundary of an organism (eg, through inhalation, ingestion or dermal contact).</w:t>
      </w:r>
    </w:p>
    <w:p w14:paraId="2E518945" w14:textId="421DD985" w:rsidR="00932AB3" w:rsidRPr="00D91268" w:rsidRDefault="00932AB3" w:rsidP="00932AB3">
      <w:pPr>
        <w:rPr>
          <w:sz w:val="24"/>
          <w:szCs w:val="24"/>
          <w:lang w:val="en-NZ"/>
        </w:rPr>
      </w:pPr>
      <w:r w:rsidRPr="00E502C3">
        <w:rPr>
          <w:b/>
          <w:bCs/>
          <w:sz w:val="24"/>
          <w:szCs w:val="24"/>
          <w:lang w:val="en-NZ"/>
        </w:rPr>
        <w:t xml:space="preserve">Genus </w:t>
      </w:r>
      <w:r w:rsidR="001B2274">
        <w:rPr>
          <w:sz w:val="24"/>
          <w:szCs w:val="24"/>
          <w:lang w:val="en-NZ"/>
        </w:rPr>
        <w:t>–</w:t>
      </w:r>
      <w:r w:rsidRPr="00D91268">
        <w:rPr>
          <w:sz w:val="24"/>
          <w:szCs w:val="24"/>
          <w:lang w:val="en-NZ"/>
        </w:rPr>
        <w:t xml:space="preserve"> A genus is a class or group of something. In biology, a genus is a taxonomic group covering more than one species. Genera is the plural of genus.</w:t>
      </w:r>
    </w:p>
    <w:p w14:paraId="090BDDB5" w14:textId="592E4730" w:rsidR="00932AB3" w:rsidRPr="00D91268" w:rsidRDefault="00932AB3" w:rsidP="00932AB3">
      <w:pPr>
        <w:rPr>
          <w:sz w:val="24"/>
          <w:szCs w:val="24"/>
          <w:lang w:val="en-NZ"/>
        </w:rPr>
      </w:pPr>
      <w:r w:rsidRPr="00E502C3">
        <w:rPr>
          <w:b/>
          <w:bCs/>
          <w:sz w:val="24"/>
          <w:szCs w:val="24"/>
          <w:lang w:val="en-NZ"/>
        </w:rPr>
        <w:t xml:space="preserve">Hazard </w:t>
      </w:r>
      <w:r w:rsidR="001B2274">
        <w:rPr>
          <w:sz w:val="24"/>
          <w:szCs w:val="24"/>
          <w:lang w:val="en-NZ"/>
        </w:rPr>
        <w:t>–</w:t>
      </w:r>
      <w:r w:rsidRPr="00D91268">
        <w:rPr>
          <w:sz w:val="24"/>
          <w:szCs w:val="24"/>
          <w:lang w:val="en-NZ"/>
        </w:rPr>
        <w:t xml:space="preserve"> a biological, chemical, physical</w:t>
      </w:r>
      <w:r w:rsidR="00DA6545">
        <w:rPr>
          <w:sz w:val="24"/>
          <w:szCs w:val="24"/>
          <w:lang w:val="en-NZ"/>
        </w:rPr>
        <w:t>,</w:t>
      </w:r>
      <w:r w:rsidRPr="00D91268">
        <w:rPr>
          <w:sz w:val="24"/>
          <w:szCs w:val="24"/>
          <w:lang w:val="en-NZ"/>
        </w:rPr>
        <w:t xml:space="preserve"> or radiological agent that has the potential to cause harm.</w:t>
      </w:r>
    </w:p>
    <w:p w14:paraId="274520BA" w14:textId="7D793D7B" w:rsidR="00932AB3" w:rsidRPr="00D91268" w:rsidRDefault="00932AB3" w:rsidP="00932AB3">
      <w:pPr>
        <w:rPr>
          <w:sz w:val="24"/>
          <w:szCs w:val="24"/>
          <w:lang w:val="en-NZ"/>
        </w:rPr>
      </w:pPr>
      <w:r w:rsidRPr="00E502C3">
        <w:rPr>
          <w:b/>
          <w:bCs/>
          <w:sz w:val="24"/>
          <w:szCs w:val="24"/>
          <w:lang w:val="en-NZ"/>
        </w:rPr>
        <w:t>Hepatotoxic</w:t>
      </w:r>
      <w:r w:rsidRPr="00D91268">
        <w:rPr>
          <w:sz w:val="24"/>
          <w:szCs w:val="24"/>
          <w:lang w:val="en-NZ"/>
        </w:rPr>
        <w:t xml:space="preserve"> </w:t>
      </w:r>
      <w:r w:rsidR="001B2274">
        <w:rPr>
          <w:sz w:val="24"/>
          <w:szCs w:val="24"/>
          <w:lang w:val="en-NZ"/>
        </w:rPr>
        <w:t>–</w:t>
      </w:r>
      <w:r w:rsidRPr="00D91268">
        <w:rPr>
          <w:sz w:val="24"/>
          <w:szCs w:val="24"/>
          <w:lang w:val="en-NZ"/>
        </w:rPr>
        <w:t xml:space="preserve"> toxic to the liver.</w:t>
      </w:r>
    </w:p>
    <w:p w14:paraId="22054D59" w14:textId="268023E2" w:rsidR="00932AB3" w:rsidRPr="00D91268" w:rsidRDefault="00932AB3" w:rsidP="00932AB3">
      <w:pPr>
        <w:rPr>
          <w:sz w:val="24"/>
          <w:szCs w:val="24"/>
          <w:lang w:val="en-NZ"/>
        </w:rPr>
      </w:pPr>
      <w:r w:rsidRPr="00E502C3">
        <w:rPr>
          <w:b/>
          <w:bCs/>
          <w:sz w:val="24"/>
          <w:szCs w:val="24"/>
          <w:lang w:val="en-NZ"/>
        </w:rPr>
        <w:t>LOAEL</w:t>
      </w:r>
      <w:r w:rsidRPr="00D91268">
        <w:rPr>
          <w:sz w:val="24"/>
          <w:szCs w:val="24"/>
          <w:lang w:val="en-NZ"/>
        </w:rPr>
        <w:t xml:space="preserve"> </w:t>
      </w:r>
      <w:r w:rsidR="001B2274">
        <w:rPr>
          <w:sz w:val="24"/>
          <w:szCs w:val="24"/>
          <w:lang w:val="en-NZ"/>
        </w:rPr>
        <w:t>–</w:t>
      </w:r>
      <w:r w:rsidR="00C91E78">
        <w:rPr>
          <w:sz w:val="24"/>
          <w:szCs w:val="24"/>
          <w:lang w:val="en-NZ"/>
        </w:rPr>
        <w:t xml:space="preserve"> </w:t>
      </w:r>
      <w:r w:rsidRPr="00D91268">
        <w:rPr>
          <w:sz w:val="24"/>
          <w:szCs w:val="24"/>
          <w:lang w:val="en-NZ"/>
        </w:rPr>
        <w:t xml:space="preserve">lowest observed adverse effect level </w:t>
      </w:r>
      <w:r w:rsidR="000E0AC4">
        <w:rPr>
          <w:sz w:val="24"/>
          <w:szCs w:val="24"/>
          <w:lang w:val="en-NZ"/>
        </w:rPr>
        <w:t>–</w:t>
      </w:r>
      <w:r w:rsidRPr="00D91268">
        <w:rPr>
          <w:sz w:val="24"/>
          <w:szCs w:val="24"/>
          <w:lang w:val="en-NZ"/>
        </w:rPr>
        <w:t xml:space="preserve"> the lowest level of a substance found by experiment or observation that causes an adverse effect.</w:t>
      </w:r>
    </w:p>
    <w:p w14:paraId="407517A3" w14:textId="4E33FA9A" w:rsidR="00932AB3" w:rsidRPr="00D91268" w:rsidRDefault="00932AB3" w:rsidP="00932AB3">
      <w:pPr>
        <w:rPr>
          <w:sz w:val="24"/>
          <w:szCs w:val="24"/>
          <w:lang w:val="en-NZ"/>
        </w:rPr>
      </w:pPr>
      <w:r w:rsidRPr="00E502C3">
        <w:rPr>
          <w:b/>
          <w:bCs/>
          <w:sz w:val="24"/>
          <w:szCs w:val="24"/>
          <w:lang w:val="en-NZ"/>
        </w:rPr>
        <w:t>Macroscopic</w:t>
      </w:r>
      <w:r w:rsidRPr="00D91268">
        <w:rPr>
          <w:sz w:val="24"/>
          <w:szCs w:val="24"/>
          <w:lang w:val="en-NZ"/>
        </w:rPr>
        <w:t xml:space="preserve"> </w:t>
      </w:r>
      <w:r w:rsidR="001B2274">
        <w:rPr>
          <w:sz w:val="24"/>
          <w:szCs w:val="24"/>
          <w:lang w:val="en-NZ"/>
        </w:rPr>
        <w:t>–</w:t>
      </w:r>
      <w:r w:rsidRPr="00D91268">
        <w:rPr>
          <w:sz w:val="24"/>
          <w:szCs w:val="24"/>
          <w:lang w:val="en-NZ"/>
        </w:rPr>
        <w:t xml:space="preserve"> large enough to be seen by the unaided eye.</w:t>
      </w:r>
    </w:p>
    <w:p w14:paraId="6718ACEB" w14:textId="617BE94C" w:rsidR="00932AB3" w:rsidRPr="00D91268" w:rsidRDefault="00932AB3" w:rsidP="00932AB3">
      <w:pPr>
        <w:rPr>
          <w:sz w:val="24"/>
          <w:szCs w:val="24"/>
          <w:lang w:val="en-NZ"/>
        </w:rPr>
      </w:pPr>
      <w:r w:rsidRPr="00E502C3">
        <w:rPr>
          <w:b/>
          <w:bCs/>
          <w:sz w:val="24"/>
          <w:szCs w:val="24"/>
          <w:lang w:val="en-NZ"/>
        </w:rPr>
        <w:t>Microcystins</w:t>
      </w:r>
      <w:r w:rsidRPr="00D91268">
        <w:rPr>
          <w:sz w:val="24"/>
          <w:szCs w:val="24"/>
          <w:lang w:val="en-NZ"/>
        </w:rPr>
        <w:t xml:space="preserve"> </w:t>
      </w:r>
      <w:r w:rsidR="00F57C98">
        <w:rPr>
          <w:sz w:val="24"/>
          <w:szCs w:val="24"/>
          <w:lang w:val="en-NZ"/>
        </w:rPr>
        <w:t>–</w:t>
      </w:r>
      <w:r w:rsidRPr="00D91268">
        <w:rPr>
          <w:sz w:val="24"/>
          <w:szCs w:val="24"/>
          <w:lang w:val="en-NZ"/>
        </w:rPr>
        <w:t xml:space="preserve"> a group of hepatotoxic cyclic peptide cyanotoxins produced by a range of cyanobacteria.</w:t>
      </w:r>
    </w:p>
    <w:p w14:paraId="38AE9202" w14:textId="58DEDE3F" w:rsidR="00932AB3" w:rsidRPr="00D91268" w:rsidRDefault="00932AB3" w:rsidP="00932AB3">
      <w:pPr>
        <w:rPr>
          <w:sz w:val="24"/>
          <w:szCs w:val="24"/>
          <w:lang w:val="en-NZ"/>
        </w:rPr>
      </w:pPr>
      <w:r w:rsidRPr="00E502C3">
        <w:rPr>
          <w:b/>
          <w:bCs/>
          <w:sz w:val="24"/>
          <w:szCs w:val="24"/>
          <w:lang w:val="en-NZ"/>
        </w:rPr>
        <w:t>Neurotoxic</w:t>
      </w:r>
      <w:r w:rsidRPr="00D91268">
        <w:rPr>
          <w:sz w:val="24"/>
          <w:szCs w:val="24"/>
          <w:lang w:val="en-NZ"/>
        </w:rPr>
        <w:t xml:space="preserve"> </w:t>
      </w:r>
      <w:r w:rsidR="001B2274">
        <w:rPr>
          <w:sz w:val="24"/>
          <w:szCs w:val="24"/>
          <w:lang w:val="en-NZ"/>
        </w:rPr>
        <w:t>–</w:t>
      </w:r>
      <w:r w:rsidRPr="00D91268">
        <w:rPr>
          <w:sz w:val="24"/>
          <w:szCs w:val="24"/>
          <w:lang w:val="en-NZ"/>
        </w:rPr>
        <w:t xml:space="preserve"> toxic to nerves or nerve tissue.</w:t>
      </w:r>
    </w:p>
    <w:p w14:paraId="1C241A04" w14:textId="64315D83" w:rsidR="00932AB3" w:rsidRPr="00D91268" w:rsidRDefault="00932AB3" w:rsidP="00932AB3">
      <w:pPr>
        <w:rPr>
          <w:sz w:val="24"/>
          <w:szCs w:val="24"/>
          <w:lang w:val="en-NZ"/>
        </w:rPr>
      </w:pPr>
      <w:r w:rsidRPr="00E502C3">
        <w:rPr>
          <w:b/>
          <w:bCs/>
          <w:sz w:val="24"/>
          <w:szCs w:val="24"/>
          <w:lang w:val="en-NZ"/>
        </w:rPr>
        <w:t>Nodularin</w:t>
      </w:r>
      <w:r w:rsidRPr="00D91268">
        <w:rPr>
          <w:sz w:val="24"/>
          <w:szCs w:val="24"/>
          <w:lang w:val="en-NZ"/>
        </w:rPr>
        <w:t xml:space="preserve"> </w:t>
      </w:r>
      <w:r w:rsidR="00F57C98">
        <w:rPr>
          <w:sz w:val="24"/>
          <w:szCs w:val="24"/>
          <w:lang w:val="en-NZ"/>
        </w:rPr>
        <w:t>–</w:t>
      </w:r>
      <w:r w:rsidRPr="00D91268">
        <w:rPr>
          <w:sz w:val="24"/>
          <w:szCs w:val="24"/>
          <w:lang w:val="en-NZ"/>
        </w:rPr>
        <w:t xml:space="preserve"> a hepatotoxic cyclic peptide cyanotoxin commonly produced by the planktonic cyanobacterium Nodularia spumigena.</w:t>
      </w:r>
    </w:p>
    <w:p w14:paraId="3006C347" w14:textId="78D635D9" w:rsidR="00932AB3" w:rsidRPr="00D91268" w:rsidRDefault="00932AB3" w:rsidP="00932AB3">
      <w:pPr>
        <w:rPr>
          <w:sz w:val="24"/>
          <w:szCs w:val="24"/>
          <w:lang w:val="en-NZ"/>
        </w:rPr>
      </w:pPr>
      <w:r w:rsidRPr="00E502C3">
        <w:rPr>
          <w:b/>
          <w:bCs/>
          <w:sz w:val="24"/>
          <w:szCs w:val="24"/>
          <w:lang w:val="en-NZ"/>
        </w:rPr>
        <w:t>NOAEL</w:t>
      </w:r>
      <w:r w:rsidRPr="00D91268">
        <w:rPr>
          <w:sz w:val="24"/>
          <w:szCs w:val="24"/>
          <w:lang w:val="en-NZ"/>
        </w:rPr>
        <w:t xml:space="preserve"> </w:t>
      </w:r>
      <w:r w:rsidR="001B2274">
        <w:rPr>
          <w:sz w:val="24"/>
          <w:szCs w:val="24"/>
          <w:lang w:val="en-NZ"/>
        </w:rPr>
        <w:t>–</w:t>
      </w:r>
      <w:r w:rsidRPr="00D91268">
        <w:rPr>
          <w:sz w:val="24"/>
          <w:szCs w:val="24"/>
          <w:lang w:val="en-NZ"/>
        </w:rPr>
        <w:t xml:space="preserve"> no observed adverse effect level - level of exposure, found by experiment or observation, at which there is no adverse effects.</w:t>
      </w:r>
    </w:p>
    <w:p w14:paraId="0E7E3AA3" w14:textId="361B43C8" w:rsidR="00932AB3" w:rsidRPr="00D91268" w:rsidRDefault="00932AB3" w:rsidP="00932AB3">
      <w:pPr>
        <w:rPr>
          <w:sz w:val="24"/>
          <w:szCs w:val="24"/>
          <w:lang w:val="en-NZ"/>
        </w:rPr>
      </w:pPr>
      <w:r w:rsidRPr="00E502C3">
        <w:rPr>
          <w:b/>
          <w:bCs/>
          <w:sz w:val="24"/>
          <w:szCs w:val="24"/>
          <w:lang w:val="en-NZ"/>
        </w:rPr>
        <w:t>Organelle</w:t>
      </w:r>
      <w:r w:rsidRPr="00D91268">
        <w:rPr>
          <w:sz w:val="24"/>
          <w:szCs w:val="24"/>
          <w:lang w:val="en-NZ"/>
        </w:rPr>
        <w:t xml:space="preserve"> </w:t>
      </w:r>
      <w:r w:rsidR="001B2274">
        <w:rPr>
          <w:sz w:val="24"/>
          <w:szCs w:val="24"/>
          <w:lang w:val="en-NZ"/>
        </w:rPr>
        <w:t>–</w:t>
      </w:r>
      <w:r w:rsidR="00C91E78">
        <w:rPr>
          <w:sz w:val="24"/>
          <w:szCs w:val="24"/>
          <w:lang w:val="en-NZ"/>
        </w:rPr>
        <w:t xml:space="preserve"> </w:t>
      </w:r>
      <w:r w:rsidRPr="00D91268">
        <w:rPr>
          <w:sz w:val="24"/>
          <w:szCs w:val="24"/>
          <w:lang w:val="en-NZ"/>
        </w:rPr>
        <w:t>a specialised subunit or structure, usually within a cell, which has a specific function.</w:t>
      </w:r>
    </w:p>
    <w:p w14:paraId="5EB15F22" w14:textId="29A2C74F" w:rsidR="00DA6545" w:rsidRDefault="00932AB3" w:rsidP="00932AB3">
      <w:pPr>
        <w:rPr>
          <w:sz w:val="24"/>
          <w:szCs w:val="24"/>
          <w:lang w:val="en-NZ"/>
        </w:rPr>
      </w:pPr>
      <w:r w:rsidRPr="00E502C3">
        <w:rPr>
          <w:b/>
          <w:bCs/>
          <w:sz w:val="24"/>
          <w:szCs w:val="24"/>
          <w:lang w:val="en-NZ"/>
        </w:rPr>
        <w:t>Organic compound</w:t>
      </w:r>
      <w:r w:rsidRPr="00D91268">
        <w:rPr>
          <w:sz w:val="24"/>
          <w:szCs w:val="24"/>
          <w:lang w:val="en-NZ"/>
        </w:rPr>
        <w:t xml:space="preserve"> </w:t>
      </w:r>
      <w:r w:rsidR="001B2274">
        <w:rPr>
          <w:sz w:val="24"/>
          <w:szCs w:val="24"/>
          <w:lang w:val="en-NZ"/>
        </w:rPr>
        <w:t>–</w:t>
      </w:r>
      <w:r w:rsidRPr="00D91268">
        <w:rPr>
          <w:sz w:val="24"/>
          <w:szCs w:val="24"/>
          <w:lang w:val="en-NZ"/>
        </w:rPr>
        <w:t xml:space="preserve"> a type of compound that contains a carbon atom. </w:t>
      </w:r>
    </w:p>
    <w:p w14:paraId="1B9C2967" w14:textId="1ABAB513" w:rsidR="00932AB3" w:rsidRPr="00D91268" w:rsidRDefault="00932AB3" w:rsidP="00932AB3">
      <w:pPr>
        <w:rPr>
          <w:sz w:val="24"/>
          <w:szCs w:val="24"/>
          <w:lang w:val="en-NZ"/>
        </w:rPr>
      </w:pPr>
      <w:r w:rsidRPr="00DA6545">
        <w:rPr>
          <w:b/>
          <w:bCs/>
          <w:sz w:val="24"/>
          <w:szCs w:val="24"/>
          <w:lang w:val="en-NZ"/>
        </w:rPr>
        <w:t>Peptide</w:t>
      </w:r>
      <w:r w:rsidRPr="00D91268">
        <w:rPr>
          <w:sz w:val="24"/>
          <w:szCs w:val="24"/>
          <w:lang w:val="en-NZ"/>
        </w:rPr>
        <w:t xml:space="preserve"> </w:t>
      </w:r>
      <w:r w:rsidR="001B2274">
        <w:rPr>
          <w:sz w:val="24"/>
          <w:szCs w:val="24"/>
          <w:lang w:val="en-NZ"/>
        </w:rPr>
        <w:t>–</w:t>
      </w:r>
      <w:r w:rsidRPr="00D91268">
        <w:rPr>
          <w:sz w:val="24"/>
          <w:szCs w:val="24"/>
          <w:lang w:val="en-NZ"/>
        </w:rPr>
        <w:t xml:space="preserve"> short chains of amino acids linked by chemical (peptide) bonds.</w:t>
      </w:r>
    </w:p>
    <w:p w14:paraId="50ED1202" w14:textId="690FFB79" w:rsidR="00932AB3" w:rsidRPr="00D91268" w:rsidRDefault="00932AB3" w:rsidP="00932AB3">
      <w:pPr>
        <w:rPr>
          <w:sz w:val="24"/>
          <w:szCs w:val="24"/>
          <w:lang w:val="en-NZ"/>
        </w:rPr>
      </w:pPr>
      <w:r w:rsidRPr="00E502C3">
        <w:rPr>
          <w:b/>
          <w:bCs/>
          <w:sz w:val="24"/>
          <w:szCs w:val="24"/>
          <w:lang w:val="en-NZ"/>
        </w:rPr>
        <w:t>Periphyton</w:t>
      </w:r>
      <w:r w:rsidRPr="00D91268">
        <w:rPr>
          <w:sz w:val="24"/>
          <w:szCs w:val="24"/>
          <w:lang w:val="en-NZ"/>
        </w:rPr>
        <w:t xml:space="preserve"> </w:t>
      </w:r>
      <w:r w:rsidR="001B2274">
        <w:rPr>
          <w:sz w:val="24"/>
          <w:szCs w:val="24"/>
          <w:lang w:val="en-NZ"/>
        </w:rPr>
        <w:t>–</w:t>
      </w:r>
      <w:r w:rsidRPr="00D91268">
        <w:rPr>
          <w:sz w:val="24"/>
          <w:szCs w:val="24"/>
          <w:lang w:val="en-NZ"/>
        </w:rPr>
        <w:t xml:space="preserve"> the mixture of algae, cyanobacteria, heterotrophic microbes</w:t>
      </w:r>
      <w:r w:rsidR="00DA6545">
        <w:rPr>
          <w:sz w:val="24"/>
          <w:szCs w:val="24"/>
          <w:lang w:val="en-NZ"/>
        </w:rPr>
        <w:t>,</w:t>
      </w:r>
      <w:r w:rsidRPr="00D91268">
        <w:rPr>
          <w:sz w:val="24"/>
          <w:szCs w:val="24"/>
          <w:lang w:val="en-NZ"/>
        </w:rPr>
        <w:t xml:space="preserve"> and detritus found attached to submerged surfaces in most aquatic ecosystems.</w:t>
      </w:r>
    </w:p>
    <w:p w14:paraId="31D8BC68" w14:textId="66E3CE95" w:rsidR="00932AB3" w:rsidRPr="00D91268" w:rsidRDefault="00932AB3" w:rsidP="00932AB3">
      <w:pPr>
        <w:rPr>
          <w:sz w:val="24"/>
          <w:szCs w:val="24"/>
          <w:lang w:val="en-NZ"/>
        </w:rPr>
      </w:pPr>
      <w:r w:rsidRPr="00E502C3">
        <w:rPr>
          <w:b/>
          <w:bCs/>
          <w:sz w:val="24"/>
          <w:szCs w:val="24"/>
          <w:lang w:val="en-NZ"/>
        </w:rPr>
        <w:t>Phycotoxins</w:t>
      </w:r>
      <w:r w:rsidRPr="00D91268">
        <w:rPr>
          <w:sz w:val="24"/>
          <w:szCs w:val="24"/>
          <w:lang w:val="en-NZ"/>
        </w:rPr>
        <w:t xml:space="preserve"> </w:t>
      </w:r>
      <w:r w:rsidR="001B2274">
        <w:rPr>
          <w:sz w:val="24"/>
          <w:szCs w:val="24"/>
          <w:lang w:val="en-NZ"/>
        </w:rPr>
        <w:t>–</w:t>
      </w:r>
      <w:r w:rsidRPr="00D91268">
        <w:rPr>
          <w:sz w:val="24"/>
          <w:szCs w:val="24"/>
          <w:lang w:val="en-NZ"/>
        </w:rPr>
        <w:t xml:space="preserve"> toxins produced by algae or seaweeds.</w:t>
      </w:r>
    </w:p>
    <w:p w14:paraId="62C0A7EA" w14:textId="67E7E995" w:rsidR="00932AB3" w:rsidRPr="00D91268" w:rsidRDefault="00932AB3" w:rsidP="00932AB3">
      <w:pPr>
        <w:rPr>
          <w:sz w:val="24"/>
          <w:szCs w:val="24"/>
          <w:lang w:val="en-NZ"/>
        </w:rPr>
      </w:pPr>
      <w:r w:rsidRPr="00E502C3">
        <w:rPr>
          <w:b/>
          <w:bCs/>
          <w:sz w:val="24"/>
          <w:szCs w:val="24"/>
          <w:lang w:val="en-NZ"/>
        </w:rPr>
        <w:t>Phylum</w:t>
      </w:r>
      <w:r w:rsidRPr="00D91268">
        <w:rPr>
          <w:sz w:val="24"/>
          <w:szCs w:val="24"/>
          <w:lang w:val="en-NZ"/>
        </w:rPr>
        <w:t xml:space="preserve"> </w:t>
      </w:r>
      <w:r w:rsidR="001B2274">
        <w:rPr>
          <w:sz w:val="24"/>
          <w:szCs w:val="24"/>
          <w:lang w:val="en-NZ"/>
        </w:rPr>
        <w:t>–</w:t>
      </w:r>
      <w:r w:rsidRPr="00D91268">
        <w:rPr>
          <w:sz w:val="24"/>
          <w:szCs w:val="24"/>
          <w:lang w:val="en-NZ"/>
        </w:rPr>
        <w:t xml:space="preserve"> a level of biological classification or taxonomic rank below kingdom and above class.</w:t>
      </w:r>
    </w:p>
    <w:p w14:paraId="13F69673" w14:textId="5889730F" w:rsidR="00932AB3" w:rsidRPr="00D91268" w:rsidRDefault="00932AB3" w:rsidP="00932AB3">
      <w:pPr>
        <w:rPr>
          <w:sz w:val="24"/>
          <w:szCs w:val="24"/>
          <w:lang w:val="en-NZ"/>
        </w:rPr>
      </w:pPr>
      <w:r w:rsidRPr="00E502C3">
        <w:rPr>
          <w:b/>
          <w:bCs/>
          <w:sz w:val="24"/>
          <w:szCs w:val="24"/>
          <w:lang w:val="en-NZ"/>
        </w:rPr>
        <w:t>Phytoplankton</w:t>
      </w:r>
      <w:r w:rsidRPr="00D91268">
        <w:rPr>
          <w:sz w:val="24"/>
          <w:szCs w:val="24"/>
          <w:lang w:val="en-NZ"/>
        </w:rPr>
        <w:t xml:space="preserve"> </w:t>
      </w:r>
      <w:r w:rsidR="001B2274">
        <w:rPr>
          <w:sz w:val="24"/>
          <w:szCs w:val="24"/>
          <w:lang w:val="en-NZ"/>
        </w:rPr>
        <w:t>–</w:t>
      </w:r>
      <w:r w:rsidRPr="00D91268">
        <w:rPr>
          <w:sz w:val="24"/>
          <w:szCs w:val="24"/>
          <w:lang w:val="en-NZ"/>
        </w:rPr>
        <w:t xml:space="preserve"> mostly microscopic, single-celled photosynthetic organisms that live suspended in water.</w:t>
      </w:r>
    </w:p>
    <w:p w14:paraId="75F67677" w14:textId="47D086CE" w:rsidR="00932AB3" w:rsidRPr="00D91268" w:rsidRDefault="00932AB3" w:rsidP="00932AB3">
      <w:pPr>
        <w:rPr>
          <w:sz w:val="24"/>
          <w:szCs w:val="24"/>
          <w:lang w:val="en-NZ"/>
        </w:rPr>
      </w:pPr>
      <w:r w:rsidRPr="00E502C3">
        <w:rPr>
          <w:b/>
          <w:bCs/>
          <w:sz w:val="24"/>
          <w:szCs w:val="24"/>
          <w:lang w:val="en-NZ"/>
        </w:rPr>
        <w:lastRenderedPageBreak/>
        <w:t xml:space="preserve">Plankton </w:t>
      </w:r>
      <w:r w:rsidR="00E523D5">
        <w:rPr>
          <w:sz w:val="24"/>
          <w:szCs w:val="24"/>
          <w:lang w:val="en-NZ"/>
        </w:rPr>
        <w:t>–</w:t>
      </w:r>
      <w:r w:rsidRPr="00D91268">
        <w:rPr>
          <w:sz w:val="24"/>
          <w:szCs w:val="24"/>
          <w:lang w:val="en-NZ"/>
        </w:rPr>
        <w:t xml:space="preserve"> a diverse collection of organisms found in water that are unable to propel themselves against a current</w:t>
      </w:r>
    </w:p>
    <w:p w14:paraId="0B2BB862" w14:textId="7DDC0D28" w:rsidR="00932AB3" w:rsidRPr="00D91268" w:rsidRDefault="00932AB3" w:rsidP="00932AB3">
      <w:pPr>
        <w:rPr>
          <w:sz w:val="24"/>
          <w:szCs w:val="24"/>
          <w:lang w:val="en-NZ"/>
        </w:rPr>
      </w:pPr>
      <w:r w:rsidRPr="00E502C3">
        <w:rPr>
          <w:b/>
          <w:bCs/>
          <w:sz w:val="24"/>
          <w:szCs w:val="24"/>
          <w:lang w:val="en-NZ"/>
        </w:rPr>
        <w:t>Planktonic</w:t>
      </w:r>
      <w:r w:rsidRPr="00D91268">
        <w:rPr>
          <w:sz w:val="24"/>
          <w:szCs w:val="24"/>
          <w:lang w:val="en-NZ"/>
        </w:rPr>
        <w:t xml:space="preserve"> </w:t>
      </w:r>
      <w:r w:rsidR="00E523D5">
        <w:rPr>
          <w:sz w:val="24"/>
          <w:szCs w:val="24"/>
          <w:lang w:val="en-NZ"/>
        </w:rPr>
        <w:t>–</w:t>
      </w:r>
      <w:r w:rsidR="003C1905">
        <w:rPr>
          <w:sz w:val="24"/>
          <w:szCs w:val="24"/>
          <w:lang w:val="en-NZ"/>
        </w:rPr>
        <w:t xml:space="preserve"> </w:t>
      </w:r>
      <w:r w:rsidRPr="00D91268">
        <w:rPr>
          <w:sz w:val="24"/>
          <w:szCs w:val="24"/>
          <w:lang w:val="en-NZ"/>
        </w:rPr>
        <w:t>cyanobacteria and microalgae that are free-floating (drifting) in the water body.</w:t>
      </w:r>
    </w:p>
    <w:p w14:paraId="274D328A" w14:textId="26FA6027" w:rsidR="00932AB3" w:rsidRPr="00D91268" w:rsidRDefault="00932AB3" w:rsidP="00932AB3">
      <w:pPr>
        <w:rPr>
          <w:sz w:val="24"/>
          <w:szCs w:val="24"/>
          <w:lang w:val="en-NZ"/>
        </w:rPr>
      </w:pPr>
      <w:r w:rsidRPr="00E502C3">
        <w:rPr>
          <w:b/>
          <w:bCs/>
          <w:sz w:val="24"/>
          <w:szCs w:val="24"/>
          <w:lang w:val="en-NZ"/>
        </w:rPr>
        <w:t>Primary contact</w:t>
      </w:r>
      <w:r w:rsidRPr="00D91268">
        <w:rPr>
          <w:sz w:val="24"/>
          <w:szCs w:val="24"/>
          <w:lang w:val="en-NZ"/>
        </w:rPr>
        <w:t xml:space="preserve"> </w:t>
      </w:r>
      <w:r w:rsidR="00E523D5">
        <w:rPr>
          <w:sz w:val="24"/>
          <w:szCs w:val="24"/>
          <w:lang w:val="en-NZ"/>
        </w:rPr>
        <w:t>–</w:t>
      </w:r>
      <w:r w:rsidRPr="00D91268">
        <w:rPr>
          <w:sz w:val="24"/>
          <w:szCs w:val="24"/>
          <w:lang w:val="en-NZ"/>
        </w:rPr>
        <w:t xml:space="preserve"> users are in direct contact with recreational water and can fully immerse their body and could swallow water</w:t>
      </w:r>
    </w:p>
    <w:p w14:paraId="57988EAE" w14:textId="23EBB172" w:rsidR="00932AB3" w:rsidRPr="00D91268" w:rsidRDefault="00932AB3" w:rsidP="00932AB3">
      <w:pPr>
        <w:rPr>
          <w:sz w:val="24"/>
          <w:szCs w:val="24"/>
          <w:lang w:val="en-NZ"/>
        </w:rPr>
      </w:pPr>
      <w:r w:rsidRPr="00E502C3">
        <w:rPr>
          <w:b/>
          <w:bCs/>
          <w:sz w:val="24"/>
          <w:szCs w:val="24"/>
          <w:lang w:val="en-NZ"/>
        </w:rPr>
        <w:t>Prokaryote</w:t>
      </w:r>
      <w:r w:rsidRPr="00D91268">
        <w:rPr>
          <w:sz w:val="24"/>
          <w:szCs w:val="24"/>
          <w:lang w:val="en-NZ"/>
        </w:rPr>
        <w:t xml:space="preserve"> </w:t>
      </w:r>
      <w:r w:rsidR="00E523D5">
        <w:rPr>
          <w:sz w:val="24"/>
          <w:szCs w:val="24"/>
          <w:lang w:val="en-NZ"/>
        </w:rPr>
        <w:t>–</w:t>
      </w:r>
      <w:r w:rsidRPr="00D91268">
        <w:rPr>
          <w:sz w:val="24"/>
          <w:szCs w:val="24"/>
          <w:lang w:val="en-NZ"/>
        </w:rPr>
        <w:t xml:space="preserve"> an organism whose nucleus is not clearly defined (bacteria and cyanobacteria, but not animals, plants</w:t>
      </w:r>
      <w:r w:rsidR="00434E46">
        <w:rPr>
          <w:sz w:val="24"/>
          <w:szCs w:val="24"/>
          <w:lang w:val="en-NZ"/>
        </w:rPr>
        <w:t>,</w:t>
      </w:r>
      <w:r w:rsidRPr="00D91268">
        <w:rPr>
          <w:sz w:val="24"/>
          <w:szCs w:val="24"/>
          <w:lang w:val="en-NZ"/>
        </w:rPr>
        <w:t xml:space="preserve"> or fungi).</w:t>
      </w:r>
    </w:p>
    <w:p w14:paraId="1A574BE1" w14:textId="0BCFC870" w:rsidR="00932AB3" w:rsidRPr="00D91268" w:rsidRDefault="00932AB3" w:rsidP="00932AB3">
      <w:pPr>
        <w:rPr>
          <w:sz w:val="24"/>
          <w:szCs w:val="24"/>
          <w:lang w:val="en-NZ"/>
        </w:rPr>
      </w:pPr>
      <w:r w:rsidRPr="00E502C3">
        <w:rPr>
          <w:b/>
          <w:bCs/>
          <w:sz w:val="24"/>
          <w:szCs w:val="24"/>
          <w:lang w:val="en-NZ"/>
        </w:rPr>
        <w:t>Riparian</w:t>
      </w:r>
      <w:r w:rsidRPr="00D91268">
        <w:rPr>
          <w:sz w:val="24"/>
          <w:szCs w:val="24"/>
          <w:lang w:val="en-NZ"/>
        </w:rPr>
        <w:t xml:space="preserve"> </w:t>
      </w:r>
      <w:r w:rsidR="00E523D5">
        <w:rPr>
          <w:sz w:val="24"/>
          <w:szCs w:val="24"/>
          <w:lang w:val="en-NZ"/>
        </w:rPr>
        <w:t>–</w:t>
      </w:r>
      <w:r w:rsidRPr="00D91268">
        <w:rPr>
          <w:sz w:val="24"/>
          <w:szCs w:val="24"/>
          <w:lang w:val="en-NZ"/>
        </w:rPr>
        <w:t xml:space="preserve"> area at the interface between land and a river or stream  </w:t>
      </w:r>
    </w:p>
    <w:p w14:paraId="2206ADF6" w14:textId="1381B0AF" w:rsidR="00932AB3" w:rsidRPr="00D91268" w:rsidRDefault="00932AB3" w:rsidP="00932AB3">
      <w:pPr>
        <w:rPr>
          <w:sz w:val="24"/>
          <w:szCs w:val="24"/>
          <w:lang w:val="en-NZ"/>
        </w:rPr>
      </w:pPr>
      <w:r w:rsidRPr="00E502C3">
        <w:rPr>
          <w:b/>
          <w:bCs/>
          <w:sz w:val="24"/>
          <w:szCs w:val="24"/>
          <w:lang w:val="en-NZ"/>
        </w:rPr>
        <w:t>Saxitoxin</w:t>
      </w:r>
      <w:r w:rsidRPr="00D91268">
        <w:rPr>
          <w:sz w:val="24"/>
          <w:szCs w:val="24"/>
          <w:lang w:val="en-NZ"/>
        </w:rPr>
        <w:t xml:space="preserve"> </w:t>
      </w:r>
      <w:r w:rsidR="00E523D5">
        <w:rPr>
          <w:sz w:val="24"/>
          <w:szCs w:val="24"/>
          <w:lang w:val="en-NZ"/>
        </w:rPr>
        <w:t>–</w:t>
      </w:r>
      <w:r w:rsidRPr="00D91268">
        <w:rPr>
          <w:sz w:val="24"/>
          <w:szCs w:val="24"/>
          <w:lang w:val="en-NZ"/>
        </w:rPr>
        <w:t xml:space="preserve"> a neurotoxin produced by cyanobacteria and some marine microalgae. Also known as paralytic shellfish toxin and causes paralytic shellfish poisoning.</w:t>
      </w:r>
    </w:p>
    <w:p w14:paraId="754C8B2F" w14:textId="24DCA04F" w:rsidR="00932AB3" w:rsidRPr="00D91268" w:rsidRDefault="00932AB3" w:rsidP="00932AB3">
      <w:pPr>
        <w:rPr>
          <w:sz w:val="24"/>
          <w:szCs w:val="24"/>
          <w:lang w:val="en-NZ"/>
        </w:rPr>
      </w:pPr>
      <w:r w:rsidRPr="00E502C3">
        <w:rPr>
          <w:b/>
          <w:bCs/>
          <w:sz w:val="24"/>
          <w:szCs w:val="24"/>
          <w:lang w:val="en-NZ"/>
        </w:rPr>
        <w:t>Secondary contact</w:t>
      </w:r>
      <w:r w:rsidRPr="00D91268">
        <w:rPr>
          <w:sz w:val="24"/>
          <w:szCs w:val="24"/>
          <w:lang w:val="en-NZ"/>
        </w:rPr>
        <w:t xml:space="preserve"> </w:t>
      </w:r>
      <w:r w:rsidR="00E523D5">
        <w:rPr>
          <w:sz w:val="24"/>
          <w:szCs w:val="24"/>
          <w:lang w:val="en-NZ"/>
        </w:rPr>
        <w:t>–</w:t>
      </w:r>
      <w:r w:rsidRPr="00D91268">
        <w:rPr>
          <w:sz w:val="24"/>
          <w:szCs w:val="24"/>
          <w:lang w:val="en-NZ"/>
        </w:rPr>
        <w:t xml:space="preserve"> there is direct contact with recreational water, but swallowing water is unlikely.</w:t>
      </w:r>
    </w:p>
    <w:p w14:paraId="14847B98" w14:textId="3397579B" w:rsidR="00932AB3" w:rsidRPr="00D91268" w:rsidRDefault="00932AB3" w:rsidP="00932AB3">
      <w:pPr>
        <w:rPr>
          <w:sz w:val="24"/>
          <w:szCs w:val="24"/>
          <w:lang w:val="en-NZ"/>
        </w:rPr>
      </w:pPr>
      <w:r w:rsidRPr="00E502C3">
        <w:rPr>
          <w:b/>
          <w:bCs/>
          <w:sz w:val="24"/>
          <w:szCs w:val="24"/>
          <w:lang w:val="en-NZ"/>
        </w:rPr>
        <w:t>Secondary metabolite</w:t>
      </w:r>
      <w:r w:rsidRPr="00D91268">
        <w:rPr>
          <w:sz w:val="24"/>
          <w:szCs w:val="24"/>
          <w:lang w:val="en-NZ"/>
        </w:rPr>
        <w:t xml:space="preserve"> </w:t>
      </w:r>
      <w:r w:rsidR="00E523D5">
        <w:rPr>
          <w:sz w:val="24"/>
          <w:szCs w:val="24"/>
          <w:lang w:val="en-NZ"/>
        </w:rPr>
        <w:t>–</w:t>
      </w:r>
      <w:r w:rsidRPr="00D91268">
        <w:rPr>
          <w:sz w:val="24"/>
          <w:szCs w:val="24"/>
          <w:lang w:val="en-NZ"/>
        </w:rPr>
        <w:t xml:space="preserve"> organic compounds that are not directly involved in the primary metabolic pathways of normal cell growth, development, or reproduction.</w:t>
      </w:r>
    </w:p>
    <w:p w14:paraId="398630E3" w14:textId="4CED21CB" w:rsidR="00932AB3" w:rsidRPr="00D91268" w:rsidRDefault="00932AB3" w:rsidP="00932AB3">
      <w:pPr>
        <w:rPr>
          <w:sz w:val="24"/>
          <w:szCs w:val="24"/>
          <w:lang w:val="en-NZ"/>
        </w:rPr>
      </w:pPr>
      <w:r w:rsidRPr="00E502C3">
        <w:rPr>
          <w:b/>
          <w:bCs/>
          <w:sz w:val="24"/>
          <w:szCs w:val="24"/>
          <w:lang w:val="en-NZ"/>
        </w:rPr>
        <w:t xml:space="preserve">Sign </w:t>
      </w:r>
      <w:r w:rsidR="00E523D5">
        <w:rPr>
          <w:sz w:val="24"/>
          <w:szCs w:val="24"/>
          <w:lang w:val="en-NZ"/>
        </w:rPr>
        <w:t>–</w:t>
      </w:r>
      <w:r w:rsidRPr="00D91268">
        <w:rPr>
          <w:sz w:val="24"/>
          <w:szCs w:val="24"/>
          <w:lang w:val="en-NZ"/>
        </w:rPr>
        <w:t xml:space="preserve"> objective evidence of disease observed by a health practitioner.</w:t>
      </w:r>
    </w:p>
    <w:p w14:paraId="6C0E56EB" w14:textId="0752FE33" w:rsidR="00932AB3" w:rsidRPr="00D91268" w:rsidRDefault="00932AB3" w:rsidP="00932AB3">
      <w:pPr>
        <w:rPr>
          <w:sz w:val="24"/>
          <w:szCs w:val="24"/>
          <w:lang w:val="en-NZ"/>
        </w:rPr>
      </w:pPr>
      <w:r w:rsidRPr="00E502C3">
        <w:rPr>
          <w:b/>
          <w:bCs/>
          <w:sz w:val="24"/>
          <w:szCs w:val="24"/>
          <w:lang w:val="en-NZ"/>
        </w:rPr>
        <w:t>Species</w:t>
      </w:r>
      <w:r w:rsidRPr="00D91268">
        <w:rPr>
          <w:sz w:val="24"/>
          <w:szCs w:val="24"/>
          <w:lang w:val="en-NZ"/>
        </w:rPr>
        <w:t xml:space="preserve"> </w:t>
      </w:r>
      <w:r w:rsidR="00E523D5">
        <w:rPr>
          <w:sz w:val="24"/>
          <w:szCs w:val="24"/>
          <w:lang w:val="en-NZ"/>
        </w:rPr>
        <w:t>–</w:t>
      </w:r>
      <w:r w:rsidRPr="00D91268">
        <w:rPr>
          <w:sz w:val="24"/>
          <w:szCs w:val="24"/>
          <w:lang w:val="en-NZ"/>
        </w:rPr>
        <w:t xml:space="preserve"> basic unit of classification and a taxonomic rank of an organism, as well as a unit of biodiversity.</w:t>
      </w:r>
    </w:p>
    <w:p w14:paraId="7D296922" w14:textId="2ABDE932" w:rsidR="00932AB3" w:rsidRPr="00D91268" w:rsidRDefault="00932AB3" w:rsidP="00932AB3">
      <w:pPr>
        <w:rPr>
          <w:sz w:val="24"/>
          <w:szCs w:val="24"/>
          <w:lang w:val="en-NZ"/>
        </w:rPr>
      </w:pPr>
      <w:r w:rsidRPr="00E502C3">
        <w:rPr>
          <w:b/>
          <w:bCs/>
          <w:sz w:val="24"/>
          <w:szCs w:val="24"/>
          <w:lang w:val="en-NZ"/>
        </w:rPr>
        <w:t>Strain</w:t>
      </w:r>
      <w:r w:rsidRPr="00D91268">
        <w:rPr>
          <w:sz w:val="24"/>
          <w:szCs w:val="24"/>
          <w:lang w:val="en-NZ"/>
        </w:rPr>
        <w:t xml:space="preserve"> </w:t>
      </w:r>
      <w:r w:rsidR="00E523D5">
        <w:rPr>
          <w:sz w:val="24"/>
          <w:szCs w:val="24"/>
          <w:lang w:val="en-NZ"/>
        </w:rPr>
        <w:t>–</w:t>
      </w:r>
      <w:r w:rsidRPr="00D91268">
        <w:rPr>
          <w:sz w:val="24"/>
          <w:szCs w:val="24"/>
          <w:lang w:val="en-NZ"/>
        </w:rPr>
        <w:t xml:space="preserve"> a genetic variant, a subtype or a culture within a biological species. Substrate </w:t>
      </w:r>
      <w:r w:rsidR="00A37356">
        <w:rPr>
          <w:sz w:val="24"/>
          <w:szCs w:val="24"/>
          <w:lang w:val="en-NZ"/>
        </w:rPr>
        <w:t>–</w:t>
      </w:r>
      <w:r w:rsidRPr="00D91268">
        <w:rPr>
          <w:sz w:val="24"/>
          <w:szCs w:val="24"/>
          <w:lang w:val="en-NZ"/>
        </w:rPr>
        <w:t xml:space="preserve"> the surface on which an organism (e</w:t>
      </w:r>
      <w:r w:rsidR="00FE3DDD">
        <w:rPr>
          <w:sz w:val="24"/>
          <w:szCs w:val="24"/>
          <w:lang w:val="en-NZ"/>
        </w:rPr>
        <w:t>.</w:t>
      </w:r>
      <w:r w:rsidRPr="00D91268">
        <w:rPr>
          <w:sz w:val="24"/>
          <w:szCs w:val="24"/>
          <w:lang w:val="en-NZ"/>
        </w:rPr>
        <w:t>g</w:t>
      </w:r>
      <w:r w:rsidR="00FE3DDD">
        <w:rPr>
          <w:sz w:val="24"/>
          <w:szCs w:val="24"/>
          <w:lang w:val="en-NZ"/>
        </w:rPr>
        <w:t>.,</w:t>
      </w:r>
      <w:r w:rsidRPr="00D91268">
        <w:rPr>
          <w:sz w:val="24"/>
          <w:szCs w:val="24"/>
          <w:lang w:val="en-NZ"/>
        </w:rPr>
        <w:t xml:space="preserve"> plant, fungus, or animal) lives Symptom </w:t>
      </w:r>
      <w:r w:rsidR="00A37356">
        <w:rPr>
          <w:sz w:val="24"/>
          <w:szCs w:val="24"/>
          <w:lang w:val="en-NZ"/>
        </w:rPr>
        <w:t>–</w:t>
      </w:r>
      <w:r w:rsidRPr="00D91268">
        <w:rPr>
          <w:sz w:val="24"/>
          <w:szCs w:val="24"/>
          <w:lang w:val="en-NZ"/>
        </w:rPr>
        <w:t xml:space="preserve"> a subjective report by a patient that may indicate illness </w:t>
      </w:r>
      <w:r w:rsidR="00A37356">
        <w:rPr>
          <w:sz w:val="24"/>
          <w:szCs w:val="24"/>
          <w:lang w:val="en-NZ"/>
        </w:rPr>
        <w:t xml:space="preserve">or </w:t>
      </w:r>
      <w:r w:rsidRPr="00D91268">
        <w:rPr>
          <w:sz w:val="24"/>
          <w:szCs w:val="24"/>
          <w:lang w:val="en-NZ"/>
        </w:rPr>
        <w:t>disease.</w:t>
      </w:r>
    </w:p>
    <w:p w14:paraId="38B32F9E" w14:textId="36A97E8A" w:rsidR="00932AB3" w:rsidRPr="00D91268" w:rsidRDefault="00932AB3" w:rsidP="00932AB3">
      <w:pPr>
        <w:rPr>
          <w:sz w:val="24"/>
          <w:szCs w:val="24"/>
          <w:lang w:val="en-NZ"/>
        </w:rPr>
      </w:pPr>
      <w:r w:rsidRPr="00E502C3">
        <w:rPr>
          <w:b/>
          <w:bCs/>
          <w:sz w:val="24"/>
          <w:szCs w:val="24"/>
          <w:lang w:val="en-NZ"/>
        </w:rPr>
        <w:t>Tolerable daily intake (TDI)</w:t>
      </w:r>
      <w:r w:rsidRPr="00D91268">
        <w:rPr>
          <w:sz w:val="24"/>
          <w:szCs w:val="24"/>
          <w:lang w:val="en-NZ"/>
        </w:rPr>
        <w:t xml:space="preserve"> </w:t>
      </w:r>
      <w:r w:rsidR="00E523D5">
        <w:rPr>
          <w:sz w:val="24"/>
          <w:szCs w:val="24"/>
          <w:lang w:val="en-NZ"/>
        </w:rPr>
        <w:t>–</w:t>
      </w:r>
      <w:r w:rsidRPr="00D91268">
        <w:rPr>
          <w:sz w:val="24"/>
          <w:szCs w:val="24"/>
          <w:lang w:val="en-NZ"/>
        </w:rPr>
        <w:t xml:space="preserve"> the daily amount of a substance that has been estimated as safe for human health on long-term basis.</w:t>
      </w:r>
    </w:p>
    <w:p w14:paraId="4D369A63" w14:textId="79A71443" w:rsidR="00932AB3" w:rsidRPr="00D91268" w:rsidRDefault="00932AB3" w:rsidP="00932AB3">
      <w:pPr>
        <w:rPr>
          <w:sz w:val="24"/>
          <w:szCs w:val="24"/>
          <w:lang w:val="en-NZ"/>
        </w:rPr>
      </w:pPr>
      <w:r w:rsidRPr="00E502C3">
        <w:rPr>
          <w:b/>
          <w:bCs/>
          <w:sz w:val="24"/>
          <w:szCs w:val="24"/>
          <w:lang w:val="en-NZ"/>
        </w:rPr>
        <w:t>Toxic</w:t>
      </w:r>
      <w:r w:rsidRPr="00D91268">
        <w:rPr>
          <w:sz w:val="24"/>
          <w:szCs w:val="24"/>
          <w:lang w:val="en-NZ"/>
        </w:rPr>
        <w:t xml:space="preserve"> </w:t>
      </w:r>
      <w:r w:rsidR="00E523D5">
        <w:rPr>
          <w:sz w:val="24"/>
          <w:szCs w:val="24"/>
          <w:lang w:val="en-NZ"/>
        </w:rPr>
        <w:t>–</w:t>
      </w:r>
      <w:r w:rsidRPr="00D91268">
        <w:rPr>
          <w:sz w:val="24"/>
          <w:szCs w:val="24"/>
          <w:lang w:val="en-NZ"/>
        </w:rPr>
        <w:t xml:space="preserve"> poisonous.</w:t>
      </w:r>
    </w:p>
    <w:p w14:paraId="42CDA793" w14:textId="444F6087" w:rsidR="00932AB3" w:rsidRPr="00D91268" w:rsidRDefault="00932AB3" w:rsidP="00932AB3">
      <w:pPr>
        <w:rPr>
          <w:sz w:val="24"/>
          <w:szCs w:val="24"/>
          <w:lang w:val="en-NZ"/>
        </w:rPr>
      </w:pPr>
      <w:r w:rsidRPr="00E502C3">
        <w:rPr>
          <w:b/>
          <w:bCs/>
          <w:sz w:val="24"/>
          <w:szCs w:val="24"/>
          <w:lang w:val="en-NZ"/>
        </w:rPr>
        <w:t>Toxicity</w:t>
      </w:r>
      <w:r w:rsidRPr="00D91268">
        <w:rPr>
          <w:sz w:val="24"/>
          <w:szCs w:val="24"/>
          <w:lang w:val="en-NZ"/>
        </w:rPr>
        <w:t xml:space="preserve"> </w:t>
      </w:r>
      <w:r w:rsidR="00E523D5">
        <w:rPr>
          <w:sz w:val="24"/>
          <w:szCs w:val="24"/>
          <w:lang w:val="en-NZ"/>
        </w:rPr>
        <w:t>–</w:t>
      </w:r>
      <w:r w:rsidRPr="00D91268">
        <w:rPr>
          <w:sz w:val="24"/>
          <w:szCs w:val="24"/>
          <w:lang w:val="en-NZ"/>
        </w:rPr>
        <w:t xml:space="preserve"> the degree to which a chemical substance or a particular mixture of substances can damage an organism.</w:t>
      </w:r>
    </w:p>
    <w:p w14:paraId="5E7785BC" w14:textId="4E65B1B7" w:rsidR="006B4004" w:rsidRPr="00D91268" w:rsidRDefault="00932AB3" w:rsidP="00CC17A1">
      <w:pPr>
        <w:rPr>
          <w:sz w:val="24"/>
          <w:szCs w:val="24"/>
          <w:lang w:val="en-NZ"/>
        </w:rPr>
      </w:pPr>
      <w:r w:rsidRPr="00E502C3">
        <w:rPr>
          <w:b/>
          <w:bCs/>
          <w:sz w:val="24"/>
          <w:szCs w:val="24"/>
          <w:lang w:val="en-NZ"/>
        </w:rPr>
        <w:t xml:space="preserve">Toxigenic </w:t>
      </w:r>
      <w:r w:rsidR="00E523D5">
        <w:rPr>
          <w:sz w:val="24"/>
          <w:szCs w:val="24"/>
          <w:lang w:val="en-NZ"/>
        </w:rPr>
        <w:t>–</w:t>
      </w:r>
      <w:r w:rsidR="003C1905" w:rsidRPr="003C1905">
        <w:rPr>
          <w:sz w:val="24"/>
          <w:szCs w:val="24"/>
          <w:lang w:val="en-NZ"/>
        </w:rPr>
        <w:t xml:space="preserve"> </w:t>
      </w:r>
      <w:r w:rsidRPr="00D91268">
        <w:rPr>
          <w:sz w:val="24"/>
          <w:szCs w:val="24"/>
          <w:lang w:val="en-NZ"/>
        </w:rPr>
        <w:t>toxin-producing.</w:t>
      </w:r>
      <w:r w:rsidR="00CC17A1" w:rsidRPr="00D91268">
        <w:rPr>
          <w:sz w:val="24"/>
          <w:szCs w:val="24"/>
          <w:lang w:val="en-NZ"/>
        </w:rPr>
        <w:t xml:space="preserve"> </w:t>
      </w:r>
    </w:p>
    <w:p w14:paraId="35C2D5EB" w14:textId="77777777" w:rsidR="006B4004" w:rsidRPr="00CC0F9B" w:rsidRDefault="006B4004">
      <w:pPr>
        <w:rPr>
          <w:lang w:val="en-NZ"/>
        </w:rPr>
      </w:pPr>
      <w:r w:rsidRPr="00CC0F9B">
        <w:rPr>
          <w:lang w:val="en-NZ"/>
        </w:rPr>
        <w:br w:type="page"/>
      </w:r>
    </w:p>
    <w:p w14:paraId="28816D76" w14:textId="4533E5F5" w:rsidR="00932AB3" w:rsidRPr="002E5353" w:rsidRDefault="006B4004" w:rsidP="006B4004">
      <w:pPr>
        <w:pStyle w:val="Heading1"/>
        <w:spacing w:line="240" w:lineRule="auto"/>
        <w:rPr>
          <w:sz w:val="44"/>
          <w:szCs w:val="44"/>
          <w:lang w:val="en-NZ"/>
        </w:rPr>
      </w:pPr>
      <w:bookmarkStart w:id="46" w:name="_Appendix_A:_Environmental"/>
      <w:bookmarkStart w:id="47" w:name="_Toc181101794"/>
      <w:bookmarkEnd w:id="46"/>
      <w:r w:rsidRPr="002E5353">
        <w:rPr>
          <w:sz w:val="44"/>
          <w:szCs w:val="44"/>
          <w:lang w:val="en-NZ"/>
        </w:rPr>
        <w:lastRenderedPageBreak/>
        <w:t>Appendix A:</w:t>
      </w:r>
      <w:r w:rsidR="00F04907" w:rsidRPr="002E5353">
        <w:rPr>
          <w:sz w:val="44"/>
          <w:szCs w:val="44"/>
          <w:lang w:val="en-NZ"/>
        </w:rPr>
        <w:t xml:space="preserve"> </w:t>
      </w:r>
      <w:r w:rsidR="00FE3DDD" w:rsidRPr="002E5353">
        <w:rPr>
          <w:sz w:val="44"/>
          <w:szCs w:val="44"/>
          <w:lang w:val="en-NZ"/>
        </w:rPr>
        <w:t>E</w:t>
      </w:r>
      <w:r w:rsidRPr="002E5353">
        <w:rPr>
          <w:sz w:val="44"/>
          <w:szCs w:val="44"/>
          <w:lang w:val="en-NZ"/>
        </w:rPr>
        <w:t>nvironmental</w:t>
      </w:r>
      <w:r w:rsidR="00F04907" w:rsidRPr="002E5353">
        <w:rPr>
          <w:sz w:val="44"/>
          <w:szCs w:val="44"/>
          <w:lang w:val="en-NZ"/>
        </w:rPr>
        <w:t xml:space="preserve"> </w:t>
      </w:r>
      <w:r w:rsidR="001A0A2F" w:rsidRPr="002E5353">
        <w:rPr>
          <w:sz w:val="44"/>
          <w:szCs w:val="44"/>
          <w:lang w:val="en-NZ"/>
        </w:rPr>
        <w:t>c</w:t>
      </w:r>
      <w:r w:rsidRPr="002E5353">
        <w:rPr>
          <w:sz w:val="44"/>
          <w:szCs w:val="44"/>
          <w:lang w:val="en-NZ"/>
        </w:rPr>
        <w:t xml:space="preserve">ase </w:t>
      </w:r>
      <w:r w:rsidR="001A0A2F" w:rsidRPr="002E5353">
        <w:rPr>
          <w:sz w:val="44"/>
          <w:szCs w:val="44"/>
          <w:lang w:val="en-NZ"/>
        </w:rPr>
        <w:t>m</w:t>
      </w:r>
      <w:r w:rsidRPr="002E5353">
        <w:rPr>
          <w:sz w:val="44"/>
          <w:szCs w:val="44"/>
          <w:lang w:val="en-NZ"/>
        </w:rPr>
        <w:t xml:space="preserve">anagement </w:t>
      </w:r>
      <w:r w:rsidR="00F37087" w:rsidRPr="002E5353">
        <w:rPr>
          <w:sz w:val="44"/>
          <w:szCs w:val="44"/>
          <w:lang w:val="en-NZ"/>
        </w:rPr>
        <w:t>r</w:t>
      </w:r>
      <w:r w:rsidRPr="002E5353">
        <w:rPr>
          <w:sz w:val="44"/>
          <w:szCs w:val="44"/>
          <w:lang w:val="en-NZ"/>
        </w:rPr>
        <w:t xml:space="preserve">eport </w:t>
      </w:r>
      <w:r w:rsidR="00EC7022" w:rsidRPr="002E5353">
        <w:rPr>
          <w:sz w:val="44"/>
          <w:szCs w:val="44"/>
          <w:lang w:val="en-NZ"/>
        </w:rPr>
        <w:t>f</w:t>
      </w:r>
      <w:r w:rsidRPr="002E5353">
        <w:rPr>
          <w:sz w:val="44"/>
          <w:szCs w:val="44"/>
          <w:lang w:val="en-NZ"/>
        </w:rPr>
        <w:t>orm</w:t>
      </w:r>
      <w:bookmarkEnd w:id="47"/>
      <w:r w:rsidRPr="002E5353">
        <w:rPr>
          <w:sz w:val="44"/>
          <w:szCs w:val="44"/>
          <w:lang w:val="en-NZ"/>
        </w:rPr>
        <w:t xml:space="preserve"> </w:t>
      </w:r>
    </w:p>
    <w:p w14:paraId="52FC24EE" w14:textId="77777777" w:rsidR="000A25E6" w:rsidRDefault="000A25E6" w:rsidP="00932AB3">
      <w:pPr>
        <w:rPr>
          <w:sz w:val="24"/>
          <w:szCs w:val="24"/>
          <w:lang w:val="en-NZ"/>
        </w:rPr>
      </w:pPr>
    </w:p>
    <w:p w14:paraId="6B75A644" w14:textId="27CCDB2C" w:rsidR="00932AB3" w:rsidRPr="005D7BA3" w:rsidRDefault="00932AB3" w:rsidP="00932AB3">
      <w:pPr>
        <w:rPr>
          <w:sz w:val="24"/>
          <w:szCs w:val="24"/>
          <w:lang w:val="en-NZ"/>
        </w:rPr>
      </w:pPr>
      <w:r w:rsidRPr="005D7BA3">
        <w:rPr>
          <w:sz w:val="24"/>
          <w:szCs w:val="24"/>
          <w:lang w:val="en-NZ"/>
        </w:rPr>
        <w:t>This is an example case investigation report form that can used for reporting exposure to harmful algal blooms in recreational water as chemical poisoning of the environment to HSDIRT.</w:t>
      </w:r>
    </w:p>
    <w:p w14:paraId="1B785D0A" w14:textId="47AC1778" w:rsidR="00932AB3" w:rsidRPr="005D7BA3" w:rsidRDefault="00932AB3" w:rsidP="00932AB3">
      <w:pPr>
        <w:rPr>
          <w:sz w:val="24"/>
          <w:szCs w:val="24"/>
          <w:lang w:val="en-NZ"/>
        </w:rPr>
      </w:pPr>
      <w:r w:rsidRPr="005D7BA3">
        <w:rPr>
          <w:sz w:val="24"/>
          <w:szCs w:val="24"/>
          <w:lang w:val="en-NZ"/>
        </w:rPr>
        <w:t>At the start of the interview introduce yourself, explain why you are contacting the person, relevant privacy policies</w:t>
      </w:r>
      <w:r w:rsidR="0068684B">
        <w:rPr>
          <w:sz w:val="24"/>
          <w:szCs w:val="24"/>
          <w:lang w:val="en-NZ"/>
        </w:rPr>
        <w:t>,</w:t>
      </w:r>
      <w:r w:rsidRPr="005D7BA3">
        <w:rPr>
          <w:sz w:val="24"/>
          <w:szCs w:val="24"/>
          <w:lang w:val="en-NZ"/>
        </w:rPr>
        <w:t xml:space="preserve"> and identify if the person has any accessibility needs.</w:t>
      </w:r>
    </w:p>
    <w:p w14:paraId="5FE96252" w14:textId="77777777" w:rsidR="00932AB3" w:rsidRPr="00CC0F9B" w:rsidRDefault="00932AB3" w:rsidP="00496185">
      <w:pPr>
        <w:pStyle w:val="Heading3"/>
        <w:rPr>
          <w:rFonts w:ascii="Arial" w:hAnsi="Arial" w:cs="Arial"/>
          <w:lang w:val="en-NZ"/>
        </w:rPr>
      </w:pPr>
      <w:r w:rsidRPr="00CC0F9B">
        <w:rPr>
          <w:rFonts w:ascii="Arial" w:hAnsi="Arial" w:cs="Arial"/>
          <w:lang w:val="en-NZ"/>
        </w:rPr>
        <w:t>A.1</w:t>
      </w:r>
      <w:r w:rsidRPr="00CC0F9B">
        <w:rPr>
          <w:rFonts w:ascii="Arial" w:hAnsi="Arial" w:cs="Arial"/>
          <w:lang w:val="en-NZ"/>
        </w:rPr>
        <w:tab/>
        <w:t>Case investigator details</w:t>
      </w:r>
    </w:p>
    <w:p w14:paraId="4DE8A8F0" w14:textId="6AA49C88" w:rsidR="00932AB3" w:rsidRPr="005D7BA3" w:rsidRDefault="0068684B" w:rsidP="00932AB3">
      <w:pPr>
        <w:rPr>
          <w:sz w:val="24"/>
          <w:szCs w:val="24"/>
          <w:lang w:val="en-NZ"/>
        </w:rPr>
      </w:pPr>
      <w:r>
        <w:rPr>
          <w:sz w:val="24"/>
          <w:szCs w:val="24"/>
          <w:lang w:val="en-NZ"/>
        </w:rPr>
        <w:t>Local NPHS office</w:t>
      </w:r>
      <w:r w:rsidR="00932AB3" w:rsidRPr="005D7BA3">
        <w:rPr>
          <w:sz w:val="24"/>
          <w:szCs w:val="24"/>
          <w:lang w:val="en-NZ"/>
        </w:rPr>
        <w:t xml:space="preserve"> responsible for case investigation: </w:t>
      </w:r>
    </w:p>
    <w:p w14:paraId="176DC486" w14:textId="02E95EDB" w:rsidR="00932AB3" w:rsidRPr="005D7BA3" w:rsidRDefault="00932AB3" w:rsidP="00932AB3">
      <w:pPr>
        <w:rPr>
          <w:sz w:val="24"/>
          <w:szCs w:val="24"/>
          <w:lang w:val="en-NZ"/>
        </w:rPr>
      </w:pPr>
      <w:r w:rsidRPr="005D7BA3">
        <w:rPr>
          <w:sz w:val="24"/>
          <w:szCs w:val="24"/>
          <w:lang w:val="en-NZ"/>
        </w:rPr>
        <w:t>Name of case investigator:</w:t>
      </w:r>
    </w:p>
    <w:p w14:paraId="5D5DDDD8" w14:textId="4C819380" w:rsidR="00CC17A1" w:rsidRPr="005D7BA3" w:rsidRDefault="00932AB3" w:rsidP="00932AB3">
      <w:pPr>
        <w:rPr>
          <w:sz w:val="24"/>
          <w:szCs w:val="24"/>
          <w:lang w:val="en-NZ"/>
        </w:rPr>
      </w:pPr>
      <w:r w:rsidRPr="005D7BA3">
        <w:rPr>
          <w:sz w:val="24"/>
          <w:szCs w:val="24"/>
          <w:lang w:val="en-NZ"/>
        </w:rPr>
        <w:t>Date of investigation:</w:t>
      </w:r>
    </w:p>
    <w:p w14:paraId="236A9FCF" w14:textId="77777777" w:rsidR="00141B9B" w:rsidRPr="00CC0F9B" w:rsidRDefault="00141B9B" w:rsidP="00932AB3">
      <w:pPr>
        <w:rPr>
          <w:lang w:val="en-NZ"/>
        </w:rPr>
      </w:pPr>
    </w:p>
    <w:tbl>
      <w:tblPr>
        <w:tblW w:w="0" w:type="auto"/>
        <w:tblLayout w:type="fixed"/>
        <w:tblCellMar>
          <w:left w:w="0" w:type="dxa"/>
          <w:right w:w="0" w:type="dxa"/>
        </w:tblCellMar>
        <w:tblLook w:val="01E0" w:firstRow="1" w:lastRow="1" w:firstColumn="1" w:lastColumn="1" w:noHBand="0" w:noVBand="0"/>
      </w:tblPr>
      <w:tblGrid>
        <w:gridCol w:w="2977"/>
        <w:gridCol w:w="3260"/>
        <w:gridCol w:w="1651"/>
        <w:gridCol w:w="334"/>
      </w:tblGrid>
      <w:tr w:rsidR="00932AB3" w:rsidRPr="00CC0F9B" w14:paraId="2F4A981B" w14:textId="77777777" w:rsidTr="004C74EB">
        <w:trPr>
          <w:gridAfter w:val="1"/>
          <w:wAfter w:w="334" w:type="dxa"/>
          <w:trHeight w:val="309"/>
        </w:trPr>
        <w:tc>
          <w:tcPr>
            <w:tcW w:w="7888" w:type="dxa"/>
            <w:gridSpan w:val="3"/>
          </w:tcPr>
          <w:p w14:paraId="5FD952CE" w14:textId="3A61647F" w:rsidR="00932AB3" w:rsidRPr="00CC0F9B" w:rsidRDefault="00932AB3" w:rsidP="00496185">
            <w:pPr>
              <w:pStyle w:val="Heading3"/>
              <w:rPr>
                <w:rFonts w:ascii="Arial" w:hAnsi="Arial" w:cs="Arial"/>
                <w:lang w:val="en-NZ"/>
              </w:rPr>
            </w:pPr>
            <w:r w:rsidRPr="00CC0F9B">
              <w:rPr>
                <w:rFonts w:ascii="Arial" w:hAnsi="Arial" w:cs="Arial"/>
                <w:lang w:val="en-NZ"/>
              </w:rPr>
              <w:t>A.2</w:t>
            </w:r>
            <w:r w:rsidRPr="00CC0F9B">
              <w:rPr>
                <w:rFonts w:ascii="Arial" w:hAnsi="Arial" w:cs="Arial"/>
                <w:lang w:val="en-NZ"/>
              </w:rPr>
              <w:tab/>
              <w:t>Notifier</w:t>
            </w:r>
            <w:r w:rsidRPr="00CC0F9B">
              <w:rPr>
                <w:rFonts w:ascii="Arial" w:hAnsi="Arial" w:cs="Arial"/>
                <w:spacing w:val="-2"/>
                <w:lang w:val="en-NZ"/>
              </w:rPr>
              <w:t xml:space="preserve"> </w:t>
            </w:r>
            <w:r w:rsidRPr="00CC0F9B">
              <w:rPr>
                <w:rFonts w:ascii="Arial" w:hAnsi="Arial" w:cs="Arial"/>
                <w:lang w:val="en-NZ"/>
              </w:rPr>
              <w:t>details</w:t>
            </w:r>
          </w:p>
        </w:tc>
      </w:tr>
      <w:tr w:rsidR="00AF7522" w:rsidRPr="005D7BA3" w14:paraId="0EA9F994" w14:textId="77777777" w:rsidTr="004C74EB">
        <w:trPr>
          <w:trHeight w:val="462"/>
        </w:trPr>
        <w:tc>
          <w:tcPr>
            <w:tcW w:w="8222" w:type="dxa"/>
            <w:gridSpan w:val="4"/>
          </w:tcPr>
          <w:p w14:paraId="1558E731" w14:textId="3E454D41" w:rsidR="00AF7522" w:rsidRPr="005D7BA3" w:rsidRDefault="004C74EB" w:rsidP="00AF7522">
            <w:pPr>
              <w:pStyle w:val="TableParagraph"/>
              <w:rPr>
                <w:sz w:val="24"/>
                <w:szCs w:val="24"/>
              </w:rPr>
            </w:pPr>
            <w:r>
              <w:rPr>
                <w:sz w:val="24"/>
                <w:szCs w:val="24"/>
              </w:rPr>
              <w:t xml:space="preserve"> </w:t>
            </w:r>
            <w:r w:rsidR="00AF7522" w:rsidRPr="005D7BA3">
              <w:rPr>
                <w:sz w:val="24"/>
                <w:szCs w:val="24"/>
              </w:rPr>
              <w:t>Referrer / reporting source:</w:t>
            </w:r>
          </w:p>
        </w:tc>
      </w:tr>
      <w:tr w:rsidR="00AF7522" w:rsidRPr="005D7BA3" w14:paraId="30866631" w14:textId="77777777" w:rsidTr="004C74EB">
        <w:trPr>
          <w:trHeight w:val="540"/>
        </w:trPr>
        <w:tc>
          <w:tcPr>
            <w:tcW w:w="2977" w:type="dxa"/>
          </w:tcPr>
          <w:p w14:paraId="2D931D01" w14:textId="753BE392" w:rsidR="00AF7522" w:rsidRPr="005D7BA3" w:rsidRDefault="00AF7522" w:rsidP="00AF7522">
            <w:pPr>
              <w:pStyle w:val="TableParagraph"/>
              <w:spacing w:before="56"/>
              <w:ind w:left="50"/>
              <w:rPr>
                <w:sz w:val="24"/>
                <w:szCs w:val="24"/>
              </w:rPr>
            </w:pPr>
            <w:r w:rsidRPr="005D7BA3">
              <w:rPr>
                <w:sz w:val="24"/>
                <w:szCs w:val="24"/>
              </w:rPr>
              <w:t xml:space="preserve">General Practitioner </w:t>
            </w:r>
            <w:r w:rsidRPr="005D7BA3">
              <w:rPr>
                <w:rFonts w:ascii="Segoe UI Symbol" w:hAnsi="Segoe UI Symbol" w:cs="Segoe UI Symbol"/>
                <w:sz w:val="24"/>
                <w:szCs w:val="24"/>
              </w:rPr>
              <w:t>☐</w:t>
            </w:r>
          </w:p>
        </w:tc>
        <w:tc>
          <w:tcPr>
            <w:tcW w:w="3260" w:type="dxa"/>
          </w:tcPr>
          <w:p w14:paraId="7FCC750B" w14:textId="3A7E6EEB" w:rsidR="00AF7522" w:rsidRPr="005D7BA3" w:rsidRDefault="00AF7522" w:rsidP="00AF7522">
            <w:pPr>
              <w:pStyle w:val="TableParagraph"/>
              <w:spacing w:before="56"/>
              <w:ind w:left="50"/>
              <w:rPr>
                <w:sz w:val="24"/>
                <w:szCs w:val="24"/>
              </w:rPr>
            </w:pPr>
            <w:r w:rsidRPr="005D7BA3">
              <w:rPr>
                <w:sz w:val="24"/>
                <w:szCs w:val="24"/>
              </w:rPr>
              <w:t xml:space="preserve">Hospital based practitioner </w:t>
            </w:r>
            <w:r w:rsidRPr="005D7BA3">
              <w:rPr>
                <w:rFonts w:ascii="Segoe UI Symbol" w:hAnsi="Segoe UI Symbol" w:cs="Segoe UI Symbol"/>
                <w:sz w:val="24"/>
                <w:szCs w:val="24"/>
              </w:rPr>
              <w:t>☐</w:t>
            </w:r>
          </w:p>
        </w:tc>
        <w:tc>
          <w:tcPr>
            <w:tcW w:w="1985" w:type="dxa"/>
            <w:gridSpan w:val="2"/>
          </w:tcPr>
          <w:p w14:paraId="61B32459" w14:textId="71161C1E" w:rsidR="00AF7522" w:rsidRPr="005D7BA3" w:rsidRDefault="00AF7522" w:rsidP="00AF7522">
            <w:pPr>
              <w:pStyle w:val="TableParagraph"/>
              <w:spacing w:before="56"/>
              <w:ind w:left="50"/>
              <w:rPr>
                <w:sz w:val="24"/>
                <w:szCs w:val="24"/>
              </w:rPr>
            </w:pPr>
            <w:r w:rsidRPr="005D7BA3">
              <w:rPr>
                <w:sz w:val="24"/>
                <w:szCs w:val="24"/>
              </w:rPr>
              <w:t xml:space="preserve">Laboratory </w:t>
            </w:r>
            <w:r w:rsidRPr="005D7BA3">
              <w:rPr>
                <w:rFonts w:ascii="Segoe UI Symbol" w:hAnsi="Segoe UI Symbol" w:cs="Segoe UI Symbol"/>
                <w:sz w:val="24"/>
                <w:szCs w:val="24"/>
              </w:rPr>
              <w:t>☐</w:t>
            </w:r>
          </w:p>
        </w:tc>
      </w:tr>
      <w:tr w:rsidR="00932AB3" w:rsidRPr="005D7BA3" w14:paraId="1E66989F" w14:textId="77777777" w:rsidTr="004C74EB">
        <w:trPr>
          <w:trHeight w:val="869"/>
        </w:trPr>
        <w:tc>
          <w:tcPr>
            <w:tcW w:w="2977" w:type="dxa"/>
          </w:tcPr>
          <w:p w14:paraId="29D84DC7" w14:textId="77777777" w:rsidR="00932AB3" w:rsidRPr="005D7BA3" w:rsidRDefault="00932AB3" w:rsidP="00483D97">
            <w:pPr>
              <w:pStyle w:val="TableParagraph"/>
              <w:spacing w:before="81"/>
              <w:ind w:left="50"/>
              <w:rPr>
                <w:sz w:val="24"/>
                <w:szCs w:val="24"/>
              </w:rPr>
            </w:pPr>
            <w:r w:rsidRPr="005D7BA3">
              <w:rPr>
                <w:sz w:val="24"/>
                <w:szCs w:val="24"/>
              </w:rPr>
              <w:t xml:space="preserve">Self-notification </w:t>
            </w:r>
            <w:r w:rsidRPr="005D7BA3">
              <w:rPr>
                <w:rFonts w:ascii="Segoe UI Symbol" w:hAnsi="Segoe UI Symbol" w:cs="Segoe UI Symbol"/>
                <w:sz w:val="24"/>
                <w:szCs w:val="24"/>
              </w:rPr>
              <w:t>☐</w:t>
            </w:r>
          </w:p>
          <w:p w14:paraId="6A2C88CF" w14:textId="032EC878" w:rsidR="00932AB3" w:rsidRPr="005D7BA3" w:rsidRDefault="00932AB3" w:rsidP="00483D97">
            <w:pPr>
              <w:pStyle w:val="TableParagraph"/>
              <w:spacing w:before="158"/>
              <w:ind w:left="50"/>
              <w:rPr>
                <w:sz w:val="24"/>
                <w:szCs w:val="24"/>
              </w:rPr>
            </w:pPr>
          </w:p>
        </w:tc>
        <w:tc>
          <w:tcPr>
            <w:tcW w:w="3260" w:type="dxa"/>
          </w:tcPr>
          <w:p w14:paraId="49894BE9" w14:textId="77777777" w:rsidR="00932AB3" w:rsidRPr="005D7BA3" w:rsidRDefault="00932AB3" w:rsidP="00483D97">
            <w:pPr>
              <w:pStyle w:val="TableParagraph"/>
              <w:spacing w:before="81"/>
              <w:ind w:left="119"/>
              <w:rPr>
                <w:sz w:val="24"/>
                <w:szCs w:val="24"/>
              </w:rPr>
            </w:pPr>
            <w:r w:rsidRPr="005D7BA3">
              <w:rPr>
                <w:sz w:val="24"/>
                <w:szCs w:val="24"/>
              </w:rPr>
              <w:t xml:space="preserve">Outbreak investigation </w:t>
            </w:r>
            <w:r w:rsidRPr="005D7BA3">
              <w:rPr>
                <w:rFonts w:ascii="Segoe UI Symbol" w:hAnsi="Segoe UI Symbol" w:cs="Segoe UI Symbol"/>
                <w:sz w:val="24"/>
                <w:szCs w:val="24"/>
              </w:rPr>
              <w:t>☐</w:t>
            </w:r>
          </w:p>
        </w:tc>
        <w:tc>
          <w:tcPr>
            <w:tcW w:w="1985" w:type="dxa"/>
            <w:gridSpan w:val="2"/>
          </w:tcPr>
          <w:p w14:paraId="3331F3E6" w14:textId="77777777" w:rsidR="00932AB3" w:rsidRPr="005D7BA3" w:rsidRDefault="00932AB3" w:rsidP="00483D97">
            <w:pPr>
              <w:pStyle w:val="TableParagraph"/>
              <w:spacing w:before="81"/>
              <w:ind w:left="369"/>
              <w:rPr>
                <w:sz w:val="24"/>
                <w:szCs w:val="24"/>
              </w:rPr>
            </w:pPr>
            <w:r w:rsidRPr="005D7BA3">
              <w:rPr>
                <w:sz w:val="24"/>
                <w:szCs w:val="24"/>
              </w:rPr>
              <w:t xml:space="preserve">Other </w:t>
            </w:r>
            <w:r w:rsidRPr="005D7BA3">
              <w:rPr>
                <w:rFonts w:ascii="Segoe UI Symbol" w:hAnsi="Segoe UI Symbol" w:cs="Segoe UI Symbol"/>
                <w:sz w:val="24"/>
                <w:szCs w:val="24"/>
              </w:rPr>
              <w:t>☐</w:t>
            </w:r>
          </w:p>
        </w:tc>
      </w:tr>
      <w:tr w:rsidR="004C74EB" w:rsidRPr="005D7BA3" w14:paraId="6353B3E3" w14:textId="77777777" w:rsidTr="004C74EB">
        <w:trPr>
          <w:trHeight w:val="533"/>
        </w:trPr>
        <w:tc>
          <w:tcPr>
            <w:tcW w:w="8222" w:type="dxa"/>
            <w:gridSpan w:val="4"/>
          </w:tcPr>
          <w:p w14:paraId="1233ABD5" w14:textId="34CD6635" w:rsidR="004C74EB" w:rsidRPr="005D7BA3" w:rsidRDefault="004C74EB" w:rsidP="00BD7E7F">
            <w:pPr>
              <w:pStyle w:val="TableParagraph"/>
              <w:spacing w:before="81"/>
              <w:rPr>
                <w:sz w:val="24"/>
                <w:szCs w:val="24"/>
              </w:rPr>
            </w:pPr>
            <w:r w:rsidRPr="005D7BA3">
              <w:rPr>
                <w:sz w:val="24"/>
                <w:szCs w:val="24"/>
              </w:rPr>
              <w:t>Name of reporting source:</w:t>
            </w:r>
          </w:p>
        </w:tc>
      </w:tr>
      <w:tr w:rsidR="00932AB3" w:rsidRPr="005D7BA3" w14:paraId="76610E2E" w14:textId="77777777" w:rsidTr="004C74EB">
        <w:trPr>
          <w:trHeight w:val="414"/>
        </w:trPr>
        <w:tc>
          <w:tcPr>
            <w:tcW w:w="2977" w:type="dxa"/>
          </w:tcPr>
          <w:p w14:paraId="60F9CBF9" w14:textId="77777777" w:rsidR="00932AB3" w:rsidRPr="005D7BA3" w:rsidRDefault="00932AB3" w:rsidP="00483D97">
            <w:pPr>
              <w:pStyle w:val="TableParagraph"/>
              <w:spacing w:before="77"/>
              <w:ind w:left="50"/>
              <w:rPr>
                <w:sz w:val="24"/>
                <w:szCs w:val="24"/>
              </w:rPr>
            </w:pPr>
            <w:r w:rsidRPr="005D7BA3">
              <w:rPr>
                <w:sz w:val="24"/>
                <w:szCs w:val="24"/>
              </w:rPr>
              <w:t>Contact phone:</w:t>
            </w:r>
          </w:p>
        </w:tc>
        <w:tc>
          <w:tcPr>
            <w:tcW w:w="5245" w:type="dxa"/>
            <w:gridSpan w:val="3"/>
            <w:vMerge w:val="restart"/>
          </w:tcPr>
          <w:p w14:paraId="6A1302D8" w14:textId="77777777" w:rsidR="00932AB3" w:rsidRPr="005D7BA3" w:rsidRDefault="00932AB3" w:rsidP="00483D97">
            <w:pPr>
              <w:pStyle w:val="TableParagraph"/>
              <w:rPr>
                <w:sz w:val="24"/>
                <w:szCs w:val="24"/>
              </w:rPr>
            </w:pPr>
          </w:p>
        </w:tc>
      </w:tr>
      <w:tr w:rsidR="00932AB3" w:rsidRPr="005D7BA3" w14:paraId="1966FA51" w14:textId="77777777" w:rsidTr="004C74EB">
        <w:trPr>
          <w:trHeight w:val="412"/>
        </w:trPr>
        <w:tc>
          <w:tcPr>
            <w:tcW w:w="2977" w:type="dxa"/>
          </w:tcPr>
          <w:p w14:paraId="0469E244" w14:textId="77777777" w:rsidR="00932AB3" w:rsidRPr="005D7BA3" w:rsidRDefault="00932AB3" w:rsidP="00483D97">
            <w:pPr>
              <w:pStyle w:val="TableParagraph"/>
              <w:spacing w:before="76"/>
              <w:ind w:left="50"/>
              <w:rPr>
                <w:sz w:val="24"/>
                <w:szCs w:val="24"/>
              </w:rPr>
            </w:pPr>
            <w:r w:rsidRPr="005D7BA3">
              <w:rPr>
                <w:sz w:val="24"/>
                <w:szCs w:val="24"/>
              </w:rPr>
              <w:t>Date reported:</w:t>
            </w:r>
          </w:p>
        </w:tc>
        <w:tc>
          <w:tcPr>
            <w:tcW w:w="5245" w:type="dxa"/>
            <w:gridSpan w:val="3"/>
            <w:vMerge/>
          </w:tcPr>
          <w:p w14:paraId="6D19FF60" w14:textId="77777777" w:rsidR="00932AB3" w:rsidRPr="005D7BA3" w:rsidRDefault="00932AB3" w:rsidP="00483D97">
            <w:pPr>
              <w:rPr>
                <w:sz w:val="24"/>
                <w:szCs w:val="24"/>
                <w:lang w:val="en-NZ"/>
              </w:rPr>
            </w:pPr>
          </w:p>
        </w:tc>
      </w:tr>
      <w:tr w:rsidR="00932AB3" w:rsidRPr="005D7BA3" w14:paraId="1B2B9DF1" w14:textId="77777777" w:rsidTr="004C74EB">
        <w:trPr>
          <w:trHeight w:val="412"/>
        </w:trPr>
        <w:tc>
          <w:tcPr>
            <w:tcW w:w="2977" w:type="dxa"/>
          </w:tcPr>
          <w:p w14:paraId="1E9DB365" w14:textId="77777777" w:rsidR="00932AB3" w:rsidRPr="005D7BA3" w:rsidRDefault="00932AB3" w:rsidP="00483D97">
            <w:pPr>
              <w:pStyle w:val="TableParagraph"/>
              <w:spacing w:before="76"/>
              <w:ind w:left="50"/>
              <w:rPr>
                <w:sz w:val="24"/>
                <w:szCs w:val="24"/>
              </w:rPr>
            </w:pPr>
            <w:r w:rsidRPr="005D7BA3">
              <w:rPr>
                <w:sz w:val="24"/>
                <w:szCs w:val="24"/>
              </w:rPr>
              <w:t>Case’s usual GP:</w:t>
            </w:r>
          </w:p>
        </w:tc>
        <w:tc>
          <w:tcPr>
            <w:tcW w:w="5245" w:type="dxa"/>
            <w:gridSpan w:val="3"/>
            <w:vMerge/>
          </w:tcPr>
          <w:p w14:paraId="22F7E57C" w14:textId="77777777" w:rsidR="00932AB3" w:rsidRPr="005D7BA3" w:rsidRDefault="00932AB3" w:rsidP="00483D97">
            <w:pPr>
              <w:rPr>
                <w:sz w:val="24"/>
                <w:szCs w:val="24"/>
                <w:lang w:val="en-NZ"/>
              </w:rPr>
            </w:pPr>
          </w:p>
        </w:tc>
      </w:tr>
      <w:tr w:rsidR="00932AB3" w:rsidRPr="005D7BA3" w14:paraId="09498DD7" w14:textId="77777777" w:rsidTr="004C74EB">
        <w:trPr>
          <w:trHeight w:val="329"/>
        </w:trPr>
        <w:tc>
          <w:tcPr>
            <w:tcW w:w="2977" w:type="dxa"/>
          </w:tcPr>
          <w:p w14:paraId="7356DC7F" w14:textId="77777777" w:rsidR="00932AB3" w:rsidRPr="005D7BA3" w:rsidRDefault="00932AB3" w:rsidP="00483D97">
            <w:pPr>
              <w:pStyle w:val="TableParagraph"/>
              <w:spacing w:before="76" w:line="233" w:lineRule="exact"/>
              <w:ind w:left="50"/>
              <w:rPr>
                <w:sz w:val="24"/>
                <w:szCs w:val="24"/>
              </w:rPr>
            </w:pPr>
            <w:r w:rsidRPr="005D7BA3">
              <w:rPr>
                <w:sz w:val="24"/>
                <w:szCs w:val="24"/>
              </w:rPr>
              <w:t>GP address:</w:t>
            </w:r>
          </w:p>
        </w:tc>
        <w:tc>
          <w:tcPr>
            <w:tcW w:w="5245" w:type="dxa"/>
            <w:gridSpan w:val="3"/>
            <w:vMerge/>
          </w:tcPr>
          <w:p w14:paraId="6655EBF2" w14:textId="77777777" w:rsidR="00932AB3" w:rsidRPr="005D7BA3" w:rsidRDefault="00932AB3" w:rsidP="00483D97">
            <w:pPr>
              <w:rPr>
                <w:sz w:val="24"/>
                <w:szCs w:val="24"/>
                <w:lang w:val="en-NZ"/>
              </w:rPr>
            </w:pPr>
          </w:p>
        </w:tc>
      </w:tr>
    </w:tbl>
    <w:p w14:paraId="639E9BDD" w14:textId="77777777" w:rsidR="00932AB3" w:rsidRPr="00CC0F9B" w:rsidRDefault="00932AB3" w:rsidP="00932AB3">
      <w:pPr>
        <w:rPr>
          <w:lang w:val="en-NZ"/>
        </w:rPr>
      </w:pPr>
    </w:p>
    <w:p w14:paraId="56CE5582" w14:textId="77777777" w:rsidR="00932AB3" w:rsidRPr="00CC0F9B" w:rsidRDefault="00932AB3" w:rsidP="00496185">
      <w:pPr>
        <w:pStyle w:val="Heading3"/>
        <w:rPr>
          <w:rFonts w:ascii="Arial" w:hAnsi="Arial" w:cs="Arial"/>
          <w:lang w:val="en-NZ"/>
        </w:rPr>
      </w:pPr>
      <w:r w:rsidRPr="00CC0F9B">
        <w:rPr>
          <w:rFonts w:ascii="Arial" w:hAnsi="Arial" w:cs="Arial"/>
          <w:lang w:val="en-NZ"/>
        </w:rPr>
        <w:t>A.3</w:t>
      </w:r>
      <w:r w:rsidRPr="00CC0F9B">
        <w:rPr>
          <w:rFonts w:ascii="Arial" w:hAnsi="Arial" w:cs="Arial"/>
          <w:lang w:val="en-NZ"/>
        </w:rPr>
        <w:tab/>
        <w:t>Case demographic information</w:t>
      </w:r>
    </w:p>
    <w:p w14:paraId="44B34F77" w14:textId="77777777" w:rsidR="00932AB3" w:rsidRPr="005D7BA3" w:rsidRDefault="00932AB3" w:rsidP="00932AB3">
      <w:pPr>
        <w:rPr>
          <w:sz w:val="24"/>
          <w:szCs w:val="24"/>
          <w:lang w:val="en-NZ"/>
        </w:rPr>
      </w:pPr>
      <w:r w:rsidRPr="005D7BA3">
        <w:rPr>
          <w:sz w:val="24"/>
          <w:szCs w:val="24"/>
          <w:lang w:val="en-NZ"/>
        </w:rPr>
        <w:t>Name of case:</w:t>
      </w:r>
    </w:p>
    <w:p w14:paraId="13EB6519" w14:textId="77777777" w:rsidR="00932AB3" w:rsidRPr="005D7BA3" w:rsidRDefault="00932AB3" w:rsidP="00932AB3">
      <w:pPr>
        <w:rPr>
          <w:sz w:val="24"/>
          <w:szCs w:val="24"/>
          <w:lang w:val="en-NZ"/>
        </w:rPr>
      </w:pPr>
      <w:r w:rsidRPr="005D7BA3">
        <w:rPr>
          <w:sz w:val="24"/>
          <w:szCs w:val="24"/>
          <w:lang w:val="en-NZ"/>
        </w:rPr>
        <w:t xml:space="preserve">If person if younger than 16 years parent / guardian / caregiver: </w:t>
      </w:r>
    </w:p>
    <w:p w14:paraId="2DFC7002" w14:textId="137F40F3" w:rsidR="00932AB3" w:rsidRPr="005D7BA3" w:rsidRDefault="00932AB3" w:rsidP="00932AB3">
      <w:pPr>
        <w:rPr>
          <w:sz w:val="24"/>
          <w:szCs w:val="24"/>
          <w:lang w:val="en-NZ"/>
        </w:rPr>
      </w:pPr>
      <w:r w:rsidRPr="005D7BA3">
        <w:rPr>
          <w:sz w:val="24"/>
          <w:szCs w:val="24"/>
          <w:lang w:val="en-NZ"/>
        </w:rPr>
        <w:t>NHI:</w:t>
      </w:r>
    </w:p>
    <w:p w14:paraId="4861C628" w14:textId="77777777" w:rsidR="00932AB3" w:rsidRPr="005D7BA3" w:rsidRDefault="00932AB3" w:rsidP="00932AB3">
      <w:pPr>
        <w:rPr>
          <w:sz w:val="24"/>
          <w:szCs w:val="24"/>
          <w:lang w:val="en-NZ"/>
        </w:rPr>
      </w:pPr>
      <w:r w:rsidRPr="005D7BA3">
        <w:rPr>
          <w:sz w:val="24"/>
          <w:szCs w:val="24"/>
          <w:lang w:val="en-NZ"/>
        </w:rPr>
        <w:t>Current address:</w:t>
      </w:r>
    </w:p>
    <w:p w14:paraId="69FBC6AB" w14:textId="77777777" w:rsidR="00932AB3" w:rsidRPr="005D7BA3" w:rsidRDefault="00932AB3" w:rsidP="00932AB3">
      <w:pPr>
        <w:rPr>
          <w:sz w:val="24"/>
          <w:szCs w:val="24"/>
          <w:lang w:val="en-NZ"/>
        </w:rPr>
      </w:pPr>
      <w:r w:rsidRPr="005D7BA3">
        <w:rPr>
          <w:sz w:val="24"/>
          <w:szCs w:val="24"/>
          <w:lang w:val="en-NZ"/>
        </w:rPr>
        <w:t>Phone:</w:t>
      </w:r>
    </w:p>
    <w:p w14:paraId="7B017BAA" w14:textId="77777777" w:rsidR="00932AB3" w:rsidRPr="005D7BA3" w:rsidRDefault="00932AB3" w:rsidP="00932AB3">
      <w:pPr>
        <w:rPr>
          <w:sz w:val="24"/>
          <w:szCs w:val="24"/>
          <w:lang w:val="en-NZ"/>
        </w:rPr>
      </w:pPr>
      <w:r w:rsidRPr="005D7BA3">
        <w:rPr>
          <w:sz w:val="24"/>
          <w:szCs w:val="24"/>
          <w:lang w:val="en-NZ"/>
        </w:rPr>
        <w:lastRenderedPageBreak/>
        <w:t>Email:</w:t>
      </w:r>
    </w:p>
    <w:p w14:paraId="02F21808" w14:textId="77777777" w:rsidR="00932AB3" w:rsidRPr="005D7BA3" w:rsidRDefault="00932AB3" w:rsidP="00932AB3">
      <w:pPr>
        <w:rPr>
          <w:sz w:val="24"/>
          <w:szCs w:val="24"/>
          <w:lang w:val="en-NZ"/>
        </w:rPr>
      </w:pPr>
      <w:r w:rsidRPr="005D7BA3">
        <w:rPr>
          <w:sz w:val="24"/>
          <w:szCs w:val="24"/>
          <w:lang w:val="en-NZ"/>
        </w:rPr>
        <w:t>Date of Birth:</w:t>
      </w:r>
    </w:p>
    <w:p w14:paraId="2CCC2FB2" w14:textId="77777777" w:rsidR="00932AB3" w:rsidRPr="005D7BA3" w:rsidRDefault="00932AB3" w:rsidP="00932AB3">
      <w:pPr>
        <w:rPr>
          <w:sz w:val="24"/>
          <w:szCs w:val="24"/>
          <w:lang w:val="en-NZ"/>
        </w:rPr>
      </w:pPr>
      <w:r w:rsidRPr="005D7BA3">
        <w:rPr>
          <w:sz w:val="24"/>
          <w:szCs w:val="24"/>
          <w:lang w:val="en-NZ"/>
        </w:rPr>
        <w:t xml:space="preserve">Gender: Male </w:t>
      </w:r>
      <w:r w:rsidRPr="005D7BA3">
        <w:rPr>
          <w:rFonts w:ascii="Segoe UI Symbol" w:hAnsi="Segoe UI Symbol" w:cs="Segoe UI Symbol"/>
          <w:sz w:val="24"/>
          <w:szCs w:val="24"/>
          <w:lang w:val="en-NZ"/>
        </w:rPr>
        <w:t>☐</w:t>
      </w:r>
      <w:r w:rsidRPr="005D7BA3">
        <w:rPr>
          <w:sz w:val="24"/>
          <w:szCs w:val="24"/>
          <w:lang w:val="en-NZ"/>
        </w:rPr>
        <w:t xml:space="preserve"> Female </w:t>
      </w:r>
      <w:r w:rsidRPr="005D7BA3">
        <w:rPr>
          <w:rFonts w:ascii="Segoe UI Symbol" w:hAnsi="Segoe UI Symbol" w:cs="Segoe UI Symbol"/>
          <w:sz w:val="24"/>
          <w:szCs w:val="24"/>
          <w:lang w:val="en-NZ"/>
        </w:rPr>
        <w:t>☐</w:t>
      </w:r>
      <w:r w:rsidRPr="005D7BA3">
        <w:rPr>
          <w:sz w:val="24"/>
          <w:szCs w:val="24"/>
          <w:lang w:val="en-NZ"/>
        </w:rPr>
        <w:t xml:space="preserve"> Another gender </w:t>
      </w:r>
    </w:p>
    <w:p w14:paraId="328E58E2" w14:textId="48923A1C" w:rsidR="00141B9B" w:rsidRPr="005D7BA3" w:rsidRDefault="00932AB3" w:rsidP="00932AB3">
      <w:pPr>
        <w:rPr>
          <w:sz w:val="24"/>
          <w:szCs w:val="24"/>
          <w:lang w:val="en-NZ"/>
        </w:rPr>
      </w:pPr>
      <w:r w:rsidRPr="005D7BA3">
        <w:rPr>
          <w:sz w:val="24"/>
          <w:szCs w:val="24"/>
          <w:lang w:val="en-NZ"/>
        </w:rPr>
        <w:t>Occupation:</w:t>
      </w:r>
    </w:p>
    <w:p w14:paraId="737DF747" w14:textId="77777777" w:rsidR="00932AB3" w:rsidRPr="005D7BA3" w:rsidRDefault="00932AB3" w:rsidP="00932AB3">
      <w:pPr>
        <w:rPr>
          <w:sz w:val="24"/>
          <w:szCs w:val="24"/>
          <w:lang w:val="en-NZ"/>
        </w:rPr>
      </w:pPr>
      <w:r w:rsidRPr="005D7BA3">
        <w:rPr>
          <w:sz w:val="24"/>
          <w:szCs w:val="24"/>
          <w:lang w:val="en-NZ"/>
        </w:rPr>
        <w:t>Ethnic groups the case belongs to? (Tick all that apply)</w:t>
      </w:r>
    </w:p>
    <w:p w14:paraId="428446B8" w14:textId="7FFD3EF6" w:rsidR="00932AB3" w:rsidRPr="005D7BA3" w:rsidRDefault="00932AB3" w:rsidP="00932AB3">
      <w:pPr>
        <w:rPr>
          <w:sz w:val="24"/>
          <w:szCs w:val="24"/>
          <w:lang w:val="en-NZ"/>
        </w:rPr>
      </w:pPr>
      <w:r w:rsidRPr="005D7BA3">
        <w:rPr>
          <w:sz w:val="24"/>
          <w:szCs w:val="24"/>
          <w:lang w:val="en-NZ"/>
        </w:rPr>
        <w:t xml:space="preserve">Follow the </w:t>
      </w:r>
      <w:hyperlink r:id="rId15" w:history="1">
        <w:r w:rsidRPr="005D7BA3">
          <w:rPr>
            <w:rStyle w:val="Hyperlink"/>
            <w:sz w:val="24"/>
            <w:szCs w:val="24"/>
            <w:lang w:val="en-NZ"/>
          </w:rPr>
          <w:t>Ethnicity Data Protocols</w:t>
        </w:r>
      </w:hyperlink>
      <w:r w:rsidRPr="005D7BA3">
        <w:rPr>
          <w:sz w:val="24"/>
          <w:szCs w:val="24"/>
          <w:lang w:val="en-NZ"/>
        </w:rPr>
        <w:t xml:space="preserve"> by saying “I am going to read out a list of ethnic groups. Can you tell me which ethnic group or groups you belong to?” Read out each of the categories and wait for a yes/no answer to each. When an answer is given, the interviewer continues asking the rest of the list until it is completed.</w:t>
      </w:r>
    </w:p>
    <w:p w14:paraId="6799D848"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New Zealand European</w:t>
      </w:r>
    </w:p>
    <w:p w14:paraId="140B4163"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Māori</w:t>
      </w:r>
    </w:p>
    <w:p w14:paraId="0ED836C7"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Samoan</w:t>
      </w:r>
    </w:p>
    <w:p w14:paraId="17BA3288"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Cook Island Māori</w:t>
      </w:r>
    </w:p>
    <w:p w14:paraId="5D3154C2"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Tongan</w:t>
      </w:r>
    </w:p>
    <w:p w14:paraId="488D9003"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Niuean</w:t>
      </w:r>
    </w:p>
    <w:p w14:paraId="79DA8E64"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Chinese</w:t>
      </w:r>
    </w:p>
    <w:p w14:paraId="50958139" w14:textId="77777777" w:rsidR="00932AB3"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Indian</w:t>
      </w:r>
    </w:p>
    <w:p w14:paraId="5B47FFA2" w14:textId="128B3AF5" w:rsidR="00141B9B" w:rsidRPr="005D7BA3" w:rsidRDefault="00932AB3" w:rsidP="00932AB3">
      <w:pPr>
        <w:rPr>
          <w:sz w:val="24"/>
          <w:szCs w:val="24"/>
          <w:lang w:val="en-NZ"/>
        </w:rPr>
      </w:pPr>
      <w:r w:rsidRPr="005D7BA3">
        <w:rPr>
          <w:rFonts w:ascii="Segoe UI Symbol" w:hAnsi="Segoe UI Symbol" w:cs="Segoe UI Symbol"/>
          <w:sz w:val="24"/>
          <w:szCs w:val="24"/>
          <w:lang w:val="en-NZ"/>
        </w:rPr>
        <w:t>☐</w:t>
      </w:r>
      <w:r w:rsidRPr="005D7BA3">
        <w:rPr>
          <w:sz w:val="24"/>
          <w:szCs w:val="24"/>
          <w:lang w:val="en-NZ"/>
        </w:rPr>
        <w:tab/>
        <w:t>Other e.g., Dutch, Japanese, Tokelauan, please state:</w:t>
      </w:r>
    </w:p>
    <w:p w14:paraId="4A3AD0F2" w14:textId="77777777" w:rsidR="001A74A2" w:rsidRDefault="001A74A2" w:rsidP="0048013C">
      <w:pPr>
        <w:rPr>
          <w:lang w:val="en-NZ"/>
        </w:rPr>
      </w:pPr>
    </w:p>
    <w:p w14:paraId="0E540722" w14:textId="30F88CB5" w:rsidR="00666811" w:rsidRPr="00CC0F9B" w:rsidRDefault="00666811" w:rsidP="00496185">
      <w:pPr>
        <w:pStyle w:val="Heading3"/>
        <w:rPr>
          <w:rFonts w:ascii="Arial" w:hAnsi="Arial" w:cs="Arial"/>
          <w:lang w:val="en-NZ"/>
        </w:rPr>
      </w:pPr>
      <w:r w:rsidRPr="00CC0F9B">
        <w:rPr>
          <w:rFonts w:ascii="Arial" w:hAnsi="Arial" w:cs="Arial"/>
          <w:lang w:val="en-NZ"/>
        </w:rPr>
        <w:t>A.4</w:t>
      </w:r>
      <w:r w:rsidRPr="00CC0F9B">
        <w:rPr>
          <w:rFonts w:ascii="Arial" w:hAnsi="Arial" w:cs="Arial"/>
          <w:lang w:val="en-NZ"/>
        </w:rPr>
        <w:tab/>
        <w:t>Exposure event history</w:t>
      </w:r>
    </w:p>
    <w:p w14:paraId="48A266F0" w14:textId="77777777" w:rsidR="00666811" w:rsidRPr="005D7BA3" w:rsidRDefault="00666811" w:rsidP="00666811">
      <w:pPr>
        <w:rPr>
          <w:sz w:val="24"/>
          <w:szCs w:val="24"/>
          <w:lang w:val="en-NZ"/>
        </w:rPr>
      </w:pPr>
      <w:r w:rsidRPr="005D7BA3">
        <w:rPr>
          <w:sz w:val="24"/>
          <w:szCs w:val="24"/>
          <w:lang w:val="en-NZ"/>
        </w:rPr>
        <w:t>Date of recreational water exposure:</w:t>
      </w:r>
    </w:p>
    <w:p w14:paraId="4FA559B2" w14:textId="77777777" w:rsidR="00666811" w:rsidRPr="005D7BA3" w:rsidRDefault="00666811" w:rsidP="00666811">
      <w:pPr>
        <w:rPr>
          <w:sz w:val="24"/>
          <w:szCs w:val="24"/>
          <w:lang w:val="en-NZ"/>
        </w:rPr>
      </w:pPr>
      <w:r w:rsidRPr="005D7BA3">
        <w:rPr>
          <w:sz w:val="24"/>
          <w:szCs w:val="24"/>
          <w:lang w:val="en-NZ"/>
        </w:rPr>
        <w:t xml:space="preserve">Repeated exposures: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if yes, specify </w:t>
      </w:r>
    </w:p>
    <w:p w14:paraId="575B0762" w14:textId="77777777" w:rsidR="00666811" w:rsidRPr="005D7BA3" w:rsidRDefault="00666811" w:rsidP="00666811">
      <w:pPr>
        <w:rPr>
          <w:sz w:val="24"/>
          <w:szCs w:val="24"/>
          <w:lang w:val="en-NZ"/>
        </w:rPr>
      </w:pPr>
      <w:r w:rsidRPr="005D7BA3">
        <w:rPr>
          <w:sz w:val="24"/>
          <w:szCs w:val="24"/>
          <w:lang w:val="en-NZ"/>
        </w:rPr>
        <w:t xml:space="preserve">Other recent recreational water exposures: </w:t>
      </w:r>
    </w:p>
    <w:p w14:paraId="1953D8E3" w14:textId="156ED12A" w:rsidR="00666811" w:rsidRPr="005D7BA3" w:rsidRDefault="00666811" w:rsidP="00666811">
      <w:pPr>
        <w:rPr>
          <w:sz w:val="24"/>
          <w:szCs w:val="24"/>
          <w:lang w:val="en-NZ"/>
        </w:rPr>
      </w:pPr>
      <w:r w:rsidRPr="005D7BA3">
        <w:rPr>
          <w:sz w:val="24"/>
          <w:szCs w:val="24"/>
          <w:lang w:val="en-NZ"/>
        </w:rPr>
        <w:t>Detailed location of exposure:</w:t>
      </w:r>
    </w:p>
    <w:p w14:paraId="0D041124" w14:textId="77777777" w:rsidR="00666811" w:rsidRPr="005D7BA3" w:rsidRDefault="00666811" w:rsidP="00666811">
      <w:pPr>
        <w:rPr>
          <w:sz w:val="24"/>
          <w:szCs w:val="24"/>
          <w:lang w:val="en-NZ"/>
        </w:rPr>
      </w:pPr>
      <w:r w:rsidRPr="005D7BA3">
        <w:rPr>
          <w:sz w:val="24"/>
          <w:szCs w:val="24"/>
          <w:lang w:val="en-NZ"/>
        </w:rPr>
        <w:t xml:space="preserve">Exposure route: Ingestion </w:t>
      </w:r>
      <w:r w:rsidRPr="005D7BA3">
        <w:rPr>
          <w:rFonts w:ascii="Segoe UI Symbol" w:hAnsi="Segoe UI Symbol" w:cs="Segoe UI Symbol"/>
          <w:sz w:val="24"/>
          <w:szCs w:val="24"/>
          <w:lang w:val="en-NZ"/>
        </w:rPr>
        <w:t>☐</w:t>
      </w:r>
      <w:r w:rsidRPr="005D7BA3">
        <w:rPr>
          <w:sz w:val="24"/>
          <w:szCs w:val="24"/>
          <w:lang w:val="en-NZ"/>
        </w:rPr>
        <w:t xml:space="preserve"> Inhalation </w:t>
      </w:r>
      <w:r w:rsidRPr="005D7BA3">
        <w:rPr>
          <w:rFonts w:ascii="Segoe UI Symbol" w:hAnsi="Segoe UI Symbol" w:cs="Segoe UI Symbol"/>
          <w:sz w:val="24"/>
          <w:szCs w:val="24"/>
          <w:lang w:val="en-NZ"/>
        </w:rPr>
        <w:t>☐</w:t>
      </w:r>
      <w:r w:rsidRPr="005D7BA3">
        <w:rPr>
          <w:sz w:val="24"/>
          <w:szCs w:val="24"/>
          <w:lang w:val="en-NZ"/>
        </w:rPr>
        <w:t xml:space="preserve"> Skin contact </w:t>
      </w:r>
      <w:r w:rsidRPr="005D7BA3">
        <w:rPr>
          <w:rFonts w:ascii="Segoe UI Symbol" w:hAnsi="Segoe UI Symbol" w:cs="Segoe UI Symbol"/>
          <w:sz w:val="24"/>
          <w:szCs w:val="24"/>
          <w:lang w:val="en-NZ"/>
        </w:rPr>
        <w:t>☐</w:t>
      </w:r>
      <w:r w:rsidRPr="005D7BA3">
        <w:rPr>
          <w:sz w:val="24"/>
          <w:szCs w:val="24"/>
          <w:lang w:val="en-NZ"/>
        </w:rPr>
        <w:t xml:space="preserve"> Eye contact </w:t>
      </w:r>
      <w:r w:rsidRPr="005D7BA3">
        <w:rPr>
          <w:rFonts w:ascii="Segoe UI Symbol" w:hAnsi="Segoe UI Symbol" w:cs="Segoe UI Symbol"/>
          <w:sz w:val="24"/>
          <w:szCs w:val="24"/>
          <w:lang w:val="en-NZ"/>
        </w:rPr>
        <w:t>☐</w:t>
      </w:r>
      <w:r w:rsidRPr="005D7BA3">
        <w:rPr>
          <w:sz w:val="24"/>
          <w:szCs w:val="24"/>
          <w:lang w:val="en-NZ"/>
        </w:rPr>
        <w:t xml:space="preserve"> (tick all that apply) </w:t>
      </w:r>
    </w:p>
    <w:p w14:paraId="40B42BD2" w14:textId="5A370D3F" w:rsidR="00666811" w:rsidRPr="005D7BA3" w:rsidRDefault="00666811" w:rsidP="00666811">
      <w:pPr>
        <w:rPr>
          <w:sz w:val="24"/>
          <w:szCs w:val="24"/>
          <w:lang w:val="en-NZ"/>
        </w:rPr>
      </w:pPr>
      <w:r w:rsidRPr="005D7BA3">
        <w:rPr>
          <w:sz w:val="24"/>
          <w:szCs w:val="24"/>
          <w:lang w:val="en-NZ"/>
        </w:rPr>
        <w:t>Exposure duration:</w:t>
      </w:r>
    </w:p>
    <w:p w14:paraId="5B01E956" w14:textId="77777777" w:rsidR="00666811" w:rsidRPr="005D7BA3" w:rsidRDefault="00666811" w:rsidP="00666811">
      <w:pPr>
        <w:rPr>
          <w:sz w:val="24"/>
          <w:szCs w:val="24"/>
          <w:lang w:val="en-NZ"/>
        </w:rPr>
      </w:pPr>
      <w:r w:rsidRPr="005D7BA3">
        <w:rPr>
          <w:sz w:val="24"/>
          <w:szCs w:val="24"/>
          <w:lang w:val="en-NZ"/>
        </w:rPr>
        <w:t xml:space="preserve">Did the exposure occur at work: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p>
    <w:p w14:paraId="73615E1B" w14:textId="77777777" w:rsidR="00666811" w:rsidRPr="005D7BA3" w:rsidRDefault="00666811" w:rsidP="00666811">
      <w:pPr>
        <w:rPr>
          <w:sz w:val="24"/>
          <w:szCs w:val="24"/>
          <w:lang w:val="en-NZ"/>
        </w:rPr>
      </w:pPr>
      <w:r w:rsidRPr="005D7BA3">
        <w:rPr>
          <w:sz w:val="24"/>
          <w:szCs w:val="24"/>
          <w:lang w:val="en-NZ"/>
        </w:rPr>
        <w:t xml:space="preserve">Was the exposure intentional? Unintentional </w:t>
      </w:r>
      <w:r w:rsidRPr="005D7BA3">
        <w:rPr>
          <w:rFonts w:ascii="Segoe UI Symbol" w:hAnsi="Segoe UI Symbol" w:cs="Segoe UI Symbol"/>
          <w:sz w:val="24"/>
          <w:szCs w:val="24"/>
          <w:lang w:val="en-NZ"/>
        </w:rPr>
        <w:t>☐</w:t>
      </w:r>
      <w:r w:rsidRPr="005D7BA3">
        <w:rPr>
          <w:sz w:val="24"/>
          <w:szCs w:val="24"/>
          <w:lang w:val="en-NZ"/>
        </w:rPr>
        <w:t xml:space="preserve"> Intentional </w:t>
      </w:r>
      <w:r w:rsidRPr="005D7BA3">
        <w:rPr>
          <w:rFonts w:ascii="Segoe UI Symbol" w:hAnsi="Segoe UI Symbol" w:cs="Segoe UI Symbol"/>
          <w:sz w:val="24"/>
          <w:szCs w:val="24"/>
          <w:lang w:val="en-NZ"/>
        </w:rPr>
        <w:t>☐</w:t>
      </w:r>
      <w:r w:rsidRPr="005D7BA3">
        <w:rPr>
          <w:sz w:val="24"/>
          <w:szCs w:val="24"/>
          <w:lang w:val="en-NZ"/>
        </w:rPr>
        <w:t xml:space="preserve"> Unknown </w:t>
      </w:r>
      <w:r w:rsidRPr="005D7BA3">
        <w:rPr>
          <w:rFonts w:ascii="Segoe UI Symbol" w:hAnsi="Segoe UI Symbol" w:cs="Segoe UI Symbol"/>
          <w:sz w:val="24"/>
          <w:szCs w:val="24"/>
          <w:lang w:val="en-NZ"/>
        </w:rPr>
        <w:t>☐</w:t>
      </w:r>
    </w:p>
    <w:p w14:paraId="79643827" w14:textId="114E84CA" w:rsidR="00666811" w:rsidRPr="005D7BA3" w:rsidRDefault="00666811" w:rsidP="00666811">
      <w:pPr>
        <w:rPr>
          <w:sz w:val="24"/>
          <w:szCs w:val="24"/>
          <w:lang w:val="en-NZ"/>
        </w:rPr>
      </w:pPr>
      <w:r w:rsidRPr="005D7BA3">
        <w:rPr>
          <w:sz w:val="24"/>
          <w:szCs w:val="24"/>
          <w:lang w:val="en-NZ"/>
        </w:rPr>
        <w:t>Activity: (eg, boating, fishing, swimming)</w:t>
      </w:r>
    </w:p>
    <w:p w14:paraId="5D5360D8" w14:textId="77777777" w:rsidR="0027736C" w:rsidRDefault="0027736C" w:rsidP="00666811">
      <w:pPr>
        <w:rPr>
          <w:sz w:val="24"/>
          <w:szCs w:val="24"/>
          <w:lang w:val="en-NZ"/>
        </w:rPr>
      </w:pPr>
    </w:p>
    <w:p w14:paraId="2CF2018C" w14:textId="77777777" w:rsidR="0027736C" w:rsidRDefault="0027736C" w:rsidP="00666811">
      <w:pPr>
        <w:rPr>
          <w:sz w:val="24"/>
          <w:szCs w:val="24"/>
          <w:lang w:val="en-NZ"/>
        </w:rPr>
      </w:pPr>
    </w:p>
    <w:p w14:paraId="14CB243C" w14:textId="143E1681" w:rsidR="00666811" w:rsidRPr="005D7BA3" w:rsidRDefault="00666811" w:rsidP="00666811">
      <w:pPr>
        <w:rPr>
          <w:sz w:val="24"/>
          <w:szCs w:val="24"/>
          <w:lang w:val="en-NZ"/>
        </w:rPr>
      </w:pPr>
      <w:r w:rsidRPr="005D7BA3">
        <w:rPr>
          <w:sz w:val="24"/>
          <w:szCs w:val="24"/>
          <w:lang w:val="en-NZ"/>
        </w:rPr>
        <w:t>Exposure intensity (how much contact did the case have with recreational water):</w:t>
      </w:r>
    </w:p>
    <w:p w14:paraId="5039D335" w14:textId="01537068"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No water contact (</w:t>
      </w:r>
      <w:r w:rsidR="00443D04">
        <w:rPr>
          <w:sz w:val="24"/>
          <w:szCs w:val="24"/>
          <w:lang w:val="en-NZ"/>
        </w:rPr>
        <w:t xml:space="preserve">eg, </w:t>
      </w:r>
      <w:r w:rsidRPr="005D7BA3">
        <w:rPr>
          <w:sz w:val="24"/>
          <w:szCs w:val="24"/>
          <w:lang w:val="en-NZ"/>
        </w:rPr>
        <w:t xml:space="preserve">stayed on bank of river) </w:t>
      </w:r>
      <w:r w:rsidRPr="005D7BA3">
        <w:rPr>
          <w:rFonts w:ascii="Segoe UI Symbol" w:hAnsi="Segoe UI Symbol" w:cs="Segoe UI Symbol"/>
          <w:sz w:val="24"/>
          <w:szCs w:val="24"/>
          <w:lang w:val="en-NZ"/>
        </w:rPr>
        <w:t>☐</w:t>
      </w:r>
    </w:p>
    <w:p w14:paraId="5568880C" w14:textId="6C4CB41A"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Splash / spray (water on hands / feet / head) </w:t>
      </w:r>
      <w:r w:rsidRPr="005D7BA3">
        <w:rPr>
          <w:rFonts w:ascii="Segoe UI Symbol" w:hAnsi="Segoe UI Symbol" w:cs="Segoe UI Symbol"/>
          <w:sz w:val="24"/>
          <w:szCs w:val="24"/>
          <w:lang w:val="en-NZ"/>
        </w:rPr>
        <w:t>☐</w:t>
      </w:r>
    </w:p>
    <w:p w14:paraId="26380E80" w14:textId="3786BADD"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Full emersion </w:t>
      </w:r>
      <w:r w:rsidRPr="005D7BA3">
        <w:rPr>
          <w:rFonts w:ascii="Segoe UI Symbol" w:hAnsi="Segoe UI Symbol" w:cs="Segoe UI Symbol"/>
          <w:sz w:val="24"/>
          <w:szCs w:val="24"/>
          <w:lang w:val="en-NZ"/>
        </w:rPr>
        <w:t>☐</w:t>
      </w:r>
    </w:p>
    <w:p w14:paraId="4F910BAE" w14:textId="53CC6356"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Partial emersion (not head) </w:t>
      </w:r>
      <w:r w:rsidRPr="005D7BA3">
        <w:rPr>
          <w:rFonts w:ascii="Segoe UI Symbol" w:hAnsi="Segoe UI Symbol" w:cs="Segoe UI Symbol"/>
          <w:sz w:val="24"/>
          <w:szCs w:val="24"/>
          <w:lang w:val="en-NZ"/>
        </w:rPr>
        <w:t>☐</w:t>
      </w:r>
    </w:p>
    <w:p w14:paraId="1302375E" w14:textId="654BDEBD" w:rsidR="00141B9B"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Consumed food gathered from exposure site, e.g., trout, shortfin eel, kākahi (freshwater mussels) or kai moana (eg, shellfish) </w:t>
      </w:r>
      <w:r w:rsidRPr="005D7BA3">
        <w:rPr>
          <w:rFonts w:ascii="Segoe UI Symbol" w:hAnsi="Segoe UI Symbol" w:cs="Segoe UI Symbol"/>
          <w:sz w:val="24"/>
          <w:szCs w:val="24"/>
          <w:lang w:val="en-NZ"/>
        </w:rPr>
        <w:t>☐</w:t>
      </w:r>
    </w:p>
    <w:p w14:paraId="54297018" w14:textId="44C656A5" w:rsidR="00666811" w:rsidRPr="005D7BA3" w:rsidRDefault="00666811" w:rsidP="00666811">
      <w:pPr>
        <w:rPr>
          <w:sz w:val="24"/>
          <w:szCs w:val="24"/>
          <w:lang w:val="en-NZ"/>
        </w:rPr>
      </w:pPr>
      <w:r w:rsidRPr="005D7BA3">
        <w:rPr>
          <w:sz w:val="24"/>
          <w:szCs w:val="24"/>
          <w:lang w:val="en-NZ"/>
        </w:rPr>
        <w:t>Clothing worn during exposure: (eg, wetsuit, swimming costume, gloves, waders, normal clothes)</w:t>
      </w:r>
    </w:p>
    <w:p w14:paraId="54BE2C26" w14:textId="78FCB1EA" w:rsidR="00666811" w:rsidRPr="005D7BA3" w:rsidRDefault="00666811" w:rsidP="00666811">
      <w:pPr>
        <w:rPr>
          <w:sz w:val="24"/>
          <w:szCs w:val="24"/>
          <w:lang w:val="en-NZ"/>
        </w:rPr>
      </w:pPr>
      <w:r w:rsidRPr="005D7BA3">
        <w:rPr>
          <w:sz w:val="24"/>
          <w:szCs w:val="24"/>
          <w:lang w:val="en-NZ"/>
        </w:rPr>
        <w:t xml:space="preserve">Decontamination processes: (eg, </w:t>
      </w:r>
      <w:r w:rsidR="00A24AD0">
        <w:rPr>
          <w:sz w:val="24"/>
          <w:szCs w:val="24"/>
          <w:lang w:val="en-NZ"/>
        </w:rPr>
        <w:t>d</w:t>
      </w:r>
      <w:r w:rsidRPr="005D7BA3">
        <w:rPr>
          <w:sz w:val="24"/>
          <w:szCs w:val="24"/>
          <w:lang w:val="en-NZ"/>
        </w:rPr>
        <w:t>id they rinse their skin and activity gear with clean/non contaminated water afterwards?)</w:t>
      </w:r>
    </w:p>
    <w:p w14:paraId="1EB08912" w14:textId="77777777" w:rsidR="00666811" w:rsidRPr="005D7BA3" w:rsidRDefault="00666811" w:rsidP="00666811">
      <w:pPr>
        <w:rPr>
          <w:sz w:val="24"/>
          <w:szCs w:val="24"/>
          <w:lang w:val="en-NZ"/>
        </w:rPr>
      </w:pPr>
      <w:r w:rsidRPr="005D7BA3">
        <w:rPr>
          <w:sz w:val="24"/>
          <w:szCs w:val="24"/>
          <w:lang w:val="en-NZ"/>
        </w:rPr>
        <w:t>Visual signs of water contamination at time of exposure reported by case: (attach any photos)</w:t>
      </w:r>
    </w:p>
    <w:p w14:paraId="75873427" w14:textId="192531FE"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Surface scum </w:t>
      </w:r>
      <w:r w:rsidRPr="005D7BA3">
        <w:rPr>
          <w:rFonts w:ascii="Segoe UI Symbol" w:hAnsi="Segoe UI Symbol" w:cs="Segoe UI Symbol"/>
          <w:sz w:val="24"/>
          <w:szCs w:val="24"/>
          <w:lang w:val="en-NZ"/>
        </w:rPr>
        <w:t>☐</w:t>
      </w:r>
    </w:p>
    <w:p w14:paraId="5EE8BA58" w14:textId="3A0C29EC"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Algal mats on shore </w:t>
      </w:r>
      <w:r w:rsidRPr="005D7BA3">
        <w:rPr>
          <w:rFonts w:ascii="Segoe UI Symbol" w:hAnsi="Segoe UI Symbol" w:cs="Segoe UI Symbol"/>
          <w:sz w:val="24"/>
          <w:szCs w:val="24"/>
          <w:lang w:val="en-NZ"/>
        </w:rPr>
        <w:t>☐</w:t>
      </w:r>
    </w:p>
    <w:p w14:paraId="2141BDAD" w14:textId="5949951A"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Discoloured water </w:t>
      </w:r>
      <w:r w:rsidRPr="005D7BA3">
        <w:rPr>
          <w:rFonts w:ascii="Segoe UI Symbol" w:hAnsi="Segoe UI Symbol" w:cs="Segoe UI Symbol"/>
          <w:sz w:val="24"/>
          <w:szCs w:val="24"/>
          <w:lang w:val="en-NZ"/>
        </w:rPr>
        <w:t>☐</w:t>
      </w:r>
    </w:p>
    <w:p w14:paraId="72166B6A" w14:textId="4A9D839D"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Visible algae in water </w:t>
      </w:r>
      <w:r w:rsidRPr="005D7BA3">
        <w:rPr>
          <w:rFonts w:ascii="Segoe UI Symbol" w:hAnsi="Segoe UI Symbol" w:cs="Segoe UI Symbol"/>
          <w:sz w:val="24"/>
          <w:szCs w:val="24"/>
          <w:lang w:val="en-NZ"/>
        </w:rPr>
        <w:t>☐</w:t>
      </w:r>
    </w:p>
    <w:p w14:paraId="6123ABFB" w14:textId="036D36DD"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Odour </w:t>
      </w:r>
      <w:r w:rsidRPr="005D7BA3">
        <w:rPr>
          <w:rFonts w:ascii="Segoe UI Symbol" w:hAnsi="Segoe UI Symbol" w:cs="Segoe UI Symbol"/>
          <w:sz w:val="24"/>
          <w:szCs w:val="24"/>
          <w:lang w:val="en-NZ"/>
        </w:rPr>
        <w:t>☐</w:t>
      </w:r>
    </w:p>
    <w:p w14:paraId="30899A5F" w14:textId="5CB274E0"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Public health warning signs </w:t>
      </w:r>
      <w:r w:rsidRPr="005D7BA3">
        <w:rPr>
          <w:rFonts w:ascii="Segoe UI Symbol" w:hAnsi="Segoe UI Symbol" w:cs="Segoe UI Symbol"/>
          <w:sz w:val="24"/>
          <w:szCs w:val="24"/>
          <w:lang w:val="en-NZ"/>
        </w:rPr>
        <w:t>☐</w:t>
      </w:r>
    </w:p>
    <w:p w14:paraId="34C45344" w14:textId="77777777" w:rsidR="00666811" w:rsidRPr="00CC0F9B" w:rsidRDefault="00666811" w:rsidP="00496185">
      <w:pPr>
        <w:pStyle w:val="Heading3"/>
        <w:rPr>
          <w:rFonts w:ascii="Arial" w:hAnsi="Arial" w:cs="Arial"/>
          <w:lang w:val="en-NZ"/>
        </w:rPr>
      </w:pPr>
      <w:r w:rsidRPr="00CC0F9B">
        <w:rPr>
          <w:rFonts w:ascii="Arial" w:hAnsi="Arial" w:cs="Arial"/>
          <w:lang w:val="en-NZ"/>
        </w:rPr>
        <w:t>A.5</w:t>
      </w:r>
      <w:r w:rsidRPr="00CC0F9B">
        <w:rPr>
          <w:rFonts w:ascii="Arial" w:hAnsi="Arial" w:cs="Arial"/>
          <w:lang w:val="en-NZ"/>
        </w:rPr>
        <w:tab/>
        <w:t>Exposure site monitoring information (internal use)</w:t>
      </w:r>
    </w:p>
    <w:p w14:paraId="6ABB24F4" w14:textId="77777777" w:rsidR="00666811" w:rsidRPr="005D7BA3" w:rsidRDefault="00666811" w:rsidP="00666811">
      <w:pPr>
        <w:rPr>
          <w:sz w:val="24"/>
          <w:szCs w:val="24"/>
          <w:lang w:val="en-NZ"/>
        </w:rPr>
      </w:pPr>
      <w:r w:rsidRPr="005D7BA3">
        <w:rPr>
          <w:sz w:val="24"/>
          <w:szCs w:val="24"/>
          <w:lang w:val="en-NZ"/>
        </w:rPr>
        <w:t>Date of most recent environmental monitoring for the recreational water exposure site: Harmful algal bloom present at time of contact: (can refer to LAWA website)</w:t>
      </w:r>
    </w:p>
    <w:p w14:paraId="288588E5" w14:textId="77777777" w:rsidR="00666811" w:rsidRPr="005D7BA3" w:rsidRDefault="00666811" w:rsidP="00666811">
      <w:pPr>
        <w:rPr>
          <w:sz w:val="24"/>
          <w:szCs w:val="24"/>
          <w:lang w:val="en-NZ"/>
        </w:rPr>
      </w:pPr>
      <w:r w:rsidRPr="005D7BA3">
        <w:rPr>
          <w:sz w:val="24"/>
          <w:szCs w:val="24"/>
          <w:lang w:val="en-NZ"/>
        </w:rPr>
        <w:t xml:space="preserve">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Unknown </w:t>
      </w:r>
      <w:r w:rsidRPr="005D7BA3">
        <w:rPr>
          <w:rFonts w:ascii="Segoe UI Symbol" w:hAnsi="Segoe UI Symbol" w:cs="Segoe UI Symbol"/>
          <w:sz w:val="24"/>
          <w:szCs w:val="24"/>
          <w:lang w:val="en-NZ"/>
        </w:rPr>
        <w:t>☐</w:t>
      </w:r>
    </w:p>
    <w:p w14:paraId="0DF87A31" w14:textId="77777777" w:rsidR="00666811" w:rsidRPr="005D7BA3" w:rsidRDefault="00666811" w:rsidP="00666811">
      <w:pPr>
        <w:rPr>
          <w:sz w:val="24"/>
          <w:szCs w:val="24"/>
          <w:lang w:val="en-NZ"/>
        </w:rPr>
      </w:pPr>
      <w:r w:rsidRPr="005D7BA3">
        <w:rPr>
          <w:sz w:val="24"/>
          <w:szCs w:val="24"/>
          <w:lang w:val="en-NZ"/>
        </w:rPr>
        <w:t xml:space="preserve">Harmful algal bloom upstream of exposure location at time of contact: </w:t>
      </w:r>
    </w:p>
    <w:p w14:paraId="25E19462" w14:textId="488AC01A" w:rsidR="00666811" w:rsidRPr="005D7BA3" w:rsidRDefault="00666811" w:rsidP="00666811">
      <w:pPr>
        <w:rPr>
          <w:sz w:val="24"/>
          <w:szCs w:val="24"/>
          <w:lang w:val="en-NZ"/>
        </w:rPr>
      </w:pPr>
      <w:r w:rsidRPr="005D7BA3">
        <w:rPr>
          <w:sz w:val="24"/>
          <w:szCs w:val="24"/>
          <w:lang w:val="en-NZ"/>
        </w:rPr>
        <w:t xml:space="preserve">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Unknown </w:t>
      </w:r>
      <w:r w:rsidRPr="005D7BA3">
        <w:rPr>
          <w:rFonts w:ascii="Segoe UI Symbol" w:hAnsi="Segoe UI Symbol" w:cs="Segoe UI Symbol"/>
          <w:sz w:val="24"/>
          <w:szCs w:val="24"/>
          <w:lang w:val="en-NZ"/>
        </w:rPr>
        <w:t>☐</w:t>
      </w:r>
    </w:p>
    <w:p w14:paraId="5A062940" w14:textId="77777777" w:rsidR="00666811" w:rsidRPr="005D7BA3" w:rsidRDefault="00666811" w:rsidP="00666811">
      <w:pPr>
        <w:rPr>
          <w:sz w:val="24"/>
          <w:szCs w:val="24"/>
          <w:lang w:val="en-NZ"/>
        </w:rPr>
      </w:pPr>
      <w:r w:rsidRPr="005D7BA3">
        <w:rPr>
          <w:sz w:val="24"/>
          <w:szCs w:val="24"/>
          <w:lang w:val="en-NZ"/>
        </w:rPr>
        <w:t>Weather conditions at time of exposure:</w:t>
      </w:r>
    </w:p>
    <w:p w14:paraId="6BF4B4DE" w14:textId="77777777" w:rsidR="00666811" w:rsidRPr="00CC0F9B" w:rsidRDefault="00666811" w:rsidP="00496185">
      <w:pPr>
        <w:pStyle w:val="Heading3"/>
        <w:rPr>
          <w:rFonts w:ascii="Arial" w:hAnsi="Arial" w:cs="Arial"/>
          <w:lang w:val="en-NZ"/>
        </w:rPr>
      </w:pPr>
      <w:r w:rsidRPr="00CC0F9B">
        <w:rPr>
          <w:rFonts w:ascii="Arial" w:hAnsi="Arial" w:cs="Arial"/>
          <w:lang w:val="en-NZ"/>
        </w:rPr>
        <w:t>A.6</w:t>
      </w:r>
      <w:r w:rsidRPr="00CC0F9B">
        <w:rPr>
          <w:rFonts w:ascii="Arial" w:hAnsi="Arial" w:cs="Arial"/>
          <w:lang w:val="en-NZ"/>
        </w:rPr>
        <w:tab/>
        <w:t>Other people/animals exposed</w:t>
      </w:r>
    </w:p>
    <w:p w14:paraId="25CBA7BB" w14:textId="11424C61" w:rsidR="00666811" w:rsidRPr="005D7BA3" w:rsidRDefault="00666811" w:rsidP="00666811">
      <w:pPr>
        <w:rPr>
          <w:sz w:val="24"/>
          <w:szCs w:val="24"/>
          <w:lang w:val="en-NZ"/>
        </w:rPr>
      </w:pPr>
      <w:r w:rsidRPr="005D7BA3">
        <w:rPr>
          <w:sz w:val="24"/>
          <w:szCs w:val="24"/>
          <w:lang w:val="en-NZ"/>
        </w:rPr>
        <w:t xml:space="preserve">Were there any other whānau with similar contact to the same waterbody at the same time?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if yes, how many people?</w:t>
      </w:r>
    </w:p>
    <w:p w14:paraId="10EE66CF" w14:textId="77777777" w:rsidR="00666811" w:rsidRPr="005D7BA3" w:rsidRDefault="00666811" w:rsidP="00666811">
      <w:pPr>
        <w:rPr>
          <w:sz w:val="24"/>
          <w:szCs w:val="24"/>
          <w:lang w:val="en-NZ"/>
        </w:rPr>
      </w:pPr>
      <w:r w:rsidRPr="005D7BA3">
        <w:rPr>
          <w:sz w:val="24"/>
          <w:szCs w:val="24"/>
          <w:lang w:val="en-NZ"/>
        </w:rPr>
        <w:t xml:space="preserve">Are any of them unwell?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if yes, describe their symptoms, symptom onset and record their names and contact details:</w:t>
      </w:r>
    </w:p>
    <w:p w14:paraId="2FD85B9E" w14:textId="1A3F93FE" w:rsidR="0081517F" w:rsidRPr="005D7BA3" w:rsidRDefault="00666811">
      <w:pPr>
        <w:rPr>
          <w:sz w:val="24"/>
          <w:szCs w:val="24"/>
          <w:lang w:val="en-NZ"/>
        </w:rPr>
      </w:pPr>
      <w:r w:rsidRPr="005D7BA3">
        <w:rPr>
          <w:sz w:val="24"/>
          <w:szCs w:val="24"/>
          <w:lang w:val="en-NZ"/>
        </w:rPr>
        <w:t>Are any animals with contact to the same waterbody unwell?</w:t>
      </w:r>
      <w:r w:rsidR="0081517F" w:rsidRPr="005D7BA3">
        <w:rPr>
          <w:sz w:val="24"/>
          <w:szCs w:val="24"/>
          <w:lang w:val="en-NZ"/>
        </w:rPr>
        <w:br w:type="page"/>
      </w:r>
    </w:p>
    <w:p w14:paraId="63B53A0C" w14:textId="77777777" w:rsidR="00666811" w:rsidRPr="00CC0F9B" w:rsidRDefault="00666811" w:rsidP="00496185">
      <w:pPr>
        <w:pStyle w:val="Heading3"/>
        <w:rPr>
          <w:rFonts w:ascii="Arial" w:hAnsi="Arial" w:cs="Arial"/>
          <w:lang w:val="en-NZ"/>
        </w:rPr>
      </w:pPr>
      <w:r w:rsidRPr="00CC0F9B">
        <w:rPr>
          <w:rFonts w:ascii="Arial" w:hAnsi="Arial" w:cs="Arial"/>
          <w:lang w:val="en-NZ"/>
        </w:rPr>
        <w:lastRenderedPageBreak/>
        <w:t>A.7</w:t>
      </w:r>
      <w:r w:rsidRPr="00CC0F9B">
        <w:rPr>
          <w:rFonts w:ascii="Arial" w:hAnsi="Arial" w:cs="Arial"/>
          <w:lang w:val="en-NZ"/>
        </w:rPr>
        <w:tab/>
        <w:t>Clinical presentation</w:t>
      </w:r>
    </w:p>
    <w:p w14:paraId="04E30D40" w14:textId="3A80DA24" w:rsidR="00141B9B" w:rsidRPr="005D7BA3" w:rsidRDefault="00666811" w:rsidP="00666811">
      <w:pPr>
        <w:rPr>
          <w:sz w:val="24"/>
          <w:szCs w:val="24"/>
          <w:lang w:val="en-NZ"/>
        </w:rPr>
      </w:pPr>
      <w:r w:rsidRPr="005D7BA3">
        <w:rPr>
          <w:sz w:val="24"/>
          <w:szCs w:val="24"/>
          <w:lang w:val="en-NZ"/>
        </w:rPr>
        <w:t>Symptoms (please describe symptoms and include severity, date and time of onset and time since exposure and duration):</w:t>
      </w:r>
    </w:p>
    <w:tbl>
      <w:tblPr>
        <w:tblW w:w="918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12"/>
        <w:gridCol w:w="1702"/>
        <w:gridCol w:w="1939"/>
        <w:gridCol w:w="2834"/>
      </w:tblGrid>
      <w:tr w:rsidR="00666811" w:rsidRPr="005D7BA3" w14:paraId="0AB51032" w14:textId="77777777" w:rsidTr="005D7BA3">
        <w:trPr>
          <w:trHeight w:val="770"/>
        </w:trPr>
        <w:tc>
          <w:tcPr>
            <w:tcW w:w="2712" w:type="dxa"/>
          </w:tcPr>
          <w:p w14:paraId="55AD4449" w14:textId="77777777" w:rsidR="00666811" w:rsidRPr="005D7BA3" w:rsidRDefault="00666811" w:rsidP="00483D97">
            <w:pPr>
              <w:pStyle w:val="TableParagraph"/>
              <w:spacing w:before="38" w:line="242" w:lineRule="auto"/>
              <w:ind w:left="107" w:right="562"/>
              <w:rPr>
                <w:b/>
                <w:sz w:val="24"/>
                <w:szCs w:val="24"/>
              </w:rPr>
            </w:pPr>
            <w:r w:rsidRPr="005D7BA3">
              <w:rPr>
                <w:b/>
                <w:sz w:val="24"/>
                <w:szCs w:val="24"/>
              </w:rPr>
              <w:t>Clinical signs and symptoms</w:t>
            </w:r>
          </w:p>
        </w:tc>
        <w:tc>
          <w:tcPr>
            <w:tcW w:w="1702" w:type="dxa"/>
          </w:tcPr>
          <w:p w14:paraId="732188FF" w14:textId="77777777" w:rsidR="00666811" w:rsidRPr="005D7BA3" w:rsidRDefault="00666811" w:rsidP="00483D97">
            <w:pPr>
              <w:pStyle w:val="TableParagraph"/>
              <w:spacing w:before="40" w:line="280" w:lineRule="auto"/>
              <w:ind w:left="108" w:right="15"/>
              <w:rPr>
                <w:b/>
                <w:sz w:val="24"/>
                <w:szCs w:val="24"/>
              </w:rPr>
            </w:pPr>
            <w:r w:rsidRPr="005D7BA3">
              <w:rPr>
                <w:b/>
                <w:sz w:val="24"/>
                <w:szCs w:val="24"/>
              </w:rPr>
              <w:t xml:space="preserve">Yes/No/ </w:t>
            </w:r>
            <w:r w:rsidRPr="005D7BA3">
              <w:rPr>
                <w:b/>
                <w:w w:val="95"/>
                <w:sz w:val="24"/>
                <w:szCs w:val="24"/>
              </w:rPr>
              <w:t>Unknown</w:t>
            </w:r>
          </w:p>
        </w:tc>
        <w:tc>
          <w:tcPr>
            <w:tcW w:w="1939" w:type="dxa"/>
          </w:tcPr>
          <w:p w14:paraId="68918EBA" w14:textId="77777777" w:rsidR="00666811" w:rsidRPr="005D7BA3" w:rsidRDefault="00666811" w:rsidP="00483D97">
            <w:pPr>
              <w:pStyle w:val="TableParagraph"/>
              <w:spacing w:before="38"/>
              <w:ind w:left="107" w:right="279"/>
              <w:rPr>
                <w:b/>
                <w:sz w:val="24"/>
                <w:szCs w:val="24"/>
              </w:rPr>
            </w:pPr>
            <w:r w:rsidRPr="005D7BA3">
              <w:rPr>
                <w:b/>
                <w:sz w:val="24"/>
                <w:szCs w:val="24"/>
              </w:rPr>
              <w:t>Onset date and time (or time since exposure)</w:t>
            </w:r>
          </w:p>
        </w:tc>
        <w:tc>
          <w:tcPr>
            <w:tcW w:w="2834" w:type="dxa"/>
          </w:tcPr>
          <w:p w14:paraId="331D6B95" w14:textId="77777777" w:rsidR="00666811" w:rsidRPr="005D7BA3" w:rsidRDefault="00666811" w:rsidP="00483D97">
            <w:pPr>
              <w:pStyle w:val="TableParagraph"/>
              <w:spacing w:before="38" w:line="242" w:lineRule="auto"/>
              <w:ind w:left="108" w:right="329"/>
              <w:rPr>
                <w:b/>
                <w:sz w:val="24"/>
                <w:szCs w:val="24"/>
              </w:rPr>
            </w:pPr>
            <w:r w:rsidRPr="005D7BA3">
              <w:rPr>
                <w:b/>
                <w:sz w:val="24"/>
                <w:szCs w:val="24"/>
              </w:rPr>
              <w:t>Duration and description (and severity)</w:t>
            </w:r>
          </w:p>
        </w:tc>
      </w:tr>
      <w:tr w:rsidR="00666811" w:rsidRPr="005D7BA3" w14:paraId="2E3F3373" w14:textId="77777777" w:rsidTr="005D7BA3">
        <w:trPr>
          <w:trHeight w:val="839"/>
        </w:trPr>
        <w:tc>
          <w:tcPr>
            <w:tcW w:w="2712" w:type="dxa"/>
          </w:tcPr>
          <w:p w14:paraId="5F3AF234" w14:textId="3554D12B" w:rsidR="00666811" w:rsidRPr="005D7BA3" w:rsidRDefault="00666811" w:rsidP="00483D97">
            <w:pPr>
              <w:pStyle w:val="TableParagraph"/>
              <w:spacing w:before="40"/>
              <w:ind w:left="107" w:right="245"/>
              <w:rPr>
                <w:sz w:val="24"/>
                <w:szCs w:val="24"/>
              </w:rPr>
            </w:pPr>
            <w:r w:rsidRPr="005D7BA3">
              <w:rPr>
                <w:sz w:val="24"/>
                <w:szCs w:val="24"/>
              </w:rPr>
              <w:t>Ear / nose / throat symptoms, eg, sore/irritated/burning</w:t>
            </w:r>
          </w:p>
        </w:tc>
        <w:tc>
          <w:tcPr>
            <w:tcW w:w="1702" w:type="dxa"/>
          </w:tcPr>
          <w:p w14:paraId="736A9CE3" w14:textId="77777777" w:rsidR="00666811" w:rsidRPr="005D7BA3" w:rsidRDefault="00666811" w:rsidP="00483D97">
            <w:pPr>
              <w:pStyle w:val="TableParagraph"/>
              <w:rPr>
                <w:sz w:val="24"/>
                <w:szCs w:val="24"/>
              </w:rPr>
            </w:pPr>
          </w:p>
        </w:tc>
        <w:tc>
          <w:tcPr>
            <w:tcW w:w="1939" w:type="dxa"/>
          </w:tcPr>
          <w:p w14:paraId="5C11B529" w14:textId="77777777" w:rsidR="00666811" w:rsidRPr="005D7BA3" w:rsidRDefault="00666811" w:rsidP="00483D97">
            <w:pPr>
              <w:pStyle w:val="TableParagraph"/>
              <w:rPr>
                <w:sz w:val="24"/>
                <w:szCs w:val="24"/>
              </w:rPr>
            </w:pPr>
          </w:p>
        </w:tc>
        <w:tc>
          <w:tcPr>
            <w:tcW w:w="2834" w:type="dxa"/>
          </w:tcPr>
          <w:p w14:paraId="2E5FDA1C" w14:textId="77777777" w:rsidR="00666811" w:rsidRPr="005D7BA3" w:rsidRDefault="00666811" w:rsidP="00483D97">
            <w:pPr>
              <w:pStyle w:val="TableParagraph"/>
              <w:rPr>
                <w:sz w:val="24"/>
                <w:szCs w:val="24"/>
              </w:rPr>
            </w:pPr>
          </w:p>
        </w:tc>
      </w:tr>
      <w:tr w:rsidR="00666811" w:rsidRPr="005D7BA3" w14:paraId="282C97D9" w14:textId="77777777" w:rsidTr="005D7BA3">
        <w:trPr>
          <w:trHeight w:val="585"/>
        </w:trPr>
        <w:tc>
          <w:tcPr>
            <w:tcW w:w="2712" w:type="dxa"/>
          </w:tcPr>
          <w:p w14:paraId="49A57CFF" w14:textId="36EF092B" w:rsidR="00666811" w:rsidRPr="005D7BA3" w:rsidRDefault="00666811" w:rsidP="00483D97">
            <w:pPr>
              <w:pStyle w:val="TableParagraph"/>
              <w:spacing w:before="40"/>
              <w:ind w:left="107" w:right="160"/>
              <w:rPr>
                <w:sz w:val="24"/>
                <w:szCs w:val="24"/>
              </w:rPr>
            </w:pPr>
            <w:r w:rsidRPr="005D7BA3">
              <w:rPr>
                <w:sz w:val="24"/>
                <w:szCs w:val="24"/>
              </w:rPr>
              <w:t>Eye symptoms eg, irritated, conjunctivitis</w:t>
            </w:r>
          </w:p>
        </w:tc>
        <w:tc>
          <w:tcPr>
            <w:tcW w:w="1702" w:type="dxa"/>
          </w:tcPr>
          <w:p w14:paraId="6CB921A5" w14:textId="77777777" w:rsidR="00666811" w:rsidRPr="005D7BA3" w:rsidRDefault="00666811" w:rsidP="00483D97">
            <w:pPr>
              <w:pStyle w:val="TableParagraph"/>
              <w:rPr>
                <w:sz w:val="24"/>
                <w:szCs w:val="24"/>
              </w:rPr>
            </w:pPr>
          </w:p>
        </w:tc>
        <w:tc>
          <w:tcPr>
            <w:tcW w:w="1939" w:type="dxa"/>
          </w:tcPr>
          <w:p w14:paraId="154C9D12" w14:textId="77777777" w:rsidR="00666811" w:rsidRPr="005D7BA3" w:rsidRDefault="00666811" w:rsidP="00483D97">
            <w:pPr>
              <w:pStyle w:val="TableParagraph"/>
              <w:rPr>
                <w:sz w:val="24"/>
                <w:szCs w:val="24"/>
              </w:rPr>
            </w:pPr>
          </w:p>
        </w:tc>
        <w:tc>
          <w:tcPr>
            <w:tcW w:w="2834" w:type="dxa"/>
          </w:tcPr>
          <w:p w14:paraId="37328532" w14:textId="77777777" w:rsidR="00666811" w:rsidRPr="005D7BA3" w:rsidRDefault="00666811" w:rsidP="00483D97">
            <w:pPr>
              <w:pStyle w:val="TableParagraph"/>
              <w:rPr>
                <w:sz w:val="24"/>
                <w:szCs w:val="24"/>
              </w:rPr>
            </w:pPr>
          </w:p>
        </w:tc>
      </w:tr>
      <w:tr w:rsidR="00666811" w:rsidRPr="005D7BA3" w14:paraId="37054D5B" w14:textId="77777777" w:rsidTr="005D7BA3">
        <w:trPr>
          <w:trHeight w:val="585"/>
        </w:trPr>
        <w:tc>
          <w:tcPr>
            <w:tcW w:w="2712" w:type="dxa"/>
          </w:tcPr>
          <w:p w14:paraId="51CA1AA6" w14:textId="1D03B9AB" w:rsidR="00666811" w:rsidRPr="005D7BA3" w:rsidRDefault="00666811" w:rsidP="00483D97">
            <w:pPr>
              <w:pStyle w:val="TableParagraph"/>
              <w:spacing w:before="40"/>
              <w:ind w:left="107" w:right="196"/>
              <w:rPr>
                <w:sz w:val="24"/>
                <w:szCs w:val="24"/>
              </w:rPr>
            </w:pPr>
            <w:r w:rsidRPr="005D7BA3">
              <w:rPr>
                <w:sz w:val="24"/>
                <w:szCs w:val="24"/>
              </w:rPr>
              <w:t>Skin effect eg, rash, itch</w:t>
            </w:r>
          </w:p>
        </w:tc>
        <w:tc>
          <w:tcPr>
            <w:tcW w:w="1702" w:type="dxa"/>
          </w:tcPr>
          <w:p w14:paraId="516D42B2" w14:textId="77777777" w:rsidR="00666811" w:rsidRPr="005D7BA3" w:rsidRDefault="00666811" w:rsidP="00483D97">
            <w:pPr>
              <w:pStyle w:val="TableParagraph"/>
              <w:rPr>
                <w:sz w:val="24"/>
                <w:szCs w:val="24"/>
              </w:rPr>
            </w:pPr>
          </w:p>
        </w:tc>
        <w:tc>
          <w:tcPr>
            <w:tcW w:w="1939" w:type="dxa"/>
          </w:tcPr>
          <w:p w14:paraId="67A4922F" w14:textId="77777777" w:rsidR="00666811" w:rsidRPr="005D7BA3" w:rsidRDefault="00666811" w:rsidP="00483D97">
            <w:pPr>
              <w:pStyle w:val="TableParagraph"/>
              <w:rPr>
                <w:sz w:val="24"/>
                <w:szCs w:val="24"/>
              </w:rPr>
            </w:pPr>
          </w:p>
        </w:tc>
        <w:tc>
          <w:tcPr>
            <w:tcW w:w="2834" w:type="dxa"/>
          </w:tcPr>
          <w:p w14:paraId="2F890804" w14:textId="77777777" w:rsidR="00666811" w:rsidRPr="005D7BA3" w:rsidRDefault="00666811" w:rsidP="00483D97">
            <w:pPr>
              <w:pStyle w:val="TableParagraph"/>
              <w:rPr>
                <w:sz w:val="24"/>
                <w:szCs w:val="24"/>
              </w:rPr>
            </w:pPr>
          </w:p>
        </w:tc>
      </w:tr>
      <w:tr w:rsidR="00666811" w:rsidRPr="005D7BA3" w14:paraId="3A0FB0A8" w14:textId="77777777" w:rsidTr="005D7BA3">
        <w:trPr>
          <w:trHeight w:val="374"/>
        </w:trPr>
        <w:tc>
          <w:tcPr>
            <w:tcW w:w="2712" w:type="dxa"/>
          </w:tcPr>
          <w:p w14:paraId="617575F9" w14:textId="77777777" w:rsidR="00666811" w:rsidRPr="005D7BA3" w:rsidRDefault="00666811" w:rsidP="00483D97">
            <w:pPr>
              <w:pStyle w:val="TableParagraph"/>
              <w:spacing w:before="41"/>
              <w:ind w:left="107"/>
              <w:rPr>
                <w:sz w:val="24"/>
                <w:szCs w:val="24"/>
              </w:rPr>
            </w:pPr>
            <w:r w:rsidRPr="005D7BA3">
              <w:rPr>
                <w:sz w:val="24"/>
                <w:szCs w:val="24"/>
              </w:rPr>
              <w:t>Cough</w:t>
            </w:r>
          </w:p>
        </w:tc>
        <w:tc>
          <w:tcPr>
            <w:tcW w:w="1702" w:type="dxa"/>
          </w:tcPr>
          <w:p w14:paraId="723BAA18" w14:textId="77777777" w:rsidR="00666811" w:rsidRPr="005D7BA3" w:rsidRDefault="00666811" w:rsidP="00483D97">
            <w:pPr>
              <w:pStyle w:val="TableParagraph"/>
              <w:rPr>
                <w:sz w:val="24"/>
                <w:szCs w:val="24"/>
              </w:rPr>
            </w:pPr>
          </w:p>
        </w:tc>
        <w:tc>
          <w:tcPr>
            <w:tcW w:w="1939" w:type="dxa"/>
          </w:tcPr>
          <w:p w14:paraId="75F95659" w14:textId="77777777" w:rsidR="00666811" w:rsidRPr="005D7BA3" w:rsidRDefault="00666811" w:rsidP="00483D97">
            <w:pPr>
              <w:pStyle w:val="TableParagraph"/>
              <w:rPr>
                <w:sz w:val="24"/>
                <w:szCs w:val="24"/>
              </w:rPr>
            </w:pPr>
          </w:p>
        </w:tc>
        <w:tc>
          <w:tcPr>
            <w:tcW w:w="2834" w:type="dxa"/>
          </w:tcPr>
          <w:p w14:paraId="79728971" w14:textId="77777777" w:rsidR="00666811" w:rsidRPr="005D7BA3" w:rsidRDefault="00666811" w:rsidP="00483D97">
            <w:pPr>
              <w:pStyle w:val="TableParagraph"/>
              <w:rPr>
                <w:sz w:val="24"/>
                <w:szCs w:val="24"/>
              </w:rPr>
            </w:pPr>
          </w:p>
        </w:tc>
      </w:tr>
      <w:tr w:rsidR="00666811" w:rsidRPr="005D7BA3" w14:paraId="1EE7DD0B" w14:textId="77777777" w:rsidTr="005D7BA3">
        <w:trPr>
          <w:trHeight w:val="837"/>
        </w:trPr>
        <w:tc>
          <w:tcPr>
            <w:tcW w:w="2712" w:type="dxa"/>
          </w:tcPr>
          <w:p w14:paraId="06F8F992" w14:textId="37BD9D6D" w:rsidR="00666811" w:rsidRPr="005D7BA3" w:rsidRDefault="00666811" w:rsidP="00483D97">
            <w:pPr>
              <w:pStyle w:val="TableParagraph"/>
              <w:spacing w:before="40"/>
              <w:ind w:left="107" w:right="296"/>
              <w:jc w:val="both"/>
              <w:rPr>
                <w:sz w:val="24"/>
                <w:szCs w:val="24"/>
              </w:rPr>
            </w:pPr>
            <w:r w:rsidRPr="005D7BA3">
              <w:rPr>
                <w:sz w:val="24"/>
                <w:szCs w:val="24"/>
              </w:rPr>
              <w:t>Breathing difficulties (eg</w:t>
            </w:r>
            <w:r w:rsidR="00127266">
              <w:rPr>
                <w:sz w:val="24"/>
                <w:szCs w:val="24"/>
              </w:rPr>
              <w:t>,</w:t>
            </w:r>
            <w:r w:rsidR="00127266" w:rsidRPr="005D7BA3">
              <w:rPr>
                <w:sz w:val="24"/>
                <w:szCs w:val="24"/>
              </w:rPr>
              <w:t xml:space="preserve"> </w:t>
            </w:r>
            <w:r w:rsidRPr="005D7BA3">
              <w:rPr>
                <w:sz w:val="24"/>
                <w:szCs w:val="24"/>
              </w:rPr>
              <w:t>short of breath, wheeze)</w:t>
            </w:r>
          </w:p>
        </w:tc>
        <w:tc>
          <w:tcPr>
            <w:tcW w:w="1702" w:type="dxa"/>
          </w:tcPr>
          <w:p w14:paraId="188B1608" w14:textId="77777777" w:rsidR="00666811" w:rsidRPr="005D7BA3" w:rsidRDefault="00666811" w:rsidP="00483D97">
            <w:pPr>
              <w:pStyle w:val="TableParagraph"/>
              <w:rPr>
                <w:sz w:val="24"/>
                <w:szCs w:val="24"/>
              </w:rPr>
            </w:pPr>
          </w:p>
        </w:tc>
        <w:tc>
          <w:tcPr>
            <w:tcW w:w="1939" w:type="dxa"/>
          </w:tcPr>
          <w:p w14:paraId="2AD8E907" w14:textId="77777777" w:rsidR="00666811" w:rsidRPr="005D7BA3" w:rsidRDefault="00666811" w:rsidP="00483D97">
            <w:pPr>
              <w:pStyle w:val="TableParagraph"/>
              <w:rPr>
                <w:sz w:val="24"/>
                <w:szCs w:val="24"/>
              </w:rPr>
            </w:pPr>
          </w:p>
        </w:tc>
        <w:tc>
          <w:tcPr>
            <w:tcW w:w="2834" w:type="dxa"/>
          </w:tcPr>
          <w:p w14:paraId="5E708D41" w14:textId="77777777" w:rsidR="00666811" w:rsidRPr="005D7BA3" w:rsidRDefault="00666811" w:rsidP="00483D97">
            <w:pPr>
              <w:pStyle w:val="TableParagraph"/>
              <w:rPr>
                <w:sz w:val="24"/>
                <w:szCs w:val="24"/>
              </w:rPr>
            </w:pPr>
          </w:p>
        </w:tc>
      </w:tr>
      <w:tr w:rsidR="00666811" w:rsidRPr="005D7BA3" w14:paraId="5D0108C0" w14:textId="77777777" w:rsidTr="005D7BA3">
        <w:trPr>
          <w:trHeight w:val="587"/>
        </w:trPr>
        <w:tc>
          <w:tcPr>
            <w:tcW w:w="2712" w:type="dxa"/>
          </w:tcPr>
          <w:p w14:paraId="4017AE16" w14:textId="77777777" w:rsidR="00666811" w:rsidRPr="005D7BA3" w:rsidRDefault="00666811" w:rsidP="00483D97">
            <w:pPr>
              <w:pStyle w:val="TableParagraph"/>
              <w:spacing w:before="43"/>
              <w:ind w:left="107" w:right="563"/>
              <w:rPr>
                <w:sz w:val="24"/>
                <w:szCs w:val="24"/>
              </w:rPr>
            </w:pPr>
            <w:r w:rsidRPr="005D7BA3">
              <w:rPr>
                <w:sz w:val="24"/>
                <w:szCs w:val="24"/>
              </w:rPr>
              <w:t>Stomach pain/ abdomen cramps</w:t>
            </w:r>
          </w:p>
        </w:tc>
        <w:tc>
          <w:tcPr>
            <w:tcW w:w="1702" w:type="dxa"/>
          </w:tcPr>
          <w:p w14:paraId="677E5995" w14:textId="77777777" w:rsidR="00666811" w:rsidRPr="005D7BA3" w:rsidRDefault="00666811" w:rsidP="00483D97">
            <w:pPr>
              <w:pStyle w:val="TableParagraph"/>
              <w:rPr>
                <w:sz w:val="24"/>
                <w:szCs w:val="24"/>
              </w:rPr>
            </w:pPr>
          </w:p>
        </w:tc>
        <w:tc>
          <w:tcPr>
            <w:tcW w:w="1939" w:type="dxa"/>
          </w:tcPr>
          <w:p w14:paraId="753F8FED" w14:textId="77777777" w:rsidR="00666811" w:rsidRPr="005D7BA3" w:rsidRDefault="00666811" w:rsidP="00483D97">
            <w:pPr>
              <w:pStyle w:val="TableParagraph"/>
              <w:rPr>
                <w:sz w:val="24"/>
                <w:szCs w:val="24"/>
              </w:rPr>
            </w:pPr>
          </w:p>
        </w:tc>
        <w:tc>
          <w:tcPr>
            <w:tcW w:w="2834" w:type="dxa"/>
          </w:tcPr>
          <w:p w14:paraId="22817F65" w14:textId="77777777" w:rsidR="00666811" w:rsidRPr="005D7BA3" w:rsidRDefault="00666811" w:rsidP="00483D97">
            <w:pPr>
              <w:pStyle w:val="TableParagraph"/>
              <w:rPr>
                <w:sz w:val="24"/>
                <w:szCs w:val="24"/>
              </w:rPr>
            </w:pPr>
          </w:p>
        </w:tc>
      </w:tr>
      <w:tr w:rsidR="00666811" w:rsidRPr="005D7BA3" w14:paraId="478E926D" w14:textId="77777777" w:rsidTr="005D7BA3">
        <w:trPr>
          <w:trHeight w:val="371"/>
        </w:trPr>
        <w:tc>
          <w:tcPr>
            <w:tcW w:w="2712" w:type="dxa"/>
          </w:tcPr>
          <w:p w14:paraId="0BB99D66" w14:textId="77777777" w:rsidR="00666811" w:rsidRPr="005D7BA3" w:rsidRDefault="00666811" w:rsidP="00483D97">
            <w:pPr>
              <w:pStyle w:val="TableParagraph"/>
              <w:spacing w:before="40"/>
              <w:ind w:left="107"/>
              <w:rPr>
                <w:sz w:val="24"/>
                <w:szCs w:val="24"/>
              </w:rPr>
            </w:pPr>
            <w:r w:rsidRPr="005D7BA3">
              <w:rPr>
                <w:sz w:val="24"/>
                <w:szCs w:val="24"/>
              </w:rPr>
              <w:t>Nausea</w:t>
            </w:r>
          </w:p>
        </w:tc>
        <w:tc>
          <w:tcPr>
            <w:tcW w:w="1702" w:type="dxa"/>
          </w:tcPr>
          <w:p w14:paraId="6AD7F7E4" w14:textId="77777777" w:rsidR="00666811" w:rsidRPr="005D7BA3" w:rsidRDefault="00666811" w:rsidP="00483D97">
            <w:pPr>
              <w:pStyle w:val="TableParagraph"/>
              <w:rPr>
                <w:sz w:val="24"/>
                <w:szCs w:val="24"/>
              </w:rPr>
            </w:pPr>
          </w:p>
        </w:tc>
        <w:tc>
          <w:tcPr>
            <w:tcW w:w="1939" w:type="dxa"/>
          </w:tcPr>
          <w:p w14:paraId="7A4DDB9D" w14:textId="77777777" w:rsidR="00666811" w:rsidRPr="005D7BA3" w:rsidRDefault="00666811" w:rsidP="00483D97">
            <w:pPr>
              <w:pStyle w:val="TableParagraph"/>
              <w:rPr>
                <w:sz w:val="24"/>
                <w:szCs w:val="24"/>
              </w:rPr>
            </w:pPr>
          </w:p>
        </w:tc>
        <w:tc>
          <w:tcPr>
            <w:tcW w:w="2834" w:type="dxa"/>
          </w:tcPr>
          <w:p w14:paraId="17EF048F" w14:textId="77777777" w:rsidR="00666811" w:rsidRPr="005D7BA3" w:rsidRDefault="00666811" w:rsidP="00483D97">
            <w:pPr>
              <w:pStyle w:val="TableParagraph"/>
              <w:rPr>
                <w:sz w:val="24"/>
                <w:szCs w:val="24"/>
              </w:rPr>
            </w:pPr>
          </w:p>
        </w:tc>
      </w:tr>
      <w:tr w:rsidR="00666811" w:rsidRPr="005D7BA3" w14:paraId="3F33E2A8" w14:textId="77777777" w:rsidTr="005D7BA3">
        <w:trPr>
          <w:trHeight w:val="373"/>
        </w:trPr>
        <w:tc>
          <w:tcPr>
            <w:tcW w:w="2712" w:type="dxa"/>
          </w:tcPr>
          <w:p w14:paraId="43944D71" w14:textId="77777777" w:rsidR="00666811" w:rsidRPr="005D7BA3" w:rsidRDefault="00666811" w:rsidP="00483D97">
            <w:pPr>
              <w:pStyle w:val="TableParagraph"/>
              <w:spacing w:before="40"/>
              <w:ind w:left="107"/>
              <w:rPr>
                <w:sz w:val="24"/>
                <w:szCs w:val="24"/>
              </w:rPr>
            </w:pPr>
            <w:r w:rsidRPr="005D7BA3">
              <w:rPr>
                <w:sz w:val="24"/>
                <w:szCs w:val="24"/>
              </w:rPr>
              <w:t>Vomiting</w:t>
            </w:r>
          </w:p>
        </w:tc>
        <w:tc>
          <w:tcPr>
            <w:tcW w:w="1702" w:type="dxa"/>
          </w:tcPr>
          <w:p w14:paraId="2B6BCCD5" w14:textId="77777777" w:rsidR="00666811" w:rsidRPr="005D7BA3" w:rsidRDefault="00666811" w:rsidP="00483D97">
            <w:pPr>
              <w:pStyle w:val="TableParagraph"/>
              <w:rPr>
                <w:sz w:val="24"/>
                <w:szCs w:val="24"/>
              </w:rPr>
            </w:pPr>
          </w:p>
        </w:tc>
        <w:tc>
          <w:tcPr>
            <w:tcW w:w="1939" w:type="dxa"/>
          </w:tcPr>
          <w:p w14:paraId="619DC69E" w14:textId="77777777" w:rsidR="00666811" w:rsidRPr="005D7BA3" w:rsidRDefault="00666811" w:rsidP="00483D97">
            <w:pPr>
              <w:pStyle w:val="TableParagraph"/>
              <w:rPr>
                <w:sz w:val="24"/>
                <w:szCs w:val="24"/>
              </w:rPr>
            </w:pPr>
          </w:p>
        </w:tc>
        <w:tc>
          <w:tcPr>
            <w:tcW w:w="2834" w:type="dxa"/>
          </w:tcPr>
          <w:p w14:paraId="7CD980EC" w14:textId="77777777" w:rsidR="00666811" w:rsidRPr="005D7BA3" w:rsidRDefault="00666811" w:rsidP="00483D97">
            <w:pPr>
              <w:pStyle w:val="TableParagraph"/>
              <w:rPr>
                <w:sz w:val="24"/>
                <w:szCs w:val="24"/>
              </w:rPr>
            </w:pPr>
          </w:p>
        </w:tc>
      </w:tr>
      <w:tr w:rsidR="00666811" w:rsidRPr="005D7BA3" w14:paraId="1EE8D20A" w14:textId="77777777" w:rsidTr="005D7BA3">
        <w:trPr>
          <w:trHeight w:val="371"/>
        </w:trPr>
        <w:tc>
          <w:tcPr>
            <w:tcW w:w="2712" w:type="dxa"/>
          </w:tcPr>
          <w:p w14:paraId="448B29DD" w14:textId="16BCBBD8" w:rsidR="00666811" w:rsidRPr="005D7BA3" w:rsidRDefault="00666811" w:rsidP="00483D97">
            <w:pPr>
              <w:pStyle w:val="TableParagraph"/>
              <w:spacing w:before="40"/>
              <w:ind w:left="107"/>
              <w:rPr>
                <w:sz w:val="24"/>
                <w:szCs w:val="24"/>
              </w:rPr>
            </w:pPr>
            <w:r w:rsidRPr="005D7BA3">
              <w:rPr>
                <w:sz w:val="24"/>
                <w:szCs w:val="24"/>
              </w:rPr>
              <w:t>Diarrhoea (+</w:t>
            </w:r>
            <w:r w:rsidR="00742E90">
              <w:rPr>
                <w:sz w:val="24"/>
                <w:szCs w:val="24"/>
              </w:rPr>
              <w:t>/</w:t>
            </w:r>
            <w:r w:rsidRPr="005D7BA3">
              <w:rPr>
                <w:sz w:val="24"/>
                <w:szCs w:val="24"/>
              </w:rPr>
              <w:t>- blood)</w:t>
            </w:r>
          </w:p>
        </w:tc>
        <w:tc>
          <w:tcPr>
            <w:tcW w:w="1702" w:type="dxa"/>
          </w:tcPr>
          <w:p w14:paraId="29D1CD2B" w14:textId="77777777" w:rsidR="00666811" w:rsidRPr="005D7BA3" w:rsidRDefault="00666811" w:rsidP="00483D97">
            <w:pPr>
              <w:pStyle w:val="TableParagraph"/>
              <w:rPr>
                <w:sz w:val="24"/>
                <w:szCs w:val="24"/>
              </w:rPr>
            </w:pPr>
          </w:p>
        </w:tc>
        <w:tc>
          <w:tcPr>
            <w:tcW w:w="1939" w:type="dxa"/>
          </w:tcPr>
          <w:p w14:paraId="70B8A1D7" w14:textId="77777777" w:rsidR="00666811" w:rsidRPr="005D7BA3" w:rsidRDefault="00666811" w:rsidP="00483D97">
            <w:pPr>
              <w:pStyle w:val="TableParagraph"/>
              <w:rPr>
                <w:sz w:val="24"/>
                <w:szCs w:val="24"/>
              </w:rPr>
            </w:pPr>
          </w:p>
        </w:tc>
        <w:tc>
          <w:tcPr>
            <w:tcW w:w="2834" w:type="dxa"/>
          </w:tcPr>
          <w:p w14:paraId="7625B049" w14:textId="77777777" w:rsidR="00666811" w:rsidRPr="005D7BA3" w:rsidRDefault="00666811" w:rsidP="00483D97">
            <w:pPr>
              <w:pStyle w:val="TableParagraph"/>
              <w:rPr>
                <w:sz w:val="24"/>
                <w:szCs w:val="24"/>
              </w:rPr>
            </w:pPr>
          </w:p>
        </w:tc>
      </w:tr>
      <w:tr w:rsidR="00666811" w:rsidRPr="005D7BA3" w14:paraId="4F0F79FB" w14:textId="77777777" w:rsidTr="005D7BA3">
        <w:trPr>
          <w:trHeight w:val="371"/>
        </w:trPr>
        <w:tc>
          <w:tcPr>
            <w:tcW w:w="2712" w:type="dxa"/>
          </w:tcPr>
          <w:p w14:paraId="64CE844D" w14:textId="77777777" w:rsidR="00666811" w:rsidRPr="005D7BA3" w:rsidRDefault="00666811" w:rsidP="00483D97">
            <w:pPr>
              <w:pStyle w:val="TableParagraph"/>
              <w:spacing w:before="40"/>
              <w:ind w:left="107"/>
              <w:rPr>
                <w:sz w:val="24"/>
                <w:szCs w:val="24"/>
              </w:rPr>
            </w:pPr>
            <w:r w:rsidRPr="005D7BA3">
              <w:rPr>
                <w:sz w:val="24"/>
                <w:szCs w:val="24"/>
              </w:rPr>
              <w:t>Fever</w:t>
            </w:r>
          </w:p>
        </w:tc>
        <w:tc>
          <w:tcPr>
            <w:tcW w:w="1702" w:type="dxa"/>
          </w:tcPr>
          <w:p w14:paraId="61B6606D" w14:textId="77777777" w:rsidR="00666811" w:rsidRPr="005D7BA3" w:rsidRDefault="00666811" w:rsidP="00483D97">
            <w:pPr>
              <w:pStyle w:val="TableParagraph"/>
              <w:rPr>
                <w:sz w:val="24"/>
                <w:szCs w:val="24"/>
              </w:rPr>
            </w:pPr>
          </w:p>
        </w:tc>
        <w:tc>
          <w:tcPr>
            <w:tcW w:w="1939" w:type="dxa"/>
          </w:tcPr>
          <w:p w14:paraId="2C9E295D" w14:textId="77777777" w:rsidR="00666811" w:rsidRPr="005D7BA3" w:rsidRDefault="00666811" w:rsidP="00483D97">
            <w:pPr>
              <w:pStyle w:val="TableParagraph"/>
              <w:rPr>
                <w:sz w:val="24"/>
                <w:szCs w:val="24"/>
              </w:rPr>
            </w:pPr>
          </w:p>
        </w:tc>
        <w:tc>
          <w:tcPr>
            <w:tcW w:w="2834" w:type="dxa"/>
          </w:tcPr>
          <w:p w14:paraId="4AA5A09D" w14:textId="77777777" w:rsidR="00666811" w:rsidRPr="005D7BA3" w:rsidRDefault="00666811" w:rsidP="00483D97">
            <w:pPr>
              <w:pStyle w:val="TableParagraph"/>
              <w:rPr>
                <w:sz w:val="24"/>
                <w:szCs w:val="24"/>
              </w:rPr>
            </w:pPr>
          </w:p>
        </w:tc>
      </w:tr>
      <w:tr w:rsidR="00666811" w:rsidRPr="005D7BA3" w14:paraId="64DAB8FC" w14:textId="77777777" w:rsidTr="005D7BA3">
        <w:trPr>
          <w:trHeight w:val="374"/>
        </w:trPr>
        <w:tc>
          <w:tcPr>
            <w:tcW w:w="2712" w:type="dxa"/>
          </w:tcPr>
          <w:p w14:paraId="1FC76EF2" w14:textId="77777777" w:rsidR="00666811" w:rsidRPr="005D7BA3" w:rsidRDefault="00666811" w:rsidP="00483D97">
            <w:pPr>
              <w:pStyle w:val="TableParagraph"/>
              <w:spacing w:before="43"/>
              <w:ind w:left="107"/>
              <w:rPr>
                <w:sz w:val="24"/>
                <w:szCs w:val="24"/>
              </w:rPr>
            </w:pPr>
            <w:r w:rsidRPr="005D7BA3">
              <w:rPr>
                <w:sz w:val="24"/>
                <w:szCs w:val="24"/>
              </w:rPr>
              <w:t>Headache</w:t>
            </w:r>
          </w:p>
        </w:tc>
        <w:tc>
          <w:tcPr>
            <w:tcW w:w="1702" w:type="dxa"/>
          </w:tcPr>
          <w:p w14:paraId="40F80ECF" w14:textId="77777777" w:rsidR="00666811" w:rsidRPr="005D7BA3" w:rsidRDefault="00666811" w:rsidP="00483D97">
            <w:pPr>
              <w:pStyle w:val="TableParagraph"/>
              <w:rPr>
                <w:sz w:val="24"/>
                <w:szCs w:val="24"/>
              </w:rPr>
            </w:pPr>
          </w:p>
        </w:tc>
        <w:tc>
          <w:tcPr>
            <w:tcW w:w="1939" w:type="dxa"/>
          </w:tcPr>
          <w:p w14:paraId="075CED53" w14:textId="77777777" w:rsidR="00666811" w:rsidRPr="005D7BA3" w:rsidRDefault="00666811" w:rsidP="00483D97">
            <w:pPr>
              <w:pStyle w:val="TableParagraph"/>
              <w:rPr>
                <w:sz w:val="24"/>
                <w:szCs w:val="24"/>
              </w:rPr>
            </w:pPr>
          </w:p>
        </w:tc>
        <w:tc>
          <w:tcPr>
            <w:tcW w:w="2834" w:type="dxa"/>
          </w:tcPr>
          <w:p w14:paraId="13093FA1" w14:textId="77777777" w:rsidR="00666811" w:rsidRPr="005D7BA3" w:rsidRDefault="00666811" w:rsidP="00483D97">
            <w:pPr>
              <w:pStyle w:val="TableParagraph"/>
              <w:rPr>
                <w:sz w:val="24"/>
                <w:szCs w:val="24"/>
              </w:rPr>
            </w:pPr>
          </w:p>
        </w:tc>
      </w:tr>
      <w:tr w:rsidR="00666811" w:rsidRPr="005D7BA3" w14:paraId="0FE2AA05" w14:textId="77777777" w:rsidTr="005D7BA3">
        <w:trPr>
          <w:trHeight w:val="372"/>
        </w:trPr>
        <w:tc>
          <w:tcPr>
            <w:tcW w:w="2712" w:type="dxa"/>
          </w:tcPr>
          <w:p w14:paraId="35F78FE9" w14:textId="77777777" w:rsidR="00666811" w:rsidRPr="005D7BA3" w:rsidRDefault="00666811" w:rsidP="00483D97">
            <w:pPr>
              <w:pStyle w:val="TableParagraph"/>
              <w:spacing w:before="40"/>
              <w:ind w:left="107"/>
              <w:rPr>
                <w:sz w:val="24"/>
                <w:szCs w:val="24"/>
              </w:rPr>
            </w:pPr>
            <w:r w:rsidRPr="005D7BA3">
              <w:rPr>
                <w:sz w:val="24"/>
                <w:szCs w:val="24"/>
              </w:rPr>
              <w:t>Fatigue</w:t>
            </w:r>
          </w:p>
        </w:tc>
        <w:tc>
          <w:tcPr>
            <w:tcW w:w="1702" w:type="dxa"/>
          </w:tcPr>
          <w:p w14:paraId="7558BADA" w14:textId="77777777" w:rsidR="00666811" w:rsidRPr="005D7BA3" w:rsidRDefault="00666811" w:rsidP="00483D97">
            <w:pPr>
              <w:pStyle w:val="TableParagraph"/>
              <w:rPr>
                <w:sz w:val="24"/>
                <w:szCs w:val="24"/>
              </w:rPr>
            </w:pPr>
          </w:p>
        </w:tc>
        <w:tc>
          <w:tcPr>
            <w:tcW w:w="1939" w:type="dxa"/>
          </w:tcPr>
          <w:p w14:paraId="68053BE6" w14:textId="77777777" w:rsidR="00666811" w:rsidRPr="005D7BA3" w:rsidRDefault="00666811" w:rsidP="00483D97">
            <w:pPr>
              <w:pStyle w:val="TableParagraph"/>
              <w:rPr>
                <w:sz w:val="24"/>
                <w:szCs w:val="24"/>
              </w:rPr>
            </w:pPr>
          </w:p>
        </w:tc>
        <w:tc>
          <w:tcPr>
            <w:tcW w:w="2834" w:type="dxa"/>
          </w:tcPr>
          <w:p w14:paraId="2BD7C664" w14:textId="77777777" w:rsidR="00666811" w:rsidRPr="005D7BA3" w:rsidRDefault="00666811" w:rsidP="00483D97">
            <w:pPr>
              <w:pStyle w:val="TableParagraph"/>
              <w:rPr>
                <w:sz w:val="24"/>
                <w:szCs w:val="24"/>
              </w:rPr>
            </w:pPr>
          </w:p>
        </w:tc>
      </w:tr>
      <w:tr w:rsidR="00666811" w:rsidRPr="005D7BA3" w14:paraId="272BEE78" w14:textId="77777777" w:rsidTr="005D7BA3">
        <w:trPr>
          <w:trHeight w:val="625"/>
        </w:trPr>
        <w:tc>
          <w:tcPr>
            <w:tcW w:w="2712" w:type="dxa"/>
          </w:tcPr>
          <w:p w14:paraId="05A1446E" w14:textId="77777777" w:rsidR="00666811" w:rsidRPr="005D7BA3" w:rsidRDefault="00666811" w:rsidP="00483D97">
            <w:pPr>
              <w:pStyle w:val="TableParagraph"/>
              <w:spacing w:before="3" w:line="290" w:lineRule="atLeast"/>
              <w:ind w:left="107" w:right="294"/>
              <w:rPr>
                <w:sz w:val="24"/>
                <w:szCs w:val="24"/>
              </w:rPr>
            </w:pPr>
            <w:r w:rsidRPr="005D7BA3">
              <w:rPr>
                <w:sz w:val="24"/>
                <w:szCs w:val="24"/>
              </w:rPr>
              <w:t>Tingling/ numbness/ altered sensation</w:t>
            </w:r>
          </w:p>
        </w:tc>
        <w:tc>
          <w:tcPr>
            <w:tcW w:w="1702" w:type="dxa"/>
          </w:tcPr>
          <w:p w14:paraId="16CAF5CC" w14:textId="77777777" w:rsidR="00666811" w:rsidRPr="005D7BA3" w:rsidRDefault="00666811" w:rsidP="00483D97">
            <w:pPr>
              <w:pStyle w:val="TableParagraph"/>
              <w:rPr>
                <w:sz w:val="24"/>
                <w:szCs w:val="24"/>
              </w:rPr>
            </w:pPr>
          </w:p>
        </w:tc>
        <w:tc>
          <w:tcPr>
            <w:tcW w:w="1939" w:type="dxa"/>
          </w:tcPr>
          <w:p w14:paraId="034451AE" w14:textId="77777777" w:rsidR="00666811" w:rsidRPr="005D7BA3" w:rsidRDefault="00666811" w:rsidP="00483D97">
            <w:pPr>
              <w:pStyle w:val="TableParagraph"/>
              <w:rPr>
                <w:sz w:val="24"/>
                <w:szCs w:val="24"/>
              </w:rPr>
            </w:pPr>
          </w:p>
        </w:tc>
        <w:tc>
          <w:tcPr>
            <w:tcW w:w="2834" w:type="dxa"/>
          </w:tcPr>
          <w:p w14:paraId="6EFE2705" w14:textId="77777777" w:rsidR="00666811" w:rsidRPr="005D7BA3" w:rsidRDefault="00666811" w:rsidP="00483D97">
            <w:pPr>
              <w:pStyle w:val="TableParagraph"/>
              <w:rPr>
                <w:sz w:val="24"/>
                <w:szCs w:val="24"/>
              </w:rPr>
            </w:pPr>
          </w:p>
        </w:tc>
      </w:tr>
      <w:tr w:rsidR="00666811" w:rsidRPr="005D7BA3" w14:paraId="5944809C" w14:textId="77777777" w:rsidTr="005D7BA3">
        <w:trPr>
          <w:trHeight w:val="374"/>
        </w:trPr>
        <w:tc>
          <w:tcPr>
            <w:tcW w:w="2712" w:type="dxa"/>
          </w:tcPr>
          <w:p w14:paraId="5B68418A" w14:textId="77777777" w:rsidR="00666811" w:rsidRPr="005D7BA3" w:rsidRDefault="00666811" w:rsidP="00483D97">
            <w:pPr>
              <w:pStyle w:val="TableParagraph"/>
              <w:spacing w:before="40"/>
              <w:ind w:left="107"/>
              <w:rPr>
                <w:sz w:val="24"/>
                <w:szCs w:val="24"/>
              </w:rPr>
            </w:pPr>
            <w:r w:rsidRPr="005D7BA3">
              <w:rPr>
                <w:sz w:val="24"/>
                <w:szCs w:val="24"/>
              </w:rPr>
              <w:t>Muscle twitching</w:t>
            </w:r>
          </w:p>
        </w:tc>
        <w:tc>
          <w:tcPr>
            <w:tcW w:w="1702" w:type="dxa"/>
          </w:tcPr>
          <w:p w14:paraId="49A74411" w14:textId="77777777" w:rsidR="00666811" w:rsidRPr="005D7BA3" w:rsidRDefault="00666811" w:rsidP="00483D97">
            <w:pPr>
              <w:pStyle w:val="TableParagraph"/>
              <w:rPr>
                <w:sz w:val="24"/>
                <w:szCs w:val="24"/>
              </w:rPr>
            </w:pPr>
          </w:p>
        </w:tc>
        <w:tc>
          <w:tcPr>
            <w:tcW w:w="1939" w:type="dxa"/>
          </w:tcPr>
          <w:p w14:paraId="30EB2076" w14:textId="77777777" w:rsidR="00666811" w:rsidRPr="005D7BA3" w:rsidRDefault="00666811" w:rsidP="00483D97">
            <w:pPr>
              <w:pStyle w:val="TableParagraph"/>
              <w:rPr>
                <w:sz w:val="24"/>
                <w:szCs w:val="24"/>
              </w:rPr>
            </w:pPr>
          </w:p>
        </w:tc>
        <w:tc>
          <w:tcPr>
            <w:tcW w:w="2834" w:type="dxa"/>
          </w:tcPr>
          <w:p w14:paraId="47491201" w14:textId="77777777" w:rsidR="00666811" w:rsidRPr="005D7BA3" w:rsidRDefault="00666811" w:rsidP="00483D97">
            <w:pPr>
              <w:pStyle w:val="TableParagraph"/>
              <w:rPr>
                <w:sz w:val="24"/>
                <w:szCs w:val="24"/>
              </w:rPr>
            </w:pPr>
          </w:p>
        </w:tc>
      </w:tr>
      <w:tr w:rsidR="00666811" w:rsidRPr="005D7BA3" w14:paraId="4784A31F" w14:textId="77777777" w:rsidTr="005D7BA3">
        <w:trPr>
          <w:trHeight w:val="371"/>
        </w:trPr>
        <w:tc>
          <w:tcPr>
            <w:tcW w:w="2712" w:type="dxa"/>
          </w:tcPr>
          <w:p w14:paraId="3406CF1E" w14:textId="77777777" w:rsidR="00666811" w:rsidRPr="005D7BA3" w:rsidRDefault="00666811" w:rsidP="00483D97">
            <w:pPr>
              <w:pStyle w:val="TableParagraph"/>
              <w:spacing w:before="40"/>
              <w:ind w:left="107"/>
              <w:rPr>
                <w:sz w:val="24"/>
                <w:szCs w:val="24"/>
              </w:rPr>
            </w:pPr>
            <w:r w:rsidRPr="005D7BA3">
              <w:rPr>
                <w:sz w:val="24"/>
                <w:szCs w:val="24"/>
              </w:rPr>
              <w:t>Dizziness</w:t>
            </w:r>
          </w:p>
        </w:tc>
        <w:tc>
          <w:tcPr>
            <w:tcW w:w="1702" w:type="dxa"/>
          </w:tcPr>
          <w:p w14:paraId="044481B3" w14:textId="77777777" w:rsidR="00666811" w:rsidRPr="005D7BA3" w:rsidRDefault="00666811" w:rsidP="00483D97">
            <w:pPr>
              <w:pStyle w:val="TableParagraph"/>
              <w:rPr>
                <w:sz w:val="24"/>
                <w:szCs w:val="24"/>
              </w:rPr>
            </w:pPr>
          </w:p>
        </w:tc>
        <w:tc>
          <w:tcPr>
            <w:tcW w:w="1939" w:type="dxa"/>
          </w:tcPr>
          <w:p w14:paraId="533074A9" w14:textId="77777777" w:rsidR="00666811" w:rsidRPr="005D7BA3" w:rsidRDefault="00666811" w:rsidP="00483D97">
            <w:pPr>
              <w:pStyle w:val="TableParagraph"/>
              <w:rPr>
                <w:sz w:val="24"/>
                <w:szCs w:val="24"/>
              </w:rPr>
            </w:pPr>
          </w:p>
        </w:tc>
        <w:tc>
          <w:tcPr>
            <w:tcW w:w="2834" w:type="dxa"/>
          </w:tcPr>
          <w:p w14:paraId="04F85FEC" w14:textId="77777777" w:rsidR="00666811" w:rsidRPr="005D7BA3" w:rsidRDefault="00666811" w:rsidP="00483D97">
            <w:pPr>
              <w:pStyle w:val="TableParagraph"/>
              <w:rPr>
                <w:sz w:val="24"/>
                <w:szCs w:val="24"/>
              </w:rPr>
            </w:pPr>
          </w:p>
        </w:tc>
      </w:tr>
      <w:tr w:rsidR="00666811" w:rsidRPr="005D7BA3" w14:paraId="2A22D561" w14:textId="77777777" w:rsidTr="005D7BA3">
        <w:trPr>
          <w:trHeight w:val="371"/>
        </w:trPr>
        <w:tc>
          <w:tcPr>
            <w:tcW w:w="2712" w:type="dxa"/>
          </w:tcPr>
          <w:p w14:paraId="4672B38E" w14:textId="77777777" w:rsidR="00666811" w:rsidRPr="005D7BA3" w:rsidRDefault="00666811" w:rsidP="00483D97">
            <w:pPr>
              <w:pStyle w:val="TableParagraph"/>
              <w:spacing w:before="40"/>
              <w:ind w:left="107"/>
              <w:rPr>
                <w:sz w:val="24"/>
                <w:szCs w:val="24"/>
              </w:rPr>
            </w:pPr>
            <w:r w:rsidRPr="005D7BA3">
              <w:rPr>
                <w:sz w:val="24"/>
                <w:szCs w:val="24"/>
              </w:rPr>
              <w:t>Drowsiness</w:t>
            </w:r>
          </w:p>
        </w:tc>
        <w:tc>
          <w:tcPr>
            <w:tcW w:w="1702" w:type="dxa"/>
          </w:tcPr>
          <w:p w14:paraId="395F1984" w14:textId="77777777" w:rsidR="00666811" w:rsidRPr="005D7BA3" w:rsidRDefault="00666811" w:rsidP="00483D97">
            <w:pPr>
              <w:pStyle w:val="TableParagraph"/>
              <w:rPr>
                <w:sz w:val="24"/>
                <w:szCs w:val="24"/>
              </w:rPr>
            </w:pPr>
          </w:p>
        </w:tc>
        <w:tc>
          <w:tcPr>
            <w:tcW w:w="1939" w:type="dxa"/>
          </w:tcPr>
          <w:p w14:paraId="1062A902" w14:textId="77777777" w:rsidR="00666811" w:rsidRPr="005D7BA3" w:rsidRDefault="00666811" w:rsidP="00483D97">
            <w:pPr>
              <w:pStyle w:val="TableParagraph"/>
              <w:rPr>
                <w:sz w:val="24"/>
                <w:szCs w:val="24"/>
              </w:rPr>
            </w:pPr>
          </w:p>
        </w:tc>
        <w:tc>
          <w:tcPr>
            <w:tcW w:w="2834" w:type="dxa"/>
          </w:tcPr>
          <w:p w14:paraId="33FA7337" w14:textId="77777777" w:rsidR="00666811" w:rsidRPr="005D7BA3" w:rsidRDefault="00666811" w:rsidP="00483D97">
            <w:pPr>
              <w:pStyle w:val="TableParagraph"/>
              <w:rPr>
                <w:sz w:val="24"/>
                <w:szCs w:val="24"/>
              </w:rPr>
            </w:pPr>
          </w:p>
        </w:tc>
      </w:tr>
      <w:tr w:rsidR="00666811" w:rsidRPr="005D7BA3" w14:paraId="1DAD8736" w14:textId="77777777" w:rsidTr="005D7BA3">
        <w:trPr>
          <w:trHeight w:val="587"/>
        </w:trPr>
        <w:tc>
          <w:tcPr>
            <w:tcW w:w="2712" w:type="dxa"/>
          </w:tcPr>
          <w:p w14:paraId="1560C042" w14:textId="77777777" w:rsidR="00666811" w:rsidRPr="005D7BA3" w:rsidRDefault="00666811" w:rsidP="00483D97">
            <w:pPr>
              <w:pStyle w:val="TableParagraph"/>
              <w:spacing w:before="43"/>
              <w:ind w:left="107" w:right="538"/>
              <w:rPr>
                <w:sz w:val="24"/>
                <w:szCs w:val="24"/>
              </w:rPr>
            </w:pPr>
            <w:r w:rsidRPr="005D7BA3">
              <w:rPr>
                <w:sz w:val="24"/>
                <w:szCs w:val="24"/>
              </w:rPr>
              <w:t>Altered speech or coordination</w:t>
            </w:r>
          </w:p>
        </w:tc>
        <w:tc>
          <w:tcPr>
            <w:tcW w:w="1702" w:type="dxa"/>
          </w:tcPr>
          <w:p w14:paraId="3BBC6B89" w14:textId="77777777" w:rsidR="00666811" w:rsidRPr="005D7BA3" w:rsidRDefault="00666811" w:rsidP="00483D97">
            <w:pPr>
              <w:pStyle w:val="TableParagraph"/>
              <w:rPr>
                <w:sz w:val="24"/>
                <w:szCs w:val="24"/>
              </w:rPr>
            </w:pPr>
          </w:p>
        </w:tc>
        <w:tc>
          <w:tcPr>
            <w:tcW w:w="1939" w:type="dxa"/>
          </w:tcPr>
          <w:p w14:paraId="46762C27" w14:textId="77777777" w:rsidR="00666811" w:rsidRPr="005D7BA3" w:rsidRDefault="00666811" w:rsidP="00483D97">
            <w:pPr>
              <w:pStyle w:val="TableParagraph"/>
              <w:rPr>
                <w:sz w:val="24"/>
                <w:szCs w:val="24"/>
              </w:rPr>
            </w:pPr>
          </w:p>
        </w:tc>
        <w:tc>
          <w:tcPr>
            <w:tcW w:w="2834" w:type="dxa"/>
          </w:tcPr>
          <w:p w14:paraId="3E88B5A6" w14:textId="77777777" w:rsidR="00666811" w:rsidRPr="005D7BA3" w:rsidRDefault="00666811" w:rsidP="00483D97">
            <w:pPr>
              <w:pStyle w:val="TableParagraph"/>
              <w:rPr>
                <w:sz w:val="24"/>
                <w:szCs w:val="24"/>
              </w:rPr>
            </w:pPr>
          </w:p>
        </w:tc>
      </w:tr>
      <w:tr w:rsidR="00666811" w:rsidRPr="005D7BA3" w14:paraId="5DDC3632" w14:textId="77777777" w:rsidTr="005D7BA3">
        <w:trPr>
          <w:trHeight w:val="839"/>
        </w:trPr>
        <w:tc>
          <w:tcPr>
            <w:tcW w:w="2712" w:type="dxa"/>
          </w:tcPr>
          <w:p w14:paraId="2528D74B" w14:textId="2C783E00" w:rsidR="00666811" w:rsidRPr="005D7BA3" w:rsidRDefault="00666811" w:rsidP="00BD7E7F">
            <w:pPr>
              <w:pStyle w:val="TableParagraph"/>
              <w:spacing w:before="40"/>
              <w:ind w:left="107" w:right="473"/>
              <w:rPr>
                <w:sz w:val="24"/>
                <w:szCs w:val="24"/>
              </w:rPr>
            </w:pPr>
            <w:r w:rsidRPr="005D7BA3">
              <w:rPr>
                <w:sz w:val="24"/>
                <w:szCs w:val="24"/>
              </w:rPr>
              <w:t>Urinary symptoms (eg</w:t>
            </w:r>
            <w:r w:rsidR="00127266">
              <w:rPr>
                <w:sz w:val="24"/>
                <w:szCs w:val="24"/>
              </w:rPr>
              <w:t>,</w:t>
            </w:r>
            <w:r w:rsidR="00127266" w:rsidRPr="005D7BA3">
              <w:rPr>
                <w:sz w:val="24"/>
                <w:szCs w:val="24"/>
              </w:rPr>
              <w:t xml:space="preserve"> </w:t>
            </w:r>
            <w:r w:rsidRPr="005D7BA3">
              <w:rPr>
                <w:sz w:val="24"/>
                <w:szCs w:val="24"/>
              </w:rPr>
              <w:t>dark urine, +- blood)</w:t>
            </w:r>
          </w:p>
        </w:tc>
        <w:tc>
          <w:tcPr>
            <w:tcW w:w="1702" w:type="dxa"/>
          </w:tcPr>
          <w:p w14:paraId="2AD82653" w14:textId="77777777" w:rsidR="00666811" w:rsidRPr="005D7BA3" w:rsidRDefault="00666811" w:rsidP="00483D97">
            <w:pPr>
              <w:pStyle w:val="TableParagraph"/>
              <w:rPr>
                <w:sz w:val="24"/>
                <w:szCs w:val="24"/>
              </w:rPr>
            </w:pPr>
          </w:p>
        </w:tc>
        <w:tc>
          <w:tcPr>
            <w:tcW w:w="1939" w:type="dxa"/>
          </w:tcPr>
          <w:p w14:paraId="4142FBF8" w14:textId="77777777" w:rsidR="00666811" w:rsidRPr="005D7BA3" w:rsidRDefault="00666811" w:rsidP="00483D97">
            <w:pPr>
              <w:pStyle w:val="TableParagraph"/>
              <w:rPr>
                <w:sz w:val="24"/>
                <w:szCs w:val="24"/>
              </w:rPr>
            </w:pPr>
          </w:p>
        </w:tc>
        <w:tc>
          <w:tcPr>
            <w:tcW w:w="2834" w:type="dxa"/>
          </w:tcPr>
          <w:p w14:paraId="41C92D50" w14:textId="77777777" w:rsidR="00666811" w:rsidRPr="005D7BA3" w:rsidRDefault="00666811" w:rsidP="00483D97">
            <w:pPr>
              <w:pStyle w:val="TableParagraph"/>
              <w:rPr>
                <w:sz w:val="24"/>
                <w:szCs w:val="24"/>
              </w:rPr>
            </w:pPr>
          </w:p>
        </w:tc>
      </w:tr>
      <w:tr w:rsidR="00666811" w:rsidRPr="005D7BA3" w14:paraId="6CF1E600" w14:textId="77777777" w:rsidTr="005D7BA3">
        <w:trPr>
          <w:trHeight w:val="585"/>
        </w:trPr>
        <w:tc>
          <w:tcPr>
            <w:tcW w:w="2712" w:type="dxa"/>
          </w:tcPr>
          <w:p w14:paraId="6417F7B9" w14:textId="4742B1ED" w:rsidR="00666811" w:rsidRPr="005D7BA3" w:rsidRDefault="00666811" w:rsidP="00483D97">
            <w:pPr>
              <w:pStyle w:val="TableParagraph"/>
              <w:spacing w:before="40"/>
              <w:ind w:left="107" w:right="160"/>
              <w:rPr>
                <w:sz w:val="24"/>
                <w:szCs w:val="24"/>
              </w:rPr>
            </w:pPr>
            <w:r w:rsidRPr="005D7BA3">
              <w:rPr>
                <w:sz w:val="24"/>
                <w:szCs w:val="24"/>
              </w:rPr>
              <w:t>Other symptoms eg, joint or muscle ache.</w:t>
            </w:r>
          </w:p>
        </w:tc>
        <w:tc>
          <w:tcPr>
            <w:tcW w:w="1702" w:type="dxa"/>
          </w:tcPr>
          <w:p w14:paraId="06877311" w14:textId="77777777" w:rsidR="00666811" w:rsidRPr="005D7BA3" w:rsidRDefault="00666811" w:rsidP="00483D97">
            <w:pPr>
              <w:pStyle w:val="TableParagraph"/>
              <w:rPr>
                <w:sz w:val="24"/>
                <w:szCs w:val="24"/>
              </w:rPr>
            </w:pPr>
          </w:p>
        </w:tc>
        <w:tc>
          <w:tcPr>
            <w:tcW w:w="1939" w:type="dxa"/>
          </w:tcPr>
          <w:p w14:paraId="1555F426" w14:textId="77777777" w:rsidR="00666811" w:rsidRPr="005D7BA3" w:rsidRDefault="00666811" w:rsidP="00483D97">
            <w:pPr>
              <w:pStyle w:val="TableParagraph"/>
              <w:rPr>
                <w:sz w:val="24"/>
                <w:szCs w:val="24"/>
              </w:rPr>
            </w:pPr>
          </w:p>
        </w:tc>
        <w:tc>
          <w:tcPr>
            <w:tcW w:w="2834" w:type="dxa"/>
          </w:tcPr>
          <w:p w14:paraId="1D840649" w14:textId="77777777" w:rsidR="00666811" w:rsidRPr="005D7BA3" w:rsidRDefault="00666811" w:rsidP="00483D97">
            <w:pPr>
              <w:pStyle w:val="TableParagraph"/>
              <w:rPr>
                <w:sz w:val="24"/>
                <w:szCs w:val="24"/>
              </w:rPr>
            </w:pPr>
          </w:p>
        </w:tc>
      </w:tr>
    </w:tbl>
    <w:p w14:paraId="1888EB60" w14:textId="77777777" w:rsidR="00666811" w:rsidRPr="005D7BA3" w:rsidRDefault="00666811" w:rsidP="00666811">
      <w:pPr>
        <w:rPr>
          <w:sz w:val="24"/>
          <w:szCs w:val="24"/>
          <w:lang w:val="en-NZ"/>
        </w:rPr>
      </w:pPr>
    </w:p>
    <w:p w14:paraId="2B4280AF" w14:textId="3E8E1357" w:rsidR="0081517F" w:rsidRPr="005D7BA3" w:rsidRDefault="0081517F">
      <w:pPr>
        <w:rPr>
          <w:sz w:val="24"/>
          <w:szCs w:val="24"/>
          <w:lang w:val="en-NZ"/>
        </w:rPr>
      </w:pPr>
      <w:r w:rsidRPr="005D7BA3">
        <w:rPr>
          <w:sz w:val="24"/>
          <w:szCs w:val="24"/>
          <w:lang w:val="en-NZ"/>
        </w:rPr>
        <w:br w:type="page"/>
      </w:r>
    </w:p>
    <w:p w14:paraId="2DBF8946" w14:textId="67475A1E" w:rsidR="00666811" w:rsidRPr="005D7BA3" w:rsidRDefault="00666811" w:rsidP="00666811">
      <w:pPr>
        <w:rPr>
          <w:sz w:val="24"/>
          <w:szCs w:val="24"/>
          <w:lang w:val="en-NZ"/>
        </w:rPr>
      </w:pPr>
      <w:r w:rsidRPr="005D7BA3">
        <w:rPr>
          <w:sz w:val="24"/>
          <w:szCs w:val="24"/>
          <w:lang w:val="en-NZ"/>
        </w:rPr>
        <w:lastRenderedPageBreak/>
        <w:t>Basis on which medical practitioner made diagnosis eg:</w:t>
      </w:r>
    </w:p>
    <w:p w14:paraId="2802080A" w14:textId="2F77681B"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clinical and exposure history</w:t>
      </w:r>
    </w:p>
    <w:p w14:paraId="70FB37A7" w14:textId="4CAB4A55"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clinical examination</w:t>
      </w:r>
    </w:p>
    <w:p w14:paraId="504AEF8E" w14:textId="19626B68"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 xml:space="preserve">laboratory tests – stool sample, bloods - liver function, kidney function (attach results) </w:t>
      </w:r>
    </w:p>
    <w:p w14:paraId="70930191" w14:textId="314F7512" w:rsidR="00666811" w:rsidRPr="005D7BA3" w:rsidRDefault="00666811" w:rsidP="00666811">
      <w:pPr>
        <w:rPr>
          <w:sz w:val="24"/>
          <w:szCs w:val="24"/>
          <w:lang w:val="en-NZ"/>
        </w:rPr>
      </w:pPr>
      <w:r w:rsidRPr="005D7BA3">
        <w:rPr>
          <w:sz w:val="24"/>
          <w:szCs w:val="24"/>
          <w:lang w:val="en-NZ"/>
        </w:rPr>
        <w:t>Are the symptoms consistent with HAB exposure?</w:t>
      </w:r>
    </w:p>
    <w:p w14:paraId="52B01A46" w14:textId="77777777" w:rsidR="00666811" w:rsidRPr="005D7BA3" w:rsidRDefault="00666811" w:rsidP="00666811">
      <w:pPr>
        <w:rPr>
          <w:sz w:val="24"/>
          <w:szCs w:val="24"/>
          <w:lang w:val="en-NZ"/>
        </w:rPr>
      </w:pPr>
      <w:r w:rsidRPr="005D7BA3">
        <w:rPr>
          <w:sz w:val="24"/>
          <w:szCs w:val="24"/>
          <w:lang w:val="en-NZ"/>
        </w:rPr>
        <w:t xml:space="preserve">Did the case require time off work?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p>
    <w:p w14:paraId="48ECE059" w14:textId="77777777" w:rsidR="00666811" w:rsidRPr="005D7BA3" w:rsidRDefault="00666811" w:rsidP="00666811">
      <w:pPr>
        <w:rPr>
          <w:sz w:val="24"/>
          <w:szCs w:val="24"/>
          <w:lang w:val="en-NZ"/>
        </w:rPr>
      </w:pPr>
      <w:r w:rsidRPr="005D7BA3">
        <w:rPr>
          <w:sz w:val="24"/>
          <w:szCs w:val="24"/>
          <w:lang w:val="en-NZ"/>
        </w:rPr>
        <w:t xml:space="preserve">Admission/Presentation to hospital: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if yes, dates admitted and discharged</w:t>
      </w:r>
    </w:p>
    <w:p w14:paraId="5962786E" w14:textId="77777777" w:rsidR="00666811" w:rsidRPr="00CC0F9B" w:rsidRDefault="00666811" w:rsidP="00496185">
      <w:pPr>
        <w:pStyle w:val="Heading3"/>
        <w:rPr>
          <w:rFonts w:ascii="Arial" w:hAnsi="Arial" w:cs="Arial"/>
          <w:lang w:val="en-NZ"/>
        </w:rPr>
      </w:pPr>
      <w:r w:rsidRPr="00CC0F9B">
        <w:rPr>
          <w:rFonts w:ascii="Arial" w:hAnsi="Arial" w:cs="Arial"/>
          <w:lang w:val="en-NZ"/>
        </w:rPr>
        <w:t>A.8</w:t>
      </w:r>
      <w:r w:rsidRPr="00CC0F9B">
        <w:rPr>
          <w:rFonts w:ascii="Arial" w:hAnsi="Arial" w:cs="Arial"/>
          <w:lang w:val="en-NZ"/>
        </w:rPr>
        <w:tab/>
        <w:t>Relevant past medical history</w:t>
      </w:r>
    </w:p>
    <w:p w14:paraId="31B302A2" w14:textId="71CF1A5C" w:rsidR="00666811" w:rsidRPr="005D7BA3" w:rsidRDefault="00666811" w:rsidP="00666811">
      <w:pPr>
        <w:rPr>
          <w:sz w:val="24"/>
          <w:szCs w:val="24"/>
          <w:lang w:val="en-NZ"/>
        </w:rPr>
      </w:pPr>
      <w:r w:rsidRPr="005D7BA3">
        <w:rPr>
          <w:sz w:val="24"/>
          <w:szCs w:val="24"/>
          <w:lang w:val="en-NZ"/>
        </w:rPr>
        <w:t>Any relevant medical conditions? (eg, immunocompromised, history of respiratory, skin, gastrointestinal, kidney, liver, psychological or neurological conditions)</w:t>
      </w:r>
    </w:p>
    <w:p w14:paraId="5739826B" w14:textId="77777777" w:rsidR="00666811" w:rsidRPr="005D7BA3" w:rsidRDefault="00666811" w:rsidP="00666811">
      <w:pPr>
        <w:rPr>
          <w:sz w:val="24"/>
          <w:szCs w:val="24"/>
          <w:lang w:val="en-NZ"/>
        </w:rPr>
      </w:pPr>
      <w:r w:rsidRPr="005D7BA3">
        <w:rPr>
          <w:sz w:val="24"/>
          <w:szCs w:val="24"/>
          <w:lang w:val="en-NZ"/>
        </w:rPr>
        <w:t xml:space="preserve">Is the person pregnant? </w:t>
      </w:r>
    </w:p>
    <w:p w14:paraId="3B78BF31" w14:textId="30F23720" w:rsidR="00666811" w:rsidRPr="005D7BA3" w:rsidRDefault="00666811" w:rsidP="00666811">
      <w:pPr>
        <w:rPr>
          <w:sz w:val="24"/>
          <w:szCs w:val="24"/>
          <w:lang w:val="en-NZ"/>
        </w:rPr>
      </w:pPr>
      <w:r w:rsidRPr="005D7BA3">
        <w:rPr>
          <w:sz w:val="24"/>
          <w:szCs w:val="24"/>
          <w:lang w:val="en-NZ"/>
        </w:rPr>
        <w:t>Any known allergies:</w:t>
      </w:r>
    </w:p>
    <w:p w14:paraId="224B9970" w14:textId="77777777" w:rsidR="00666811" w:rsidRPr="005D7BA3" w:rsidRDefault="00666811" w:rsidP="00666811">
      <w:pPr>
        <w:rPr>
          <w:sz w:val="24"/>
          <w:szCs w:val="24"/>
          <w:lang w:val="en-NZ"/>
        </w:rPr>
      </w:pPr>
      <w:r w:rsidRPr="005D7BA3">
        <w:rPr>
          <w:sz w:val="24"/>
          <w:szCs w:val="24"/>
          <w:lang w:val="en-NZ"/>
        </w:rPr>
        <w:t>Any relevant medications:</w:t>
      </w:r>
    </w:p>
    <w:p w14:paraId="3BDFCEA4" w14:textId="77777777" w:rsidR="00666811" w:rsidRPr="00CC0F9B" w:rsidRDefault="00666811" w:rsidP="00496185">
      <w:pPr>
        <w:pStyle w:val="Heading3"/>
        <w:rPr>
          <w:rFonts w:ascii="Arial" w:hAnsi="Arial" w:cs="Arial"/>
          <w:lang w:val="en-NZ"/>
        </w:rPr>
      </w:pPr>
      <w:r w:rsidRPr="00CC0F9B">
        <w:rPr>
          <w:rFonts w:ascii="Arial" w:hAnsi="Arial" w:cs="Arial"/>
          <w:lang w:val="en-NZ"/>
        </w:rPr>
        <w:t>A.9</w:t>
      </w:r>
      <w:r w:rsidRPr="00CC0F9B">
        <w:rPr>
          <w:rFonts w:ascii="Arial" w:hAnsi="Arial" w:cs="Arial"/>
          <w:lang w:val="en-NZ"/>
        </w:rPr>
        <w:tab/>
        <w:t>Exclude other causes</w:t>
      </w:r>
    </w:p>
    <w:p w14:paraId="307AFF73" w14:textId="126F9E4F" w:rsidR="00666811" w:rsidRPr="005D7BA3" w:rsidRDefault="00666811" w:rsidP="00666811">
      <w:pPr>
        <w:rPr>
          <w:sz w:val="24"/>
          <w:szCs w:val="24"/>
          <w:lang w:val="en-NZ"/>
        </w:rPr>
      </w:pPr>
      <w:r w:rsidRPr="005D7BA3">
        <w:rPr>
          <w:sz w:val="24"/>
          <w:szCs w:val="24"/>
          <w:lang w:val="en-NZ"/>
        </w:rPr>
        <w:t xml:space="preserve">Have other causes of illness been excluded in the week prior to illness? eg </w:t>
      </w:r>
    </w:p>
    <w:p w14:paraId="14074FC9" w14:textId="544D31C4" w:rsidR="00666811" w:rsidRPr="005D7BA3" w:rsidRDefault="00666811" w:rsidP="00666811">
      <w:pPr>
        <w:rPr>
          <w:sz w:val="24"/>
          <w:szCs w:val="24"/>
          <w:lang w:val="en-NZ"/>
        </w:rPr>
      </w:pPr>
      <w:r w:rsidRPr="005D7BA3">
        <w:rPr>
          <w:sz w:val="24"/>
          <w:szCs w:val="24"/>
          <w:lang w:val="en-NZ"/>
        </w:rPr>
        <w:t xml:space="preserve">Overseas travel: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if yes, dates</w:t>
      </w:r>
    </w:p>
    <w:p w14:paraId="778C7C33" w14:textId="77777777" w:rsidR="00666811" w:rsidRPr="005D7BA3" w:rsidRDefault="00666811" w:rsidP="00666811">
      <w:pPr>
        <w:rPr>
          <w:sz w:val="24"/>
          <w:szCs w:val="24"/>
          <w:lang w:val="en-NZ"/>
        </w:rPr>
      </w:pPr>
      <w:r w:rsidRPr="005D7BA3">
        <w:rPr>
          <w:sz w:val="24"/>
          <w:szCs w:val="24"/>
          <w:lang w:val="en-NZ"/>
        </w:rPr>
        <w:t xml:space="preserve">Animal contact: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if yes, dates</w:t>
      </w:r>
    </w:p>
    <w:p w14:paraId="6385BAD8" w14:textId="5E3AF80E" w:rsidR="00666811" w:rsidRPr="005D7BA3" w:rsidRDefault="00666811" w:rsidP="00666811">
      <w:pPr>
        <w:rPr>
          <w:sz w:val="24"/>
          <w:szCs w:val="24"/>
          <w:lang w:val="en-NZ"/>
        </w:rPr>
      </w:pPr>
      <w:r w:rsidRPr="005D7BA3">
        <w:rPr>
          <w:sz w:val="24"/>
          <w:szCs w:val="24"/>
          <w:lang w:val="en-NZ"/>
        </w:rPr>
        <w:t>Other food or water-born risk factors eg:</w:t>
      </w:r>
    </w:p>
    <w:p w14:paraId="1C5DD64C" w14:textId="23C4BA4B"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duck or swimmers itch (Avian cercariae),</w:t>
      </w:r>
    </w:p>
    <w:p w14:paraId="56F2F5AE" w14:textId="1691D920"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known E.coli, Shigella or other gram negative bacteria in recreational waterbody,</w:t>
      </w:r>
    </w:p>
    <w:p w14:paraId="2CDF0796" w14:textId="58046FD2"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collection and consumption of mahinga kai shellfish/fish (marine or freshwater) e.g., Vibrio parahaemolyticus, mushrooms</w:t>
      </w:r>
    </w:p>
    <w:p w14:paraId="0332DD3D" w14:textId="6256BBF4"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untreated drinking water,</w:t>
      </w:r>
    </w:p>
    <w:p w14:paraId="515E152C" w14:textId="091719F3" w:rsidR="00666811" w:rsidRPr="005D7BA3" w:rsidRDefault="00666811" w:rsidP="00666811">
      <w:pPr>
        <w:pStyle w:val="ListParagraph"/>
        <w:numPr>
          <w:ilvl w:val="2"/>
          <w:numId w:val="25"/>
        </w:numPr>
        <w:ind w:left="851" w:hanging="284"/>
        <w:rPr>
          <w:sz w:val="24"/>
          <w:szCs w:val="24"/>
          <w:lang w:val="en-NZ"/>
        </w:rPr>
      </w:pPr>
      <w:r w:rsidRPr="005D7BA3">
        <w:rPr>
          <w:sz w:val="24"/>
          <w:szCs w:val="24"/>
          <w:lang w:val="en-NZ"/>
        </w:rPr>
        <w:t>risk factors for other enteric diseases such as, undercooked meat, unwashed salad, unpasteurised foods.</w:t>
      </w:r>
    </w:p>
    <w:p w14:paraId="215F12AE" w14:textId="77777777" w:rsidR="00666811" w:rsidRPr="005D7BA3" w:rsidRDefault="00666811" w:rsidP="00666811">
      <w:pPr>
        <w:rPr>
          <w:sz w:val="24"/>
          <w:szCs w:val="24"/>
          <w:lang w:val="en-NZ"/>
        </w:rPr>
      </w:pPr>
      <w:r w:rsidRPr="005D7BA3">
        <w:rPr>
          <w:sz w:val="24"/>
          <w:szCs w:val="24"/>
          <w:lang w:val="en-NZ"/>
        </w:rPr>
        <w:t>Any other infectious illnesses risk factors:</w:t>
      </w:r>
    </w:p>
    <w:p w14:paraId="575C5196" w14:textId="3980E322" w:rsidR="00666811" w:rsidRPr="005D7BA3" w:rsidRDefault="00666811" w:rsidP="00666811">
      <w:pPr>
        <w:rPr>
          <w:sz w:val="24"/>
          <w:szCs w:val="24"/>
          <w:lang w:val="en-NZ"/>
        </w:rPr>
      </w:pPr>
      <w:r w:rsidRPr="005D7BA3">
        <w:rPr>
          <w:sz w:val="24"/>
          <w:szCs w:val="24"/>
          <w:lang w:val="en-NZ"/>
        </w:rPr>
        <w:t>(eg, contact with infectious person at pre-school/school such as Norovirus)</w:t>
      </w:r>
    </w:p>
    <w:p w14:paraId="373DBB01" w14:textId="563BE948" w:rsidR="0081517F" w:rsidRPr="00CC0F9B" w:rsidRDefault="0081517F">
      <w:pPr>
        <w:rPr>
          <w:lang w:val="en-NZ"/>
        </w:rPr>
      </w:pPr>
      <w:r w:rsidRPr="00CC0F9B">
        <w:rPr>
          <w:lang w:val="en-NZ"/>
        </w:rPr>
        <w:br w:type="page"/>
      </w:r>
    </w:p>
    <w:p w14:paraId="637ECDBF" w14:textId="77777777" w:rsidR="00666811" w:rsidRPr="00CC0F9B" w:rsidRDefault="00666811" w:rsidP="00496185">
      <w:pPr>
        <w:pStyle w:val="Heading3"/>
        <w:rPr>
          <w:rFonts w:ascii="Arial" w:hAnsi="Arial" w:cs="Arial"/>
          <w:lang w:val="en-NZ"/>
        </w:rPr>
      </w:pPr>
      <w:r w:rsidRPr="00CC0F9B">
        <w:rPr>
          <w:rFonts w:ascii="Arial" w:hAnsi="Arial" w:cs="Arial"/>
          <w:lang w:val="en-NZ"/>
        </w:rPr>
        <w:lastRenderedPageBreak/>
        <w:t>A.10</w:t>
      </w:r>
      <w:r w:rsidRPr="00CC0F9B">
        <w:rPr>
          <w:rFonts w:ascii="Arial" w:hAnsi="Arial" w:cs="Arial"/>
          <w:lang w:val="en-NZ"/>
        </w:rPr>
        <w:tab/>
        <w:t>Case classification of harmful algal bloom poisoning from exposure to recreational water (internal use)</w:t>
      </w:r>
    </w:p>
    <w:p w14:paraId="089D104E" w14:textId="77777777" w:rsidR="0081517F" w:rsidRPr="005D7BA3" w:rsidRDefault="00666811" w:rsidP="00666811">
      <w:pPr>
        <w:rPr>
          <w:sz w:val="24"/>
          <w:szCs w:val="24"/>
          <w:lang w:val="en-NZ"/>
        </w:rPr>
      </w:pPr>
      <w:r w:rsidRPr="005D7BA3">
        <w:rPr>
          <w:sz w:val="24"/>
          <w:szCs w:val="24"/>
          <w:lang w:val="en-NZ"/>
        </w:rPr>
        <w:t xml:space="preserve">Outbreak </w:t>
      </w:r>
      <w:r w:rsidRPr="005D7BA3">
        <w:rPr>
          <w:rFonts w:ascii="Segoe UI Symbol" w:hAnsi="Segoe UI Symbol" w:cs="Segoe UI Symbol"/>
          <w:sz w:val="24"/>
          <w:szCs w:val="24"/>
          <w:lang w:val="en-NZ"/>
        </w:rPr>
        <w:t>☐</w:t>
      </w:r>
      <w:r w:rsidRPr="005D7BA3">
        <w:rPr>
          <w:sz w:val="24"/>
          <w:szCs w:val="24"/>
          <w:lang w:val="en-NZ"/>
        </w:rPr>
        <w:t xml:space="preserve"> </w:t>
      </w:r>
    </w:p>
    <w:p w14:paraId="37E19AFF" w14:textId="77777777" w:rsidR="0081517F" w:rsidRPr="005D7BA3" w:rsidRDefault="00666811" w:rsidP="00666811">
      <w:pPr>
        <w:rPr>
          <w:sz w:val="24"/>
          <w:szCs w:val="24"/>
          <w:lang w:val="en-NZ"/>
        </w:rPr>
      </w:pPr>
      <w:r w:rsidRPr="005D7BA3">
        <w:rPr>
          <w:sz w:val="24"/>
          <w:szCs w:val="24"/>
          <w:lang w:val="en-NZ"/>
        </w:rPr>
        <w:t xml:space="preserve">Confirmed case </w:t>
      </w:r>
      <w:r w:rsidRPr="005D7BA3">
        <w:rPr>
          <w:rFonts w:ascii="Segoe UI Symbol" w:hAnsi="Segoe UI Symbol" w:cs="Segoe UI Symbol"/>
          <w:sz w:val="24"/>
          <w:szCs w:val="24"/>
          <w:lang w:val="en-NZ"/>
        </w:rPr>
        <w:t>☐</w:t>
      </w:r>
      <w:r w:rsidRPr="005D7BA3">
        <w:rPr>
          <w:sz w:val="24"/>
          <w:szCs w:val="24"/>
          <w:lang w:val="en-NZ"/>
        </w:rPr>
        <w:t xml:space="preserve"> </w:t>
      </w:r>
    </w:p>
    <w:p w14:paraId="65449AF9" w14:textId="77777777" w:rsidR="0081517F" w:rsidRPr="005D7BA3" w:rsidRDefault="00666811" w:rsidP="00666811">
      <w:pPr>
        <w:rPr>
          <w:sz w:val="24"/>
          <w:szCs w:val="24"/>
          <w:lang w:val="en-NZ"/>
        </w:rPr>
      </w:pPr>
      <w:r w:rsidRPr="005D7BA3">
        <w:rPr>
          <w:sz w:val="24"/>
          <w:szCs w:val="24"/>
          <w:lang w:val="en-NZ"/>
        </w:rPr>
        <w:t xml:space="preserve">Probable case </w:t>
      </w:r>
      <w:r w:rsidRPr="005D7BA3">
        <w:rPr>
          <w:rFonts w:ascii="Segoe UI Symbol" w:hAnsi="Segoe UI Symbol" w:cs="Segoe UI Symbol"/>
          <w:sz w:val="24"/>
          <w:szCs w:val="24"/>
          <w:lang w:val="en-NZ"/>
        </w:rPr>
        <w:t>☐</w:t>
      </w:r>
      <w:r w:rsidRPr="005D7BA3">
        <w:rPr>
          <w:sz w:val="24"/>
          <w:szCs w:val="24"/>
          <w:lang w:val="en-NZ"/>
        </w:rPr>
        <w:t xml:space="preserve"> </w:t>
      </w:r>
    </w:p>
    <w:p w14:paraId="01A5AD0A" w14:textId="77777777" w:rsidR="0081517F" w:rsidRPr="005D7BA3" w:rsidRDefault="00666811" w:rsidP="00666811">
      <w:pPr>
        <w:rPr>
          <w:sz w:val="24"/>
          <w:szCs w:val="24"/>
          <w:lang w:val="en-NZ"/>
        </w:rPr>
      </w:pPr>
      <w:r w:rsidRPr="005D7BA3">
        <w:rPr>
          <w:sz w:val="24"/>
          <w:szCs w:val="24"/>
          <w:lang w:val="en-NZ"/>
        </w:rPr>
        <w:t xml:space="preserve">Under investigation </w:t>
      </w:r>
      <w:r w:rsidRPr="005D7BA3">
        <w:rPr>
          <w:rFonts w:ascii="Segoe UI Symbol" w:hAnsi="Segoe UI Symbol" w:cs="Segoe UI Symbol"/>
          <w:sz w:val="24"/>
          <w:szCs w:val="24"/>
          <w:lang w:val="en-NZ"/>
        </w:rPr>
        <w:t>☐</w:t>
      </w:r>
      <w:r w:rsidRPr="005D7BA3">
        <w:rPr>
          <w:sz w:val="24"/>
          <w:szCs w:val="24"/>
          <w:lang w:val="en-NZ"/>
        </w:rPr>
        <w:t xml:space="preserve"> </w:t>
      </w:r>
    </w:p>
    <w:p w14:paraId="12A81179" w14:textId="13FA3A92" w:rsidR="00666811" w:rsidRPr="005D7BA3" w:rsidRDefault="00666811" w:rsidP="00666811">
      <w:pPr>
        <w:rPr>
          <w:sz w:val="24"/>
          <w:szCs w:val="24"/>
          <w:lang w:val="en-NZ"/>
        </w:rPr>
      </w:pPr>
      <w:r w:rsidRPr="005D7BA3">
        <w:rPr>
          <w:sz w:val="24"/>
          <w:szCs w:val="24"/>
          <w:lang w:val="en-NZ"/>
        </w:rPr>
        <w:t xml:space="preserve">Not a case </w:t>
      </w:r>
      <w:r w:rsidRPr="005D7BA3">
        <w:rPr>
          <w:rFonts w:ascii="Segoe UI Symbol" w:hAnsi="Segoe UI Symbol" w:cs="Segoe UI Symbol"/>
          <w:sz w:val="24"/>
          <w:szCs w:val="24"/>
          <w:lang w:val="en-NZ"/>
        </w:rPr>
        <w:t>☐</w:t>
      </w:r>
    </w:p>
    <w:p w14:paraId="54B316D0" w14:textId="77777777" w:rsidR="00666811" w:rsidRPr="005D7BA3" w:rsidRDefault="00666811" w:rsidP="00666811">
      <w:pPr>
        <w:rPr>
          <w:sz w:val="24"/>
          <w:szCs w:val="24"/>
          <w:lang w:val="en-NZ"/>
        </w:rPr>
      </w:pPr>
      <w:r w:rsidRPr="005D7BA3">
        <w:rPr>
          <w:sz w:val="24"/>
          <w:szCs w:val="24"/>
          <w:lang w:val="en-NZ"/>
        </w:rPr>
        <w:t>Rationale for case classification:</w:t>
      </w:r>
    </w:p>
    <w:p w14:paraId="6E3E3A35" w14:textId="77777777" w:rsidR="00666811" w:rsidRPr="00CC0F9B" w:rsidRDefault="00666811" w:rsidP="00666811">
      <w:pPr>
        <w:rPr>
          <w:lang w:val="en-NZ"/>
        </w:rPr>
      </w:pPr>
    </w:p>
    <w:p w14:paraId="644BEF4C" w14:textId="77777777" w:rsidR="00666811" w:rsidRPr="00CC0F9B" w:rsidRDefault="00666811" w:rsidP="00496185">
      <w:pPr>
        <w:pStyle w:val="Heading3"/>
        <w:rPr>
          <w:rFonts w:ascii="Arial" w:hAnsi="Arial" w:cs="Arial"/>
          <w:lang w:val="en-NZ"/>
        </w:rPr>
      </w:pPr>
      <w:r w:rsidRPr="00CC0F9B">
        <w:rPr>
          <w:rFonts w:ascii="Arial" w:hAnsi="Arial" w:cs="Arial"/>
          <w:lang w:val="en-NZ"/>
        </w:rPr>
        <w:t>A.11</w:t>
      </w:r>
      <w:r w:rsidRPr="00CC0F9B">
        <w:rPr>
          <w:rFonts w:ascii="Arial" w:hAnsi="Arial" w:cs="Arial"/>
          <w:lang w:val="en-NZ"/>
        </w:rPr>
        <w:tab/>
        <w:t>Case investigation management actions taken</w:t>
      </w:r>
    </w:p>
    <w:p w14:paraId="5028341D" w14:textId="6DC45918" w:rsidR="00666811" w:rsidRPr="005D7BA3" w:rsidRDefault="00666811" w:rsidP="0081517F">
      <w:pPr>
        <w:pStyle w:val="ListParagraph"/>
        <w:numPr>
          <w:ilvl w:val="2"/>
          <w:numId w:val="25"/>
        </w:numPr>
        <w:spacing w:before="240"/>
        <w:ind w:left="851" w:hanging="284"/>
        <w:contextualSpacing w:val="0"/>
        <w:rPr>
          <w:sz w:val="24"/>
          <w:szCs w:val="24"/>
          <w:lang w:val="en-NZ"/>
        </w:rPr>
      </w:pPr>
      <w:r w:rsidRPr="005D7BA3">
        <w:rPr>
          <w:sz w:val="24"/>
          <w:szCs w:val="24"/>
          <w:lang w:val="en-NZ"/>
        </w:rPr>
        <w:t xml:space="preserve">Public health risk communication to case </w:t>
      </w:r>
      <w:r w:rsidRPr="005D7BA3">
        <w:rPr>
          <w:rFonts w:ascii="Segoe UI Symbol" w:hAnsi="Segoe UI Symbol" w:cs="Segoe UI Symbol"/>
          <w:sz w:val="24"/>
          <w:szCs w:val="24"/>
          <w:lang w:val="en-NZ"/>
        </w:rPr>
        <w:t>☐</w:t>
      </w:r>
    </w:p>
    <w:p w14:paraId="31641FE4" w14:textId="46D81CC1" w:rsidR="00666811" w:rsidRPr="005D7BA3" w:rsidRDefault="00666811" w:rsidP="0081517F">
      <w:pPr>
        <w:pStyle w:val="ListParagraph"/>
        <w:numPr>
          <w:ilvl w:val="2"/>
          <w:numId w:val="25"/>
        </w:numPr>
        <w:spacing w:before="240"/>
        <w:ind w:left="851" w:hanging="284"/>
        <w:contextualSpacing w:val="0"/>
        <w:rPr>
          <w:sz w:val="24"/>
          <w:szCs w:val="24"/>
          <w:lang w:val="en-NZ"/>
        </w:rPr>
      </w:pPr>
      <w:r w:rsidRPr="005D7BA3">
        <w:rPr>
          <w:sz w:val="24"/>
          <w:szCs w:val="24"/>
          <w:lang w:val="en-NZ"/>
        </w:rPr>
        <w:t xml:space="preserve">Educational information on swimming and harmful algal blooms provided (eg, LAWA website, MPI alerts, advised to contact health provider if unwell) </w:t>
      </w:r>
      <w:r w:rsidRPr="005D7BA3">
        <w:rPr>
          <w:rFonts w:ascii="Segoe UI Symbol" w:hAnsi="Segoe UI Symbol" w:cs="Segoe UI Symbol"/>
          <w:sz w:val="24"/>
          <w:szCs w:val="24"/>
          <w:lang w:val="en-NZ"/>
        </w:rPr>
        <w:t>☐</w:t>
      </w:r>
    </w:p>
    <w:p w14:paraId="6928421F" w14:textId="2E40DC86" w:rsidR="00666811" w:rsidRPr="005D7BA3" w:rsidRDefault="00666811" w:rsidP="0081517F">
      <w:pPr>
        <w:pStyle w:val="ListParagraph"/>
        <w:numPr>
          <w:ilvl w:val="2"/>
          <w:numId w:val="25"/>
        </w:numPr>
        <w:spacing w:before="240"/>
        <w:ind w:left="851" w:hanging="284"/>
        <w:contextualSpacing w:val="0"/>
        <w:rPr>
          <w:sz w:val="24"/>
          <w:szCs w:val="24"/>
          <w:lang w:val="en-NZ"/>
        </w:rPr>
      </w:pPr>
      <w:r w:rsidRPr="005D7BA3">
        <w:rPr>
          <w:sz w:val="24"/>
          <w:szCs w:val="24"/>
          <w:lang w:val="en-NZ"/>
        </w:rPr>
        <w:t xml:space="preserve">Any other exposed people requiring contacting?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provide rational:</w:t>
      </w:r>
    </w:p>
    <w:p w14:paraId="487D865D" w14:textId="72A148FD" w:rsidR="00666811" w:rsidRPr="005D7BA3" w:rsidRDefault="00666811" w:rsidP="0081517F">
      <w:pPr>
        <w:pStyle w:val="ListParagraph"/>
        <w:numPr>
          <w:ilvl w:val="2"/>
          <w:numId w:val="25"/>
        </w:numPr>
        <w:spacing w:before="240"/>
        <w:ind w:left="851" w:hanging="284"/>
        <w:contextualSpacing w:val="0"/>
        <w:rPr>
          <w:sz w:val="24"/>
          <w:szCs w:val="24"/>
          <w:lang w:val="en-NZ"/>
        </w:rPr>
      </w:pPr>
      <w:r w:rsidRPr="005D7BA3">
        <w:rPr>
          <w:sz w:val="24"/>
          <w:szCs w:val="24"/>
          <w:lang w:val="en-NZ"/>
        </w:rPr>
        <w:t xml:space="preserve">Additional environmental testing required No </w:t>
      </w:r>
      <w:r w:rsidRPr="005D7BA3">
        <w:rPr>
          <w:rFonts w:ascii="Segoe UI Symbol" w:hAnsi="Segoe UI Symbol" w:cs="Segoe UI Symbol"/>
          <w:sz w:val="24"/>
          <w:szCs w:val="24"/>
          <w:lang w:val="en-NZ"/>
        </w:rPr>
        <w:t>☐</w:t>
      </w:r>
      <w:r w:rsidRPr="005D7BA3">
        <w:rPr>
          <w:sz w:val="24"/>
          <w:szCs w:val="24"/>
          <w:lang w:val="en-NZ"/>
        </w:rPr>
        <w:t xml:space="preserve"> Yes </w:t>
      </w:r>
      <w:r w:rsidRPr="005D7BA3">
        <w:rPr>
          <w:rFonts w:ascii="Segoe UI Symbol" w:hAnsi="Segoe UI Symbol" w:cs="Segoe UI Symbol"/>
          <w:sz w:val="24"/>
          <w:szCs w:val="24"/>
          <w:lang w:val="en-NZ"/>
        </w:rPr>
        <w:t>☐</w:t>
      </w:r>
      <w:r w:rsidRPr="005D7BA3">
        <w:rPr>
          <w:sz w:val="24"/>
          <w:szCs w:val="24"/>
          <w:lang w:val="en-NZ"/>
        </w:rPr>
        <w:t xml:space="preserve"> provide rational:</w:t>
      </w:r>
    </w:p>
    <w:p w14:paraId="1298753B" w14:textId="20AF51F3" w:rsidR="00666811" w:rsidRPr="005D7BA3" w:rsidRDefault="00666811" w:rsidP="0081517F">
      <w:pPr>
        <w:pStyle w:val="ListParagraph"/>
        <w:numPr>
          <w:ilvl w:val="2"/>
          <w:numId w:val="25"/>
        </w:numPr>
        <w:spacing w:before="240"/>
        <w:ind w:left="851" w:hanging="284"/>
        <w:contextualSpacing w:val="0"/>
        <w:rPr>
          <w:sz w:val="24"/>
          <w:szCs w:val="24"/>
          <w:lang w:val="en-NZ"/>
        </w:rPr>
      </w:pPr>
      <w:r w:rsidRPr="005D7BA3">
        <w:rPr>
          <w:sz w:val="24"/>
          <w:szCs w:val="24"/>
          <w:lang w:val="en-NZ"/>
        </w:rPr>
        <w:t xml:space="preserve">Public health alert issued by Medical Officer of Health in partnership with and rūnanga? Yes </w:t>
      </w:r>
      <w:r w:rsidRPr="005D7BA3">
        <w:rPr>
          <w:rFonts w:ascii="Segoe UI Symbol" w:hAnsi="Segoe UI Symbol" w:cs="Segoe UI Symbol"/>
          <w:sz w:val="24"/>
          <w:szCs w:val="24"/>
          <w:lang w:val="en-NZ"/>
        </w:rPr>
        <w:t>☐</w:t>
      </w:r>
      <w:r w:rsidRPr="005D7BA3">
        <w:rPr>
          <w:sz w:val="24"/>
          <w:szCs w:val="24"/>
          <w:lang w:val="en-NZ"/>
        </w:rPr>
        <w:t xml:space="preserve"> No </w:t>
      </w:r>
      <w:r w:rsidRPr="005D7BA3">
        <w:rPr>
          <w:rFonts w:ascii="Segoe UI Symbol" w:hAnsi="Segoe UI Symbol" w:cs="Segoe UI Symbol"/>
          <w:sz w:val="24"/>
          <w:szCs w:val="24"/>
          <w:lang w:val="en-NZ"/>
        </w:rPr>
        <w:t>☐</w:t>
      </w:r>
      <w:r w:rsidRPr="005D7BA3">
        <w:rPr>
          <w:sz w:val="24"/>
          <w:szCs w:val="24"/>
          <w:lang w:val="en-NZ"/>
        </w:rPr>
        <w:t xml:space="preserve"> provide rational:</w:t>
      </w:r>
    </w:p>
    <w:p w14:paraId="6C077DA3" w14:textId="4F1337AC" w:rsidR="00141B9B" w:rsidRPr="005D7BA3" w:rsidRDefault="00666811" w:rsidP="0081517F">
      <w:pPr>
        <w:pStyle w:val="ListParagraph"/>
        <w:numPr>
          <w:ilvl w:val="2"/>
          <w:numId w:val="25"/>
        </w:numPr>
        <w:spacing w:before="240"/>
        <w:ind w:left="851" w:hanging="284"/>
        <w:contextualSpacing w:val="0"/>
        <w:rPr>
          <w:sz w:val="24"/>
          <w:szCs w:val="24"/>
          <w:lang w:val="en-NZ"/>
        </w:rPr>
      </w:pPr>
      <w:r w:rsidRPr="005D7BA3">
        <w:rPr>
          <w:sz w:val="24"/>
          <w:szCs w:val="24"/>
          <w:lang w:val="en-NZ"/>
        </w:rPr>
        <w:t>Other public health actions taken (please describe):</w:t>
      </w:r>
    </w:p>
    <w:p w14:paraId="1D564EF0" w14:textId="5709C804" w:rsidR="0081517F" w:rsidRPr="005D7BA3" w:rsidRDefault="0081517F">
      <w:pPr>
        <w:rPr>
          <w:sz w:val="24"/>
          <w:szCs w:val="24"/>
          <w:lang w:val="en-NZ"/>
        </w:rPr>
      </w:pPr>
      <w:r w:rsidRPr="005D7BA3">
        <w:rPr>
          <w:sz w:val="24"/>
          <w:szCs w:val="24"/>
          <w:lang w:val="en-NZ"/>
        </w:rPr>
        <w:br w:type="page"/>
      </w:r>
    </w:p>
    <w:p w14:paraId="2D4B2CFA" w14:textId="458367E6" w:rsidR="00141B9B" w:rsidRPr="002E5353" w:rsidRDefault="00496185" w:rsidP="000A25E6">
      <w:pPr>
        <w:pStyle w:val="Heading1"/>
        <w:spacing w:after="0" w:line="240" w:lineRule="auto"/>
        <w:rPr>
          <w:sz w:val="44"/>
          <w:szCs w:val="44"/>
          <w:lang w:val="en-NZ"/>
        </w:rPr>
      </w:pPr>
      <w:bookmarkStart w:id="48" w:name="_Appendix_B:_Table"/>
      <w:bookmarkStart w:id="49" w:name="_Toc181101795"/>
      <w:bookmarkEnd w:id="48"/>
      <w:r w:rsidRPr="002E5353">
        <w:rPr>
          <w:sz w:val="44"/>
          <w:szCs w:val="44"/>
          <w:lang w:val="en-NZ"/>
        </w:rPr>
        <w:lastRenderedPageBreak/>
        <w:t>Appendix B</w:t>
      </w:r>
      <w:r w:rsidR="0081517F" w:rsidRPr="002E5353">
        <w:rPr>
          <w:sz w:val="44"/>
          <w:szCs w:val="44"/>
          <w:lang w:val="en-NZ"/>
        </w:rPr>
        <w:t xml:space="preserve">: </w:t>
      </w:r>
      <w:r w:rsidRPr="002E5353">
        <w:rPr>
          <w:sz w:val="44"/>
          <w:szCs w:val="44"/>
          <w:lang w:val="en-NZ"/>
        </w:rPr>
        <w:t xml:space="preserve">Table of </w:t>
      </w:r>
      <w:r w:rsidR="00744701" w:rsidRPr="002E5353">
        <w:rPr>
          <w:sz w:val="44"/>
          <w:szCs w:val="44"/>
          <w:lang w:val="en-NZ"/>
        </w:rPr>
        <w:t>b</w:t>
      </w:r>
      <w:r w:rsidRPr="002E5353">
        <w:rPr>
          <w:sz w:val="44"/>
          <w:szCs w:val="44"/>
          <w:lang w:val="en-NZ"/>
        </w:rPr>
        <w:t xml:space="preserve">iotoxins </w:t>
      </w:r>
      <w:r w:rsidR="00744701" w:rsidRPr="002E5353">
        <w:rPr>
          <w:sz w:val="44"/>
          <w:szCs w:val="44"/>
          <w:lang w:val="en-NZ"/>
        </w:rPr>
        <w:t>p</w:t>
      </w:r>
      <w:r w:rsidRPr="002E5353">
        <w:rPr>
          <w:sz w:val="44"/>
          <w:szCs w:val="44"/>
          <w:lang w:val="en-NZ"/>
        </w:rPr>
        <w:t xml:space="preserve">roduced by </w:t>
      </w:r>
      <w:r w:rsidR="00744701" w:rsidRPr="002E5353">
        <w:rPr>
          <w:sz w:val="44"/>
          <w:szCs w:val="44"/>
          <w:lang w:val="en-NZ"/>
        </w:rPr>
        <w:t>m</w:t>
      </w:r>
      <w:r w:rsidRPr="002E5353">
        <w:rPr>
          <w:sz w:val="44"/>
          <w:szCs w:val="44"/>
          <w:lang w:val="en-NZ"/>
        </w:rPr>
        <w:t>arine</w:t>
      </w:r>
      <w:r w:rsidR="000A25E6" w:rsidRPr="002E5353">
        <w:rPr>
          <w:sz w:val="44"/>
          <w:szCs w:val="44"/>
          <w:lang w:val="en-NZ"/>
        </w:rPr>
        <w:t xml:space="preserve"> </w:t>
      </w:r>
      <w:r w:rsidRPr="002E5353">
        <w:rPr>
          <w:sz w:val="44"/>
          <w:szCs w:val="44"/>
          <w:lang w:val="en-NZ"/>
        </w:rPr>
        <w:t xml:space="preserve">and </w:t>
      </w:r>
      <w:r w:rsidR="00744701" w:rsidRPr="002E5353">
        <w:rPr>
          <w:sz w:val="44"/>
          <w:szCs w:val="44"/>
          <w:lang w:val="en-NZ"/>
        </w:rPr>
        <w:t>f</w:t>
      </w:r>
      <w:r w:rsidRPr="002E5353">
        <w:rPr>
          <w:sz w:val="44"/>
          <w:szCs w:val="44"/>
          <w:lang w:val="en-NZ"/>
        </w:rPr>
        <w:t>reshwater HABS</w:t>
      </w:r>
      <w:bookmarkEnd w:id="49"/>
    </w:p>
    <w:p w14:paraId="189835FE" w14:textId="77777777" w:rsidR="000A25E6" w:rsidRPr="000A25E6" w:rsidRDefault="000A25E6" w:rsidP="000A25E6">
      <w:pPr>
        <w:rPr>
          <w:lang w:val="en-NZ"/>
        </w:rPr>
      </w:pPr>
    </w:p>
    <w:tbl>
      <w:tblPr>
        <w:tblW w:w="9056" w:type="dxa"/>
        <w:tblInd w:w="160" w:type="dxa"/>
        <w:tblLayout w:type="fixed"/>
        <w:tblCellMar>
          <w:left w:w="0" w:type="dxa"/>
          <w:right w:w="0" w:type="dxa"/>
        </w:tblCellMar>
        <w:tblLook w:val="01E0" w:firstRow="1" w:lastRow="1" w:firstColumn="1" w:lastColumn="1" w:noHBand="0" w:noVBand="0"/>
      </w:tblPr>
      <w:tblGrid>
        <w:gridCol w:w="1967"/>
        <w:gridCol w:w="2268"/>
        <w:gridCol w:w="2855"/>
        <w:gridCol w:w="1966"/>
      </w:tblGrid>
      <w:tr w:rsidR="0081517F" w:rsidRPr="000F4EFC" w14:paraId="7940AA26" w14:textId="77777777" w:rsidTr="005B1C5D">
        <w:trPr>
          <w:trHeight w:val="621"/>
          <w:tblHeader/>
        </w:trPr>
        <w:tc>
          <w:tcPr>
            <w:tcW w:w="1967" w:type="dxa"/>
            <w:tcBorders>
              <w:top w:val="single" w:sz="4" w:space="0" w:color="000000"/>
              <w:bottom w:val="single" w:sz="4" w:space="0" w:color="000000"/>
            </w:tcBorders>
          </w:tcPr>
          <w:p w14:paraId="056F0295" w14:textId="77777777" w:rsidR="0081517F" w:rsidRPr="00DE19D8" w:rsidRDefault="0081517F" w:rsidP="00496185">
            <w:pPr>
              <w:pStyle w:val="TableParagraph"/>
              <w:spacing w:before="184"/>
              <w:ind w:left="113" w:right="113"/>
              <w:rPr>
                <w:b/>
                <w:sz w:val="24"/>
                <w:szCs w:val="24"/>
              </w:rPr>
            </w:pPr>
            <w:r w:rsidRPr="00DE19D8">
              <w:rPr>
                <w:b/>
                <w:sz w:val="24"/>
                <w:szCs w:val="24"/>
              </w:rPr>
              <w:t>Biotoxin</w:t>
            </w:r>
          </w:p>
        </w:tc>
        <w:tc>
          <w:tcPr>
            <w:tcW w:w="2268" w:type="dxa"/>
            <w:tcBorders>
              <w:top w:val="single" w:sz="4" w:space="0" w:color="000000"/>
              <w:bottom w:val="single" w:sz="4" w:space="0" w:color="000000"/>
            </w:tcBorders>
          </w:tcPr>
          <w:p w14:paraId="0EC2AF53" w14:textId="77777777" w:rsidR="0081517F" w:rsidRPr="00DE19D8" w:rsidRDefault="0081517F" w:rsidP="00496185">
            <w:pPr>
              <w:pStyle w:val="TableParagraph"/>
              <w:spacing w:before="184"/>
              <w:ind w:left="113" w:right="113"/>
              <w:rPr>
                <w:b/>
                <w:sz w:val="24"/>
                <w:szCs w:val="24"/>
              </w:rPr>
            </w:pPr>
            <w:r w:rsidRPr="00DE19D8">
              <w:rPr>
                <w:b/>
                <w:sz w:val="24"/>
                <w:szCs w:val="24"/>
              </w:rPr>
              <w:t>Health effect(s)</w:t>
            </w:r>
          </w:p>
        </w:tc>
        <w:tc>
          <w:tcPr>
            <w:tcW w:w="2855" w:type="dxa"/>
            <w:tcBorders>
              <w:top w:val="single" w:sz="4" w:space="0" w:color="000000"/>
              <w:bottom w:val="single" w:sz="4" w:space="0" w:color="000000"/>
            </w:tcBorders>
          </w:tcPr>
          <w:p w14:paraId="5DCCC889" w14:textId="77777777" w:rsidR="0081517F" w:rsidRPr="00DE19D8" w:rsidRDefault="0081517F" w:rsidP="00496185">
            <w:pPr>
              <w:pStyle w:val="TableParagraph"/>
              <w:spacing w:before="57"/>
              <w:ind w:left="120" w:right="113"/>
              <w:rPr>
                <w:b/>
                <w:sz w:val="24"/>
                <w:szCs w:val="24"/>
              </w:rPr>
            </w:pPr>
            <w:r w:rsidRPr="00DE19D8">
              <w:rPr>
                <w:b/>
                <w:sz w:val="24"/>
                <w:szCs w:val="24"/>
              </w:rPr>
              <w:t>Examples of known toxin-producing genera</w:t>
            </w:r>
          </w:p>
        </w:tc>
        <w:tc>
          <w:tcPr>
            <w:tcW w:w="1966" w:type="dxa"/>
            <w:tcBorders>
              <w:top w:val="single" w:sz="4" w:space="0" w:color="000000"/>
              <w:bottom w:val="single" w:sz="4" w:space="0" w:color="000000"/>
            </w:tcBorders>
          </w:tcPr>
          <w:p w14:paraId="14361141" w14:textId="77777777" w:rsidR="0081517F" w:rsidRPr="00DE19D8" w:rsidRDefault="0081517F" w:rsidP="00496185">
            <w:pPr>
              <w:pStyle w:val="TableParagraph"/>
              <w:spacing w:before="184"/>
              <w:ind w:left="113" w:right="113"/>
              <w:rPr>
                <w:b/>
                <w:sz w:val="24"/>
                <w:szCs w:val="24"/>
              </w:rPr>
            </w:pPr>
            <w:r w:rsidRPr="00DE19D8">
              <w:rPr>
                <w:b/>
                <w:sz w:val="24"/>
                <w:szCs w:val="24"/>
              </w:rPr>
              <w:t>Habitat(s)</w:t>
            </w:r>
          </w:p>
        </w:tc>
      </w:tr>
      <w:tr w:rsidR="0081517F" w:rsidRPr="000F4EFC" w14:paraId="44C2AC82" w14:textId="77777777" w:rsidTr="005B1C5D">
        <w:trPr>
          <w:trHeight w:val="923"/>
        </w:trPr>
        <w:tc>
          <w:tcPr>
            <w:tcW w:w="1967" w:type="dxa"/>
            <w:tcBorders>
              <w:top w:val="single" w:sz="4" w:space="0" w:color="000000"/>
              <w:bottom w:val="single" w:sz="4" w:space="0" w:color="000000"/>
            </w:tcBorders>
          </w:tcPr>
          <w:p w14:paraId="40CC7535" w14:textId="77777777" w:rsidR="0081517F" w:rsidRPr="00DE19D8" w:rsidRDefault="0081517F" w:rsidP="00496185">
            <w:pPr>
              <w:pStyle w:val="TableParagraph"/>
              <w:spacing w:before="57"/>
              <w:ind w:left="113" w:right="113"/>
              <w:rPr>
                <w:sz w:val="24"/>
                <w:szCs w:val="24"/>
              </w:rPr>
            </w:pPr>
            <w:r w:rsidRPr="00DE19D8">
              <w:rPr>
                <w:sz w:val="24"/>
                <w:szCs w:val="24"/>
              </w:rPr>
              <w:t>Anatoxin-(S) / Guanitoxin</w:t>
            </w:r>
          </w:p>
        </w:tc>
        <w:tc>
          <w:tcPr>
            <w:tcW w:w="2268" w:type="dxa"/>
            <w:tcBorders>
              <w:top w:val="single" w:sz="4" w:space="0" w:color="000000"/>
              <w:bottom w:val="single" w:sz="4" w:space="0" w:color="000000"/>
            </w:tcBorders>
          </w:tcPr>
          <w:p w14:paraId="7EB94067" w14:textId="77777777" w:rsidR="0081517F" w:rsidRPr="00DE19D8" w:rsidRDefault="0081517F" w:rsidP="00496185">
            <w:pPr>
              <w:pStyle w:val="TableParagraph"/>
              <w:spacing w:before="57"/>
              <w:ind w:left="113" w:right="113"/>
              <w:rPr>
                <w:sz w:val="24"/>
                <w:szCs w:val="24"/>
              </w:rPr>
            </w:pPr>
            <w:r w:rsidRPr="00DE19D8">
              <w:rPr>
                <w:sz w:val="24"/>
                <w:szCs w:val="24"/>
              </w:rPr>
              <w:t>Neurotoxin.</w:t>
            </w:r>
          </w:p>
          <w:p w14:paraId="23E89A91" w14:textId="77777777" w:rsidR="0081517F" w:rsidRPr="00DE19D8" w:rsidRDefault="0081517F" w:rsidP="00496185">
            <w:pPr>
              <w:pStyle w:val="TableParagraph"/>
              <w:spacing w:before="118"/>
              <w:ind w:left="113" w:right="113"/>
              <w:rPr>
                <w:sz w:val="24"/>
                <w:szCs w:val="24"/>
              </w:rPr>
            </w:pPr>
            <w:r w:rsidRPr="00DE19D8">
              <w:rPr>
                <w:w w:val="95"/>
                <w:sz w:val="24"/>
                <w:szCs w:val="24"/>
              </w:rPr>
              <w:t xml:space="preserve">Acetylcholinesterase </w:t>
            </w:r>
            <w:r w:rsidRPr="00DE19D8">
              <w:rPr>
                <w:sz w:val="24"/>
                <w:szCs w:val="24"/>
              </w:rPr>
              <w:t>inhibitor.</w:t>
            </w:r>
          </w:p>
        </w:tc>
        <w:tc>
          <w:tcPr>
            <w:tcW w:w="2855" w:type="dxa"/>
            <w:tcBorders>
              <w:top w:val="single" w:sz="4" w:space="0" w:color="000000"/>
              <w:bottom w:val="single" w:sz="4" w:space="0" w:color="000000"/>
            </w:tcBorders>
          </w:tcPr>
          <w:p w14:paraId="2D7E7CED" w14:textId="77777777" w:rsidR="0081517F" w:rsidRPr="00DE19D8" w:rsidRDefault="0081517F" w:rsidP="00496185">
            <w:pPr>
              <w:pStyle w:val="TableParagraph"/>
              <w:spacing w:before="57"/>
              <w:ind w:left="98" w:right="113"/>
              <w:rPr>
                <w:sz w:val="24"/>
                <w:szCs w:val="24"/>
              </w:rPr>
            </w:pPr>
            <w:r w:rsidRPr="00DE19D8">
              <w:rPr>
                <w:sz w:val="24"/>
                <w:szCs w:val="24"/>
              </w:rPr>
              <w:t xml:space="preserve">Cyanobacteria: </w:t>
            </w:r>
            <w:r w:rsidRPr="00DE19D8">
              <w:rPr>
                <w:i/>
                <w:sz w:val="24"/>
                <w:szCs w:val="24"/>
              </w:rPr>
              <w:t>Dolichospermum</w:t>
            </w:r>
            <w:r w:rsidRPr="00DE19D8">
              <w:rPr>
                <w:sz w:val="24"/>
                <w:szCs w:val="24"/>
              </w:rPr>
              <w:t xml:space="preserve">, </w:t>
            </w:r>
            <w:r w:rsidRPr="00DE19D8">
              <w:rPr>
                <w:i/>
                <w:w w:val="95"/>
                <w:sz w:val="24"/>
                <w:szCs w:val="24"/>
              </w:rPr>
              <w:t>Sphaerospermopsis</w:t>
            </w:r>
            <w:r w:rsidRPr="00DE19D8">
              <w:rPr>
                <w:w w:val="95"/>
                <w:sz w:val="24"/>
                <w:szCs w:val="24"/>
              </w:rPr>
              <w:t>.</w:t>
            </w:r>
          </w:p>
        </w:tc>
        <w:tc>
          <w:tcPr>
            <w:tcW w:w="1966" w:type="dxa"/>
            <w:tcBorders>
              <w:top w:val="single" w:sz="4" w:space="0" w:color="000000"/>
              <w:bottom w:val="single" w:sz="4" w:space="0" w:color="000000"/>
            </w:tcBorders>
          </w:tcPr>
          <w:p w14:paraId="688B582D" w14:textId="77777777" w:rsidR="0081517F" w:rsidRPr="00DE19D8" w:rsidRDefault="0081517F" w:rsidP="00496185">
            <w:pPr>
              <w:pStyle w:val="TableParagraph"/>
              <w:spacing w:before="57"/>
              <w:ind w:left="113" w:right="113"/>
              <w:rPr>
                <w:sz w:val="24"/>
                <w:szCs w:val="24"/>
              </w:rPr>
            </w:pPr>
            <w:r w:rsidRPr="00DE19D8">
              <w:rPr>
                <w:sz w:val="24"/>
                <w:szCs w:val="24"/>
              </w:rPr>
              <w:t>Planktonic freshwater</w:t>
            </w:r>
          </w:p>
        </w:tc>
      </w:tr>
      <w:tr w:rsidR="0081517F" w:rsidRPr="000F4EFC" w14:paraId="60DA2798" w14:textId="77777777" w:rsidTr="005B1C5D">
        <w:trPr>
          <w:trHeight w:val="2184"/>
        </w:trPr>
        <w:tc>
          <w:tcPr>
            <w:tcW w:w="1967" w:type="dxa"/>
            <w:tcBorders>
              <w:top w:val="single" w:sz="4" w:space="0" w:color="000000"/>
              <w:bottom w:val="single" w:sz="4" w:space="0" w:color="000000"/>
            </w:tcBorders>
          </w:tcPr>
          <w:p w14:paraId="7B60E239" w14:textId="77777777" w:rsidR="0081517F" w:rsidRPr="00DE19D8" w:rsidRDefault="0081517F" w:rsidP="00496185">
            <w:pPr>
              <w:pStyle w:val="TableParagraph"/>
              <w:spacing w:before="57"/>
              <w:ind w:left="113" w:right="113"/>
              <w:rPr>
                <w:sz w:val="24"/>
                <w:szCs w:val="24"/>
              </w:rPr>
            </w:pPr>
            <w:r w:rsidRPr="00DE19D8">
              <w:rPr>
                <w:sz w:val="24"/>
                <w:szCs w:val="24"/>
              </w:rPr>
              <w:t>Anatoxins</w:t>
            </w:r>
          </w:p>
        </w:tc>
        <w:tc>
          <w:tcPr>
            <w:tcW w:w="2268" w:type="dxa"/>
            <w:tcBorders>
              <w:top w:val="single" w:sz="4" w:space="0" w:color="000000"/>
              <w:bottom w:val="single" w:sz="4" w:space="0" w:color="000000"/>
            </w:tcBorders>
          </w:tcPr>
          <w:p w14:paraId="4ED38D3B" w14:textId="77777777" w:rsidR="0081517F" w:rsidRPr="00DE19D8" w:rsidRDefault="0081517F" w:rsidP="00496185">
            <w:pPr>
              <w:pStyle w:val="TableParagraph"/>
              <w:spacing w:before="57"/>
              <w:ind w:left="113" w:right="113"/>
              <w:rPr>
                <w:sz w:val="24"/>
                <w:szCs w:val="24"/>
              </w:rPr>
            </w:pPr>
            <w:r w:rsidRPr="00DE19D8">
              <w:rPr>
                <w:sz w:val="24"/>
                <w:szCs w:val="24"/>
              </w:rPr>
              <w:t>Neurotoxin.</w:t>
            </w:r>
          </w:p>
          <w:p w14:paraId="24DDF943" w14:textId="77777777" w:rsidR="0081517F" w:rsidRPr="00DE19D8" w:rsidRDefault="0081517F" w:rsidP="00496185">
            <w:pPr>
              <w:pStyle w:val="TableParagraph"/>
              <w:spacing w:before="121"/>
              <w:ind w:left="113" w:right="113"/>
              <w:rPr>
                <w:sz w:val="24"/>
                <w:szCs w:val="24"/>
              </w:rPr>
            </w:pPr>
            <w:r w:rsidRPr="00DE19D8">
              <w:rPr>
                <w:sz w:val="24"/>
                <w:szCs w:val="24"/>
              </w:rPr>
              <w:t>Agonist of nicotinic acetylcholine receptors.</w:t>
            </w:r>
          </w:p>
        </w:tc>
        <w:tc>
          <w:tcPr>
            <w:tcW w:w="2855" w:type="dxa"/>
            <w:tcBorders>
              <w:top w:val="single" w:sz="4" w:space="0" w:color="000000"/>
              <w:bottom w:val="single" w:sz="4" w:space="0" w:color="000000"/>
            </w:tcBorders>
          </w:tcPr>
          <w:p w14:paraId="72B0373C" w14:textId="77777777" w:rsidR="0081517F" w:rsidRPr="00DE19D8" w:rsidRDefault="0081517F" w:rsidP="00496185">
            <w:pPr>
              <w:pStyle w:val="TableParagraph"/>
              <w:spacing w:before="57"/>
              <w:ind w:left="98" w:right="113"/>
              <w:rPr>
                <w:sz w:val="24"/>
                <w:szCs w:val="24"/>
              </w:rPr>
            </w:pPr>
            <w:r w:rsidRPr="00DE19D8">
              <w:rPr>
                <w:sz w:val="24"/>
                <w:szCs w:val="24"/>
              </w:rPr>
              <w:t xml:space="preserve">Cyanobacteria: </w:t>
            </w:r>
            <w:r w:rsidRPr="00DE19D8">
              <w:rPr>
                <w:i/>
                <w:sz w:val="24"/>
                <w:szCs w:val="24"/>
              </w:rPr>
              <w:t>Aphanizomenon</w:t>
            </w:r>
            <w:r w:rsidRPr="00DE19D8">
              <w:rPr>
                <w:sz w:val="24"/>
                <w:szCs w:val="24"/>
              </w:rPr>
              <w:t xml:space="preserve">, </w:t>
            </w:r>
            <w:r w:rsidRPr="00DE19D8">
              <w:rPr>
                <w:i/>
                <w:sz w:val="24"/>
                <w:szCs w:val="24"/>
              </w:rPr>
              <w:t>Arthrospira</w:t>
            </w:r>
            <w:r w:rsidRPr="00DE19D8">
              <w:rPr>
                <w:sz w:val="24"/>
                <w:szCs w:val="24"/>
              </w:rPr>
              <w:t xml:space="preserve">, </w:t>
            </w:r>
            <w:r w:rsidRPr="00DE19D8">
              <w:rPr>
                <w:b/>
                <w:i/>
                <w:sz w:val="24"/>
                <w:szCs w:val="24"/>
              </w:rPr>
              <w:t>Cuspidothrix</w:t>
            </w:r>
            <w:r w:rsidRPr="00DE19D8">
              <w:rPr>
                <w:i/>
                <w:sz w:val="24"/>
                <w:szCs w:val="24"/>
              </w:rPr>
              <w:t>, Cylindrospermum</w:t>
            </w:r>
            <w:r w:rsidRPr="00DE19D8">
              <w:rPr>
                <w:sz w:val="24"/>
                <w:szCs w:val="24"/>
              </w:rPr>
              <w:t xml:space="preserve">, </w:t>
            </w:r>
            <w:r w:rsidRPr="00DE19D8">
              <w:rPr>
                <w:i/>
                <w:sz w:val="24"/>
                <w:szCs w:val="24"/>
              </w:rPr>
              <w:t>Dolichospermum</w:t>
            </w:r>
            <w:r w:rsidRPr="00DE19D8">
              <w:rPr>
                <w:sz w:val="24"/>
                <w:szCs w:val="24"/>
              </w:rPr>
              <w:t xml:space="preserve">, </w:t>
            </w:r>
            <w:r w:rsidRPr="00DE19D8">
              <w:rPr>
                <w:i/>
                <w:sz w:val="24"/>
                <w:szCs w:val="24"/>
              </w:rPr>
              <w:t>Geitlerinema</w:t>
            </w:r>
            <w:r w:rsidRPr="00DE19D8">
              <w:rPr>
                <w:sz w:val="24"/>
                <w:szCs w:val="24"/>
              </w:rPr>
              <w:t xml:space="preserve">, </w:t>
            </w:r>
            <w:r w:rsidRPr="00DE19D8">
              <w:rPr>
                <w:b/>
                <w:i/>
                <w:sz w:val="24"/>
                <w:szCs w:val="24"/>
              </w:rPr>
              <w:t>Microcoleus</w:t>
            </w:r>
            <w:r w:rsidRPr="00DE19D8">
              <w:rPr>
                <w:sz w:val="24"/>
                <w:szCs w:val="24"/>
              </w:rPr>
              <w:t xml:space="preserve">, </w:t>
            </w:r>
            <w:r w:rsidRPr="00DE19D8">
              <w:rPr>
                <w:i/>
                <w:sz w:val="24"/>
                <w:szCs w:val="24"/>
              </w:rPr>
              <w:t>Microcystis</w:t>
            </w:r>
            <w:r w:rsidRPr="00DE19D8">
              <w:rPr>
                <w:sz w:val="24"/>
                <w:szCs w:val="24"/>
              </w:rPr>
              <w:t xml:space="preserve">, </w:t>
            </w:r>
            <w:r w:rsidRPr="00DE19D8">
              <w:rPr>
                <w:i/>
                <w:sz w:val="24"/>
                <w:szCs w:val="24"/>
              </w:rPr>
              <w:t>Oscillatoria</w:t>
            </w:r>
            <w:r w:rsidRPr="00DE19D8">
              <w:rPr>
                <w:sz w:val="24"/>
                <w:szCs w:val="24"/>
              </w:rPr>
              <w:t xml:space="preserve">, </w:t>
            </w:r>
            <w:r w:rsidRPr="00DE19D8">
              <w:rPr>
                <w:i/>
                <w:sz w:val="24"/>
                <w:szCs w:val="24"/>
              </w:rPr>
              <w:t>Phormidium</w:t>
            </w:r>
            <w:r w:rsidRPr="00DE19D8">
              <w:rPr>
                <w:sz w:val="24"/>
                <w:szCs w:val="24"/>
              </w:rPr>
              <w:t xml:space="preserve">, </w:t>
            </w:r>
            <w:r w:rsidRPr="00DE19D8">
              <w:rPr>
                <w:i/>
                <w:sz w:val="24"/>
                <w:szCs w:val="24"/>
              </w:rPr>
              <w:t>Planktothrix</w:t>
            </w:r>
            <w:r w:rsidRPr="00DE19D8">
              <w:rPr>
                <w:sz w:val="24"/>
                <w:szCs w:val="24"/>
              </w:rPr>
              <w:t xml:space="preserve">, </w:t>
            </w:r>
            <w:r w:rsidRPr="00DE19D8">
              <w:rPr>
                <w:i/>
                <w:sz w:val="24"/>
                <w:szCs w:val="24"/>
              </w:rPr>
              <w:t>Rhaphidiopsis</w:t>
            </w:r>
            <w:r w:rsidRPr="00DE19D8">
              <w:rPr>
                <w:sz w:val="24"/>
                <w:szCs w:val="24"/>
              </w:rPr>
              <w:t xml:space="preserve">, </w:t>
            </w:r>
            <w:r w:rsidRPr="00DE19D8">
              <w:rPr>
                <w:i/>
                <w:sz w:val="24"/>
                <w:szCs w:val="24"/>
              </w:rPr>
              <w:t>Tychonema</w:t>
            </w:r>
            <w:r w:rsidRPr="00DE19D8">
              <w:rPr>
                <w:sz w:val="24"/>
                <w:szCs w:val="24"/>
              </w:rPr>
              <w:t>.</w:t>
            </w:r>
          </w:p>
        </w:tc>
        <w:tc>
          <w:tcPr>
            <w:tcW w:w="1966" w:type="dxa"/>
            <w:tcBorders>
              <w:top w:val="single" w:sz="4" w:space="0" w:color="000000"/>
              <w:bottom w:val="single" w:sz="4" w:space="0" w:color="000000"/>
            </w:tcBorders>
          </w:tcPr>
          <w:p w14:paraId="6D43E5F7" w14:textId="77777777" w:rsidR="0081517F" w:rsidRPr="00DE19D8" w:rsidRDefault="0081517F" w:rsidP="00496185">
            <w:pPr>
              <w:pStyle w:val="TableParagraph"/>
              <w:spacing w:before="57"/>
              <w:ind w:left="113" w:right="113"/>
              <w:rPr>
                <w:b/>
                <w:sz w:val="24"/>
                <w:szCs w:val="24"/>
              </w:rPr>
            </w:pPr>
            <w:r w:rsidRPr="00DE19D8">
              <w:rPr>
                <w:b/>
                <w:sz w:val="24"/>
                <w:szCs w:val="24"/>
              </w:rPr>
              <w:t>Benthic freshwater</w:t>
            </w:r>
            <w:r w:rsidRPr="00DE19D8">
              <w:rPr>
                <w:sz w:val="24"/>
                <w:szCs w:val="24"/>
              </w:rPr>
              <w:t xml:space="preserve">, </w:t>
            </w:r>
            <w:r w:rsidRPr="00DE19D8">
              <w:rPr>
                <w:b/>
                <w:sz w:val="24"/>
                <w:szCs w:val="24"/>
              </w:rPr>
              <w:t>Planktonic freshwater</w:t>
            </w:r>
          </w:p>
        </w:tc>
      </w:tr>
      <w:tr w:rsidR="0081517F" w:rsidRPr="000F4EFC" w14:paraId="2D1F7304" w14:textId="77777777" w:rsidTr="005B1C5D">
        <w:trPr>
          <w:trHeight w:val="2085"/>
        </w:trPr>
        <w:tc>
          <w:tcPr>
            <w:tcW w:w="1967" w:type="dxa"/>
            <w:tcBorders>
              <w:top w:val="single" w:sz="4" w:space="0" w:color="000000"/>
              <w:bottom w:val="single" w:sz="4" w:space="0" w:color="000000"/>
            </w:tcBorders>
          </w:tcPr>
          <w:p w14:paraId="2C2DDD98" w14:textId="77777777" w:rsidR="0081517F" w:rsidRPr="00DE19D8" w:rsidRDefault="0081517F" w:rsidP="00496185">
            <w:pPr>
              <w:pStyle w:val="TableParagraph"/>
              <w:spacing w:before="57"/>
              <w:ind w:left="113" w:right="113"/>
              <w:rPr>
                <w:sz w:val="24"/>
                <w:szCs w:val="24"/>
              </w:rPr>
            </w:pPr>
            <w:r w:rsidRPr="00DE19D8">
              <w:rPr>
                <w:sz w:val="24"/>
                <w:szCs w:val="24"/>
              </w:rPr>
              <w:t>Aplysiatoxins</w:t>
            </w:r>
          </w:p>
        </w:tc>
        <w:tc>
          <w:tcPr>
            <w:tcW w:w="2268" w:type="dxa"/>
            <w:tcBorders>
              <w:top w:val="single" w:sz="4" w:space="0" w:color="000000"/>
              <w:bottom w:val="single" w:sz="4" w:space="0" w:color="000000"/>
            </w:tcBorders>
          </w:tcPr>
          <w:p w14:paraId="769ACEDB" w14:textId="77777777" w:rsidR="0081517F" w:rsidRPr="00DE19D8" w:rsidRDefault="0081517F" w:rsidP="00496185">
            <w:pPr>
              <w:pStyle w:val="TableParagraph"/>
              <w:spacing w:before="57"/>
              <w:ind w:left="113" w:right="113"/>
              <w:rPr>
                <w:sz w:val="24"/>
                <w:szCs w:val="24"/>
              </w:rPr>
            </w:pPr>
            <w:r w:rsidRPr="00DE19D8">
              <w:rPr>
                <w:sz w:val="24"/>
                <w:szCs w:val="24"/>
              </w:rPr>
              <w:t>Dermatoxin.</w:t>
            </w:r>
          </w:p>
          <w:p w14:paraId="2BFEA211" w14:textId="77777777" w:rsidR="0081517F" w:rsidRPr="00DE19D8" w:rsidRDefault="0081517F" w:rsidP="00496185">
            <w:pPr>
              <w:pStyle w:val="TableParagraph"/>
              <w:spacing w:before="120"/>
              <w:ind w:left="113" w:right="113"/>
              <w:rPr>
                <w:sz w:val="24"/>
                <w:szCs w:val="24"/>
              </w:rPr>
            </w:pPr>
            <w:r w:rsidRPr="00DE19D8">
              <w:rPr>
                <w:sz w:val="24"/>
                <w:szCs w:val="24"/>
              </w:rPr>
              <w:t>Protein kinase C activator.</w:t>
            </w:r>
          </w:p>
          <w:p w14:paraId="629C3F6A" w14:textId="77777777" w:rsidR="0081517F" w:rsidRPr="00DE19D8" w:rsidRDefault="0081517F" w:rsidP="00496185">
            <w:pPr>
              <w:pStyle w:val="TableParagraph"/>
              <w:spacing w:before="119"/>
              <w:ind w:left="113" w:right="113"/>
              <w:rPr>
                <w:sz w:val="24"/>
                <w:szCs w:val="24"/>
              </w:rPr>
            </w:pPr>
            <w:r w:rsidRPr="00DE19D8">
              <w:rPr>
                <w:sz w:val="24"/>
                <w:szCs w:val="24"/>
              </w:rPr>
              <w:t>Skin irritant (‘Swimmers itch’ or ‘seaweed dermatitis’).</w:t>
            </w:r>
          </w:p>
          <w:p w14:paraId="1F39AC29" w14:textId="77777777" w:rsidR="0081517F" w:rsidRPr="00DE19D8" w:rsidRDefault="0081517F" w:rsidP="00496185">
            <w:pPr>
              <w:pStyle w:val="TableParagraph"/>
              <w:spacing w:before="121"/>
              <w:ind w:left="113" w:right="113"/>
              <w:rPr>
                <w:sz w:val="24"/>
                <w:szCs w:val="24"/>
              </w:rPr>
            </w:pPr>
            <w:r w:rsidRPr="00DE19D8">
              <w:rPr>
                <w:sz w:val="24"/>
                <w:szCs w:val="24"/>
              </w:rPr>
              <w:t>Carcinogen.</w:t>
            </w:r>
          </w:p>
        </w:tc>
        <w:tc>
          <w:tcPr>
            <w:tcW w:w="2855" w:type="dxa"/>
            <w:tcBorders>
              <w:top w:val="single" w:sz="4" w:space="0" w:color="000000"/>
              <w:bottom w:val="single" w:sz="4" w:space="0" w:color="000000"/>
            </w:tcBorders>
          </w:tcPr>
          <w:p w14:paraId="028E74E5" w14:textId="77777777" w:rsidR="0081517F" w:rsidRPr="00DE19D8" w:rsidRDefault="0081517F" w:rsidP="00496185">
            <w:pPr>
              <w:pStyle w:val="TableParagraph"/>
              <w:spacing w:before="57"/>
              <w:ind w:left="98" w:right="113"/>
              <w:rPr>
                <w:sz w:val="24"/>
                <w:szCs w:val="24"/>
              </w:rPr>
            </w:pPr>
            <w:r w:rsidRPr="00DE19D8">
              <w:rPr>
                <w:sz w:val="24"/>
                <w:szCs w:val="24"/>
              </w:rPr>
              <w:t xml:space="preserve">Cyanobacteria: </w:t>
            </w:r>
            <w:r w:rsidRPr="00DE19D8">
              <w:rPr>
                <w:i/>
                <w:sz w:val="24"/>
                <w:szCs w:val="24"/>
              </w:rPr>
              <w:t>Moorea (previously Lyngbya), Phormidium</w:t>
            </w:r>
            <w:r w:rsidRPr="00DE19D8">
              <w:rPr>
                <w:sz w:val="24"/>
                <w:szCs w:val="24"/>
              </w:rPr>
              <w:t xml:space="preserve">, </w:t>
            </w:r>
            <w:r w:rsidRPr="00DE19D8">
              <w:rPr>
                <w:i/>
                <w:sz w:val="24"/>
                <w:szCs w:val="24"/>
              </w:rPr>
              <w:t>Schizothrix</w:t>
            </w:r>
            <w:r w:rsidRPr="00DE19D8">
              <w:rPr>
                <w:sz w:val="24"/>
                <w:szCs w:val="24"/>
              </w:rPr>
              <w:t>.</w:t>
            </w:r>
          </w:p>
        </w:tc>
        <w:tc>
          <w:tcPr>
            <w:tcW w:w="1966" w:type="dxa"/>
            <w:tcBorders>
              <w:top w:val="single" w:sz="4" w:space="0" w:color="000000"/>
              <w:bottom w:val="single" w:sz="4" w:space="0" w:color="000000"/>
            </w:tcBorders>
          </w:tcPr>
          <w:p w14:paraId="2E271A0F" w14:textId="77777777" w:rsidR="0081517F" w:rsidRPr="00DE19D8" w:rsidRDefault="0081517F" w:rsidP="00496185">
            <w:pPr>
              <w:pStyle w:val="TableParagraph"/>
              <w:spacing w:before="57"/>
              <w:ind w:left="113" w:right="113"/>
              <w:rPr>
                <w:sz w:val="24"/>
                <w:szCs w:val="24"/>
              </w:rPr>
            </w:pPr>
            <w:r w:rsidRPr="00DE19D8">
              <w:rPr>
                <w:sz w:val="24"/>
                <w:szCs w:val="24"/>
              </w:rPr>
              <w:t>Benthic marine</w:t>
            </w:r>
          </w:p>
        </w:tc>
      </w:tr>
      <w:tr w:rsidR="0081517F" w:rsidRPr="000F4EFC" w14:paraId="16E4CCB5" w14:textId="77777777" w:rsidTr="005B1C5D">
        <w:trPr>
          <w:trHeight w:val="1843"/>
        </w:trPr>
        <w:tc>
          <w:tcPr>
            <w:tcW w:w="1967" w:type="dxa"/>
            <w:tcBorders>
              <w:top w:val="single" w:sz="4" w:space="0" w:color="000000"/>
              <w:bottom w:val="single" w:sz="4" w:space="0" w:color="000000"/>
            </w:tcBorders>
          </w:tcPr>
          <w:p w14:paraId="2A8C2876" w14:textId="77777777" w:rsidR="0081517F" w:rsidRPr="00DE19D8" w:rsidRDefault="0081517F" w:rsidP="00496185">
            <w:pPr>
              <w:pStyle w:val="TableParagraph"/>
              <w:spacing w:before="55"/>
              <w:ind w:left="113" w:right="113"/>
              <w:rPr>
                <w:sz w:val="24"/>
                <w:szCs w:val="24"/>
              </w:rPr>
            </w:pPr>
            <w:r w:rsidRPr="00DE19D8">
              <w:rPr>
                <w:sz w:val="24"/>
                <w:szCs w:val="24"/>
              </w:rPr>
              <w:t>Azaspiracid</w:t>
            </w:r>
          </w:p>
        </w:tc>
        <w:tc>
          <w:tcPr>
            <w:tcW w:w="2268" w:type="dxa"/>
            <w:tcBorders>
              <w:top w:val="single" w:sz="4" w:space="0" w:color="000000"/>
              <w:bottom w:val="single" w:sz="4" w:space="0" w:color="000000"/>
            </w:tcBorders>
          </w:tcPr>
          <w:p w14:paraId="5DF8FFB2" w14:textId="77777777" w:rsidR="0081517F" w:rsidRPr="00DE19D8" w:rsidRDefault="0081517F" w:rsidP="00496185">
            <w:pPr>
              <w:pStyle w:val="TableParagraph"/>
              <w:spacing w:before="55"/>
              <w:ind w:left="113" w:right="113"/>
              <w:rPr>
                <w:sz w:val="24"/>
                <w:szCs w:val="24"/>
              </w:rPr>
            </w:pPr>
            <w:r w:rsidRPr="00DE19D8">
              <w:rPr>
                <w:w w:val="95"/>
                <w:sz w:val="24"/>
                <w:szCs w:val="24"/>
              </w:rPr>
              <w:t xml:space="preserve">Gastrointestinal </w:t>
            </w:r>
            <w:r w:rsidRPr="00DE19D8">
              <w:rPr>
                <w:sz w:val="24"/>
                <w:szCs w:val="24"/>
              </w:rPr>
              <w:t>discomfort.</w:t>
            </w:r>
          </w:p>
          <w:p w14:paraId="34763EC9" w14:textId="77777777" w:rsidR="0081517F" w:rsidRPr="00DE19D8" w:rsidRDefault="0081517F" w:rsidP="00496185">
            <w:pPr>
              <w:pStyle w:val="TableParagraph"/>
              <w:spacing w:before="121"/>
              <w:ind w:left="113" w:right="113"/>
              <w:rPr>
                <w:sz w:val="24"/>
                <w:szCs w:val="24"/>
              </w:rPr>
            </w:pPr>
            <w:r w:rsidRPr="00DE19D8">
              <w:rPr>
                <w:sz w:val="24"/>
                <w:szCs w:val="24"/>
              </w:rPr>
              <w:t>Azaspiracid shellfish poisoning (from the consumption of contaminated shellfish)</w:t>
            </w:r>
          </w:p>
        </w:tc>
        <w:tc>
          <w:tcPr>
            <w:tcW w:w="2855" w:type="dxa"/>
            <w:tcBorders>
              <w:top w:val="single" w:sz="4" w:space="0" w:color="000000"/>
              <w:bottom w:val="single" w:sz="4" w:space="0" w:color="000000"/>
            </w:tcBorders>
          </w:tcPr>
          <w:p w14:paraId="375366CF" w14:textId="77777777" w:rsidR="0081517F" w:rsidRPr="00DE19D8" w:rsidRDefault="0081517F" w:rsidP="00496185">
            <w:pPr>
              <w:pStyle w:val="TableParagraph"/>
              <w:spacing w:before="55"/>
              <w:ind w:left="98" w:right="113"/>
              <w:rPr>
                <w:sz w:val="24"/>
                <w:szCs w:val="24"/>
              </w:rPr>
            </w:pPr>
            <w:r w:rsidRPr="00DE19D8">
              <w:rPr>
                <w:sz w:val="24"/>
                <w:szCs w:val="24"/>
              </w:rPr>
              <w:t xml:space="preserve">Dinoflagellate: </w:t>
            </w:r>
            <w:r w:rsidRPr="00DE19D8">
              <w:rPr>
                <w:b/>
                <w:i/>
                <w:sz w:val="24"/>
                <w:szCs w:val="24"/>
              </w:rPr>
              <w:t>Azadinium</w:t>
            </w:r>
            <w:r w:rsidRPr="00DE19D8">
              <w:rPr>
                <w:sz w:val="24"/>
                <w:szCs w:val="24"/>
              </w:rPr>
              <w:t>.</w:t>
            </w:r>
          </w:p>
        </w:tc>
        <w:tc>
          <w:tcPr>
            <w:tcW w:w="1966" w:type="dxa"/>
            <w:tcBorders>
              <w:top w:val="single" w:sz="4" w:space="0" w:color="000000"/>
              <w:bottom w:val="single" w:sz="4" w:space="0" w:color="000000"/>
            </w:tcBorders>
          </w:tcPr>
          <w:p w14:paraId="159BD91C" w14:textId="77777777" w:rsidR="0081517F" w:rsidRPr="00DE19D8" w:rsidRDefault="0081517F" w:rsidP="00496185">
            <w:pPr>
              <w:pStyle w:val="TableParagraph"/>
              <w:spacing w:before="55"/>
              <w:ind w:left="113" w:right="113"/>
              <w:rPr>
                <w:b/>
                <w:sz w:val="24"/>
                <w:szCs w:val="24"/>
              </w:rPr>
            </w:pPr>
            <w:r w:rsidRPr="00DE19D8">
              <w:rPr>
                <w:b/>
                <w:sz w:val="24"/>
                <w:szCs w:val="24"/>
              </w:rPr>
              <w:t>Planktonic marine</w:t>
            </w:r>
          </w:p>
        </w:tc>
      </w:tr>
      <w:tr w:rsidR="009B366D" w:rsidRPr="000F4EFC" w14:paraId="27A9B204" w14:textId="77777777" w:rsidTr="002B7A82">
        <w:trPr>
          <w:trHeight w:val="779"/>
        </w:trPr>
        <w:tc>
          <w:tcPr>
            <w:tcW w:w="1967" w:type="dxa"/>
            <w:tcBorders>
              <w:top w:val="single" w:sz="4" w:space="0" w:color="000000"/>
              <w:bottom w:val="single" w:sz="4" w:space="0" w:color="000000"/>
            </w:tcBorders>
          </w:tcPr>
          <w:p w14:paraId="4D0EC0C7" w14:textId="12D9EC8B" w:rsidR="009B366D" w:rsidRPr="00DE19D8" w:rsidRDefault="009B366D" w:rsidP="009B366D">
            <w:pPr>
              <w:pStyle w:val="TableParagraph"/>
              <w:spacing w:before="55"/>
              <w:ind w:left="113" w:right="113"/>
              <w:rPr>
                <w:sz w:val="24"/>
                <w:szCs w:val="24"/>
              </w:rPr>
            </w:pPr>
            <w:r w:rsidRPr="00DE19D8">
              <w:rPr>
                <w:sz w:val="24"/>
                <w:szCs w:val="24"/>
              </w:rPr>
              <w:t>Brevetoxins</w:t>
            </w:r>
          </w:p>
        </w:tc>
        <w:tc>
          <w:tcPr>
            <w:tcW w:w="2268" w:type="dxa"/>
            <w:tcBorders>
              <w:top w:val="single" w:sz="4" w:space="0" w:color="000000"/>
              <w:bottom w:val="single" w:sz="4" w:space="0" w:color="000000"/>
            </w:tcBorders>
          </w:tcPr>
          <w:p w14:paraId="4D54422C" w14:textId="77777777" w:rsidR="009B366D" w:rsidRPr="00DE19D8" w:rsidRDefault="009B366D" w:rsidP="009B366D">
            <w:pPr>
              <w:pStyle w:val="TableParagraph"/>
              <w:spacing w:before="57"/>
              <w:ind w:left="113" w:right="113"/>
              <w:rPr>
                <w:sz w:val="24"/>
                <w:szCs w:val="24"/>
              </w:rPr>
            </w:pPr>
            <w:r w:rsidRPr="00DE19D8">
              <w:rPr>
                <w:sz w:val="24"/>
                <w:szCs w:val="24"/>
              </w:rPr>
              <w:t>Neurotoxin.</w:t>
            </w:r>
          </w:p>
          <w:p w14:paraId="347B7C3C" w14:textId="77777777" w:rsidR="009B366D" w:rsidRPr="00DE19D8" w:rsidRDefault="009B366D" w:rsidP="009B366D">
            <w:pPr>
              <w:pStyle w:val="TableParagraph"/>
              <w:spacing w:before="120"/>
              <w:ind w:left="113" w:right="113"/>
              <w:rPr>
                <w:sz w:val="24"/>
                <w:szCs w:val="24"/>
              </w:rPr>
            </w:pPr>
            <w:r w:rsidRPr="00DE19D8">
              <w:rPr>
                <w:sz w:val="24"/>
                <w:szCs w:val="24"/>
              </w:rPr>
              <w:t xml:space="preserve">Binds to voltage </w:t>
            </w:r>
            <w:r w:rsidRPr="00DE19D8">
              <w:rPr>
                <w:sz w:val="24"/>
                <w:szCs w:val="24"/>
              </w:rPr>
              <w:lastRenderedPageBreak/>
              <w:t>sensitive sodium channels.</w:t>
            </w:r>
          </w:p>
          <w:p w14:paraId="0059D302" w14:textId="77777777" w:rsidR="009B366D" w:rsidRPr="00DE19D8" w:rsidRDefault="009B366D" w:rsidP="009B366D">
            <w:pPr>
              <w:pStyle w:val="TableParagraph"/>
              <w:spacing w:before="119"/>
              <w:ind w:left="113" w:right="113"/>
              <w:rPr>
                <w:sz w:val="24"/>
                <w:szCs w:val="24"/>
              </w:rPr>
            </w:pPr>
            <w:r w:rsidRPr="00DE19D8">
              <w:rPr>
                <w:sz w:val="24"/>
                <w:szCs w:val="24"/>
              </w:rPr>
              <w:t>Neurotoxic shellfish poisoning (from the consumption of contaminated shellfish)</w:t>
            </w:r>
          </w:p>
          <w:p w14:paraId="4A0675A6" w14:textId="1100929A" w:rsidR="009B366D" w:rsidRPr="00DE19D8" w:rsidRDefault="009B366D" w:rsidP="009B366D">
            <w:pPr>
              <w:pStyle w:val="TableParagraph"/>
              <w:spacing w:before="55"/>
              <w:ind w:left="113" w:right="113"/>
              <w:rPr>
                <w:w w:val="95"/>
                <w:sz w:val="24"/>
                <w:szCs w:val="24"/>
              </w:rPr>
            </w:pPr>
            <w:r w:rsidRPr="00DE19D8">
              <w:rPr>
                <w:sz w:val="24"/>
                <w:szCs w:val="24"/>
              </w:rPr>
              <w:t>Respiratory irritant when aerosolised</w:t>
            </w:r>
          </w:p>
        </w:tc>
        <w:tc>
          <w:tcPr>
            <w:tcW w:w="2855" w:type="dxa"/>
            <w:tcBorders>
              <w:top w:val="single" w:sz="4" w:space="0" w:color="000000"/>
              <w:bottom w:val="single" w:sz="4" w:space="0" w:color="000000"/>
            </w:tcBorders>
          </w:tcPr>
          <w:p w14:paraId="74DC3599" w14:textId="5E04CB21" w:rsidR="009B366D" w:rsidRPr="00DE19D8" w:rsidRDefault="009B366D" w:rsidP="009B366D">
            <w:pPr>
              <w:pStyle w:val="TableParagraph"/>
              <w:spacing w:before="55"/>
              <w:ind w:left="98" w:right="113"/>
              <w:rPr>
                <w:sz w:val="24"/>
                <w:szCs w:val="24"/>
              </w:rPr>
            </w:pPr>
            <w:r w:rsidRPr="00DE19D8">
              <w:rPr>
                <w:sz w:val="24"/>
                <w:szCs w:val="24"/>
              </w:rPr>
              <w:lastRenderedPageBreak/>
              <w:t xml:space="preserve">Dinoflagellate: </w:t>
            </w:r>
            <w:r w:rsidRPr="00DE19D8">
              <w:rPr>
                <w:b/>
                <w:i/>
                <w:sz w:val="24"/>
                <w:szCs w:val="24"/>
              </w:rPr>
              <w:t>Karenia</w:t>
            </w:r>
            <w:r w:rsidRPr="00DE19D8">
              <w:rPr>
                <w:sz w:val="24"/>
                <w:szCs w:val="24"/>
              </w:rPr>
              <w:t>.</w:t>
            </w:r>
          </w:p>
        </w:tc>
        <w:tc>
          <w:tcPr>
            <w:tcW w:w="1966" w:type="dxa"/>
            <w:tcBorders>
              <w:top w:val="single" w:sz="4" w:space="0" w:color="000000"/>
              <w:bottom w:val="single" w:sz="4" w:space="0" w:color="000000"/>
            </w:tcBorders>
          </w:tcPr>
          <w:p w14:paraId="3F0115AF" w14:textId="78F18722" w:rsidR="009B366D" w:rsidRPr="00DE19D8" w:rsidRDefault="009B366D" w:rsidP="009B366D">
            <w:pPr>
              <w:pStyle w:val="TableParagraph"/>
              <w:spacing w:before="55"/>
              <w:ind w:left="113" w:right="113"/>
              <w:rPr>
                <w:b/>
                <w:sz w:val="24"/>
                <w:szCs w:val="24"/>
              </w:rPr>
            </w:pPr>
            <w:r w:rsidRPr="00DE19D8">
              <w:rPr>
                <w:b/>
                <w:sz w:val="24"/>
                <w:szCs w:val="24"/>
              </w:rPr>
              <w:t>Planktonic marine</w:t>
            </w:r>
          </w:p>
        </w:tc>
      </w:tr>
      <w:tr w:rsidR="009B366D" w:rsidRPr="000F4EFC" w14:paraId="1DB53146" w14:textId="77777777" w:rsidTr="005B1C5D">
        <w:trPr>
          <w:trHeight w:val="2195"/>
        </w:trPr>
        <w:tc>
          <w:tcPr>
            <w:tcW w:w="1967" w:type="dxa"/>
            <w:tcBorders>
              <w:top w:val="single" w:sz="4" w:space="0" w:color="000000"/>
              <w:bottom w:val="single" w:sz="4" w:space="0" w:color="000000"/>
            </w:tcBorders>
          </w:tcPr>
          <w:p w14:paraId="44DB0054" w14:textId="77777777" w:rsidR="009B366D" w:rsidRPr="000F4EFC" w:rsidRDefault="009B366D" w:rsidP="009B366D">
            <w:pPr>
              <w:pStyle w:val="TableParagraph"/>
              <w:spacing w:before="57"/>
              <w:ind w:left="113" w:right="113"/>
            </w:pPr>
            <w:r w:rsidRPr="000F4EFC">
              <w:t>Ciguatoxins</w:t>
            </w:r>
          </w:p>
        </w:tc>
        <w:tc>
          <w:tcPr>
            <w:tcW w:w="2268" w:type="dxa"/>
            <w:tcBorders>
              <w:top w:val="single" w:sz="4" w:space="0" w:color="000000"/>
              <w:bottom w:val="single" w:sz="4" w:space="0" w:color="000000"/>
            </w:tcBorders>
          </w:tcPr>
          <w:p w14:paraId="20A86890" w14:textId="77777777" w:rsidR="009B366D" w:rsidRPr="00DE19D8" w:rsidRDefault="009B366D" w:rsidP="009B366D">
            <w:pPr>
              <w:pStyle w:val="TableParagraph"/>
              <w:spacing w:before="57"/>
              <w:ind w:left="113" w:right="113"/>
              <w:rPr>
                <w:sz w:val="24"/>
                <w:szCs w:val="24"/>
              </w:rPr>
            </w:pPr>
            <w:r w:rsidRPr="00DE19D8">
              <w:rPr>
                <w:sz w:val="24"/>
                <w:szCs w:val="24"/>
              </w:rPr>
              <w:t>Neurotoxin.</w:t>
            </w:r>
          </w:p>
          <w:p w14:paraId="77C0322D" w14:textId="77777777" w:rsidR="009B366D" w:rsidRPr="00DE19D8" w:rsidRDefault="009B366D" w:rsidP="009B366D">
            <w:pPr>
              <w:pStyle w:val="TableParagraph"/>
              <w:spacing w:before="120"/>
              <w:ind w:left="113" w:right="113"/>
              <w:rPr>
                <w:sz w:val="24"/>
                <w:szCs w:val="24"/>
              </w:rPr>
            </w:pPr>
            <w:r w:rsidRPr="00DE19D8">
              <w:rPr>
                <w:sz w:val="24"/>
                <w:szCs w:val="24"/>
              </w:rPr>
              <w:t>Lower the threshold for opening excitatory voltage-gated sodium channels.</w:t>
            </w:r>
          </w:p>
          <w:p w14:paraId="2351EEB2" w14:textId="77777777" w:rsidR="009B366D" w:rsidRPr="00DE19D8" w:rsidRDefault="009B366D" w:rsidP="009B366D">
            <w:pPr>
              <w:pStyle w:val="TableParagraph"/>
              <w:spacing w:before="119"/>
              <w:ind w:left="113" w:right="113"/>
              <w:rPr>
                <w:sz w:val="24"/>
                <w:szCs w:val="24"/>
              </w:rPr>
            </w:pPr>
            <w:r w:rsidRPr="00DE19D8">
              <w:rPr>
                <w:sz w:val="24"/>
                <w:szCs w:val="24"/>
              </w:rPr>
              <w:t>Ciguatera poisoning (from the consumption of contaminated food).</w:t>
            </w:r>
          </w:p>
        </w:tc>
        <w:tc>
          <w:tcPr>
            <w:tcW w:w="2855" w:type="dxa"/>
            <w:tcBorders>
              <w:top w:val="single" w:sz="4" w:space="0" w:color="000000"/>
              <w:bottom w:val="single" w:sz="4" w:space="0" w:color="000000"/>
            </w:tcBorders>
          </w:tcPr>
          <w:p w14:paraId="193EF05E" w14:textId="77777777" w:rsidR="009B366D" w:rsidRPr="00DE19D8" w:rsidRDefault="009B366D" w:rsidP="009B366D">
            <w:pPr>
              <w:pStyle w:val="TableParagraph"/>
              <w:spacing w:before="57"/>
              <w:ind w:left="71" w:right="113"/>
              <w:rPr>
                <w:sz w:val="24"/>
                <w:szCs w:val="24"/>
              </w:rPr>
            </w:pPr>
            <w:r w:rsidRPr="00DE19D8">
              <w:rPr>
                <w:sz w:val="24"/>
                <w:szCs w:val="24"/>
              </w:rPr>
              <w:t>Dinoflagellate:</w:t>
            </w:r>
          </w:p>
          <w:p w14:paraId="1E98077D" w14:textId="77777777" w:rsidR="009B366D" w:rsidRPr="00DE19D8" w:rsidRDefault="009B366D" w:rsidP="009B366D">
            <w:pPr>
              <w:pStyle w:val="TableParagraph"/>
              <w:ind w:left="71" w:right="113"/>
              <w:rPr>
                <w:sz w:val="24"/>
                <w:szCs w:val="24"/>
              </w:rPr>
            </w:pPr>
            <w:r w:rsidRPr="00DE19D8">
              <w:rPr>
                <w:i/>
                <w:sz w:val="24"/>
                <w:szCs w:val="24"/>
              </w:rPr>
              <w:t>Gambierdiscus</w:t>
            </w:r>
            <w:r w:rsidRPr="00DE19D8">
              <w:rPr>
                <w:sz w:val="24"/>
                <w:szCs w:val="24"/>
              </w:rPr>
              <w:t>.</w:t>
            </w:r>
          </w:p>
        </w:tc>
        <w:tc>
          <w:tcPr>
            <w:tcW w:w="1966" w:type="dxa"/>
            <w:tcBorders>
              <w:top w:val="single" w:sz="4" w:space="0" w:color="000000"/>
              <w:bottom w:val="single" w:sz="4" w:space="0" w:color="000000"/>
            </w:tcBorders>
          </w:tcPr>
          <w:p w14:paraId="496408DF" w14:textId="77777777" w:rsidR="009B366D" w:rsidRPr="000F4EFC" w:rsidRDefault="009B366D" w:rsidP="009B366D">
            <w:pPr>
              <w:pStyle w:val="TableParagraph"/>
              <w:spacing w:before="57"/>
              <w:ind w:left="113" w:right="113"/>
            </w:pPr>
            <w:r w:rsidRPr="000F4EFC">
              <w:t>Benthic marine.</w:t>
            </w:r>
          </w:p>
        </w:tc>
      </w:tr>
      <w:tr w:rsidR="009B366D" w:rsidRPr="000F4EFC" w14:paraId="1606DF9A" w14:textId="77777777" w:rsidTr="005B1C5D">
        <w:trPr>
          <w:trHeight w:val="1492"/>
        </w:trPr>
        <w:tc>
          <w:tcPr>
            <w:tcW w:w="1967" w:type="dxa"/>
            <w:tcBorders>
              <w:top w:val="single" w:sz="4" w:space="0" w:color="000000"/>
              <w:bottom w:val="single" w:sz="4" w:space="0" w:color="000000"/>
            </w:tcBorders>
          </w:tcPr>
          <w:p w14:paraId="4B30113D" w14:textId="4FB06FC1" w:rsidR="009B366D" w:rsidRPr="000F4EFC" w:rsidRDefault="009B366D" w:rsidP="009B366D">
            <w:pPr>
              <w:pStyle w:val="TableParagraph"/>
              <w:spacing w:before="54"/>
              <w:ind w:left="113" w:right="113"/>
            </w:pPr>
            <w:r w:rsidRPr="000F4EFC">
              <w:t>Cylindrospermop</w:t>
            </w:r>
            <w:r>
              <w:t>-</w:t>
            </w:r>
            <w:r w:rsidRPr="000F4EFC">
              <w:t>sins</w:t>
            </w:r>
          </w:p>
        </w:tc>
        <w:tc>
          <w:tcPr>
            <w:tcW w:w="2268" w:type="dxa"/>
            <w:tcBorders>
              <w:top w:val="single" w:sz="4" w:space="0" w:color="000000"/>
              <w:bottom w:val="single" w:sz="4" w:space="0" w:color="000000"/>
            </w:tcBorders>
          </w:tcPr>
          <w:p w14:paraId="0E121D97" w14:textId="77777777" w:rsidR="009B366D" w:rsidRPr="00DE19D8" w:rsidRDefault="009B366D" w:rsidP="009B366D">
            <w:pPr>
              <w:pStyle w:val="TableParagraph"/>
              <w:spacing w:before="54"/>
              <w:ind w:left="113" w:right="113"/>
              <w:rPr>
                <w:sz w:val="24"/>
                <w:szCs w:val="24"/>
              </w:rPr>
            </w:pPr>
            <w:r w:rsidRPr="00DE19D8">
              <w:rPr>
                <w:sz w:val="24"/>
                <w:szCs w:val="24"/>
              </w:rPr>
              <w:t>Hepatotoxin.</w:t>
            </w:r>
          </w:p>
          <w:p w14:paraId="6805E7D2" w14:textId="77777777" w:rsidR="009B366D" w:rsidRPr="00DE19D8" w:rsidRDefault="009B366D" w:rsidP="009B366D">
            <w:pPr>
              <w:pStyle w:val="TableParagraph"/>
              <w:spacing w:before="121"/>
              <w:ind w:left="113" w:right="113"/>
              <w:rPr>
                <w:sz w:val="24"/>
                <w:szCs w:val="24"/>
              </w:rPr>
            </w:pPr>
            <w:r w:rsidRPr="00DE19D8">
              <w:rPr>
                <w:sz w:val="24"/>
                <w:szCs w:val="24"/>
              </w:rPr>
              <w:t>Protein synthesis inhibitor.</w:t>
            </w:r>
          </w:p>
          <w:p w14:paraId="459B4572" w14:textId="77777777" w:rsidR="009B366D" w:rsidRPr="00DE19D8" w:rsidRDefault="009B366D" w:rsidP="009B366D">
            <w:pPr>
              <w:pStyle w:val="TableParagraph"/>
              <w:spacing w:before="121"/>
              <w:ind w:left="113" w:right="113"/>
              <w:rPr>
                <w:sz w:val="24"/>
                <w:szCs w:val="24"/>
              </w:rPr>
            </w:pPr>
            <w:r w:rsidRPr="00DE19D8">
              <w:rPr>
                <w:sz w:val="24"/>
                <w:szCs w:val="24"/>
              </w:rPr>
              <w:t>Genotoxicity.</w:t>
            </w:r>
          </w:p>
        </w:tc>
        <w:tc>
          <w:tcPr>
            <w:tcW w:w="2855" w:type="dxa"/>
            <w:tcBorders>
              <w:top w:val="single" w:sz="4" w:space="0" w:color="000000"/>
              <w:bottom w:val="single" w:sz="4" w:space="0" w:color="000000"/>
            </w:tcBorders>
          </w:tcPr>
          <w:p w14:paraId="70C3FE4D" w14:textId="77777777" w:rsidR="009B366D" w:rsidRPr="00DE19D8" w:rsidRDefault="009B366D" w:rsidP="009B366D">
            <w:pPr>
              <w:pStyle w:val="TableParagraph"/>
              <w:spacing w:before="54"/>
              <w:ind w:left="71" w:right="113"/>
              <w:rPr>
                <w:sz w:val="24"/>
                <w:szCs w:val="24"/>
              </w:rPr>
            </w:pPr>
            <w:r w:rsidRPr="00DE19D8">
              <w:rPr>
                <w:sz w:val="24"/>
                <w:szCs w:val="24"/>
              </w:rPr>
              <w:t xml:space="preserve">Cyanobacteria: </w:t>
            </w:r>
            <w:r w:rsidRPr="00DE19D8">
              <w:rPr>
                <w:i/>
                <w:sz w:val="24"/>
                <w:szCs w:val="24"/>
              </w:rPr>
              <w:t>Aphanizomenon</w:t>
            </w:r>
            <w:r w:rsidRPr="00DE19D8">
              <w:rPr>
                <w:sz w:val="24"/>
                <w:szCs w:val="24"/>
              </w:rPr>
              <w:t xml:space="preserve">, </w:t>
            </w:r>
            <w:r w:rsidRPr="00DE19D8">
              <w:rPr>
                <w:i/>
                <w:sz w:val="24"/>
                <w:szCs w:val="24"/>
              </w:rPr>
              <w:t>Chrysosporum</w:t>
            </w:r>
            <w:r w:rsidRPr="00DE19D8">
              <w:rPr>
                <w:sz w:val="24"/>
                <w:szCs w:val="24"/>
              </w:rPr>
              <w:t xml:space="preserve">, </w:t>
            </w:r>
            <w:r w:rsidRPr="00DE19D8">
              <w:rPr>
                <w:i/>
                <w:sz w:val="24"/>
                <w:szCs w:val="24"/>
              </w:rPr>
              <w:t>Dolichospermum</w:t>
            </w:r>
            <w:r w:rsidRPr="00DE19D8">
              <w:rPr>
                <w:sz w:val="24"/>
                <w:szCs w:val="24"/>
              </w:rPr>
              <w:t xml:space="preserve">, </w:t>
            </w:r>
            <w:r w:rsidRPr="00DE19D8">
              <w:rPr>
                <w:i/>
                <w:sz w:val="24"/>
                <w:szCs w:val="24"/>
              </w:rPr>
              <w:t>Microseria</w:t>
            </w:r>
            <w:r w:rsidRPr="00DE19D8">
              <w:rPr>
                <w:sz w:val="24"/>
                <w:szCs w:val="24"/>
              </w:rPr>
              <w:t xml:space="preserve">, </w:t>
            </w:r>
            <w:r w:rsidRPr="00DE19D8">
              <w:rPr>
                <w:b/>
                <w:i/>
                <w:sz w:val="24"/>
                <w:szCs w:val="24"/>
              </w:rPr>
              <w:t>Rhaphidiopsis</w:t>
            </w:r>
            <w:r w:rsidRPr="00DE19D8">
              <w:rPr>
                <w:sz w:val="24"/>
                <w:szCs w:val="24"/>
              </w:rPr>
              <w:t xml:space="preserve">, </w:t>
            </w:r>
            <w:r w:rsidRPr="00DE19D8">
              <w:rPr>
                <w:i/>
                <w:sz w:val="24"/>
                <w:szCs w:val="24"/>
              </w:rPr>
              <w:t>Phormidium</w:t>
            </w:r>
            <w:r w:rsidRPr="00DE19D8">
              <w:rPr>
                <w:sz w:val="24"/>
                <w:szCs w:val="24"/>
              </w:rPr>
              <w:t xml:space="preserve">, </w:t>
            </w:r>
            <w:r w:rsidRPr="00DE19D8">
              <w:rPr>
                <w:i/>
                <w:sz w:val="24"/>
                <w:szCs w:val="24"/>
              </w:rPr>
              <w:t>Umezakia</w:t>
            </w:r>
            <w:r w:rsidRPr="00DE19D8">
              <w:rPr>
                <w:sz w:val="24"/>
                <w:szCs w:val="24"/>
              </w:rPr>
              <w:t>.</w:t>
            </w:r>
          </w:p>
        </w:tc>
        <w:tc>
          <w:tcPr>
            <w:tcW w:w="1966" w:type="dxa"/>
            <w:tcBorders>
              <w:top w:val="single" w:sz="4" w:space="0" w:color="000000"/>
              <w:bottom w:val="single" w:sz="4" w:space="0" w:color="000000"/>
            </w:tcBorders>
          </w:tcPr>
          <w:p w14:paraId="29FFD2A6" w14:textId="77777777" w:rsidR="009B366D" w:rsidRPr="000F4EFC" w:rsidRDefault="009B366D" w:rsidP="009B366D">
            <w:pPr>
              <w:pStyle w:val="TableParagraph"/>
              <w:spacing w:before="54"/>
              <w:ind w:left="113" w:right="113"/>
            </w:pPr>
            <w:r w:rsidRPr="000F4EFC">
              <w:t>Benthic freshwater,</w:t>
            </w:r>
          </w:p>
          <w:p w14:paraId="5640FBC0" w14:textId="77777777" w:rsidR="009B366D" w:rsidRPr="000F4EFC" w:rsidRDefault="009B366D" w:rsidP="009B366D">
            <w:pPr>
              <w:pStyle w:val="TableParagraph"/>
              <w:spacing w:before="1"/>
              <w:ind w:left="113" w:right="113"/>
            </w:pPr>
            <w:r w:rsidRPr="000F4EFC">
              <w:rPr>
                <w:b/>
              </w:rPr>
              <w:t>Planktonic freshwater</w:t>
            </w:r>
            <w:r w:rsidRPr="000F4EFC">
              <w:t>.</w:t>
            </w:r>
          </w:p>
        </w:tc>
      </w:tr>
      <w:tr w:rsidR="009B366D" w:rsidRPr="000F4EFC" w14:paraId="4BA61C20" w14:textId="77777777" w:rsidTr="005B1C5D">
        <w:trPr>
          <w:trHeight w:val="2423"/>
        </w:trPr>
        <w:tc>
          <w:tcPr>
            <w:tcW w:w="1967" w:type="dxa"/>
            <w:tcBorders>
              <w:top w:val="single" w:sz="4" w:space="0" w:color="000000"/>
              <w:bottom w:val="single" w:sz="4" w:space="0" w:color="000000"/>
            </w:tcBorders>
          </w:tcPr>
          <w:p w14:paraId="20BCCB2C" w14:textId="77777777" w:rsidR="009B366D" w:rsidRPr="000F4EFC" w:rsidRDefault="009B366D" w:rsidP="009B366D">
            <w:pPr>
              <w:pStyle w:val="TableParagraph"/>
              <w:spacing w:before="57"/>
              <w:ind w:left="113" w:right="113"/>
            </w:pPr>
            <w:r w:rsidRPr="000F4EFC">
              <w:t>Domoic acid</w:t>
            </w:r>
          </w:p>
        </w:tc>
        <w:tc>
          <w:tcPr>
            <w:tcW w:w="2268" w:type="dxa"/>
            <w:tcBorders>
              <w:top w:val="single" w:sz="4" w:space="0" w:color="000000"/>
              <w:bottom w:val="single" w:sz="4" w:space="0" w:color="000000"/>
            </w:tcBorders>
          </w:tcPr>
          <w:p w14:paraId="05CB219E" w14:textId="77777777" w:rsidR="009B366D" w:rsidRPr="00DE19D8" w:rsidRDefault="009B366D" w:rsidP="009B366D">
            <w:pPr>
              <w:pStyle w:val="TableParagraph"/>
              <w:spacing w:before="57"/>
              <w:ind w:left="113" w:right="113"/>
              <w:rPr>
                <w:sz w:val="24"/>
                <w:szCs w:val="24"/>
              </w:rPr>
            </w:pPr>
            <w:r w:rsidRPr="00DE19D8">
              <w:rPr>
                <w:sz w:val="24"/>
                <w:szCs w:val="24"/>
              </w:rPr>
              <w:t>Neurotoxin.</w:t>
            </w:r>
          </w:p>
          <w:p w14:paraId="5CD55A93" w14:textId="77777777" w:rsidR="009B366D" w:rsidRPr="00DE19D8" w:rsidRDefault="009B366D" w:rsidP="009B366D">
            <w:pPr>
              <w:pStyle w:val="TableParagraph"/>
              <w:spacing w:before="120"/>
              <w:ind w:left="113" w:right="113"/>
              <w:rPr>
                <w:sz w:val="24"/>
                <w:szCs w:val="24"/>
              </w:rPr>
            </w:pPr>
            <w:r w:rsidRPr="00DE19D8">
              <w:rPr>
                <w:sz w:val="24"/>
                <w:szCs w:val="24"/>
              </w:rPr>
              <w:t>Glutamate receptor activator.</w:t>
            </w:r>
          </w:p>
          <w:p w14:paraId="0000B1BE" w14:textId="77777777" w:rsidR="009B366D" w:rsidRPr="00DE19D8" w:rsidRDefault="009B366D" w:rsidP="009B366D">
            <w:pPr>
              <w:pStyle w:val="TableParagraph"/>
              <w:spacing w:before="121"/>
              <w:ind w:left="113" w:right="113"/>
              <w:rPr>
                <w:sz w:val="24"/>
                <w:szCs w:val="24"/>
              </w:rPr>
            </w:pPr>
            <w:r w:rsidRPr="00DE19D8">
              <w:rPr>
                <w:sz w:val="24"/>
                <w:szCs w:val="24"/>
              </w:rPr>
              <w:t>Amnesic shellfish poisoning (from the consumption of contaminated shellfish, sardines</w:t>
            </w:r>
            <w:r w:rsidRPr="00DE19D8">
              <w:rPr>
                <w:spacing w:val="-7"/>
                <w:sz w:val="24"/>
                <w:szCs w:val="24"/>
              </w:rPr>
              <w:t xml:space="preserve"> </w:t>
            </w:r>
            <w:r w:rsidRPr="00DE19D8">
              <w:rPr>
                <w:sz w:val="24"/>
                <w:szCs w:val="24"/>
              </w:rPr>
              <w:t>and anchovies).</w:t>
            </w:r>
          </w:p>
        </w:tc>
        <w:tc>
          <w:tcPr>
            <w:tcW w:w="2855" w:type="dxa"/>
            <w:tcBorders>
              <w:top w:val="single" w:sz="4" w:space="0" w:color="000000"/>
              <w:bottom w:val="single" w:sz="4" w:space="0" w:color="000000"/>
            </w:tcBorders>
          </w:tcPr>
          <w:p w14:paraId="35AF6E90" w14:textId="77777777" w:rsidR="009B366D" w:rsidRPr="00DE19D8" w:rsidRDefault="009B366D" w:rsidP="009B366D">
            <w:pPr>
              <w:pStyle w:val="TableParagraph"/>
              <w:spacing w:before="57"/>
              <w:ind w:left="71" w:right="113"/>
              <w:rPr>
                <w:sz w:val="24"/>
                <w:szCs w:val="24"/>
              </w:rPr>
            </w:pPr>
            <w:r w:rsidRPr="00DE19D8">
              <w:rPr>
                <w:sz w:val="24"/>
                <w:szCs w:val="24"/>
                <w:u w:val="single"/>
              </w:rPr>
              <w:t>Diatom:</w:t>
            </w:r>
            <w:r w:rsidRPr="00DE19D8">
              <w:rPr>
                <w:sz w:val="24"/>
                <w:szCs w:val="24"/>
              </w:rPr>
              <w:t xml:space="preserve"> </w:t>
            </w:r>
            <w:r w:rsidRPr="00DE19D8">
              <w:rPr>
                <w:b/>
                <w:i/>
                <w:sz w:val="24"/>
                <w:szCs w:val="24"/>
              </w:rPr>
              <w:t>Pseudo-nitzschia</w:t>
            </w:r>
            <w:r w:rsidRPr="00DE19D8">
              <w:rPr>
                <w:sz w:val="24"/>
                <w:szCs w:val="24"/>
              </w:rPr>
              <w:t>.</w:t>
            </w:r>
          </w:p>
        </w:tc>
        <w:tc>
          <w:tcPr>
            <w:tcW w:w="1966" w:type="dxa"/>
            <w:tcBorders>
              <w:top w:val="single" w:sz="4" w:space="0" w:color="000000"/>
              <w:bottom w:val="single" w:sz="4" w:space="0" w:color="000000"/>
            </w:tcBorders>
          </w:tcPr>
          <w:p w14:paraId="2631480F" w14:textId="77777777" w:rsidR="009B366D" w:rsidRPr="000F4EFC" w:rsidRDefault="009B366D" w:rsidP="009B366D">
            <w:pPr>
              <w:pStyle w:val="TableParagraph"/>
              <w:spacing w:before="57"/>
              <w:ind w:left="113" w:right="113"/>
            </w:pPr>
            <w:r w:rsidRPr="000F4EFC">
              <w:rPr>
                <w:b/>
              </w:rPr>
              <w:t>Planktonic marine</w:t>
            </w:r>
            <w:r w:rsidRPr="000F4EFC">
              <w:t>.</w:t>
            </w:r>
          </w:p>
        </w:tc>
      </w:tr>
      <w:tr w:rsidR="009B366D" w:rsidRPr="000F4EFC" w14:paraId="3D6D083E" w14:textId="77777777" w:rsidTr="005B1C5D">
        <w:trPr>
          <w:trHeight w:val="1504"/>
        </w:trPr>
        <w:tc>
          <w:tcPr>
            <w:tcW w:w="1967" w:type="dxa"/>
            <w:tcBorders>
              <w:top w:val="single" w:sz="4" w:space="0" w:color="000000"/>
              <w:bottom w:val="single" w:sz="4" w:space="0" w:color="000000"/>
            </w:tcBorders>
          </w:tcPr>
          <w:p w14:paraId="3E91C5B3" w14:textId="77777777" w:rsidR="009B366D" w:rsidRPr="000F4EFC" w:rsidRDefault="009B366D" w:rsidP="009B366D">
            <w:pPr>
              <w:pStyle w:val="TableParagraph"/>
              <w:spacing w:before="57"/>
              <w:ind w:left="113" w:right="113"/>
            </w:pPr>
            <w:r w:rsidRPr="000F4EFC">
              <w:t>Lyngbyatoxins</w:t>
            </w:r>
          </w:p>
        </w:tc>
        <w:tc>
          <w:tcPr>
            <w:tcW w:w="2268" w:type="dxa"/>
            <w:tcBorders>
              <w:top w:val="single" w:sz="4" w:space="0" w:color="000000"/>
              <w:bottom w:val="single" w:sz="4" w:space="0" w:color="000000"/>
            </w:tcBorders>
          </w:tcPr>
          <w:p w14:paraId="795A4834" w14:textId="77777777" w:rsidR="009B366D" w:rsidRPr="00DE19D8" w:rsidRDefault="009B366D" w:rsidP="009B366D">
            <w:pPr>
              <w:pStyle w:val="TableParagraph"/>
              <w:spacing w:before="57"/>
              <w:ind w:left="113" w:right="113"/>
              <w:rPr>
                <w:sz w:val="24"/>
                <w:szCs w:val="24"/>
              </w:rPr>
            </w:pPr>
            <w:r w:rsidRPr="00DE19D8">
              <w:rPr>
                <w:sz w:val="24"/>
                <w:szCs w:val="24"/>
              </w:rPr>
              <w:t>Dermatoxin.</w:t>
            </w:r>
          </w:p>
          <w:p w14:paraId="1790ED7A" w14:textId="77777777" w:rsidR="009B366D" w:rsidRPr="00DE19D8" w:rsidRDefault="009B366D" w:rsidP="009B366D">
            <w:pPr>
              <w:pStyle w:val="TableParagraph"/>
              <w:spacing w:before="120"/>
              <w:ind w:left="113" w:right="113"/>
              <w:rPr>
                <w:sz w:val="24"/>
                <w:szCs w:val="24"/>
              </w:rPr>
            </w:pPr>
            <w:r w:rsidRPr="00DE19D8">
              <w:rPr>
                <w:sz w:val="24"/>
                <w:szCs w:val="24"/>
              </w:rPr>
              <w:t>Skin irritant (‘Swimmers itch’ or ‘seaweed dermatitis’).</w:t>
            </w:r>
          </w:p>
          <w:p w14:paraId="2DF31B17" w14:textId="77777777" w:rsidR="009B366D" w:rsidRPr="00DE19D8" w:rsidRDefault="009B366D" w:rsidP="009B366D">
            <w:pPr>
              <w:pStyle w:val="TableParagraph"/>
              <w:spacing w:before="122"/>
              <w:ind w:left="113" w:right="113"/>
              <w:rPr>
                <w:sz w:val="24"/>
                <w:szCs w:val="24"/>
              </w:rPr>
            </w:pPr>
            <w:r w:rsidRPr="00DE19D8">
              <w:rPr>
                <w:sz w:val="24"/>
                <w:szCs w:val="24"/>
              </w:rPr>
              <w:t>Carcinogen.</w:t>
            </w:r>
          </w:p>
        </w:tc>
        <w:tc>
          <w:tcPr>
            <w:tcW w:w="2855" w:type="dxa"/>
            <w:tcBorders>
              <w:top w:val="single" w:sz="4" w:space="0" w:color="000000"/>
              <w:bottom w:val="single" w:sz="4" w:space="0" w:color="000000"/>
            </w:tcBorders>
          </w:tcPr>
          <w:p w14:paraId="62631CEB" w14:textId="77777777" w:rsidR="009B366D" w:rsidRPr="00DE19D8" w:rsidRDefault="009B366D" w:rsidP="009B366D">
            <w:pPr>
              <w:pStyle w:val="TableParagraph"/>
              <w:spacing w:before="57"/>
              <w:ind w:left="71" w:right="113"/>
              <w:rPr>
                <w:i/>
                <w:sz w:val="24"/>
                <w:szCs w:val="24"/>
              </w:rPr>
            </w:pPr>
            <w:r w:rsidRPr="00DE19D8">
              <w:rPr>
                <w:sz w:val="24"/>
                <w:szCs w:val="24"/>
              </w:rPr>
              <w:t xml:space="preserve">Cyanobacteria: </w:t>
            </w:r>
            <w:r w:rsidRPr="00DE19D8">
              <w:rPr>
                <w:i/>
                <w:sz w:val="24"/>
                <w:szCs w:val="24"/>
              </w:rPr>
              <w:t>Moorea</w:t>
            </w:r>
          </w:p>
          <w:p w14:paraId="0F593BDD" w14:textId="77777777" w:rsidR="009B366D" w:rsidRPr="00DE19D8" w:rsidRDefault="009B366D" w:rsidP="009B366D">
            <w:pPr>
              <w:pStyle w:val="TableParagraph"/>
              <w:ind w:left="71" w:right="113"/>
              <w:rPr>
                <w:sz w:val="24"/>
                <w:szCs w:val="24"/>
              </w:rPr>
            </w:pPr>
            <w:r w:rsidRPr="00DE19D8">
              <w:rPr>
                <w:sz w:val="24"/>
                <w:szCs w:val="24"/>
              </w:rPr>
              <w:t xml:space="preserve">(previously </w:t>
            </w:r>
            <w:r w:rsidRPr="00DE19D8">
              <w:rPr>
                <w:i/>
                <w:sz w:val="24"/>
                <w:szCs w:val="24"/>
              </w:rPr>
              <w:t>Lyngbya</w:t>
            </w:r>
            <w:r w:rsidRPr="00DE19D8">
              <w:rPr>
                <w:sz w:val="24"/>
                <w:szCs w:val="24"/>
              </w:rPr>
              <w:t>).</w:t>
            </w:r>
          </w:p>
        </w:tc>
        <w:tc>
          <w:tcPr>
            <w:tcW w:w="1966" w:type="dxa"/>
            <w:tcBorders>
              <w:top w:val="single" w:sz="4" w:space="0" w:color="000000"/>
              <w:bottom w:val="single" w:sz="4" w:space="0" w:color="000000"/>
            </w:tcBorders>
          </w:tcPr>
          <w:p w14:paraId="6D5A549D" w14:textId="77777777" w:rsidR="009B366D" w:rsidRPr="000F4EFC" w:rsidRDefault="009B366D" w:rsidP="009B366D">
            <w:pPr>
              <w:pStyle w:val="TableParagraph"/>
              <w:spacing w:before="57"/>
              <w:ind w:left="113" w:right="113"/>
            </w:pPr>
            <w:r w:rsidRPr="000F4EFC">
              <w:t>Benthic marine.</w:t>
            </w:r>
          </w:p>
        </w:tc>
      </w:tr>
      <w:tr w:rsidR="009B366D" w:rsidRPr="000F4EFC" w14:paraId="2E7BA7A4" w14:textId="77777777" w:rsidTr="005B1C5D">
        <w:trPr>
          <w:trHeight w:val="299"/>
        </w:trPr>
        <w:tc>
          <w:tcPr>
            <w:tcW w:w="1967" w:type="dxa"/>
            <w:tcBorders>
              <w:top w:val="single" w:sz="4" w:space="0" w:color="000000"/>
              <w:bottom w:val="single" w:sz="4" w:space="0" w:color="000000"/>
            </w:tcBorders>
          </w:tcPr>
          <w:p w14:paraId="1AE1FA15" w14:textId="77777777" w:rsidR="009B366D" w:rsidRPr="000F4EFC" w:rsidRDefault="009B366D" w:rsidP="009B366D">
            <w:pPr>
              <w:pStyle w:val="TableParagraph"/>
              <w:spacing w:before="57"/>
              <w:ind w:left="113" w:right="113"/>
            </w:pPr>
            <w:r w:rsidRPr="000F4EFC">
              <w:lastRenderedPageBreak/>
              <w:t>Microcystins</w:t>
            </w:r>
          </w:p>
        </w:tc>
        <w:tc>
          <w:tcPr>
            <w:tcW w:w="2268" w:type="dxa"/>
            <w:tcBorders>
              <w:top w:val="single" w:sz="4" w:space="0" w:color="000000"/>
              <w:bottom w:val="single" w:sz="4" w:space="0" w:color="000000"/>
            </w:tcBorders>
          </w:tcPr>
          <w:p w14:paraId="6A43BD03" w14:textId="77777777" w:rsidR="009B366D" w:rsidRPr="00DE19D8" w:rsidRDefault="009B366D" w:rsidP="009B366D">
            <w:pPr>
              <w:pStyle w:val="TableParagraph"/>
              <w:spacing w:before="57"/>
              <w:ind w:left="113" w:right="113"/>
              <w:rPr>
                <w:sz w:val="24"/>
                <w:szCs w:val="24"/>
              </w:rPr>
            </w:pPr>
            <w:r w:rsidRPr="00DE19D8">
              <w:rPr>
                <w:sz w:val="24"/>
                <w:szCs w:val="24"/>
              </w:rPr>
              <w:t>Hepatotoxin.</w:t>
            </w:r>
          </w:p>
          <w:p w14:paraId="43B6FD92" w14:textId="77777777" w:rsidR="009B366D" w:rsidRPr="00DE19D8" w:rsidRDefault="009B366D" w:rsidP="009B366D">
            <w:pPr>
              <w:pStyle w:val="TableParagraph"/>
              <w:spacing w:before="120"/>
              <w:ind w:left="113" w:right="113"/>
              <w:rPr>
                <w:sz w:val="24"/>
                <w:szCs w:val="24"/>
              </w:rPr>
            </w:pPr>
            <w:r w:rsidRPr="00DE19D8">
              <w:rPr>
                <w:sz w:val="24"/>
                <w:szCs w:val="24"/>
              </w:rPr>
              <w:t>Protein phosphatase inhibitor (that accumulates in the liver).</w:t>
            </w:r>
          </w:p>
          <w:p w14:paraId="5E2AAFF1" w14:textId="77777777" w:rsidR="009B366D" w:rsidRPr="00DE19D8" w:rsidRDefault="009B366D" w:rsidP="009B366D">
            <w:pPr>
              <w:pStyle w:val="TableParagraph"/>
              <w:spacing w:before="119"/>
              <w:ind w:left="113" w:right="113"/>
              <w:rPr>
                <w:sz w:val="24"/>
                <w:szCs w:val="24"/>
              </w:rPr>
            </w:pPr>
            <w:r w:rsidRPr="00DE19D8">
              <w:rPr>
                <w:sz w:val="24"/>
                <w:szCs w:val="24"/>
              </w:rPr>
              <w:t>Liver tumour promoter.</w:t>
            </w:r>
          </w:p>
        </w:tc>
        <w:tc>
          <w:tcPr>
            <w:tcW w:w="2855" w:type="dxa"/>
            <w:tcBorders>
              <w:top w:val="single" w:sz="4" w:space="0" w:color="000000"/>
              <w:bottom w:val="single" w:sz="4" w:space="0" w:color="000000"/>
            </w:tcBorders>
          </w:tcPr>
          <w:p w14:paraId="26AC8B97" w14:textId="0AD79E55" w:rsidR="009B366D" w:rsidRPr="00DE19D8" w:rsidRDefault="009B366D" w:rsidP="009B366D">
            <w:pPr>
              <w:pStyle w:val="TableParagraph"/>
              <w:spacing w:before="57"/>
              <w:ind w:left="71" w:right="113"/>
              <w:rPr>
                <w:sz w:val="24"/>
                <w:szCs w:val="24"/>
              </w:rPr>
            </w:pPr>
            <w:r w:rsidRPr="00DE19D8">
              <w:rPr>
                <w:sz w:val="24"/>
                <w:szCs w:val="24"/>
              </w:rPr>
              <w:t xml:space="preserve">Cyanobacteria: </w:t>
            </w:r>
            <w:r w:rsidRPr="00DE19D8">
              <w:rPr>
                <w:i/>
                <w:sz w:val="24"/>
                <w:szCs w:val="24"/>
              </w:rPr>
              <w:t>Anabaena</w:t>
            </w:r>
            <w:r w:rsidRPr="00DE19D8">
              <w:rPr>
                <w:sz w:val="24"/>
                <w:szCs w:val="24"/>
              </w:rPr>
              <w:t xml:space="preserve">, </w:t>
            </w:r>
            <w:r w:rsidRPr="00DE19D8">
              <w:rPr>
                <w:i/>
                <w:sz w:val="24"/>
                <w:szCs w:val="24"/>
              </w:rPr>
              <w:t>Anabaenopsis</w:t>
            </w:r>
            <w:r w:rsidRPr="00DE19D8">
              <w:rPr>
                <w:sz w:val="24"/>
                <w:szCs w:val="24"/>
              </w:rPr>
              <w:t xml:space="preserve">, </w:t>
            </w:r>
            <w:r w:rsidRPr="00DE19D8">
              <w:rPr>
                <w:i/>
                <w:sz w:val="24"/>
                <w:szCs w:val="24"/>
              </w:rPr>
              <w:t>Annamia</w:t>
            </w:r>
            <w:r w:rsidRPr="00DE19D8">
              <w:rPr>
                <w:sz w:val="24"/>
                <w:szCs w:val="24"/>
              </w:rPr>
              <w:t xml:space="preserve">, </w:t>
            </w:r>
            <w:r w:rsidRPr="00DE19D8">
              <w:rPr>
                <w:i/>
                <w:sz w:val="24"/>
                <w:szCs w:val="24"/>
              </w:rPr>
              <w:t>Aphanocapsa</w:t>
            </w:r>
            <w:r w:rsidRPr="00DE19D8">
              <w:rPr>
                <w:sz w:val="24"/>
                <w:szCs w:val="24"/>
              </w:rPr>
              <w:t xml:space="preserve">, </w:t>
            </w:r>
            <w:r w:rsidRPr="00DE19D8">
              <w:rPr>
                <w:i/>
                <w:sz w:val="24"/>
                <w:szCs w:val="24"/>
              </w:rPr>
              <w:t>Coelosphaerium</w:t>
            </w:r>
            <w:r w:rsidRPr="00DE19D8">
              <w:rPr>
                <w:sz w:val="24"/>
                <w:szCs w:val="24"/>
              </w:rPr>
              <w:t xml:space="preserve">, </w:t>
            </w:r>
            <w:r w:rsidRPr="00DE19D8">
              <w:rPr>
                <w:i/>
                <w:sz w:val="24"/>
                <w:szCs w:val="24"/>
              </w:rPr>
              <w:t>Dolichospermum</w:t>
            </w:r>
            <w:r w:rsidRPr="00DE19D8">
              <w:rPr>
                <w:sz w:val="24"/>
                <w:szCs w:val="24"/>
              </w:rPr>
              <w:t xml:space="preserve">, </w:t>
            </w:r>
            <w:r w:rsidRPr="00DE19D8">
              <w:rPr>
                <w:i/>
                <w:sz w:val="24"/>
                <w:szCs w:val="24"/>
              </w:rPr>
              <w:t>Fischerella</w:t>
            </w:r>
            <w:r w:rsidRPr="00DE19D8">
              <w:rPr>
                <w:sz w:val="24"/>
                <w:szCs w:val="24"/>
              </w:rPr>
              <w:t xml:space="preserve">, </w:t>
            </w:r>
            <w:r w:rsidRPr="00DE19D8">
              <w:rPr>
                <w:i/>
                <w:sz w:val="24"/>
                <w:szCs w:val="24"/>
              </w:rPr>
              <w:t>Geitlerinema</w:t>
            </w:r>
            <w:r w:rsidRPr="00DE19D8">
              <w:rPr>
                <w:sz w:val="24"/>
                <w:szCs w:val="24"/>
              </w:rPr>
              <w:t xml:space="preserve">, </w:t>
            </w:r>
            <w:r w:rsidRPr="00DE19D8">
              <w:rPr>
                <w:i/>
                <w:sz w:val="24"/>
                <w:szCs w:val="24"/>
              </w:rPr>
              <w:t>Gloeotrichia</w:t>
            </w:r>
            <w:r w:rsidRPr="00DE19D8">
              <w:rPr>
                <w:sz w:val="24"/>
                <w:szCs w:val="24"/>
              </w:rPr>
              <w:t xml:space="preserve">, </w:t>
            </w:r>
            <w:r w:rsidRPr="00DE19D8">
              <w:rPr>
                <w:i/>
                <w:sz w:val="24"/>
                <w:szCs w:val="24"/>
              </w:rPr>
              <w:t>Hapalosiphon</w:t>
            </w:r>
            <w:r w:rsidRPr="00DE19D8">
              <w:rPr>
                <w:sz w:val="24"/>
                <w:szCs w:val="24"/>
              </w:rPr>
              <w:t xml:space="preserve">, </w:t>
            </w:r>
            <w:r w:rsidRPr="00DE19D8">
              <w:rPr>
                <w:i/>
                <w:sz w:val="24"/>
                <w:szCs w:val="24"/>
              </w:rPr>
              <w:t>Heteroleiblenia</w:t>
            </w:r>
            <w:r w:rsidRPr="00DE19D8">
              <w:rPr>
                <w:sz w:val="24"/>
                <w:szCs w:val="24"/>
              </w:rPr>
              <w:t xml:space="preserve">, </w:t>
            </w:r>
            <w:r w:rsidRPr="00DE19D8">
              <w:rPr>
                <w:i/>
                <w:sz w:val="24"/>
                <w:szCs w:val="24"/>
              </w:rPr>
              <w:t>Leptolyngbya</w:t>
            </w:r>
            <w:r w:rsidRPr="00DE19D8">
              <w:rPr>
                <w:sz w:val="24"/>
                <w:szCs w:val="24"/>
              </w:rPr>
              <w:t xml:space="preserve">, </w:t>
            </w:r>
            <w:r w:rsidRPr="00DE19D8">
              <w:rPr>
                <w:i/>
                <w:sz w:val="24"/>
                <w:szCs w:val="24"/>
              </w:rPr>
              <w:t>Limnothrix</w:t>
            </w:r>
            <w:r w:rsidRPr="00DE19D8">
              <w:rPr>
                <w:sz w:val="24"/>
                <w:szCs w:val="24"/>
              </w:rPr>
              <w:t xml:space="preserve">, </w:t>
            </w:r>
            <w:r w:rsidRPr="00DE19D8">
              <w:rPr>
                <w:i/>
                <w:sz w:val="24"/>
                <w:szCs w:val="24"/>
              </w:rPr>
              <w:t>Microcoleus</w:t>
            </w:r>
            <w:r w:rsidRPr="00DE19D8">
              <w:rPr>
                <w:sz w:val="24"/>
                <w:szCs w:val="24"/>
              </w:rPr>
              <w:t xml:space="preserve">, </w:t>
            </w:r>
            <w:r w:rsidRPr="00DE19D8">
              <w:rPr>
                <w:b/>
                <w:i/>
                <w:sz w:val="24"/>
                <w:szCs w:val="24"/>
              </w:rPr>
              <w:t>Microcystis</w:t>
            </w:r>
            <w:r w:rsidRPr="00DE19D8">
              <w:rPr>
                <w:sz w:val="24"/>
                <w:szCs w:val="24"/>
              </w:rPr>
              <w:t xml:space="preserve">, </w:t>
            </w:r>
            <w:r w:rsidRPr="00DE19D8">
              <w:rPr>
                <w:b/>
                <w:i/>
                <w:sz w:val="24"/>
                <w:szCs w:val="24"/>
              </w:rPr>
              <w:t>Nostoc</w:t>
            </w:r>
            <w:r w:rsidRPr="00DE19D8">
              <w:rPr>
                <w:sz w:val="24"/>
                <w:szCs w:val="24"/>
              </w:rPr>
              <w:t xml:space="preserve">, </w:t>
            </w:r>
            <w:r w:rsidRPr="00DE19D8">
              <w:rPr>
                <w:i/>
                <w:sz w:val="24"/>
                <w:szCs w:val="24"/>
              </w:rPr>
              <w:t>Oscillatoria</w:t>
            </w:r>
            <w:r w:rsidRPr="00DE19D8">
              <w:rPr>
                <w:sz w:val="24"/>
                <w:szCs w:val="24"/>
              </w:rPr>
              <w:t xml:space="preserve">, </w:t>
            </w:r>
            <w:r w:rsidRPr="00DE19D8">
              <w:rPr>
                <w:i/>
                <w:sz w:val="24"/>
                <w:szCs w:val="24"/>
              </w:rPr>
              <w:t>Phormidium</w:t>
            </w:r>
            <w:r w:rsidRPr="00DE19D8">
              <w:rPr>
                <w:sz w:val="24"/>
                <w:szCs w:val="24"/>
              </w:rPr>
              <w:t xml:space="preserve">, </w:t>
            </w:r>
            <w:r w:rsidRPr="00DE19D8">
              <w:rPr>
                <w:b/>
                <w:i/>
                <w:sz w:val="24"/>
                <w:szCs w:val="24"/>
              </w:rPr>
              <w:t>Planktothrix</w:t>
            </w:r>
            <w:r w:rsidRPr="00DE19D8">
              <w:rPr>
                <w:sz w:val="24"/>
                <w:szCs w:val="24"/>
              </w:rPr>
              <w:t xml:space="preserve">, </w:t>
            </w:r>
            <w:r w:rsidRPr="00DE19D8">
              <w:rPr>
                <w:i/>
                <w:sz w:val="24"/>
                <w:szCs w:val="24"/>
              </w:rPr>
              <w:t>Plectonema</w:t>
            </w:r>
            <w:r w:rsidRPr="00DE19D8">
              <w:rPr>
                <w:sz w:val="24"/>
                <w:szCs w:val="24"/>
              </w:rPr>
              <w:t xml:space="preserve">, </w:t>
            </w:r>
            <w:r w:rsidRPr="00DE19D8">
              <w:rPr>
                <w:i/>
                <w:sz w:val="24"/>
                <w:szCs w:val="24"/>
              </w:rPr>
              <w:t>Pseudoanabaena</w:t>
            </w:r>
            <w:r w:rsidRPr="00DE19D8">
              <w:rPr>
                <w:sz w:val="24"/>
                <w:szCs w:val="24"/>
              </w:rPr>
              <w:t xml:space="preserve">, </w:t>
            </w:r>
            <w:r w:rsidRPr="00DE19D8">
              <w:rPr>
                <w:i/>
                <w:sz w:val="24"/>
                <w:szCs w:val="24"/>
              </w:rPr>
              <w:t>Pseudocapsa</w:t>
            </w:r>
            <w:r w:rsidRPr="00DE19D8">
              <w:rPr>
                <w:sz w:val="24"/>
                <w:szCs w:val="24"/>
              </w:rPr>
              <w:t xml:space="preserve">, </w:t>
            </w:r>
            <w:r w:rsidRPr="00DE19D8">
              <w:rPr>
                <w:i/>
                <w:sz w:val="24"/>
                <w:szCs w:val="24"/>
              </w:rPr>
              <w:t>Radiocystis</w:t>
            </w:r>
            <w:r w:rsidRPr="00DE19D8">
              <w:rPr>
                <w:sz w:val="24"/>
                <w:szCs w:val="24"/>
              </w:rPr>
              <w:t xml:space="preserve">, </w:t>
            </w:r>
            <w:r w:rsidRPr="00DE19D8">
              <w:rPr>
                <w:i/>
                <w:sz w:val="24"/>
                <w:szCs w:val="24"/>
              </w:rPr>
              <w:t>Rhaphidiopsis</w:t>
            </w:r>
            <w:r w:rsidRPr="00DE19D8">
              <w:rPr>
                <w:sz w:val="24"/>
                <w:szCs w:val="24"/>
              </w:rPr>
              <w:t xml:space="preserve">, </w:t>
            </w:r>
            <w:r w:rsidRPr="00DE19D8">
              <w:rPr>
                <w:i/>
                <w:sz w:val="24"/>
                <w:szCs w:val="24"/>
              </w:rPr>
              <w:t>Rivularia</w:t>
            </w:r>
            <w:r w:rsidRPr="00DE19D8">
              <w:rPr>
                <w:sz w:val="24"/>
                <w:szCs w:val="24"/>
              </w:rPr>
              <w:t xml:space="preserve">, </w:t>
            </w:r>
            <w:r w:rsidRPr="00DE19D8">
              <w:rPr>
                <w:i/>
                <w:sz w:val="24"/>
                <w:szCs w:val="24"/>
              </w:rPr>
              <w:t>Schizothrix</w:t>
            </w:r>
            <w:r w:rsidRPr="00DE19D8">
              <w:rPr>
                <w:sz w:val="24"/>
                <w:szCs w:val="24"/>
              </w:rPr>
              <w:t xml:space="preserve">, </w:t>
            </w:r>
            <w:r w:rsidRPr="00DE19D8">
              <w:rPr>
                <w:i/>
                <w:sz w:val="24"/>
                <w:szCs w:val="24"/>
              </w:rPr>
              <w:t>Scytonema</w:t>
            </w:r>
            <w:r w:rsidRPr="00DE19D8">
              <w:rPr>
                <w:sz w:val="24"/>
                <w:szCs w:val="24"/>
              </w:rPr>
              <w:t xml:space="preserve">, </w:t>
            </w:r>
            <w:r w:rsidRPr="00DE19D8">
              <w:rPr>
                <w:i/>
                <w:sz w:val="24"/>
                <w:szCs w:val="24"/>
              </w:rPr>
              <w:t>Snowella</w:t>
            </w:r>
            <w:r w:rsidRPr="00DE19D8">
              <w:rPr>
                <w:sz w:val="24"/>
                <w:szCs w:val="24"/>
              </w:rPr>
              <w:t xml:space="preserve">, </w:t>
            </w:r>
            <w:r w:rsidRPr="00DE19D8">
              <w:rPr>
                <w:i/>
                <w:sz w:val="24"/>
                <w:szCs w:val="24"/>
              </w:rPr>
              <w:t>Synechococcus</w:t>
            </w:r>
            <w:r w:rsidRPr="00DE19D8">
              <w:rPr>
                <w:sz w:val="24"/>
                <w:szCs w:val="24"/>
              </w:rPr>
              <w:t xml:space="preserve">, </w:t>
            </w:r>
            <w:r w:rsidRPr="00DE19D8">
              <w:rPr>
                <w:i/>
                <w:sz w:val="24"/>
                <w:szCs w:val="24"/>
              </w:rPr>
              <w:t>Synechocystis</w:t>
            </w:r>
            <w:r w:rsidRPr="00DE19D8">
              <w:rPr>
                <w:sz w:val="24"/>
                <w:szCs w:val="24"/>
              </w:rPr>
              <w:t xml:space="preserve">, </w:t>
            </w:r>
            <w:r w:rsidRPr="00DE19D8">
              <w:rPr>
                <w:i/>
                <w:sz w:val="24"/>
                <w:szCs w:val="24"/>
              </w:rPr>
              <w:t>Tolypothrix</w:t>
            </w:r>
            <w:r w:rsidRPr="00DE19D8">
              <w:rPr>
                <w:sz w:val="24"/>
                <w:szCs w:val="24"/>
              </w:rPr>
              <w:t xml:space="preserve">, </w:t>
            </w:r>
            <w:r w:rsidRPr="00DE19D8">
              <w:rPr>
                <w:i/>
                <w:sz w:val="24"/>
                <w:szCs w:val="24"/>
              </w:rPr>
              <w:t>Woronichinia</w:t>
            </w:r>
            <w:r w:rsidRPr="00DE19D8">
              <w:rPr>
                <w:sz w:val="24"/>
                <w:szCs w:val="24"/>
              </w:rPr>
              <w:t>.</w:t>
            </w:r>
          </w:p>
        </w:tc>
        <w:tc>
          <w:tcPr>
            <w:tcW w:w="1966" w:type="dxa"/>
            <w:tcBorders>
              <w:top w:val="single" w:sz="4" w:space="0" w:color="000000"/>
              <w:bottom w:val="single" w:sz="4" w:space="0" w:color="000000"/>
            </w:tcBorders>
          </w:tcPr>
          <w:p w14:paraId="4473EDEE" w14:textId="77777777" w:rsidR="009B366D" w:rsidRPr="000F4EFC" w:rsidRDefault="009B366D" w:rsidP="009B366D">
            <w:pPr>
              <w:pStyle w:val="TableParagraph"/>
              <w:spacing w:before="57"/>
              <w:ind w:left="113" w:right="113"/>
            </w:pPr>
            <w:r w:rsidRPr="000F4EFC">
              <w:rPr>
                <w:b/>
              </w:rPr>
              <w:t>Benthic freshwater</w:t>
            </w:r>
            <w:r w:rsidRPr="000F4EFC">
              <w:t xml:space="preserve">, </w:t>
            </w:r>
            <w:r w:rsidRPr="000F4EFC">
              <w:rPr>
                <w:b/>
              </w:rPr>
              <w:t>Planktonic freshwater</w:t>
            </w:r>
            <w:r w:rsidRPr="000F4EFC">
              <w:t>, Benthic marine, Terrestrial.</w:t>
            </w:r>
          </w:p>
        </w:tc>
      </w:tr>
      <w:tr w:rsidR="009B366D" w:rsidRPr="000F4EFC" w14:paraId="2D23403C" w14:textId="77777777" w:rsidTr="005B1C5D">
        <w:trPr>
          <w:trHeight w:val="261"/>
        </w:trPr>
        <w:tc>
          <w:tcPr>
            <w:tcW w:w="1967" w:type="dxa"/>
            <w:vMerge w:val="restart"/>
            <w:tcBorders>
              <w:top w:val="single" w:sz="4" w:space="0" w:color="000000"/>
            </w:tcBorders>
          </w:tcPr>
          <w:p w14:paraId="0E8C3573" w14:textId="77777777" w:rsidR="009B366D" w:rsidRPr="000F4EFC" w:rsidRDefault="009B366D" w:rsidP="009B366D">
            <w:pPr>
              <w:pStyle w:val="TableParagraph"/>
              <w:spacing w:before="57"/>
              <w:ind w:left="113" w:right="113"/>
            </w:pPr>
            <w:r w:rsidRPr="000F4EFC">
              <w:t>Nodularins</w:t>
            </w:r>
          </w:p>
        </w:tc>
        <w:tc>
          <w:tcPr>
            <w:tcW w:w="2268" w:type="dxa"/>
            <w:tcBorders>
              <w:top w:val="single" w:sz="4" w:space="0" w:color="000000"/>
            </w:tcBorders>
          </w:tcPr>
          <w:p w14:paraId="33EB2C35" w14:textId="77777777" w:rsidR="009B366D" w:rsidRPr="00DE19D8" w:rsidRDefault="009B366D" w:rsidP="009B366D">
            <w:pPr>
              <w:pStyle w:val="TableParagraph"/>
              <w:spacing w:before="57"/>
              <w:ind w:left="113" w:right="113"/>
              <w:rPr>
                <w:sz w:val="24"/>
                <w:szCs w:val="24"/>
              </w:rPr>
            </w:pPr>
            <w:r w:rsidRPr="00DE19D8">
              <w:rPr>
                <w:sz w:val="24"/>
                <w:szCs w:val="24"/>
              </w:rPr>
              <w:t>Hepatotoxin.</w:t>
            </w:r>
          </w:p>
          <w:p w14:paraId="600BC644" w14:textId="77777777" w:rsidR="009B366D" w:rsidRPr="00DE19D8" w:rsidRDefault="009B366D" w:rsidP="009B366D">
            <w:pPr>
              <w:pStyle w:val="TableParagraph"/>
              <w:spacing w:before="57"/>
              <w:ind w:left="113" w:right="113"/>
              <w:rPr>
                <w:sz w:val="24"/>
                <w:szCs w:val="24"/>
              </w:rPr>
            </w:pPr>
            <w:r w:rsidRPr="00DE19D8">
              <w:rPr>
                <w:sz w:val="24"/>
                <w:szCs w:val="24"/>
              </w:rPr>
              <w:t>Protein phosphatase inhibitor (that accumulates in the liver).</w:t>
            </w:r>
          </w:p>
        </w:tc>
        <w:tc>
          <w:tcPr>
            <w:tcW w:w="2855" w:type="dxa"/>
            <w:tcBorders>
              <w:top w:val="single" w:sz="4" w:space="0" w:color="000000"/>
            </w:tcBorders>
          </w:tcPr>
          <w:p w14:paraId="3EC216D0" w14:textId="77777777" w:rsidR="009B366D" w:rsidRPr="00DE19D8" w:rsidRDefault="009B366D" w:rsidP="009B366D">
            <w:pPr>
              <w:pStyle w:val="TableParagraph"/>
              <w:spacing w:before="57"/>
              <w:ind w:left="71" w:right="113"/>
              <w:rPr>
                <w:sz w:val="24"/>
                <w:szCs w:val="24"/>
                <w:u w:val="single"/>
              </w:rPr>
            </w:pPr>
            <w:r w:rsidRPr="00DE19D8">
              <w:rPr>
                <w:sz w:val="24"/>
                <w:szCs w:val="24"/>
              </w:rPr>
              <w:t>Cyanobacteria:</w:t>
            </w:r>
            <w:r w:rsidRPr="00DE19D8">
              <w:rPr>
                <w:b/>
                <w:bCs/>
                <w:i/>
                <w:iCs/>
                <w:sz w:val="24"/>
                <w:szCs w:val="24"/>
              </w:rPr>
              <w:t xml:space="preserve"> Nodularia,</w:t>
            </w:r>
          </w:p>
          <w:p w14:paraId="36F209EC" w14:textId="77777777" w:rsidR="009B366D" w:rsidRPr="00DE19D8" w:rsidRDefault="009B366D" w:rsidP="009B366D">
            <w:pPr>
              <w:pStyle w:val="TableParagraph"/>
              <w:spacing w:before="57"/>
              <w:ind w:left="71" w:right="113"/>
              <w:rPr>
                <w:sz w:val="24"/>
                <w:szCs w:val="24"/>
              </w:rPr>
            </w:pPr>
            <w:r w:rsidRPr="00DE19D8">
              <w:rPr>
                <w:sz w:val="24"/>
                <w:szCs w:val="24"/>
              </w:rPr>
              <w:t>Iningainema, Nostoc.</w:t>
            </w:r>
          </w:p>
        </w:tc>
        <w:tc>
          <w:tcPr>
            <w:tcW w:w="1966" w:type="dxa"/>
            <w:tcBorders>
              <w:top w:val="single" w:sz="4" w:space="0" w:color="000000"/>
            </w:tcBorders>
          </w:tcPr>
          <w:p w14:paraId="7E736CD6" w14:textId="77777777" w:rsidR="009B366D" w:rsidRPr="000F4EFC" w:rsidRDefault="009B366D" w:rsidP="009B366D">
            <w:pPr>
              <w:pStyle w:val="TableParagraph"/>
              <w:spacing w:before="57"/>
              <w:ind w:left="113" w:right="113"/>
              <w:rPr>
                <w:b/>
              </w:rPr>
            </w:pPr>
            <w:r w:rsidRPr="000F4EFC">
              <w:rPr>
                <w:b/>
              </w:rPr>
              <w:t xml:space="preserve">Benthic freshwater, Planktonic freshwater, </w:t>
            </w:r>
            <w:r w:rsidRPr="00073F75">
              <w:rPr>
                <w:bCs/>
              </w:rPr>
              <w:t>Terrestrial.</w:t>
            </w:r>
          </w:p>
        </w:tc>
      </w:tr>
      <w:tr w:rsidR="009B366D" w:rsidRPr="000F4EFC" w14:paraId="3FAB022A" w14:textId="77777777" w:rsidTr="005B1C5D">
        <w:trPr>
          <w:trHeight w:val="417"/>
        </w:trPr>
        <w:tc>
          <w:tcPr>
            <w:tcW w:w="1967" w:type="dxa"/>
            <w:vMerge/>
            <w:tcBorders>
              <w:bottom w:val="single" w:sz="4" w:space="0" w:color="000000"/>
            </w:tcBorders>
          </w:tcPr>
          <w:p w14:paraId="3C640641" w14:textId="77777777" w:rsidR="009B366D" w:rsidRPr="000F4EFC" w:rsidRDefault="009B366D" w:rsidP="009B366D">
            <w:pPr>
              <w:pStyle w:val="TableParagraph"/>
              <w:spacing w:before="57"/>
              <w:ind w:left="113" w:right="113"/>
            </w:pPr>
          </w:p>
        </w:tc>
        <w:tc>
          <w:tcPr>
            <w:tcW w:w="2268" w:type="dxa"/>
            <w:tcBorders>
              <w:bottom w:val="single" w:sz="4" w:space="0" w:color="000000"/>
            </w:tcBorders>
          </w:tcPr>
          <w:p w14:paraId="6450B7E3" w14:textId="77777777" w:rsidR="009B366D" w:rsidRPr="00DE19D8" w:rsidRDefault="009B366D" w:rsidP="009B366D">
            <w:pPr>
              <w:pStyle w:val="TableParagraph"/>
              <w:spacing w:before="57"/>
              <w:ind w:left="113" w:right="113"/>
              <w:rPr>
                <w:sz w:val="24"/>
                <w:szCs w:val="24"/>
              </w:rPr>
            </w:pPr>
            <w:r w:rsidRPr="00DE19D8">
              <w:rPr>
                <w:sz w:val="24"/>
                <w:szCs w:val="24"/>
              </w:rPr>
              <w:t>Liver tumour promoter.</w:t>
            </w:r>
          </w:p>
        </w:tc>
        <w:tc>
          <w:tcPr>
            <w:tcW w:w="2855" w:type="dxa"/>
            <w:tcBorders>
              <w:bottom w:val="single" w:sz="4" w:space="0" w:color="000000"/>
            </w:tcBorders>
          </w:tcPr>
          <w:p w14:paraId="07AB7C39" w14:textId="77777777" w:rsidR="009B366D" w:rsidRPr="00DE19D8" w:rsidRDefault="009B366D" w:rsidP="009B366D">
            <w:pPr>
              <w:pStyle w:val="TableParagraph"/>
              <w:spacing w:before="57"/>
              <w:ind w:left="71" w:right="113"/>
              <w:rPr>
                <w:sz w:val="24"/>
                <w:szCs w:val="24"/>
                <w:u w:val="single"/>
              </w:rPr>
            </w:pPr>
          </w:p>
        </w:tc>
        <w:tc>
          <w:tcPr>
            <w:tcW w:w="1966" w:type="dxa"/>
            <w:tcBorders>
              <w:bottom w:val="single" w:sz="4" w:space="0" w:color="000000"/>
            </w:tcBorders>
          </w:tcPr>
          <w:p w14:paraId="58C95ABE" w14:textId="77777777" w:rsidR="009B366D" w:rsidRPr="000F4EFC" w:rsidRDefault="009B366D" w:rsidP="009B366D">
            <w:pPr>
              <w:pStyle w:val="TableParagraph"/>
              <w:spacing w:before="57"/>
              <w:ind w:left="113" w:right="113"/>
              <w:rPr>
                <w:b/>
              </w:rPr>
            </w:pPr>
          </w:p>
        </w:tc>
      </w:tr>
      <w:tr w:rsidR="009B366D" w:rsidRPr="000F4EFC" w14:paraId="231658F9" w14:textId="77777777" w:rsidTr="005B1C5D">
        <w:trPr>
          <w:trHeight w:val="70"/>
        </w:trPr>
        <w:tc>
          <w:tcPr>
            <w:tcW w:w="1967" w:type="dxa"/>
            <w:tcBorders>
              <w:top w:val="single" w:sz="4" w:space="0" w:color="000000"/>
            </w:tcBorders>
          </w:tcPr>
          <w:p w14:paraId="1E7EE89D" w14:textId="77777777" w:rsidR="009B366D" w:rsidRPr="000F4EFC" w:rsidRDefault="009B366D" w:rsidP="009B366D">
            <w:pPr>
              <w:pStyle w:val="TableParagraph"/>
              <w:spacing w:before="57"/>
              <w:ind w:left="113" w:right="113"/>
            </w:pPr>
            <w:r w:rsidRPr="000F4EFC">
              <w:t>Oakadaic acid / Dinophysistoxins</w:t>
            </w:r>
          </w:p>
        </w:tc>
        <w:tc>
          <w:tcPr>
            <w:tcW w:w="2268" w:type="dxa"/>
            <w:tcBorders>
              <w:top w:val="single" w:sz="4" w:space="0" w:color="000000"/>
            </w:tcBorders>
          </w:tcPr>
          <w:p w14:paraId="05AEA355" w14:textId="77777777" w:rsidR="009B366D" w:rsidRPr="00DE19D8" w:rsidRDefault="009B366D" w:rsidP="009B366D">
            <w:pPr>
              <w:pStyle w:val="TableParagraph"/>
              <w:spacing w:before="57"/>
              <w:ind w:left="113" w:right="113"/>
              <w:rPr>
                <w:sz w:val="24"/>
                <w:szCs w:val="24"/>
              </w:rPr>
            </w:pPr>
            <w:r w:rsidRPr="00DE19D8">
              <w:rPr>
                <w:sz w:val="24"/>
                <w:szCs w:val="24"/>
              </w:rPr>
              <w:t>Gastrointestinal discomfort.</w:t>
            </w:r>
          </w:p>
        </w:tc>
        <w:tc>
          <w:tcPr>
            <w:tcW w:w="2855" w:type="dxa"/>
            <w:tcBorders>
              <w:top w:val="single" w:sz="4" w:space="0" w:color="000000"/>
            </w:tcBorders>
          </w:tcPr>
          <w:p w14:paraId="17BCB49F" w14:textId="77777777" w:rsidR="009B366D" w:rsidRPr="00DE19D8" w:rsidRDefault="009B366D" w:rsidP="009B366D">
            <w:pPr>
              <w:pStyle w:val="TableParagraph"/>
              <w:spacing w:before="57"/>
              <w:ind w:left="71" w:right="113"/>
              <w:rPr>
                <w:sz w:val="24"/>
                <w:szCs w:val="24"/>
                <w:u w:val="single"/>
              </w:rPr>
            </w:pPr>
            <w:r w:rsidRPr="00DE19D8">
              <w:rPr>
                <w:sz w:val="24"/>
                <w:szCs w:val="24"/>
              </w:rPr>
              <w:t>Dinoflagellate:</w:t>
            </w:r>
            <w:r w:rsidRPr="00DE19D8">
              <w:rPr>
                <w:sz w:val="24"/>
                <w:szCs w:val="24"/>
                <w:u w:val="single"/>
              </w:rPr>
              <w:t xml:space="preserve"> </w:t>
            </w:r>
            <w:r w:rsidRPr="00DE19D8">
              <w:rPr>
                <w:b/>
                <w:bCs/>
                <w:i/>
                <w:iCs/>
                <w:sz w:val="24"/>
                <w:szCs w:val="24"/>
              </w:rPr>
              <w:t>Dinophysis, Prorocentrum</w:t>
            </w:r>
            <w:r w:rsidRPr="00DE19D8">
              <w:rPr>
                <w:b/>
                <w:bCs/>
                <w:sz w:val="24"/>
                <w:szCs w:val="24"/>
              </w:rPr>
              <w:t>.</w:t>
            </w:r>
          </w:p>
        </w:tc>
        <w:tc>
          <w:tcPr>
            <w:tcW w:w="1966" w:type="dxa"/>
            <w:tcBorders>
              <w:top w:val="single" w:sz="4" w:space="0" w:color="000000"/>
            </w:tcBorders>
          </w:tcPr>
          <w:p w14:paraId="3D69E8D7" w14:textId="77777777" w:rsidR="009B366D" w:rsidRPr="000F4EFC" w:rsidRDefault="009B366D" w:rsidP="009B366D">
            <w:pPr>
              <w:pStyle w:val="TableParagraph"/>
              <w:spacing w:before="57"/>
              <w:ind w:left="113" w:right="113"/>
              <w:rPr>
                <w:b/>
              </w:rPr>
            </w:pPr>
            <w:r w:rsidRPr="000F4EFC">
              <w:rPr>
                <w:b/>
              </w:rPr>
              <w:t>Planktonic marine, Benthic marine.</w:t>
            </w:r>
          </w:p>
        </w:tc>
      </w:tr>
      <w:tr w:rsidR="009B366D" w:rsidRPr="000F4EFC" w14:paraId="2A658C43" w14:textId="77777777" w:rsidTr="005B1C5D">
        <w:trPr>
          <w:trHeight w:val="167"/>
        </w:trPr>
        <w:tc>
          <w:tcPr>
            <w:tcW w:w="1967" w:type="dxa"/>
          </w:tcPr>
          <w:p w14:paraId="2B600C45" w14:textId="77777777" w:rsidR="009B366D" w:rsidRPr="000F4EFC" w:rsidRDefault="009B366D" w:rsidP="009B366D">
            <w:pPr>
              <w:pStyle w:val="TableParagraph"/>
              <w:spacing w:before="57"/>
              <w:ind w:left="113" w:right="113"/>
            </w:pPr>
          </w:p>
        </w:tc>
        <w:tc>
          <w:tcPr>
            <w:tcW w:w="2268" w:type="dxa"/>
          </w:tcPr>
          <w:p w14:paraId="1EC3754E" w14:textId="77777777" w:rsidR="009B366D" w:rsidRPr="00DE19D8" w:rsidRDefault="009B366D" w:rsidP="009B366D">
            <w:pPr>
              <w:pStyle w:val="TableParagraph"/>
              <w:spacing w:before="57"/>
              <w:ind w:left="113" w:right="113"/>
              <w:rPr>
                <w:sz w:val="24"/>
                <w:szCs w:val="24"/>
              </w:rPr>
            </w:pPr>
            <w:r w:rsidRPr="00DE19D8">
              <w:rPr>
                <w:sz w:val="24"/>
                <w:szCs w:val="24"/>
              </w:rPr>
              <w:t>Diarrheic shellfish poisoning (from the consumption of contaminated shellfish).</w:t>
            </w:r>
          </w:p>
        </w:tc>
        <w:tc>
          <w:tcPr>
            <w:tcW w:w="2855" w:type="dxa"/>
          </w:tcPr>
          <w:p w14:paraId="4B77FAB1" w14:textId="77777777" w:rsidR="009B366D" w:rsidRPr="00DE19D8" w:rsidRDefault="009B366D" w:rsidP="009B366D">
            <w:pPr>
              <w:pStyle w:val="TableParagraph"/>
              <w:spacing w:before="57"/>
              <w:ind w:left="71" w:right="113"/>
              <w:rPr>
                <w:sz w:val="24"/>
                <w:szCs w:val="24"/>
                <w:u w:val="single"/>
              </w:rPr>
            </w:pPr>
          </w:p>
        </w:tc>
        <w:tc>
          <w:tcPr>
            <w:tcW w:w="1966" w:type="dxa"/>
          </w:tcPr>
          <w:p w14:paraId="54D92B78" w14:textId="77777777" w:rsidR="009B366D" w:rsidRPr="000F4EFC" w:rsidRDefault="009B366D" w:rsidP="009B366D">
            <w:pPr>
              <w:pStyle w:val="TableParagraph"/>
              <w:spacing w:before="57"/>
              <w:ind w:left="113" w:right="113"/>
              <w:rPr>
                <w:b/>
              </w:rPr>
            </w:pPr>
          </w:p>
        </w:tc>
      </w:tr>
      <w:tr w:rsidR="009B366D" w:rsidRPr="000F4EFC" w14:paraId="60436003" w14:textId="77777777" w:rsidTr="005B1C5D">
        <w:trPr>
          <w:trHeight w:val="70"/>
        </w:trPr>
        <w:tc>
          <w:tcPr>
            <w:tcW w:w="1967" w:type="dxa"/>
            <w:tcBorders>
              <w:bottom w:val="single" w:sz="4" w:space="0" w:color="000000"/>
            </w:tcBorders>
          </w:tcPr>
          <w:p w14:paraId="14C2AEE0" w14:textId="77777777" w:rsidR="009B366D" w:rsidRPr="000F4EFC" w:rsidRDefault="009B366D" w:rsidP="009B366D">
            <w:pPr>
              <w:pStyle w:val="TableParagraph"/>
              <w:spacing w:before="57"/>
              <w:ind w:left="113" w:right="113"/>
            </w:pPr>
          </w:p>
        </w:tc>
        <w:tc>
          <w:tcPr>
            <w:tcW w:w="2268" w:type="dxa"/>
            <w:tcBorders>
              <w:bottom w:val="single" w:sz="4" w:space="0" w:color="000000"/>
            </w:tcBorders>
          </w:tcPr>
          <w:p w14:paraId="0BBB7443" w14:textId="77777777" w:rsidR="009B366D" w:rsidRPr="00DE19D8" w:rsidRDefault="009B366D" w:rsidP="009B366D">
            <w:pPr>
              <w:pStyle w:val="TableParagraph"/>
              <w:spacing w:before="57"/>
              <w:ind w:left="113" w:right="113"/>
              <w:rPr>
                <w:sz w:val="24"/>
                <w:szCs w:val="24"/>
              </w:rPr>
            </w:pPr>
            <w:r w:rsidRPr="00DE19D8">
              <w:rPr>
                <w:sz w:val="24"/>
                <w:szCs w:val="24"/>
              </w:rPr>
              <w:t xml:space="preserve">Protein phosphatase </w:t>
            </w:r>
            <w:r w:rsidRPr="00DE19D8">
              <w:rPr>
                <w:sz w:val="24"/>
                <w:szCs w:val="24"/>
              </w:rPr>
              <w:lastRenderedPageBreak/>
              <w:t>inhibitor.</w:t>
            </w:r>
          </w:p>
        </w:tc>
        <w:tc>
          <w:tcPr>
            <w:tcW w:w="2855" w:type="dxa"/>
            <w:tcBorders>
              <w:bottom w:val="single" w:sz="4" w:space="0" w:color="000000"/>
            </w:tcBorders>
          </w:tcPr>
          <w:p w14:paraId="3167DA40" w14:textId="77777777" w:rsidR="009B366D" w:rsidRPr="00DE19D8" w:rsidRDefault="009B366D" w:rsidP="009B366D">
            <w:pPr>
              <w:pStyle w:val="TableParagraph"/>
              <w:spacing w:before="57"/>
              <w:ind w:left="71" w:right="113"/>
              <w:rPr>
                <w:sz w:val="24"/>
                <w:szCs w:val="24"/>
                <w:u w:val="single"/>
              </w:rPr>
            </w:pPr>
          </w:p>
        </w:tc>
        <w:tc>
          <w:tcPr>
            <w:tcW w:w="1966" w:type="dxa"/>
            <w:tcBorders>
              <w:bottom w:val="single" w:sz="4" w:space="0" w:color="000000"/>
            </w:tcBorders>
          </w:tcPr>
          <w:p w14:paraId="782C8DA8" w14:textId="77777777" w:rsidR="009B366D" w:rsidRPr="000F4EFC" w:rsidRDefault="009B366D" w:rsidP="009B366D">
            <w:pPr>
              <w:pStyle w:val="TableParagraph"/>
              <w:spacing w:before="57"/>
              <w:ind w:left="113" w:right="113"/>
              <w:rPr>
                <w:b/>
              </w:rPr>
            </w:pPr>
          </w:p>
        </w:tc>
      </w:tr>
      <w:tr w:rsidR="009B366D" w:rsidRPr="000F4EFC" w14:paraId="3F6E2EF0" w14:textId="77777777" w:rsidTr="005B1C5D">
        <w:trPr>
          <w:trHeight w:val="70"/>
        </w:trPr>
        <w:tc>
          <w:tcPr>
            <w:tcW w:w="1967" w:type="dxa"/>
            <w:tcBorders>
              <w:top w:val="single" w:sz="4" w:space="0" w:color="000000"/>
              <w:bottom w:val="single" w:sz="4" w:space="0" w:color="000000"/>
            </w:tcBorders>
          </w:tcPr>
          <w:p w14:paraId="13C74835" w14:textId="77777777" w:rsidR="009B366D" w:rsidRPr="000F4EFC" w:rsidRDefault="009B366D" w:rsidP="009B366D">
            <w:pPr>
              <w:pStyle w:val="TableParagraph"/>
              <w:spacing w:before="57"/>
              <w:ind w:left="113" w:right="113"/>
            </w:pPr>
            <w:r w:rsidRPr="000F4EFC">
              <w:t>Palytoxins and</w:t>
            </w:r>
          </w:p>
          <w:p w14:paraId="5F29C90E" w14:textId="77777777" w:rsidR="009B366D" w:rsidRPr="000F4EFC" w:rsidRDefault="009B366D" w:rsidP="009B366D">
            <w:pPr>
              <w:pStyle w:val="TableParagraph"/>
              <w:spacing w:before="57"/>
              <w:ind w:left="113" w:right="113"/>
            </w:pPr>
            <w:r w:rsidRPr="000F4EFC">
              <w:t>palytoxin-like compounds</w:t>
            </w:r>
          </w:p>
        </w:tc>
        <w:tc>
          <w:tcPr>
            <w:tcW w:w="2268" w:type="dxa"/>
            <w:tcBorders>
              <w:top w:val="single" w:sz="4" w:space="0" w:color="000000"/>
              <w:bottom w:val="single" w:sz="4" w:space="0" w:color="000000"/>
            </w:tcBorders>
          </w:tcPr>
          <w:p w14:paraId="611319F1" w14:textId="77777777" w:rsidR="009B366D" w:rsidRPr="00DE19D8" w:rsidRDefault="009B366D" w:rsidP="009B366D">
            <w:pPr>
              <w:pStyle w:val="TableParagraph"/>
              <w:spacing w:before="57"/>
              <w:ind w:left="113" w:right="113"/>
              <w:rPr>
                <w:sz w:val="24"/>
                <w:szCs w:val="24"/>
              </w:rPr>
            </w:pPr>
            <w:r w:rsidRPr="00DE19D8">
              <w:rPr>
                <w:sz w:val="24"/>
                <w:szCs w:val="24"/>
              </w:rPr>
              <w:t>Dermatoxin.</w:t>
            </w:r>
          </w:p>
          <w:p w14:paraId="34D7160E" w14:textId="77777777" w:rsidR="009B366D" w:rsidRPr="00DE19D8" w:rsidRDefault="009B366D" w:rsidP="009B366D">
            <w:pPr>
              <w:pStyle w:val="TableParagraph"/>
              <w:spacing w:before="57"/>
              <w:ind w:left="113" w:right="113"/>
              <w:rPr>
                <w:sz w:val="24"/>
                <w:szCs w:val="24"/>
              </w:rPr>
            </w:pPr>
            <w:r w:rsidRPr="00DE19D8">
              <w:rPr>
                <w:sz w:val="24"/>
                <w:szCs w:val="24"/>
              </w:rPr>
              <w:t>Skin irritant.</w:t>
            </w:r>
          </w:p>
        </w:tc>
        <w:tc>
          <w:tcPr>
            <w:tcW w:w="2855" w:type="dxa"/>
            <w:tcBorders>
              <w:top w:val="single" w:sz="4" w:space="0" w:color="000000"/>
              <w:bottom w:val="single" w:sz="4" w:space="0" w:color="000000"/>
            </w:tcBorders>
          </w:tcPr>
          <w:p w14:paraId="1589F035" w14:textId="77777777" w:rsidR="009B366D" w:rsidRPr="00DE19D8" w:rsidRDefault="009B366D" w:rsidP="009B366D">
            <w:pPr>
              <w:pStyle w:val="TableParagraph"/>
              <w:spacing w:before="57"/>
              <w:ind w:left="71" w:right="113"/>
              <w:rPr>
                <w:sz w:val="24"/>
                <w:szCs w:val="24"/>
              </w:rPr>
            </w:pPr>
            <w:r w:rsidRPr="00DE19D8">
              <w:rPr>
                <w:sz w:val="24"/>
                <w:szCs w:val="24"/>
              </w:rPr>
              <w:t>Dinoflagellate:</w:t>
            </w:r>
          </w:p>
          <w:p w14:paraId="3A75F951" w14:textId="56C6A63B" w:rsidR="009B366D" w:rsidRPr="00DE19D8" w:rsidRDefault="009B366D" w:rsidP="009B366D">
            <w:pPr>
              <w:pStyle w:val="TableParagraph"/>
              <w:spacing w:before="57"/>
              <w:ind w:left="71" w:right="113"/>
              <w:rPr>
                <w:sz w:val="24"/>
                <w:szCs w:val="24"/>
              </w:rPr>
            </w:pPr>
            <w:r w:rsidRPr="00DE19D8">
              <w:rPr>
                <w:b/>
                <w:bCs/>
                <w:i/>
                <w:iCs/>
                <w:sz w:val="24"/>
                <w:szCs w:val="24"/>
              </w:rPr>
              <w:t>Ostreopsis.</w:t>
            </w:r>
          </w:p>
        </w:tc>
        <w:tc>
          <w:tcPr>
            <w:tcW w:w="1966" w:type="dxa"/>
            <w:tcBorders>
              <w:top w:val="single" w:sz="4" w:space="0" w:color="000000"/>
              <w:bottom w:val="single" w:sz="4" w:space="0" w:color="000000"/>
            </w:tcBorders>
          </w:tcPr>
          <w:p w14:paraId="5AEA7749" w14:textId="77777777" w:rsidR="009B366D" w:rsidRPr="002C6986" w:rsidRDefault="009B366D" w:rsidP="009B366D">
            <w:pPr>
              <w:pStyle w:val="TableParagraph"/>
              <w:spacing w:before="57"/>
              <w:ind w:left="113" w:right="113"/>
              <w:rPr>
                <w:bCs/>
              </w:rPr>
            </w:pPr>
            <w:r w:rsidRPr="002C6986">
              <w:rPr>
                <w:bCs/>
              </w:rPr>
              <w:t>Planktonic marine,</w:t>
            </w:r>
          </w:p>
          <w:p w14:paraId="6FEF03B5" w14:textId="77777777" w:rsidR="009B366D" w:rsidRPr="000F4EFC" w:rsidRDefault="009B366D" w:rsidP="009B366D">
            <w:pPr>
              <w:pStyle w:val="TableParagraph"/>
              <w:spacing w:before="57"/>
              <w:ind w:left="113" w:right="113"/>
              <w:rPr>
                <w:b/>
              </w:rPr>
            </w:pPr>
            <w:r w:rsidRPr="000F4EFC">
              <w:rPr>
                <w:b/>
              </w:rPr>
              <w:t>Benthic marine.</w:t>
            </w:r>
          </w:p>
        </w:tc>
      </w:tr>
      <w:tr w:rsidR="009B366D" w:rsidRPr="000F4EFC" w14:paraId="554206FB" w14:textId="77777777" w:rsidTr="005B1C5D">
        <w:trPr>
          <w:trHeight w:val="70"/>
        </w:trPr>
        <w:tc>
          <w:tcPr>
            <w:tcW w:w="1967" w:type="dxa"/>
            <w:tcBorders>
              <w:top w:val="single" w:sz="4" w:space="0" w:color="000000"/>
              <w:bottom w:val="single" w:sz="4" w:space="0" w:color="000000"/>
            </w:tcBorders>
          </w:tcPr>
          <w:p w14:paraId="010B9485" w14:textId="77777777" w:rsidR="009B366D" w:rsidRPr="000F4EFC" w:rsidRDefault="009B366D" w:rsidP="009B366D">
            <w:pPr>
              <w:pStyle w:val="TableParagraph"/>
              <w:spacing w:before="57"/>
              <w:ind w:left="113" w:right="113"/>
            </w:pPr>
          </w:p>
        </w:tc>
        <w:tc>
          <w:tcPr>
            <w:tcW w:w="2268" w:type="dxa"/>
            <w:tcBorders>
              <w:top w:val="single" w:sz="4" w:space="0" w:color="000000"/>
              <w:bottom w:val="single" w:sz="4" w:space="0" w:color="000000"/>
            </w:tcBorders>
          </w:tcPr>
          <w:p w14:paraId="344D51F0" w14:textId="77777777" w:rsidR="009B366D" w:rsidRPr="00DE19D8" w:rsidRDefault="009B366D" w:rsidP="009B366D">
            <w:pPr>
              <w:pStyle w:val="TableParagraph"/>
              <w:spacing w:before="57"/>
              <w:ind w:left="113" w:right="113"/>
              <w:rPr>
                <w:sz w:val="24"/>
                <w:szCs w:val="24"/>
              </w:rPr>
            </w:pPr>
            <w:r w:rsidRPr="00DE19D8">
              <w:rPr>
                <w:sz w:val="24"/>
                <w:szCs w:val="24"/>
              </w:rPr>
              <w:t>Respiratory irritant when aerosolised</w:t>
            </w:r>
          </w:p>
        </w:tc>
        <w:tc>
          <w:tcPr>
            <w:tcW w:w="2855" w:type="dxa"/>
            <w:tcBorders>
              <w:top w:val="single" w:sz="4" w:space="0" w:color="000000"/>
              <w:bottom w:val="single" w:sz="4" w:space="0" w:color="000000"/>
            </w:tcBorders>
          </w:tcPr>
          <w:p w14:paraId="154D30B2" w14:textId="77777777" w:rsidR="009B366D" w:rsidRPr="00DE19D8" w:rsidRDefault="009B366D" w:rsidP="009B366D">
            <w:pPr>
              <w:pStyle w:val="TableParagraph"/>
              <w:spacing w:before="57"/>
              <w:ind w:left="71" w:right="113"/>
              <w:rPr>
                <w:sz w:val="24"/>
                <w:szCs w:val="24"/>
                <w:u w:val="single"/>
              </w:rPr>
            </w:pPr>
          </w:p>
        </w:tc>
        <w:tc>
          <w:tcPr>
            <w:tcW w:w="1966" w:type="dxa"/>
            <w:tcBorders>
              <w:top w:val="single" w:sz="4" w:space="0" w:color="000000"/>
              <w:bottom w:val="single" w:sz="4" w:space="0" w:color="000000"/>
            </w:tcBorders>
          </w:tcPr>
          <w:p w14:paraId="4D51C6BC" w14:textId="77777777" w:rsidR="009B366D" w:rsidRPr="000F4EFC" w:rsidRDefault="009B366D" w:rsidP="009B366D">
            <w:pPr>
              <w:pStyle w:val="TableParagraph"/>
              <w:spacing w:before="57"/>
              <w:ind w:left="113" w:right="113"/>
              <w:rPr>
                <w:b/>
              </w:rPr>
            </w:pPr>
          </w:p>
        </w:tc>
      </w:tr>
      <w:tr w:rsidR="009B366D" w:rsidRPr="000F4EFC" w14:paraId="24796F0E" w14:textId="77777777" w:rsidTr="005B1C5D">
        <w:trPr>
          <w:trHeight w:val="70"/>
        </w:trPr>
        <w:tc>
          <w:tcPr>
            <w:tcW w:w="1967" w:type="dxa"/>
            <w:tcBorders>
              <w:top w:val="single" w:sz="4" w:space="0" w:color="000000"/>
              <w:bottom w:val="single" w:sz="4" w:space="0" w:color="000000"/>
            </w:tcBorders>
          </w:tcPr>
          <w:p w14:paraId="6112A3E6" w14:textId="77777777" w:rsidR="009B366D" w:rsidRPr="000F4EFC" w:rsidRDefault="009B366D" w:rsidP="009B366D">
            <w:pPr>
              <w:pStyle w:val="TableParagraph"/>
              <w:spacing w:before="57"/>
              <w:ind w:left="113" w:right="113"/>
            </w:pPr>
            <w:r w:rsidRPr="000F4EFC">
              <w:t>Saxitoxins</w:t>
            </w:r>
          </w:p>
        </w:tc>
        <w:tc>
          <w:tcPr>
            <w:tcW w:w="2268" w:type="dxa"/>
            <w:tcBorders>
              <w:top w:val="single" w:sz="4" w:space="0" w:color="000000"/>
              <w:bottom w:val="single" w:sz="4" w:space="0" w:color="000000"/>
            </w:tcBorders>
          </w:tcPr>
          <w:p w14:paraId="23268ACB" w14:textId="77777777" w:rsidR="009B366D" w:rsidRPr="00DE19D8" w:rsidRDefault="009B366D" w:rsidP="009B366D">
            <w:pPr>
              <w:pStyle w:val="TableParagraph"/>
              <w:spacing w:before="57"/>
              <w:ind w:left="113" w:right="113"/>
              <w:rPr>
                <w:sz w:val="24"/>
                <w:szCs w:val="24"/>
              </w:rPr>
            </w:pPr>
            <w:r w:rsidRPr="00DE19D8">
              <w:rPr>
                <w:sz w:val="24"/>
                <w:szCs w:val="24"/>
              </w:rPr>
              <w:t>Neurotoxin.</w:t>
            </w:r>
          </w:p>
          <w:p w14:paraId="18A7583A" w14:textId="77777777" w:rsidR="009B366D" w:rsidRPr="00DE19D8" w:rsidRDefault="009B366D" w:rsidP="009B366D">
            <w:pPr>
              <w:pStyle w:val="TableParagraph"/>
              <w:spacing w:before="57"/>
              <w:ind w:left="113" w:right="113"/>
              <w:rPr>
                <w:sz w:val="24"/>
                <w:szCs w:val="24"/>
              </w:rPr>
            </w:pPr>
            <w:r w:rsidRPr="00DE19D8">
              <w:rPr>
                <w:sz w:val="24"/>
                <w:szCs w:val="24"/>
              </w:rPr>
              <w:t>Voltage-gated sodium channel blocker.</w:t>
            </w:r>
          </w:p>
          <w:p w14:paraId="66F071AC" w14:textId="77777777" w:rsidR="009B366D" w:rsidRPr="00DE19D8" w:rsidRDefault="009B366D" w:rsidP="009B366D">
            <w:pPr>
              <w:pStyle w:val="TableParagraph"/>
              <w:spacing w:before="57"/>
              <w:ind w:left="113" w:right="113"/>
              <w:rPr>
                <w:sz w:val="24"/>
                <w:szCs w:val="24"/>
              </w:rPr>
            </w:pPr>
            <w:r w:rsidRPr="00DE19D8">
              <w:rPr>
                <w:sz w:val="24"/>
                <w:szCs w:val="24"/>
              </w:rPr>
              <w:t>Paralytic shellfish poisoning (from the consumption of contaminated shellfish).</w:t>
            </w:r>
          </w:p>
        </w:tc>
        <w:tc>
          <w:tcPr>
            <w:tcW w:w="2855" w:type="dxa"/>
            <w:tcBorders>
              <w:top w:val="single" w:sz="4" w:space="0" w:color="000000"/>
              <w:bottom w:val="single" w:sz="4" w:space="0" w:color="000000"/>
            </w:tcBorders>
          </w:tcPr>
          <w:p w14:paraId="3145D410" w14:textId="77777777" w:rsidR="009B366D" w:rsidRPr="00DE19D8" w:rsidRDefault="009B366D" w:rsidP="009B366D">
            <w:pPr>
              <w:pStyle w:val="TableParagraph"/>
              <w:spacing w:before="57"/>
              <w:ind w:left="71" w:right="113"/>
              <w:rPr>
                <w:sz w:val="24"/>
                <w:szCs w:val="24"/>
              </w:rPr>
            </w:pPr>
            <w:r w:rsidRPr="00DE19D8">
              <w:rPr>
                <w:sz w:val="24"/>
                <w:szCs w:val="24"/>
              </w:rPr>
              <w:t>Cyanobacteria:</w:t>
            </w:r>
            <w:r w:rsidRPr="00DE19D8">
              <w:rPr>
                <w:sz w:val="24"/>
                <w:szCs w:val="24"/>
                <w:u w:val="single"/>
              </w:rPr>
              <w:t xml:space="preserve"> </w:t>
            </w:r>
            <w:r w:rsidRPr="00DE19D8">
              <w:rPr>
                <w:i/>
                <w:iCs/>
                <w:sz w:val="24"/>
                <w:szCs w:val="24"/>
              </w:rPr>
              <w:t xml:space="preserve">Aphanizomenon, Cylindrospermum, Geitlerinema, Microcystis, Microseria, Phormidium, Planktothrix, Rhaphidiopsis, </w:t>
            </w:r>
            <w:r w:rsidRPr="00DE19D8">
              <w:rPr>
                <w:b/>
                <w:bCs/>
                <w:i/>
                <w:iCs/>
                <w:sz w:val="24"/>
                <w:szCs w:val="24"/>
              </w:rPr>
              <w:t>Scytonema</w:t>
            </w:r>
            <w:r w:rsidRPr="00DE19D8">
              <w:rPr>
                <w:sz w:val="24"/>
                <w:szCs w:val="24"/>
              </w:rPr>
              <w:t>.</w:t>
            </w:r>
          </w:p>
          <w:p w14:paraId="5EE537F6" w14:textId="77777777" w:rsidR="009B366D" w:rsidRPr="00DE19D8" w:rsidRDefault="009B366D" w:rsidP="009B366D">
            <w:pPr>
              <w:pStyle w:val="TableParagraph"/>
              <w:spacing w:before="57"/>
              <w:ind w:left="71" w:right="113"/>
              <w:rPr>
                <w:sz w:val="24"/>
                <w:szCs w:val="24"/>
                <w:u w:val="single"/>
              </w:rPr>
            </w:pPr>
            <w:r w:rsidRPr="00DE19D8">
              <w:rPr>
                <w:sz w:val="24"/>
                <w:szCs w:val="24"/>
              </w:rPr>
              <w:t>Dinoflagellate:</w:t>
            </w:r>
            <w:r w:rsidRPr="00DE19D8">
              <w:rPr>
                <w:sz w:val="24"/>
                <w:szCs w:val="24"/>
                <w:u w:val="single"/>
              </w:rPr>
              <w:t xml:space="preserve"> </w:t>
            </w:r>
            <w:r w:rsidRPr="00DE19D8">
              <w:rPr>
                <w:b/>
                <w:bCs/>
                <w:i/>
                <w:iCs/>
                <w:sz w:val="24"/>
                <w:szCs w:val="24"/>
              </w:rPr>
              <w:t>Alexandrium</w:t>
            </w:r>
            <w:r w:rsidRPr="00DE19D8">
              <w:rPr>
                <w:i/>
                <w:iCs/>
                <w:sz w:val="24"/>
                <w:szCs w:val="24"/>
              </w:rPr>
              <w:t xml:space="preserve">, Pyrodinium, </w:t>
            </w:r>
            <w:r w:rsidRPr="00DE19D8">
              <w:rPr>
                <w:b/>
                <w:bCs/>
                <w:i/>
                <w:iCs/>
                <w:sz w:val="24"/>
                <w:szCs w:val="24"/>
              </w:rPr>
              <w:t>Gymnodinium</w:t>
            </w:r>
            <w:r w:rsidRPr="00DE19D8">
              <w:rPr>
                <w:i/>
                <w:iCs/>
                <w:sz w:val="24"/>
                <w:szCs w:val="24"/>
              </w:rPr>
              <w:t>.</w:t>
            </w:r>
          </w:p>
        </w:tc>
        <w:tc>
          <w:tcPr>
            <w:tcW w:w="1966" w:type="dxa"/>
            <w:tcBorders>
              <w:top w:val="single" w:sz="4" w:space="0" w:color="000000"/>
              <w:bottom w:val="single" w:sz="4" w:space="0" w:color="000000"/>
            </w:tcBorders>
          </w:tcPr>
          <w:p w14:paraId="1AA0C384" w14:textId="77777777" w:rsidR="009B366D" w:rsidRPr="000F4EFC" w:rsidRDefault="009B366D" w:rsidP="009B366D">
            <w:pPr>
              <w:pStyle w:val="TableParagraph"/>
              <w:spacing w:before="57"/>
              <w:ind w:left="113" w:right="113"/>
              <w:rPr>
                <w:b/>
              </w:rPr>
            </w:pPr>
            <w:r w:rsidRPr="000F4EFC">
              <w:rPr>
                <w:b/>
              </w:rPr>
              <w:t xml:space="preserve">Benthic freshwater, </w:t>
            </w:r>
            <w:r w:rsidRPr="002C6986">
              <w:rPr>
                <w:bCs/>
              </w:rPr>
              <w:t>Planktonic freshwater,</w:t>
            </w:r>
            <w:r w:rsidRPr="000F4EFC">
              <w:rPr>
                <w:b/>
              </w:rPr>
              <w:t xml:space="preserve"> Planktonic marine.</w:t>
            </w:r>
          </w:p>
        </w:tc>
      </w:tr>
      <w:tr w:rsidR="009B366D" w:rsidRPr="000F4EFC" w14:paraId="3E157D7A" w14:textId="77777777" w:rsidTr="00496185">
        <w:trPr>
          <w:trHeight w:val="734"/>
        </w:trPr>
        <w:tc>
          <w:tcPr>
            <w:tcW w:w="9056" w:type="dxa"/>
            <w:gridSpan w:val="4"/>
            <w:tcBorders>
              <w:top w:val="single" w:sz="4" w:space="0" w:color="000000"/>
              <w:bottom w:val="single" w:sz="4" w:space="0" w:color="000000"/>
            </w:tcBorders>
          </w:tcPr>
          <w:p w14:paraId="61A6263B" w14:textId="6BD3FC5D" w:rsidR="009B366D" w:rsidRPr="00DE19D8" w:rsidRDefault="009B366D" w:rsidP="009B366D">
            <w:pPr>
              <w:pStyle w:val="TableParagraph"/>
              <w:spacing w:before="56"/>
              <w:ind w:left="113" w:right="113"/>
              <w:rPr>
                <w:sz w:val="24"/>
                <w:szCs w:val="24"/>
              </w:rPr>
            </w:pPr>
            <w:r w:rsidRPr="00DE19D8">
              <w:rPr>
                <w:sz w:val="24"/>
                <w:szCs w:val="24"/>
              </w:rPr>
              <w:t>Toxin production has been observed in New Zealand for the genera and habitats in bold type. New toxin-producing cyanobacteria and microalgae continue to be identified, and this list of toxin-producing genera should not be treated as comprehensive.</w:t>
            </w:r>
          </w:p>
        </w:tc>
      </w:tr>
    </w:tbl>
    <w:p w14:paraId="3A753EBC" w14:textId="054105D4" w:rsidR="0081517F" w:rsidRPr="00CC0F9B" w:rsidRDefault="0081517F" w:rsidP="0081517F">
      <w:pPr>
        <w:rPr>
          <w:lang w:val="en-NZ"/>
        </w:rPr>
      </w:pPr>
    </w:p>
    <w:p w14:paraId="2A89406D" w14:textId="4A006425" w:rsidR="0081517F" w:rsidRDefault="0081517F">
      <w:pPr>
        <w:rPr>
          <w:lang w:val="en-NZ"/>
        </w:rPr>
      </w:pPr>
      <w:r w:rsidRPr="00CC0F9B">
        <w:rPr>
          <w:lang w:val="en-NZ"/>
        </w:rPr>
        <w:br w:type="page"/>
      </w:r>
    </w:p>
    <w:p w14:paraId="0C0ECE91" w14:textId="12CFE006" w:rsidR="008E1F64" w:rsidRPr="002E5353" w:rsidRDefault="008E1F64" w:rsidP="00367088">
      <w:pPr>
        <w:pStyle w:val="Heading1"/>
        <w:spacing w:line="240" w:lineRule="auto"/>
        <w:rPr>
          <w:sz w:val="44"/>
          <w:szCs w:val="44"/>
          <w:lang w:val="en-NZ"/>
        </w:rPr>
      </w:pPr>
      <w:bookmarkStart w:id="50" w:name="_Appendix_C:_Examples"/>
      <w:bookmarkStart w:id="51" w:name="_Toc181101796"/>
      <w:bookmarkEnd w:id="50"/>
      <w:r w:rsidRPr="002E5353">
        <w:rPr>
          <w:sz w:val="44"/>
          <w:szCs w:val="44"/>
          <w:lang w:val="en-NZ"/>
        </w:rPr>
        <w:lastRenderedPageBreak/>
        <w:t xml:space="preserve">Appendix C: Examples of </w:t>
      </w:r>
      <w:r w:rsidR="00CC078B" w:rsidRPr="002E5353">
        <w:rPr>
          <w:sz w:val="44"/>
          <w:szCs w:val="44"/>
          <w:lang w:val="en-NZ"/>
        </w:rPr>
        <w:t>s</w:t>
      </w:r>
      <w:r w:rsidRPr="002E5353">
        <w:rPr>
          <w:sz w:val="44"/>
          <w:szCs w:val="44"/>
          <w:lang w:val="en-NZ"/>
        </w:rPr>
        <w:t xml:space="preserve">ome </w:t>
      </w:r>
      <w:r w:rsidR="00CC078B" w:rsidRPr="002E5353">
        <w:rPr>
          <w:sz w:val="44"/>
          <w:szCs w:val="44"/>
          <w:lang w:val="en-NZ"/>
        </w:rPr>
        <w:t>s</w:t>
      </w:r>
      <w:r w:rsidRPr="002E5353">
        <w:rPr>
          <w:sz w:val="44"/>
          <w:szCs w:val="44"/>
          <w:lang w:val="en-NZ"/>
        </w:rPr>
        <w:t xml:space="preserve">ymptoms and </w:t>
      </w:r>
      <w:r w:rsidR="00CC078B" w:rsidRPr="002E5353">
        <w:rPr>
          <w:sz w:val="44"/>
          <w:szCs w:val="44"/>
          <w:lang w:val="en-NZ"/>
        </w:rPr>
        <w:t>p</w:t>
      </w:r>
      <w:r w:rsidRPr="002E5353">
        <w:rPr>
          <w:sz w:val="44"/>
          <w:szCs w:val="44"/>
          <w:lang w:val="en-NZ"/>
        </w:rPr>
        <w:t xml:space="preserve">otential </w:t>
      </w:r>
      <w:r w:rsidR="00CC078B" w:rsidRPr="002E5353">
        <w:rPr>
          <w:sz w:val="44"/>
          <w:szCs w:val="44"/>
          <w:lang w:val="en-NZ"/>
        </w:rPr>
        <w:t>c</w:t>
      </w:r>
      <w:r w:rsidRPr="002E5353">
        <w:rPr>
          <w:sz w:val="44"/>
          <w:szCs w:val="44"/>
          <w:lang w:val="en-NZ"/>
        </w:rPr>
        <w:t>yanotoxins</w:t>
      </w:r>
      <w:bookmarkEnd w:id="51"/>
    </w:p>
    <w:p w14:paraId="17395544" w14:textId="77777777" w:rsidR="00367088" w:rsidRDefault="00367088" w:rsidP="008E1F64">
      <w:pPr>
        <w:rPr>
          <w:sz w:val="24"/>
          <w:szCs w:val="24"/>
          <w:lang w:val="en-NZ"/>
        </w:rPr>
      </w:pPr>
    </w:p>
    <w:p w14:paraId="79251315" w14:textId="2315D281" w:rsidR="008E1F64" w:rsidRDefault="00447185" w:rsidP="008E1F64">
      <w:pPr>
        <w:rPr>
          <w:sz w:val="24"/>
          <w:szCs w:val="24"/>
          <w:lang w:val="en-NZ"/>
        </w:rPr>
      </w:pPr>
      <w:r w:rsidRPr="00447185">
        <w:rPr>
          <w:sz w:val="24"/>
          <w:szCs w:val="24"/>
          <w:lang w:val="en-NZ"/>
        </w:rPr>
        <w:t>This is not a comprehensive list of symptoms b</w:t>
      </w:r>
      <w:r>
        <w:rPr>
          <w:sz w:val="24"/>
          <w:szCs w:val="24"/>
          <w:lang w:val="en-NZ"/>
        </w:rPr>
        <w:t>ut</w:t>
      </w:r>
      <w:r w:rsidRPr="00447185">
        <w:rPr>
          <w:sz w:val="24"/>
          <w:szCs w:val="24"/>
          <w:lang w:val="en-NZ"/>
        </w:rPr>
        <w:t xml:space="preserve"> provides some examples of types of symptoms and possible exposure routes and potential toxins associated with those symptoms.</w:t>
      </w:r>
    </w:p>
    <w:tbl>
      <w:tblPr>
        <w:tblStyle w:val="TableGrid1"/>
        <w:tblW w:w="4994" w:type="pct"/>
        <w:tblLook w:val="04A0" w:firstRow="1" w:lastRow="0" w:firstColumn="1" w:lastColumn="0" w:noHBand="0" w:noVBand="1"/>
      </w:tblPr>
      <w:tblGrid>
        <w:gridCol w:w="2404"/>
        <w:gridCol w:w="2098"/>
        <w:gridCol w:w="2439"/>
        <w:gridCol w:w="2064"/>
      </w:tblGrid>
      <w:tr w:rsidR="00447185" w14:paraId="7B9B4F2D" w14:textId="77777777" w:rsidTr="00B4082B">
        <w:tc>
          <w:tcPr>
            <w:tcW w:w="1335" w:type="pct"/>
          </w:tcPr>
          <w:p w14:paraId="45DACA75" w14:textId="2C73DF5A" w:rsidR="00447185" w:rsidRPr="00DE19D8" w:rsidRDefault="00447185" w:rsidP="00DE19D8">
            <w:pPr>
              <w:rPr>
                <w:sz w:val="24"/>
                <w:szCs w:val="24"/>
                <w:lang w:val="en-NZ"/>
              </w:rPr>
            </w:pPr>
            <w:r w:rsidRPr="00DE19D8">
              <w:rPr>
                <w:sz w:val="24"/>
                <w:szCs w:val="24"/>
              </w:rPr>
              <w:t>Symptoms</w:t>
            </w:r>
          </w:p>
        </w:tc>
        <w:tc>
          <w:tcPr>
            <w:tcW w:w="1165" w:type="pct"/>
          </w:tcPr>
          <w:p w14:paraId="7595C983" w14:textId="744C429A" w:rsidR="00447185" w:rsidRPr="00DE19D8" w:rsidRDefault="00447185" w:rsidP="00DE19D8">
            <w:pPr>
              <w:rPr>
                <w:sz w:val="24"/>
                <w:szCs w:val="24"/>
                <w:lang w:val="en-NZ"/>
              </w:rPr>
            </w:pPr>
            <w:r w:rsidRPr="00DE19D8">
              <w:rPr>
                <w:sz w:val="24"/>
                <w:szCs w:val="24"/>
              </w:rPr>
              <w:t>Exposure</w:t>
            </w:r>
          </w:p>
        </w:tc>
        <w:tc>
          <w:tcPr>
            <w:tcW w:w="1354" w:type="pct"/>
          </w:tcPr>
          <w:p w14:paraId="0E608CB8" w14:textId="2CA41604" w:rsidR="00447185" w:rsidRPr="00DE19D8" w:rsidRDefault="00447185" w:rsidP="00DE19D8">
            <w:pPr>
              <w:rPr>
                <w:sz w:val="24"/>
                <w:szCs w:val="24"/>
                <w:lang w:val="en-NZ"/>
              </w:rPr>
            </w:pPr>
            <w:r w:rsidRPr="00DE19D8">
              <w:rPr>
                <w:sz w:val="24"/>
                <w:szCs w:val="24"/>
              </w:rPr>
              <w:t>Potential freshwater biotoxins</w:t>
            </w:r>
          </w:p>
        </w:tc>
        <w:tc>
          <w:tcPr>
            <w:tcW w:w="1146" w:type="pct"/>
          </w:tcPr>
          <w:p w14:paraId="29033880" w14:textId="2DED6BE6" w:rsidR="00447185" w:rsidRPr="00DE19D8" w:rsidRDefault="00447185" w:rsidP="00DE19D8">
            <w:pPr>
              <w:rPr>
                <w:sz w:val="24"/>
                <w:szCs w:val="24"/>
                <w:lang w:val="en-NZ"/>
              </w:rPr>
            </w:pPr>
            <w:r w:rsidRPr="00DE19D8">
              <w:rPr>
                <w:sz w:val="24"/>
                <w:szCs w:val="24"/>
              </w:rPr>
              <w:t>Potential marine biotoxins</w:t>
            </w:r>
          </w:p>
        </w:tc>
      </w:tr>
      <w:tr w:rsidR="00447185" w14:paraId="38E8802D" w14:textId="77777777" w:rsidTr="00B4082B">
        <w:tc>
          <w:tcPr>
            <w:tcW w:w="1335" w:type="pct"/>
          </w:tcPr>
          <w:p w14:paraId="103978E5" w14:textId="0851253C" w:rsidR="00447185" w:rsidRPr="00DE19D8" w:rsidRDefault="00447185" w:rsidP="00DE19D8">
            <w:pPr>
              <w:rPr>
                <w:sz w:val="24"/>
                <w:szCs w:val="24"/>
                <w:lang w:val="en-NZ"/>
              </w:rPr>
            </w:pPr>
            <w:r w:rsidRPr="00DE19D8">
              <w:rPr>
                <w:sz w:val="24"/>
                <w:szCs w:val="24"/>
              </w:rPr>
              <w:t>Difficulty breathing, shortness of breath, chest tightness, wheezing</w:t>
            </w:r>
          </w:p>
        </w:tc>
        <w:tc>
          <w:tcPr>
            <w:tcW w:w="1165" w:type="pct"/>
          </w:tcPr>
          <w:p w14:paraId="07DFB34D" w14:textId="2C0E17A2" w:rsidR="00447185" w:rsidRPr="00DE19D8" w:rsidRDefault="00447185" w:rsidP="00DE19D8">
            <w:pPr>
              <w:rPr>
                <w:sz w:val="24"/>
                <w:szCs w:val="24"/>
                <w:lang w:val="en-NZ"/>
              </w:rPr>
            </w:pPr>
            <w:r w:rsidRPr="00DE19D8">
              <w:rPr>
                <w:sz w:val="24"/>
                <w:szCs w:val="24"/>
              </w:rPr>
              <w:t>Inhalation of water spray</w:t>
            </w:r>
          </w:p>
        </w:tc>
        <w:tc>
          <w:tcPr>
            <w:tcW w:w="1354" w:type="pct"/>
          </w:tcPr>
          <w:p w14:paraId="2BEE36BD" w14:textId="33AD7B78" w:rsidR="00447185" w:rsidRPr="00DE19D8" w:rsidRDefault="00447185" w:rsidP="00DE19D8">
            <w:pPr>
              <w:rPr>
                <w:sz w:val="24"/>
                <w:szCs w:val="24"/>
                <w:lang w:val="en-NZ"/>
              </w:rPr>
            </w:pPr>
            <w:r w:rsidRPr="00DE19D8">
              <w:rPr>
                <w:sz w:val="24"/>
                <w:szCs w:val="24"/>
              </w:rPr>
              <w:t>Microcystins Lyngbyatoxins</w:t>
            </w:r>
          </w:p>
        </w:tc>
        <w:tc>
          <w:tcPr>
            <w:tcW w:w="1146" w:type="pct"/>
          </w:tcPr>
          <w:p w14:paraId="6CB6B91D" w14:textId="28209D4C" w:rsidR="00447185" w:rsidRPr="00DE19D8" w:rsidRDefault="00447185" w:rsidP="00DE19D8">
            <w:pPr>
              <w:rPr>
                <w:sz w:val="24"/>
                <w:szCs w:val="24"/>
                <w:lang w:val="en-NZ"/>
              </w:rPr>
            </w:pPr>
            <w:r w:rsidRPr="00DE19D8">
              <w:rPr>
                <w:sz w:val="24"/>
                <w:szCs w:val="24"/>
              </w:rPr>
              <w:t xml:space="preserve">Lyngbyatoxins Brevetoxin </w:t>
            </w:r>
            <w:r w:rsidR="00CC078B" w:rsidRPr="00DE19D8">
              <w:rPr>
                <w:sz w:val="24"/>
                <w:szCs w:val="24"/>
              </w:rPr>
              <w:br/>
            </w:r>
            <w:r w:rsidRPr="00DE19D8">
              <w:rPr>
                <w:sz w:val="24"/>
                <w:szCs w:val="24"/>
              </w:rPr>
              <w:t>Domoic acid</w:t>
            </w:r>
            <w:r w:rsidRPr="00DE19D8">
              <w:rPr>
                <w:sz w:val="24"/>
                <w:szCs w:val="24"/>
              </w:rPr>
              <w:br/>
              <w:t>Palytoxins</w:t>
            </w:r>
          </w:p>
        </w:tc>
      </w:tr>
      <w:tr w:rsidR="00447185" w14:paraId="052859A7" w14:textId="77777777" w:rsidTr="00B4082B">
        <w:tc>
          <w:tcPr>
            <w:tcW w:w="1335" w:type="pct"/>
          </w:tcPr>
          <w:p w14:paraId="4A8A14E4" w14:textId="7A022D31" w:rsidR="00447185" w:rsidRPr="00DE19D8" w:rsidRDefault="00447185" w:rsidP="00DE19D8">
            <w:pPr>
              <w:rPr>
                <w:sz w:val="24"/>
                <w:szCs w:val="24"/>
                <w:lang w:val="en-NZ"/>
              </w:rPr>
            </w:pPr>
            <w:r w:rsidRPr="00DE19D8">
              <w:rPr>
                <w:sz w:val="24"/>
                <w:szCs w:val="24"/>
              </w:rPr>
              <w:t>Pneumonia</w:t>
            </w:r>
          </w:p>
        </w:tc>
        <w:tc>
          <w:tcPr>
            <w:tcW w:w="1165" w:type="pct"/>
          </w:tcPr>
          <w:p w14:paraId="2E5040CD" w14:textId="408C9A86" w:rsidR="00447185" w:rsidRPr="00DE19D8" w:rsidRDefault="00447185" w:rsidP="00DE19D8">
            <w:pPr>
              <w:rPr>
                <w:sz w:val="24"/>
                <w:szCs w:val="24"/>
                <w:lang w:val="en-NZ"/>
              </w:rPr>
            </w:pPr>
            <w:r w:rsidRPr="00DE19D8">
              <w:rPr>
                <w:sz w:val="24"/>
                <w:szCs w:val="24"/>
              </w:rPr>
              <w:t>Inhalation of water spray</w:t>
            </w:r>
          </w:p>
        </w:tc>
        <w:tc>
          <w:tcPr>
            <w:tcW w:w="1354" w:type="pct"/>
          </w:tcPr>
          <w:p w14:paraId="57D2C75F" w14:textId="6D10EBE8" w:rsidR="00447185" w:rsidRPr="00DE19D8" w:rsidRDefault="00447185" w:rsidP="00DE19D8">
            <w:pPr>
              <w:rPr>
                <w:sz w:val="24"/>
                <w:szCs w:val="24"/>
                <w:lang w:val="en-NZ"/>
              </w:rPr>
            </w:pPr>
            <w:r w:rsidRPr="00DE19D8">
              <w:rPr>
                <w:sz w:val="24"/>
                <w:szCs w:val="24"/>
              </w:rPr>
              <w:t>Microcystins</w:t>
            </w:r>
          </w:p>
        </w:tc>
        <w:tc>
          <w:tcPr>
            <w:tcW w:w="1146" w:type="pct"/>
          </w:tcPr>
          <w:p w14:paraId="4C376B9E" w14:textId="77777777" w:rsidR="00447185" w:rsidRPr="00DE19D8" w:rsidRDefault="00447185" w:rsidP="00DE19D8">
            <w:pPr>
              <w:rPr>
                <w:sz w:val="24"/>
                <w:szCs w:val="24"/>
                <w:lang w:val="en-NZ"/>
              </w:rPr>
            </w:pPr>
          </w:p>
        </w:tc>
      </w:tr>
      <w:tr w:rsidR="00447185" w14:paraId="3477E916" w14:textId="77777777" w:rsidTr="00B4082B">
        <w:tc>
          <w:tcPr>
            <w:tcW w:w="1335" w:type="pct"/>
          </w:tcPr>
          <w:p w14:paraId="7804198E" w14:textId="00511EBA" w:rsidR="00447185" w:rsidRPr="00DE19D8" w:rsidRDefault="00447185" w:rsidP="00DE19D8">
            <w:pPr>
              <w:rPr>
                <w:sz w:val="24"/>
                <w:szCs w:val="24"/>
                <w:lang w:val="en-NZ"/>
              </w:rPr>
            </w:pPr>
            <w:r w:rsidRPr="00DE19D8">
              <w:rPr>
                <w:sz w:val="24"/>
                <w:szCs w:val="24"/>
              </w:rPr>
              <w:t>Nausea</w:t>
            </w:r>
            <w:r w:rsidRPr="00DE19D8">
              <w:rPr>
                <w:sz w:val="24"/>
                <w:szCs w:val="24"/>
              </w:rPr>
              <w:br/>
              <w:t>Diarrhoea (+-blood) Vomiting</w:t>
            </w:r>
            <w:r w:rsidRPr="00DE19D8">
              <w:rPr>
                <w:sz w:val="24"/>
                <w:szCs w:val="24"/>
              </w:rPr>
              <w:br/>
              <w:t>Loss of appetite</w:t>
            </w:r>
          </w:p>
        </w:tc>
        <w:tc>
          <w:tcPr>
            <w:tcW w:w="1165" w:type="pct"/>
          </w:tcPr>
          <w:p w14:paraId="50555E23" w14:textId="0D9CC63A" w:rsidR="00447185" w:rsidRPr="00DE19D8" w:rsidRDefault="00447185" w:rsidP="00DE19D8">
            <w:pPr>
              <w:rPr>
                <w:sz w:val="24"/>
                <w:szCs w:val="24"/>
                <w:lang w:val="en-NZ"/>
              </w:rPr>
            </w:pPr>
            <w:r w:rsidRPr="00DE19D8">
              <w:rPr>
                <w:sz w:val="24"/>
                <w:szCs w:val="24"/>
              </w:rPr>
              <w:t>Ingestion of water / food</w:t>
            </w:r>
          </w:p>
        </w:tc>
        <w:tc>
          <w:tcPr>
            <w:tcW w:w="1354" w:type="pct"/>
          </w:tcPr>
          <w:p w14:paraId="760940CC" w14:textId="526D63DB" w:rsidR="00447185" w:rsidRPr="00DE19D8" w:rsidRDefault="00447185" w:rsidP="00DE19D8">
            <w:pPr>
              <w:rPr>
                <w:sz w:val="24"/>
                <w:szCs w:val="24"/>
                <w:lang w:val="en-NZ"/>
              </w:rPr>
            </w:pPr>
            <w:r w:rsidRPr="00DE19D8">
              <w:rPr>
                <w:sz w:val="24"/>
                <w:szCs w:val="24"/>
              </w:rPr>
              <w:t>Microcystins Nodularin Cylindrospermopsin Saxitoxin</w:t>
            </w:r>
          </w:p>
        </w:tc>
        <w:tc>
          <w:tcPr>
            <w:tcW w:w="1146" w:type="pct"/>
          </w:tcPr>
          <w:p w14:paraId="5C07DB60" w14:textId="499C98A8" w:rsidR="00447185" w:rsidRPr="00DE19D8" w:rsidRDefault="00447185" w:rsidP="00DE19D8">
            <w:pPr>
              <w:rPr>
                <w:sz w:val="24"/>
                <w:szCs w:val="24"/>
                <w:lang w:val="en-NZ"/>
              </w:rPr>
            </w:pPr>
            <w:r w:rsidRPr="00DE19D8">
              <w:rPr>
                <w:sz w:val="24"/>
                <w:szCs w:val="24"/>
              </w:rPr>
              <w:t>Brevetoxin Ciguatoxins Domoic acid Okadaic acid Azaspiracid Saxitoxin Palytoxins</w:t>
            </w:r>
          </w:p>
        </w:tc>
      </w:tr>
      <w:tr w:rsidR="00447185" w14:paraId="221CCEA4" w14:textId="77777777" w:rsidTr="00B4082B">
        <w:tc>
          <w:tcPr>
            <w:tcW w:w="1335" w:type="pct"/>
          </w:tcPr>
          <w:p w14:paraId="7735CA74" w14:textId="5769B326" w:rsidR="00447185" w:rsidRPr="00DE19D8" w:rsidRDefault="00447185" w:rsidP="00DE19D8">
            <w:pPr>
              <w:rPr>
                <w:sz w:val="24"/>
                <w:szCs w:val="24"/>
                <w:lang w:val="en-NZ"/>
              </w:rPr>
            </w:pPr>
            <w:r w:rsidRPr="00DE19D8">
              <w:rPr>
                <w:sz w:val="24"/>
                <w:szCs w:val="24"/>
              </w:rPr>
              <w:t>Stomach pain</w:t>
            </w:r>
          </w:p>
        </w:tc>
        <w:tc>
          <w:tcPr>
            <w:tcW w:w="1165" w:type="pct"/>
          </w:tcPr>
          <w:p w14:paraId="65A4BFB2" w14:textId="0D0AADFF" w:rsidR="00447185" w:rsidRPr="00DE19D8" w:rsidRDefault="00447185" w:rsidP="00DE19D8">
            <w:pPr>
              <w:rPr>
                <w:sz w:val="24"/>
                <w:szCs w:val="24"/>
                <w:lang w:val="en-NZ"/>
              </w:rPr>
            </w:pPr>
            <w:r w:rsidRPr="00DE19D8">
              <w:rPr>
                <w:sz w:val="24"/>
                <w:szCs w:val="24"/>
              </w:rPr>
              <w:t>Ingestion of water / food</w:t>
            </w:r>
          </w:p>
        </w:tc>
        <w:tc>
          <w:tcPr>
            <w:tcW w:w="1354" w:type="pct"/>
          </w:tcPr>
          <w:p w14:paraId="7C5AFDBB" w14:textId="6DC1C668" w:rsidR="00447185" w:rsidRPr="00DE19D8" w:rsidRDefault="00447185" w:rsidP="00DE19D8">
            <w:pPr>
              <w:rPr>
                <w:sz w:val="24"/>
                <w:szCs w:val="24"/>
                <w:lang w:val="en-NZ"/>
              </w:rPr>
            </w:pPr>
            <w:r w:rsidRPr="00DE19D8">
              <w:rPr>
                <w:sz w:val="24"/>
                <w:szCs w:val="24"/>
              </w:rPr>
              <w:t>Microcystins</w:t>
            </w:r>
          </w:p>
        </w:tc>
        <w:tc>
          <w:tcPr>
            <w:tcW w:w="1146" w:type="pct"/>
          </w:tcPr>
          <w:p w14:paraId="49C4E89E" w14:textId="3DE57B84" w:rsidR="00447185" w:rsidRPr="00DE19D8" w:rsidRDefault="00447185" w:rsidP="00DE19D8">
            <w:pPr>
              <w:rPr>
                <w:sz w:val="24"/>
                <w:szCs w:val="24"/>
                <w:lang w:val="en-NZ"/>
              </w:rPr>
            </w:pPr>
            <w:r w:rsidRPr="00DE19D8">
              <w:rPr>
                <w:sz w:val="24"/>
                <w:szCs w:val="24"/>
              </w:rPr>
              <w:t>Brevetoxin Ciguatoxins Azaspiracid</w:t>
            </w:r>
          </w:p>
        </w:tc>
      </w:tr>
      <w:tr w:rsidR="00447185" w14:paraId="2F7C853A" w14:textId="77777777" w:rsidTr="00B4082B">
        <w:tc>
          <w:tcPr>
            <w:tcW w:w="1335" w:type="pct"/>
          </w:tcPr>
          <w:p w14:paraId="463029DE" w14:textId="27C05AFC" w:rsidR="00447185" w:rsidRPr="00DE19D8" w:rsidRDefault="00447185" w:rsidP="00DE19D8">
            <w:pPr>
              <w:rPr>
                <w:sz w:val="24"/>
                <w:szCs w:val="24"/>
                <w:lang w:val="en-NZ"/>
              </w:rPr>
            </w:pPr>
            <w:r w:rsidRPr="00DE19D8">
              <w:rPr>
                <w:sz w:val="24"/>
                <w:szCs w:val="24"/>
              </w:rPr>
              <w:t>Blistering around the mouth</w:t>
            </w:r>
          </w:p>
        </w:tc>
        <w:tc>
          <w:tcPr>
            <w:tcW w:w="1165" w:type="pct"/>
          </w:tcPr>
          <w:p w14:paraId="40C2FDA5" w14:textId="196F3BD5" w:rsidR="00447185" w:rsidRPr="00DE19D8" w:rsidRDefault="00447185" w:rsidP="00DE19D8">
            <w:pPr>
              <w:rPr>
                <w:sz w:val="24"/>
                <w:szCs w:val="24"/>
                <w:lang w:val="en-NZ"/>
              </w:rPr>
            </w:pPr>
            <w:r w:rsidRPr="00DE19D8">
              <w:rPr>
                <w:sz w:val="24"/>
                <w:szCs w:val="24"/>
              </w:rPr>
              <w:t>Ingestion of water</w:t>
            </w:r>
          </w:p>
        </w:tc>
        <w:tc>
          <w:tcPr>
            <w:tcW w:w="1354" w:type="pct"/>
          </w:tcPr>
          <w:p w14:paraId="13896E2C" w14:textId="5B571C64" w:rsidR="00447185" w:rsidRPr="00DE19D8" w:rsidRDefault="00447185" w:rsidP="00DE19D8">
            <w:pPr>
              <w:rPr>
                <w:sz w:val="24"/>
                <w:szCs w:val="24"/>
                <w:lang w:val="en-NZ"/>
              </w:rPr>
            </w:pPr>
            <w:r w:rsidRPr="00DE19D8">
              <w:rPr>
                <w:sz w:val="24"/>
                <w:szCs w:val="24"/>
              </w:rPr>
              <w:t>Microcystins</w:t>
            </w:r>
          </w:p>
        </w:tc>
        <w:tc>
          <w:tcPr>
            <w:tcW w:w="1146" w:type="pct"/>
          </w:tcPr>
          <w:p w14:paraId="1A544F8D" w14:textId="77777777" w:rsidR="00447185" w:rsidRPr="00DE19D8" w:rsidRDefault="00447185" w:rsidP="00DE19D8">
            <w:pPr>
              <w:rPr>
                <w:sz w:val="24"/>
                <w:szCs w:val="24"/>
                <w:lang w:val="en-NZ"/>
              </w:rPr>
            </w:pPr>
          </w:p>
        </w:tc>
      </w:tr>
      <w:tr w:rsidR="00447185" w14:paraId="20C869CF" w14:textId="77777777" w:rsidTr="00B4082B">
        <w:tc>
          <w:tcPr>
            <w:tcW w:w="1335" w:type="pct"/>
          </w:tcPr>
          <w:p w14:paraId="570FD3F7" w14:textId="37E90324" w:rsidR="00447185" w:rsidRPr="00DE19D8" w:rsidRDefault="00447185" w:rsidP="00DE19D8">
            <w:pPr>
              <w:rPr>
                <w:sz w:val="24"/>
                <w:szCs w:val="24"/>
                <w:lang w:val="en-NZ"/>
              </w:rPr>
            </w:pPr>
            <w:r w:rsidRPr="00DE19D8">
              <w:rPr>
                <w:sz w:val="24"/>
                <w:szCs w:val="24"/>
              </w:rPr>
              <w:t>Sore throat, dry cough</w:t>
            </w:r>
          </w:p>
        </w:tc>
        <w:tc>
          <w:tcPr>
            <w:tcW w:w="1165" w:type="pct"/>
          </w:tcPr>
          <w:p w14:paraId="15439907" w14:textId="7FD41997" w:rsidR="00447185" w:rsidRPr="00DE19D8" w:rsidRDefault="00447185" w:rsidP="00DE19D8">
            <w:pPr>
              <w:rPr>
                <w:sz w:val="24"/>
                <w:szCs w:val="24"/>
                <w:lang w:val="en-NZ"/>
              </w:rPr>
            </w:pPr>
            <w:r w:rsidRPr="00DE19D8">
              <w:rPr>
                <w:sz w:val="24"/>
                <w:szCs w:val="24"/>
              </w:rPr>
              <w:t>Inhalation of water spray</w:t>
            </w:r>
            <w:r w:rsidRPr="00DE19D8">
              <w:rPr>
                <w:sz w:val="24"/>
                <w:szCs w:val="24"/>
              </w:rPr>
              <w:br/>
              <w:t>Ingestion of water</w:t>
            </w:r>
          </w:p>
        </w:tc>
        <w:tc>
          <w:tcPr>
            <w:tcW w:w="1354" w:type="pct"/>
          </w:tcPr>
          <w:p w14:paraId="5D526367" w14:textId="6B9F214E" w:rsidR="00447185" w:rsidRPr="00DE19D8" w:rsidRDefault="00447185" w:rsidP="00DE19D8">
            <w:pPr>
              <w:rPr>
                <w:sz w:val="24"/>
                <w:szCs w:val="24"/>
                <w:lang w:val="en-NZ"/>
              </w:rPr>
            </w:pPr>
            <w:r w:rsidRPr="00DE19D8">
              <w:rPr>
                <w:sz w:val="24"/>
                <w:szCs w:val="24"/>
              </w:rPr>
              <w:t>Microcystins</w:t>
            </w:r>
          </w:p>
        </w:tc>
        <w:tc>
          <w:tcPr>
            <w:tcW w:w="1146" w:type="pct"/>
          </w:tcPr>
          <w:p w14:paraId="3CBC59A9" w14:textId="52CD9E41" w:rsidR="00447185" w:rsidRPr="00DE19D8" w:rsidRDefault="00447185" w:rsidP="00DE19D8">
            <w:pPr>
              <w:rPr>
                <w:sz w:val="24"/>
                <w:szCs w:val="24"/>
                <w:lang w:val="en-NZ"/>
              </w:rPr>
            </w:pPr>
            <w:r w:rsidRPr="00DE19D8">
              <w:rPr>
                <w:sz w:val="24"/>
                <w:szCs w:val="24"/>
              </w:rPr>
              <w:t>Brevetoxin Palytoxins</w:t>
            </w:r>
          </w:p>
        </w:tc>
      </w:tr>
      <w:tr w:rsidR="00447185" w14:paraId="052F630E" w14:textId="77777777" w:rsidTr="00B4082B">
        <w:tc>
          <w:tcPr>
            <w:tcW w:w="1335" w:type="pct"/>
          </w:tcPr>
          <w:p w14:paraId="438FF3A1" w14:textId="6623BBB4" w:rsidR="00447185" w:rsidRPr="00DE19D8" w:rsidRDefault="00447185" w:rsidP="00DE19D8">
            <w:pPr>
              <w:rPr>
                <w:sz w:val="24"/>
                <w:szCs w:val="24"/>
                <w:lang w:val="en-NZ"/>
              </w:rPr>
            </w:pPr>
            <w:r w:rsidRPr="00DE19D8">
              <w:rPr>
                <w:sz w:val="24"/>
                <w:szCs w:val="24"/>
              </w:rPr>
              <w:t>Skin rash, dermatitis</w:t>
            </w:r>
            <w:r w:rsidRPr="00DE19D8">
              <w:rPr>
                <w:sz w:val="24"/>
                <w:szCs w:val="24"/>
              </w:rPr>
              <w:br/>
              <w:t>– itchy skin, blistered skin</w:t>
            </w:r>
          </w:p>
        </w:tc>
        <w:tc>
          <w:tcPr>
            <w:tcW w:w="1165" w:type="pct"/>
          </w:tcPr>
          <w:p w14:paraId="048241A2" w14:textId="37FC002F" w:rsidR="00447185" w:rsidRPr="00DE19D8" w:rsidRDefault="00447185" w:rsidP="00DE19D8">
            <w:pPr>
              <w:rPr>
                <w:sz w:val="24"/>
                <w:szCs w:val="24"/>
                <w:lang w:val="en-NZ"/>
              </w:rPr>
            </w:pPr>
            <w:r w:rsidRPr="00DE19D8">
              <w:rPr>
                <w:sz w:val="24"/>
                <w:szCs w:val="24"/>
              </w:rPr>
              <w:t>Direct contact with water</w:t>
            </w:r>
          </w:p>
        </w:tc>
        <w:tc>
          <w:tcPr>
            <w:tcW w:w="1354" w:type="pct"/>
          </w:tcPr>
          <w:p w14:paraId="141C84AC" w14:textId="4DB147A2" w:rsidR="00447185" w:rsidRPr="00DE19D8" w:rsidRDefault="00447185" w:rsidP="00DE19D8">
            <w:pPr>
              <w:rPr>
                <w:sz w:val="24"/>
                <w:szCs w:val="24"/>
                <w:lang w:val="en-NZ"/>
              </w:rPr>
            </w:pPr>
            <w:r w:rsidRPr="00DE19D8">
              <w:rPr>
                <w:sz w:val="24"/>
                <w:szCs w:val="24"/>
              </w:rPr>
              <w:t>Multiple cyanobacteria (not necessarily toxin producing, due to lipopolysaccharides)</w:t>
            </w:r>
            <w:r w:rsidRPr="00DE19D8">
              <w:rPr>
                <w:sz w:val="24"/>
                <w:szCs w:val="24"/>
              </w:rPr>
              <w:br/>
            </w:r>
            <w:r w:rsidRPr="00DE19D8">
              <w:rPr>
                <w:sz w:val="24"/>
                <w:szCs w:val="24"/>
                <w:lang w:val="en-NZ"/>
              </w:rPr>
              <w:t>Lyngbyatoxins</w:t>
            </w:r>
          </w:p>
        </w:tc>
        <w:tc>
          <w:tcPr>
            <w:tcW w:w="1146" w:type="pct"/>
          </w:tcPr>
          <w:p w14:paraId="251A8364" w14:textId="7FAD1087" w:rsidR="00447185" w:rsidRPr="00DE19D8" w:rsidRDefault="00447185" w:rsidP="00DE19D8">
            <w:pPr>
              <w:rPr>
                <w:sz w:val="24"/>
                <w:szCs w:val="24"/>
                <w:lang w:val="en-NZ"/>
              </w:rPr>
            </w:pPr>
            <w:r w:rsidRPr="00DE19D8">
              <w:rPr>
                <w:sz w:val="24"/>
                <w:szCs w:val="24"/>
              </w:rPr>
              <w:t>Aplysiatoxins Lyngbyatoxins</w:t>
            </w:r>
            <w:r w:rsidRPr="00DE19D8">
              <w:rPr>
                <w:sz w:val="24"/>
                <w:szCs w:val="24"/>
              </w:rPr>
              <w:br/>
              <w:t>Pinnatoxins and Portimines</w:t>
            </w:r>
            <w:r w:rsidRPr="00DE19D8">
              <w:rPr>
                <w:sz w:val="24"/>
                <w:szCs w:val="24"/>
              </w:rPr>
              <w:br/>
              <w:t>Palytoxins</w:t>
            </w:r>
          </w:p>
        </w:tc>
      </w:tr>
      <w:tr w:rsidR="00447185" w14:paraId="6EBC5171" w14:textId="77777777" w:rsidTr="00B4082B">
        <w:tc>
          <w:tcPr>
            <w:tcW w:w="1335" w:type="pct"/>
          </w:tcPr>
          <w:p w14:paraId="05F7CDC1" w14:textId="68460FB2" w:rsidR="00447185" w:rsidRPr="00DE19D8" w:rsidRDefault="00447185" w:rsidP="00DE19D8">
            <w:pPr>
              <w:rPr>
                <w:sz w:val="24"/>
                <w:szCs w:val="24"/>
                <w:lang w:val="en-NZ"/>
              </w:rPr>
            </w:pPr>
            <w:r w:rsidRPr="00DE19D8">
              <w:rPr>
                <w:sz w:val="24"/>
                <w:szCs w:val="24"/>
              </w:rPr>
              <w:t>Conjunctivitis Eye irritation</w:t>
            </w:r>
          </w:p>
        </w:tc>
        <w:tc>
          <w:tcPr>
            <w:tcW w:w="1165" w:type="pct"/>
          </w:tcPr>
          <w:p w14:paraId="0E9D2B66" w14:textId="5BDDB764" w:rsidR="00447185" w:rsidRPr="00DE19D8" w:rsidRDefault="00447185" w:rsidP="00DE19D8">
            <w:pPr>
              <w:rPr>
                <w:sz w:val="24"/>
                <w:szCs w:val="24"/>
                <w:lang w:val="en-NZ"/>
              </w:rPr>
            </w:pPr>
            <w:r w:rsidRPr="00DE19D8">
              <w:rPr>
                <w:sz w:val="24"/>
                <w:szCs w:val="24"/>
              </w:rPr>
              <w:t>Direct contact with water</w:t>
            </w:r>
            <w:r w:rsidRPr="00DE19D8">
              <w:rPr>
                <w:sz w:val="24"/>
                <w:szCs w:val="24"/>
              </w:rPr>
              <w:br/>
              <w:t>Inhalation of water spray</w:t>
            </w:r>
          </w:p>
        </w:tc>
        <w:tc>
          <w:tcPr>
            <w:tcW w:w="1354" w:type="pct"/>
          </w:tcPr>
          <w:p w14:paraId="3E96AA11" w14:textId="22AF1A5B" w:rsidR="00447185" w:rsidRPr="00DE19D8" w:rsidRDefault="00447185" w:rsidP="00DE19D8">
            <w:pPr>
              <w:rPr>
                <w:sz w:val="24"/>
                <w:szCs w:val="24"/>
                <w:lang w:val="en-NZ"/>
              </w:rPr>
            </w:pPr>
            <w:r w:rsidRPr="00DE19D8">
              <w:rPr>
                <w:sz w:val="24"/>
                <w:szCs w:val="24"/>
              </w:rPr>
              <w:t>Lyngbyatoxins</w:t>
            </w:r>
          </w:p>
        </w:tc>
        <w:tc>
          <w:tcPr>
            <w:tcW w:w="1146" w:type="pct"/>
          </w:tcPr>
          <w:p w14:paraId="350728FD" w14:textId="11AEDE8E" w:rsidR="00447185" w:rsidRPr="00DE19D8" w:rsidRDefault="00447185" w:rsidP="00DE19D8">
            <w:pPr>
              <w:rPr>
                <w:sz w:val="24"/>
                <w:szCs w:val="24"/>
                <w:lang w:val="en-NZ"/>
              </w:rPr>
            </w:pPr>
            <w:r w:rsidRPr="00DE19D8">
              <w:rPr>
                <w:sz w:val="24"/>
                <w:szCs w:val="24"/>
              </w:rPr>
              <w:t>Lyngbyatoxins Brevetoxins Palytoxins</w:t>
            </w:r>
          </w:p>
        </w:tc>
      </w:tr>
      <w:tr w:rsidR="00447185" w14:paraId="6AC3930C" w14:textId="77777777" w:rsidTr="00B4082B">
        <w:tc>
          <w:tcPr>
            <w:tcW w:w="1335" w:type="pct"/>
          </w:tcPr>
          <w:p w14:paraId="498D4C98" w14:textId="7C5F45E7" w:rsidR="00447185" w:rsidRPr="00DE19D8" w:rsidRDefault="00447185" w:rsidP="00DE19D8">
            <w:pPr>
              <w:rPr>
                <w:sz w:val="24"/>
                <w:szCs w:val="24"/>
                <w:lang w:val="en-NZ"/>
              </w:rPr>
            </w:pPr>
            <w:r w:rsidRPr="00DE19D8">
              <w:rPr>
                <w:sz w:val="24"/>
                <w:szCs w:val="24"/>
              </w:rPr>
              <w:t>Anaphylaxis</w:t>
            </w:r>
          </w:p>
        </w:tc>
        <w:tc>
          <w:tcPr>
            <w:tcW w:w="1165" w:type="pct"/>
          </w:tcPr>
          <w:p w14:paraId="4CC03677" w14:textId="6E099EEF" w:rsidR="00447185" w:rsidRPr="00DE19D8" w:rsidRDefault="00447185" w:rsidP="00DE19D8">
            <w:pPr>
              <w:rPr>
                <w:sz w:val="24"/>
                <w:szCs w:val="24"/>
                <w:lang w:val="en-NZ"/>
              </w:rPr>
            </w:pPr>
            <w:r w:rsidRPr="00DE19D8">
              <w:rPr>
                <w:sz w:val="24"/>
                <w:szCs w:val="24"/>
              </w:rPr>
              <w:t>Direct contact, Inhalation Ingestion of water</w:t>
            </w:r>
          </w:p>
        </w:tc>
        <w:tc>
          <w:tcPr>
            <w:tcW w:w="1354" w:type="pct"/>
          </w:tcPr>
          <w:p w14:paraId="04F64581" w14:textId="022325F2" w:rsidR="00447185" w:rsidRPr="00DE19D8" w:rsidRDefault="00447185" w:rsidP="00DE19D8">
            <w:pPr>
              <w:rPr>
                <w:sz w:val="24"/>
                <w:szCs w:val="24"/>
                <w:lang w:val="en-NZ"/>
              </w:rPr>
            </w:pPr>
            <w:r w:rsidRPr="00DE19D8">
              <w:rPr>
                <w:sz w:val="24"/>
                <w:szCs w:val="24"/>
              </w:rPr>
              <w:t>Unknown components in cyanobacteria</w:t>
            </w:r>
          </w:p>
        </w:tc>
        <w:tc>
          <w:tcPr>
            <w:tcW w:w="1146" w:type="pct"/>
          </w:tcPr>
          <w:p w14:paraId="76D52A45" w14:textId="77777777" w:rsidR="00447185" w:rsidRPr="00DE19D8" w:rsidRDefault="00447185" w:rsidP="00DE19D8">
            <w:pPr>
              <w:rPr>
                <w:sz w:val="24"/>
                <w:szCs w:val="24"/>
                <w:lang w:val="en-NZ"/>
              </w:rPr>
            </w:pPr>
          </w:p>
        </w:tc>
      </w:tr>
      <w:tr w:rsidR="00447185" w14:paraId="6E4AA86E" w14:textId="77777777" w:rsidTr="00B4082B">
        <w:tc>
          <w:tcPr>
            <w:tcW w:w="1335" w:type="pct"/>
          </w:tcPr>
          <w:p w14:paraId="6BED2878" w14:textId="34FC4343" w:rsidR="00447185" w:rsidRPr="00DE19D8" w:rsidRDefault="00447185" w:rsidP="00DE19D8">
            <w:pPr>
              <w:rPr>
                <w:sz w:val="24"/>
                <w:szCs w:val="24"/>
                <w:lang w:val="en-NZ"/>
              </w:rPr>
            </w:pPr>
            <w:r w:rsidRPr="00DE19D8">
              <w:rPr>
                <w:sz w:val="24"/>
                <w:szCs w:val="24"/>
              </w:rPr>
              <w:lastRenderedPageBreak/>
              <w:t>Headache</w:t>
            </w:r>
          </w:p>
        </w:tc>
        <w:tc>
          <w:tcPr>
            <w:tcW w:w="1165" w:type="pct"/>
          </w:tcPr>
          <w:p w14:paraId="04368021" w14:textId="5564B5CB" w:rsidR="00447185" w:rsidRPr="00DE19D8" w:rsidRDefault="00447185" w:rsidP="00DE19D8">
            <w:pPr>
              <w:rPr>
                <w:sz w:val="24"/>
                <w:szCs w:val="24"/>
                <w:lang w:val="en-NZ"/>
              </w:rPr>
            </w:pPr>
            <w:r w:rsidRPr="00DE19D8">
              <w:rPr>
                <w:sz w:val="24"/>
                <w:szCs w:val="24"/>
              </w:rPr>
              <w:t>Ingestion of water / food</w:t>
            </w:r>
            <w:r w:rsidRPr="00DE19D8">
              <w:rPr>
                <w:sz w:val="24"/>
                <w:szCs w:val="24"/>
              </w:rPr>
              <w:br/>
              <w:t>Inhalation of water spray</w:t>
            </w:r>
          </w:p>
        </w:tc>
        <w:tc>
          <w:tcPr>
            <w:tcW w:w="1354" w:type="pct"/>
          </w:tcPr>
          <w:p w14:paraId="39DE2145" w14:textId="20411EC4" w:rsidR="00447185" w:rsidRPr="00DE19D8" w:rsidRDefault="00447185" w:rsidP="00DE19D8">
            <w:pPr>
              <w:rPr>
                <w:sz w:val="24"/>
                <w:szCs w:val="24"/>
                <w:lang w:val="en-NZ"/>
              </w:rPr>
            </w:pPr>
            <w:r w:rsidRPr="00DE19D8">
              <w:rPr>
                <w:sz w:val="24"/>
                <w:szCs w:val="24"/>
              </w:rPr>
              <w:t>Saxitoxins Cylindrospermopsin</w:t>
            </w:r>
          </w:p>
        </w:tc>
        <w:tc>
          <w:tcPr>
            <w:tcW w:w="1146" w:type="pct"/>
          </w:tcPr>
          <w:p w14:paraId="19AF1F26" w14:textId="336A73C6" w:rsidR="00447185" w:rsidRPr="00DE19D8" w:rsidRDefault="00447185" w:rsidP="00DE19D8">
            <w:pPr>
              <w:rPr>
                <w:sz w:val="24"/>
                <w:szCs w:val="24"/>
                <w:lang w:val="en-NZ"/>
              </w:rPr>
            </w:pPr>
            <w:r w:rsidRPr="00DE19D8">
              <w:rPr>
                <w:sz w:val="24"/>
                <w:szCs w:val="24"/>
              </w:rPr>
              <w:t>Saxitoxins Okadaic acid Brevetoxins Palytoxins</w:t>
            </w:r>
            <w:r w:rsidRPr="00DE19D8">
              <w:rPr>
                <w:sz w:val="24"/>
                <w:szCs w:val="24"/>
              </w:rPr>
              <w:br/>
              <w:t>Ciguatoxins</w:t>
            </w:r>
          </w:p>
        </w:tc>
      </w:tr>
      <w:tr w:rsidR="00447185" w14:paraId="05CB258D" w14:textId="77777777" w:rsidTr="00B4082B">
        <w:tc>
          <w:tcPr>
            <w:tcW w:w="1335" w:type="pct"/>
          </w:tcPr>
          <w:p w14:paraId="412C6392" w14:textId="389AE791" w:rsidR="00447185" w:rsidRPr="00DE19D8" w:rsidRDefault="00447185" w:rsidP="00DE19D8">
            <w:pPr>
              <w:rPr>
                <w:sz w:val="24"/>
                <w:szCs w:val="24"/>
                <w:lang w:val="en-NZ"/>
              </w:rPr>
            </w:pPr>
            <w:r w:rsidRPr="00DE19D8">
              <w:rPr>
                <w:sz w:val="24"/>
                <w:szCs w:val="24"/>
              </w:rPr>
              <w:t>Fever</w:t>
            </w:r>
          </w:p>
        </w:tc>
        <w:tc>
          <w:tcPr>
            <w:tcW w:w="1165" w:type="pct"/>
          </w:tcPr>
          <w:p w14:paraId="5EF4A92F" w14:textId="29B284FC" w:rsidR="00447185" w:rsidRPr="00DE19D8" w:rsidRDefault="00447185" w:rsidP="00DE19D8">
            <w:pPr>
              <w:rPr>
                <w:sz w:val="24"/>
                <w:szCs w:val="24"/>
                <w:lang w:val="en-NZ"/>
              </w:rPr>
            </w:pPr>
            <w:r w:rsidRPr="00DE19D8">
              <w:rPr>
                <w:sz w:val="24"/>
                <w:szCs w:val="24"/>
              </w:rPr>
              <w:t>Ingestion of water / food</w:t>
            </w:r>
          </w:p>
        </w:tc>
        <w:tc>
          <w:tcPr>
            <w:tcW w:w="1354" w:type="pct"/>
          </w:tcPr>
          <w:p w14:paraId="6B0B6569" w14:textId="40A4932F" w:rsidR="00447185" w:rsidRPr="00DE19D8" w:rsidRDefault="00447185" w:rsidP="00DE19D8">
            <w:pPr>
              <w:rPr>
                <w:sz w:val="24"/>
                <w:szCs w:val="24"/>
                <w:lang w:val="en-NZ"/>
              </w:rPr>
            </w:pPr>
            <w:r w:rsidRPr="00DE19D8">
              <w:rPr>
                <w:sz w:val="24"/>
                <w:szCs w:val="24"/>
              </w:rPr>
              <w:t>Cylindrospermopsin</w:t>
            </w:r>
          </w:p>
        </w:tc>
        <w:tc>
          <w:tcPr>
            <w:tcW w:w="1146" w:type="pct"/>
          </w:tcPr>
          <w:p w14:paraId="2F3E5838" w14:textId="04AF5189" w:rsidR="00447185" w:rsidRPr="00DE19D8" w:rsidRDefault="00447185" w:rsidP="00DE19D8">
            <w:pPr>
              <w:rPr>
                <w:sz w:val="24"/>
                <w:szCs w:val="24"/>
                <w:lang w:val="en-NZ"/>
              </w:rPr>
            </w:pPr>
            <w:r w:rsidRPr="00DE19D8">
              <w:rPr>
                <w:sz w:val="24"/>
                <w:szCs w:val="24"/>
              </w:rPr>
              <w:t>Okadaic acid Palytoxins</w:t>
            </w:r>
          </w:p>
        </w:tc>
      </w:tr>
      <w:tr w:rsidR="00447185" w14:paraId="708B9D49" w14:textId="77777777" w:rsidTr="00B4082B">
        <w:tc>
          <w:tcPr>
            <w:tcW w:w="1335" w:type="pct"/>
          </w:tcPr>
          <w:p w14:paraId="5D6C5774" w14:textId="54D7B7FB" w:rsidR="00447185" w:rsidRPr="00DE19D8" w:rsidRDefault="00447185" w:rsidP="00DE19D8">
            <w:pPr>
              <w:rPr>
                <w:sz w:val="24"/>
                <w:szCs w:val="24"/>
                <w:lang w:val="en-NZ"/>
              </w:rPr>
            </w:pPr>
            <w:r w:rsidRPr="00DE19D8">
              <w:rPr>
                <w:sz w:val="24"/>
                <w:szCs w:val="24"/>
              </w:rPr>
              <w:t>Dizziness, Vertigo, visual disturbance</w:t>
            </w:r>
          </w:p>
        </w:tc>
        <w:tc>
          <w:tcPr>
            <w:tcW w:w="1165" w:type="pct"/>
          </w:tcPr>
          <w:p w14:paraId="2063F70D" w14:textId="72B9EF66" w:rsidR="00447185" w:rsidRPr="00DE19D8" w:rsidRDefault="00447185" w:rsidP="00DE19D8">
            <w:pPr>
              <w:rPr>
                <w:sz w:val="24"/>
                <w:szCs w:val="24"/>
                <w:lang w:val="en-NZ"/>
              </w:rPr>
            </w:pPr>
            <w:r w:rsidRPr="00DE19D8">
              <w:rPr>
                <w:sz w:val="24"/>
                <w:szCs w:val="24"/>
              </w:rPr>
              <w:t>Ingestion of water / food</w:t>
            </w:r>
          </w:p>
        </w:tc>
        <w:tc>
          <w:tcPr>
            <w:tcW w:w="1354" w:type="pct"/>
          </w:tcPr>
          <w:p w14:paraId="36097581" w14:textId="62220660" w:rsidR="00447185" w:rsidRPr="00DE19D8" w:rsidRDefault="00447185" w:rsidP="00DE19D8">
            <w:pPr>
              <w:rPr>
                <w:sz w:val="24"/>
                <w:szCs w:val="24"/>
                <w:lang w:val="en-NZ"/>
              </w:rPr>
            </w:pPr>
            <w:r w:rsidRPr="00DE19D8">
              <w:rPr>
                <w:sz w:val="24"/>
                <w:szCs w:val="24"/>
              </w:rPr>
              <w:t>Saxitoxins Brevetoxin</w:t>
            </w:r>
          </w:p>
        </w:tc>
        <w:tc>
          <w:tcPr>
            <w:tcW w:w="1146" w:type="pct"/>
          </w:tcPr>
          <w:p w14:paraId="23EDB027" w14:textId="4E5B877C" w:rsidR="00447185" w:rsidRPr="00DE19D8" w:rsidRDefault="00447185" w:rsidP="00DE19D8">
            <w:pPr>
              <w:rPr>
                <w:sz w:val="24"/>
                <w:szCs w:val="24"/>
                <w:lang w:val="en-NZ"/>
              </w:rPr>
            </w:pPr>
            <w:r w:rsidRPr="00DE19D8">
              <w:rPr>
                <w:sz w:val="24"/>
                <w:szCs w:val="24"/>
              </w:rPr>
              <w:t>Saxitoxins Brevetoxin Ciguatoxins</w:t>
            </w:r>
          </w:p>
        </w:tc>
      </w:tr>
      <w:tr w:rsidR="00447185" w14:paraId="6B184207" w14:textId="77777777" w:rsidTr="00B4082B">
        <w:tc>
          <w:tcPr>
            <w:tcW w:w="1335" w:type="pct"/>
          </w:tcPr>
          <w:p w14:paraId="371DE08C" w14:textId="4C50DF22" w:rsidR="00447185" w:rsidRPr="00DE19D8" w:rsidRDefault="00447185" w:rsidP="00DE19D8">
            <w:pPr>
              <w:rPr>
                <w:sz w:val="24"/>
                <w:szCs w:val="24"/>
                <w:lang w:val="en-NZ"/>
              </w:rPr>
            </w:pPr>
            <w:r w:rsidRPr="00DE19D8">
              <w:rPr>
                <w:sz w:val="24"/>
                <w:szCs w:val="24"/>
              </w:rPr>
              <w:t xml:space="preserve">Altered sensation - Numbness or tingling </w:t>
            </w:r>
            <w:r w:rsidRPr="00DE19D8">
              <w:rPr>
                <w:sz w:val="24"/>
                <w:szCs w:val="24"/>
              </w:rPr>
              <w:br/>
              <w:t>of tongue, face, throat, lips</w:t>
            </w:r>
            <w:r w:rsidRPr="00DE19D8">
              <w:rPr>
                <w:sz w:val="24"/>
                <w:szCs w:val="24"/>
              </w:rPr>
              <w:br/>
              <w:t>of hands or feet</w:t>
            </w:r>
          </w:p>
        </w:tc>
        <w:tc>
          <w:tcPr>
            <w:tcW w:w="1165" w:type="pct"/>
          </w:tcPr>
          <w:p w14:paraId="103C2B69" w14:textId="242112D4" w:rsidR="00447185" w:rsidRPr="00DE19D8" w:rsidRDefault="00447185" w:rsidP="00DE19D8">
            <w:pPr>
              <w:rPr>
                <w:sz w:val="24"/>
                <w:szCs w:val="24"/>
                <w:lang w:val="en-NZ"/>
              </w:rPr>
            </w:pPr>
            <w:r w:rsidRPr="00DE19D8">
              <w:rPr>
                <w:sz w:val="24"/>
                <w:szCs w:val="24"/>
              </w:rPr>
              <w:t>Ingestion of water / food</w:t>
            </w:r>
          </w:p>
        </w:tc>
        <w:tc>
          <w:tcPr>
            <w:tcW w:w="1354" w:type="pct"/>
          </w:tcPr>
          <w:p w14:paraId="6F5A18BC" w14:textId="23DC0B09" w:rsidR="00447185" w:rsidRPr="00DE19D8" w:rsidRDefault="00447185" w:rsidP="00DE19D8">
            <w:pPr>
              <w:rPr>
                <w:sz w:val="24"/>
                <w:szCs w:val="24"/>
                <w:lang w:val="en-NZ"/>
              </w:rPr>
            </w:pPr>
            <w:r w:rsidRPr="00DE19D8">
              <w:rPr>
                <w:sz w:val="24"/>
                <w:szCs w:val="24"/>
              </w:rPr>
              <w:t>Saxitoxins Brevetoxin</w:t>
            </w:r>
          </w:p>
        </w:tc>
        <w:tc>
          <w:tcPr>
            <w:tcW w:w="1146" w:type="pct"/>
          </w:tcPr>
          <w:p w14:paraId="6E73C9F9" w14:textId="4BA01EB4" w:rsidR="00447185" w:rsidRPr="00DE19D8" w:rsidRDefault="00447185" w:rsidP="00DE19D8">
            <w:pPr>
              <w:rPr>
                <w:sz w:val="24"/>
                <w:szCs w:val="24"/>
                <w:lang w:val="en-NZ"/>
              </w:rPr>
            </w:pPr>
            <w:r w:rsidRPr="00DE19D8">
              <w:rPr>
                <w:sz w:val="24"/>
                <w:szCs w:val="24"/>
              </w:rPr>
              <w:t>Saxitoxins Brevetoxin Palytoxins Ciguatoxins</w:t>
            </w:r>
          </w:p>
        </w:tc>
      </w:tr>
      <w:tr w:rsidR="00447185" w14:paraId="74EE0C8B" w14:textId="77777777" w:rsidTr="00B4082B">
        <w:tc>
          <w:tcPr>
            <w:tcW w:w="1335" w:type="pct"/>
          </w:tcPr>
          <w:p w14:paraId="1CA9E807" w14:textId="3E857D56" w:rsidR="00447185" w:rsidRPr="00DE19D8" w:rsidRDefault="00447185" w:rsidP="00DE19D8">
            <w:pPr>
              <w:rPr>
                <w:sz w:val="24"/>
                <w:szCs w:val="24"/>
                <w:lang w:val="en-NZ"/>
              </w:rPr>
            </w:pPr>
            <w:r w:rsidRPr="00DE19D8">
              <w:rPr>
                <w:sz w:val="24"/>
                <w:szCs w:val="24"/>
              </w:rPr>
              <w:t>Difficulty distinguishing between hot and cold</w:t>
            </w:r>
          </w:p>
        </w:tc>
        <w:tc>
          <w:tcPr>
            <w:tcW w:w="1165" w:type="pct"/>
          </w:tcPr>
          <w:p w14:paraId="3D371428" w14:textId="4A9C208E" w:rsidR="00447185" w:rsidRPr="00DE19D8" w:rsidRDefault="00447185" w:rsidP="00DE19D8">
            <w:pPr>
              <w:rPr>
                <w:sz w:val="24"/>
                <w:szCs w:val="24"/>
                <w:lang w:val="en-NZ"/>
              </w:rPr>
            </w:pPr>
            <w:r w:rsidRPr="00DE19D8">
              <w:rPr>
                <w:sz w:val="24"/>
                <w:szCs w:val="24"/>
              </w:rPr>
              <w:t>Foodborne</w:t>
            </w:r>
          </w:p>
        </w:tc>
        <w:tc>
          <w:tcPr>
            <w:tcW w:w="1354" w:type="pct"/>
          </w:tcPr>
          <w:p w14:paraId="050D248B" w14:textId="77777777" w:rsidR="00447185" w:rsidRPr="00DE19D8" w:rsidRDefault="00447185" w:rsidP="00DE19D8">
            <w:pPr>
              <w:rPr>
                <w:sz w:val="24"/>
                <w:szCs w:val="24"/>
                <w:lang w:val="en-NZ"/>
              </w:rPr>
            </w:pPr>
          </w:p>
        </w:tc>
        <w:tc>
          <w:tcPr>
            <w:tcW w:w="1146" w:type="pct"/>
          </w:tcPr>
          <w:p w14:paraId="643F8C16" w14:textId="063F3285" w:rsidR="00447185" w:rsidRPr="00DE19D8" w:rsidRDefault="00447185" w:rsidP="00DE19D8">
            <w:pPr>
              <w:rPr>
                <w:sz w:val="24"/>
                <w:szCs w:val="24"/>
                <w:lang w:val="en-NZ"/>
              </w:rPr>
            </w:pPr>
            <w:r w:rsidRPr="00DE19D8">
              <w:rPr>
                <w:sz w:val="24"/>
                <w:szCs w:val="24"/>
              </w:rPr>
              <w:t xml:space="preserve">Brevetoxin </w:t>
            </w:r>
            <w:r w:rsidR="00CC078B" w:rsidRPr="00DE19D8">
              <w:rPr>
                <w:sz w:val="24"/>
                <w:szCs w:val="24"/>
              </w:rPr>
              <w:br/>
            </w:r>
            <w:r w:rsidRPr="00DE19D8">
              <w:rPr>
                <w:sz w:val="24"/>
                <w:szCs w:val="24"/>
              </w:rPr>
              <w:t>Domoic acid Ciguatoxins</w:t>
            </w:r>
          </w:p>
        </w:tc>
      </w:tr>
      <w:tr w:rsidR="00447185" w14:paraId="1D870CC9" w14:textId="77777777" w:rsidTr="00B4082B">
        <w:tc>
          <w:tcPr>
            <w:tcW w:w="1335" w:type="pct"/>
          </w:tcPr>
          <w:p w14:paraId="6B64278E" w14:textId="6E0B1AC7" w:rsidR="00447185" w:rsidRPr="00DE19D8" w:rsidRDefault="00447185" w:rsidP="00DE19D8">
            <w:pPr>
              <w:rPr>
                <w:sz w:val="24"/>
                <w:szCs w:val="24"/>
                <w:lang w:val="en-NZ"/>
              </w:rPr>
            </w:pPr>
            <w:r w:rsidRPr="00DE19D8">
              <w:rPr>
                <w:sz w:val="24"/>
                <w:szCs w:val="24"/>
              </w:rPr>
              <w:t>Burning pain sensation (peripheries)</w:t>
            </w:r>
          </w:p>
        </w:tc>
        <w:tc>
          <w:tcPr>
            <w:tcW w:w="1165" w:type="pct"/>
          </w:tcPr>
          <w:p w14:paraId="7C4E648C" w14:textId="3B0F4612" w:rsidR="00447185" w:rsidRPr="00DE19D8" w:rsidRDefault="00447185" w:rsidP="00DE19D8">
            <w:pPr>
              <w:rPr>
                <w:sz w:val="24"/>
                <w:szCs w:val="24"/>
                <w:lang w:val="en-NZ"/>
              </w:rPr>
            </w:pPr>
            <w:r w:rsidRPr="00DE19D8">
              <w:rPr>
                <w:sz w:val="24"/>
                <w:szCs w:val="24"/>
              </w:rPr>
              <w:t>Ingestion of water / food</w:t>
            </w:r>
          </w:p>
        </w:tc>
        <w:tc>
          <w:tcPr>
            <w:tcW w:w="1354" w:type="pct"/>
          </w:tcPr>
          <w:p w14:paraId="667459B3" w14:textId="53FFEB18" w:rsidR="00447185" w:rsidRPr="00DE19D8" w:rsidRDefault="00447185" w:rsidP="00DE19D8">
            <w:pPr>
              <w:rPr>
                <w:sz w:val="24"/>
                <w:szCs w:val="24"/>
                <w:lang w:val="en-NZ"/>
              </w:rPr>
            </w:pPr>
            <w:r w:rsidRPr="00DE19D8">
              <w:rPr>
                <w:sz w:val="24"/>
                <w:szCs w:val="24"/>
              </w:rPr>
              <w:t>Saxitoxins Anatoxin</w:t>
            </w:r>
          </w:p>
        </w:tc>
        <w:tc>
          <w:tcPr>
            <w:tcW w:w="1146" w:type="pct"/>
          </w:tcPr>
          <w:p w14:paraId="18A21833" w14:textId="1BEAC74C" w:rsidR="00447185" w:rsidRPr="00DE19D8" w:rsidRDefault="00447185" w:rsidP="00DE19D8">
            <w:pPr>
              <w:rPr>
                <w:sz w:val="24"/>
                <w:szCs w:val="24"/>
                <w:lang w:val="en-NZ"/>
              </w:rPr>
            </w:pPr>
            <w:r w:rsidRPr="00DE19D8">
              <w:rPr>
                <w:sz w:val="24"/>
                <w:szCs w:val="24"/>
              </w:rPr>
              <w:t>Saxitoxins</w:t>
            </w:r>
          </w:p>
        </w:tc>
      </w:tr>
      <w:tr w:rsidR="00447185" w14:paraId="5BA744F4" w14:textId="77777777" w:rsidTr="00B4082B">
        <w:tc>
          <w:tcPr>
            <w:tcW w:w="1335" w:type="pct"/>
          </w:tcPr>
          <w:p w14:paraId="61022D98" w14:textId="10A20291" w:rsidR="00447185" w:rsidRPr="00DE19D8" w:rsidRDefault="00447185" w:rsidP="00DE19D8">
            <w:pPr>
              <w:rPr>
                <w:sz w:val="24"/>
                <w:szCs w:val="24"/>
                <w:lang w:val="en-NZ"/>
              </w:rPr>
            </w:pPr>
            <w:r w:rsidRPr="00DE19D8">
              <w:rPr>
                <w:sz w:val="24"/>
                <w:szCs w:val="24"/>
              </w:rPr>
              <w:t>Drowsiness</w:t>
            </w:r>
          </w:p>
        </w:tc>
        <w:tc>
          <w:tcPr>
            <w:tcW w:w="1165" w:type="pct"/>
          </w:tcPr>
          <w:p w14:paraId="2B9C115D" w14:textId="32493018" w:rsidR="00447185" w:rsidRPr="00DE19D8" w:rsidRDefault="00447185" w:rsidP="00DE19D8">
            <w:pPr>
              <w:rPr>
                <w:sz w:val="24"/>
                <w:szCs w:val="24"/>
                <w:lang w:val="en-NZ"/>
              </w:rPr>
            </w:pPr>
            <w:r w:rsidRPr="00DE19D8">
              <w:rPr>
                <w:sz w:val="24"/>
                <w:szCs w:val="24"/>
              </w:rPr>
              <w:t>Ingestion of water / food</w:t>
            </w:r>
          </w:p>
        </w:tc>
        <w:tc>
          <w:tcPr>
            <w:tcW w:w="1354" w:type="pct"/>
          </w:tcPr>
          <w:p w14:paraId="1D52DAE7" w14:textId="3CC6E422" w:rsidR="00447185" w:rsidRPr="00DE19D8" w:rsidRDefault="00447185" w:rsidP="00DE19D8">
            <w:pPr>
              <w:rPr>
                <w:sz w:val="24"/>
                <w:szCs w:val="24"/>
                <w:lang w:val="en-NZ"/>
              </w:rPr>
            </w:pPr>
            <w:r w:rsidRPr="00DE19D8">
              <w:rPr>
                <w:sz w:val="24"/>
                <w:szCs w:val="24"/>
              </w:rPr>
              <w:t>Anatoxin</w:t>
            </w:r>
          </w:p>
        </w:tc>
        <w:tc>
          <w:tcPr>
            <w:tcW w:w="1146" w:type="pct"/>
          </w:tcPr>
          <w:p w14:paraId="0EA499A7" w14:textId="352AB6E8" w:rsidR="00447185" w:rsidRPr="00DE19D8" w:rsidRDefault="00447185" w:rsidP="00DE19D8">
            <w:pPr>
              <w:rPr>
                <w:sz w:val="24"/>
                <w:szCs w:val="24"/>
                <w:lang w:val="en-NZ"/>
              </w:rPr>
            </w:pPr>
            <w:r w:rsidRPr="00DE19D8">
              <w:rPr>
                <w:sz w:val="24"/>
                <w:szCs w:val="24"/>
              </w:rPr>
              <w:t>Domoic acid</w:t>
            </w:r>
          </w:p>
        </w:tc>
      </w:tr>
      <w:tr w:rsidR="00CC078B" w14:paraId="4F31F1FA" w14:textId="77777777" w:rsidTr="00B4082B">
        <w:tc>
          <w:tcPr>
            <w:tcW w:w="1335" w:type="pct"/>
          </w:tcPr>
          <w:p w14:paraId="3B0D21B4" w14:textId="718FFE00" w:rsidR="00CC078B" w:rsidRPr="00DE19D8" w:rsidRDefault="00CC078B" w:rsidP="00DE19D8">
            <w:pPr>
              <w:rPr>
                <w:sz w:val="24"/>
                <w:szCs w:val="24"/>
                <w:lang w:val="en-NZ"/>
              </w:rPr>
            </w:pPr>
            <w:r w:rsidRPr="00DE19D8">
              <w:rPr>
                <w:sz w:val="24"/>
                <w:szCs w:val="24"/>
              </w:rPr>
              <w:t>Slurred / unclear speech Reduced</w:t>
            </w:r>
            <w:r w:rsidRPr="00DE19D8">
              <w:rPr>
                <w:spacing w:val="-1"/>
                <w:sz w:val="24"/>
                <w:szCs w:val="24"/>
              </w:rPr>
              <w:t xml:space="preserve"> </w:t>
            </w:r>
            <w:r w:rsidRPr="00DE19D8">
              <w:rPr>
                <w:sz w:val="24"/>
                <w:szCs w:val="24"/>
              </w:rPr>
              <w:t>motor coordination</w:t>
            </w:r>
          </w:p>
        </w:tc>
        <w:tc>
          <w:tcPr>
            <w:tcW w:w="1165" w:type="pct"/>
          </w:tcPr>
          <w:p w14:paraId="01D2C0CC" w14:textId="3C103E69" w:rsidR="00CC078B" w:rsidRPr="00DE19D8" w:rsidRDefault="00CC078B" w:rsidP="00DE19D8">
            <w:pPr>
              <w:rPr>
                <w:sz w:val="24"/>
                <w:szCs w:val="24"/>
                <w:lang w:val="en-NZ"/>
              </w:rPr>
            </w:pPr>
            <w:r w:rsidRPr="00DE19D8">
              <w:rPr>
                <w:sz w:val="24"/>
                <w:szCs w:val="24"/>
              </w:rPr>
              <w:t>Ingestion of water / food</w:t>
            </w:r>
          </w:p>
        </w:tc>
        <w:tc>
          <w:tcPr>
            <w:tcW w:w="1354" w:type="pct"/>
          </w:tcPr>
          <w:p w14:paraId="0D3B13C0" w14:textId="56371816" w:rsidR="00CC078B" w:rsidRPr="00DE19D8" w:rsidRDefault="00CC078B" w:rsidP="00DE19D8">
            <w:pPr>
              <w:rPr>
                <w:sz w:val="24"/>
                <w:szCs w:val="24"/>
                <w:lang w:val="en-NZ"/>
              </w:rPr>
            </w:pPr>
            <w:r w:rsidRPr="00DE19D8">
              <w:rPr>
                <w:sz w:val="24"/>
                <w:szCs w:val="24"/>
              </w:rPr>
              <w:t>Anatoxin Brevetoxin Saxitoxin</w:t>
            </w:r>
          </w:p>
        </w:tc>
        <w:tc>
          <w:tcPr>
            <w:tcW w:w="1146" w:type="pct"/>
          </w:tcPr>
          <w:p w14:paraId="2E7164BA" w14:textId="1AA3EAF2" w:rsidR="00CC078B" w:rsidRPr="00DE19D8" w:rsidRDefault="00CC078B" w:rsidP="00DE19D8">
            <w:pPr>
              <w:rPr>
                <w:sz w:val="24"/>
                <w:szCs w:val="24"/>
                <w:lang w:val="en-NZ"/>
              </w:rPr>
            </w:pPr>
            <w:r w:rsidRPr="00DE19D8">
              <w:rPr>
                <w:sz w:val="24"/>
                <w:szCs w:val="24"/>
              </w:rPr>
              <w:t>Saxitoxins Brevetoxin</w:t>
            </w:r>
          </w:p>
        </w:tc>
      </w:tr>
      <w:tr w:rsidR="00CC078B" w14:paraId="2E234E1D" w14:textId="77777777" w:rsidTr="00B4082B">
        <w:tc>
          <w:tcPr>
            <w:tcW w:w="1335" w:type="pct"/>
          </w:tcPr>
          <w:p w14:paraId="4A1CDA2D" w14:textId="1D790F6C" w:rsidR="00CC078B" w:rsidRPr="00DE19D8" w:rsidRDefault="00CC078B" w:rsidP="00DE19D8">
            <w:pPr>
              <w:rPr>
                <w:sz w:val="24"/>
                <w:szCs w:val="24"/>
                <w:lang w:val="en-NZ"/>
              </w:rPr>
            </w:pPr>
            <w:r w:rsidRPr="00DE19D8">
              <w:rPr>
                <w:sz w:val="24"/>
                <w:szCs w:val="24"/>
              </w:rPr>
              <w:t>Muscle twitching</w:t>
            </w:r>
          </w:p>
        </w:tc>
        <w:tc>
          <w:tcPr>
            <w:tcW w:w="1165" w:type="pct"/>
          </w:tcPr>
          <w:p w14:paraId="4FEAC41E" w14:textId="48515CFA" w:rsidR="00CC078B" w:rsidRPr="00DE19D8" w:rsidRDefault="00CC078B" w:rsidP="00DE19D8">
            <w:pPr>
              <w:rPr>
                <w:sz w:val="24"/>
                <w:szCs w:val="24"/>
                <w:lang w:val="en-NZ"/>
              </w:rPr>
            </w:pPr>
            <w:r w:rsidRPr="00DE19D8">
              <w:rPr>
                <w:sz w:val="24"/>
                <w:szCs w:val="24"/>
              </w:rPr>
              <w:t>Ingestion of water / food</w:t>
            </w:r>
          </w:p>
        </w:tc>
        <w:tc>
          <w:tcPr>
            <w:tcW w:w="1354" w:type="pct"/>
          </w:tcPr>
          <w:p w14:paraId="7C728F95" w14:textId="7468CC3E" w:rsidR="00CC078B" w:rsidRPr="00DE19D8" w:rsidRDefault="00CC078B" w:rsidP="00DE19D8">
            <w:pPr>
              <w:rPr>
                <w:sz w:val="24"/>
                <w:szCs w:val="24"/>
                <w:lang w:val="en-NZ"/>
              </w:rPr>
            </w:pPr>
            <w:r w:rsidRPr="00DE19D8">
              <w:rPr>
                <w:sz w:val="24"/>
                <w:szCs w:val="24"/>
              </w:rPr>
              <w:t>Anatoxin Lyngbyatoxins Saxitoxins</w:t>
            </w:r>
          </w:p>
        </w:tc>
        <w:tc>
          <w:tcPr>
            <w:tcW w:w="1146" w:type="pct"/>
          </w:tcPr>
          <w:p w14:paraId="51FB3B6B" w14:textId="7370562A" w:rsidR="00CC078B" w:rsidRPr="00DE19D8" w:rsidRDefault="00CC078B" w:rsidP="00DE19D8">
            <w:pPr>
              <w:rPr>
                <w:sz w:val="24"/>
                <w:szCs w:val="24"/>
                <w:lang w:val="en-NZ"/>
              </w:rPr>
            </w:pPr>
            <w:r w:rsidRPr="00DE19D8">
              <w:rPr>
                <w:sz w:val="24"/>
                <w:szCs w:val="24"/>
              </w:rPr>
              <w:t>Lyngbyatoxins Saxitoxins Palytoxins</w:t>
            </w:r>
          </w:p>
        </w:tc>
      </w:tr>
      <w:tr w:rsidR="00CC078B" w14:paraId="3097B6FD" w14:textId="77777777" w:rsidTr="00B4082B">
        <w:tc>
          <w:tcPr>
            <w:tcW w:w="1335" w:type="pct"/>
          </w:tcPr>
          <w:p w14:paraId="1B788B00" w14:textId="37A67BF9" w:rsidR="00CC078B" w:rsidRPr="00DE19D8" w:rsidRDefault="00CC078B" w:rsidP="00DE19D8">
            <w:pPr>
              <w:rPr>
                <w:sz w:val="24"/>
                <w:szCs w:val="24"/>
                <w:lang w:val="en-NZ"/>
              </w:rPr>
            </w:pPr>
            <w:r w:rsidRPr="00DE19D8">
              <w:rPr>
                <w:sz w:val="24"/>
                <w:szCs w:val="24"/>
              </w:rPr>
              <w:t>Respiratory paralysis leading to death</w:t>
            </w:r>
          </w:p>
        </w:tc>
        <w:tc>
          <w:tcPr>
            <w:tcW w:w="1165" w:type="pct"/>
          </w:tcPr>
          <w:p w14:paraId="7A793804" w14:textId="08EEDCE5" w:rsidR="00CC078B" w:rsidRPr="00DE19D8" w:rsidRDefault="00CC078B" w:rsidP="00DE19D8">
            <w:pPr>
              <w:rPr>
                <w:sz w:val="24"/>
                <w:szCs w:val="24"/>
                <w:lang w:val="en-NZ"/>
              </w:rPr>
            </w:pPr>
            <w:r w:rsidRPr="00DE19D8">
              <w:rPr>
                <w:sz w:val="24"/>
                <w:szCs w:val="24"/>
              </w:rPr>
              <w:t>Ingestion of water / food</w:t>
            </w:r>
          </w:p>
        </w:tc>
        <w:tc>
          <w:tcPr>
            <w:tcW w:w="1354" w:type="pct"/>
          </w:tcPr>
          <w:p w14:paraId="1766FA6D" w14:textId="4E9D0413" w:rsidR="00CC078B" w:rsidRPr="00DE19D8" w:rsidRDefault="00CC078B" w:rsidP="00DE19D8">
            <w:pPr>
              <w:rPr>
                <w:sz w:val="24"/>
                <w:szCs w:val="24"/>
                <w:lang w:val="en-NZ"/>
              </w:rPr>
            </w:pPr>
            <w:r w:rsidRPr="00DE19D8">
              <w:rPr>
                <w:sz w:val="24"/>
                <w:szCs w:val="24"/>
              </w:rPr>
              <w:t>Anatoxin Saxitoxin</w:t>
            </w:r>
          </w:p>
        </w:tc>
        <w:tc>
          <w:tcPr>
            <w:tcW w:w="1146" w:type="pct"/>
          </w:tcPr>
          <w:p w14:paraId="64A1DC92" w14:textId="78B2204B" w:rsidR="00CC078B" w:rsidRPr="00DE19D8" w:rsidRDefault="00CC078B" w:rsidP="00DE19D8">
            <w:pPr>
              <w:rPr>
                <w:sz w:val="24"/>
                <w:szCs w:val="24"/>
                <w:lang w:val="en-NZ"/>
              </w:rPr>
            </w:pPr>
            <w:r w:rsidRPr="00DE19D8">
              <w:rPr>
                <w:sz w:val="24"/>
                <w:szCs w:val="24"/>
              </w:rPr>
              <w:t>Saxitoxins Ciguatoxins</w:t>
            </w:r>
          </w:p>
        </w:tc>
      </w:tr>
      <w:tr w:rsidR="00CC078B" w14:paraId="0DCD11E2" w14:textId="77777777" w:rsidTr="00B4082B">
        <w:tc>
          <w:tcPr>
            <w:tcW w:w="1335" w:type="pct"/>
          </w:tcPr>
          <w:p w14:paraId="62E094D9" w14:textId="648DE3D1" w:rsidR="00CC078B" w:rsidRPr="00DE19D8" w:rsidRDefault="00CC078B" w:rsidP="00DE19D8">
            <w:pPr>
              <w:rPr>
                <w:sz w:val="24"/>
                <w:szCs w:val="24"/>
              </w:rPr>
            </w:pPr>
            <w:r w:rsidRPr="00DE19D8">
              <w:rPr>
                <w:sz w:val="24"/>
                <w:szCs w:val="24"/>
              </w:rPr>
              <w:t>Amnesia</w:t>
            </w:r>
          </w:p>
        </w:tc>
        <w:tc>
          <w:tcPr>
            <w:tcW w:w="1165" w:type="pct"/>
          </w:tcPr>
          <w:p w14:paraId="5CBB25F7" w14:textId="3269AB75" w:rsidR="00CC078B" w:rsidRPr="00DE19D8" w:rsidRDefault="00CC078B" w:rsidP="00DE19D8">
            <w:pPr>
              <w:rPr>
                <w:sz w:val="24"/>
                <w:szCs w:val="24"/>
                <w:lang w:val="en-NZ"/>
              </w:rPr>
            </w:pPr>
            <w:r w:rsidRPr="00DE19D8">
              <w:rPr>
                <w:sz w:val="24"/>
                <w:szCs w:val="24"/>
              </w:rPr>
              <w:t>Foodborne</w:t>
            </w:r>
          </w:p>
        </w:tc>
        <w:tc>
          <w:tcPr>
            <w:tcW w:w="1354" w:type="pct"/>
          </w:tcPr>
          <w:p w14:paraId="12AC6C78" w14:textId="488F8CC6" w:rsidR="00CC078B" w:rsidRPr="00DE19D8" w:rsidRDefault="00CC078B" w:rsidP="00DE19D8">
            <w:pPr>
              <w:rPr>
                <w:sz w:val="24"/>
                <w:szCs w:val="24"/>
                <w:lang w:val="en-NZ"/>
              </w:rPr>
            </w:pPr>
          </w:p>
        </w:tc>
        <w:tc>
          <w:tcPr>
            <w:tcW w:w="1146" w:type="pct"/>
          </w:tcPr>
          <w:p w14:paraId="7BC9F51B" w14:textId="1AE37BE0" w:rsidR="00CC078B" w:rsidRPr="00DE19D8" w:rsidRDefault="00CC078B" w:rsidP="00DE19D8">
            <w:pPr>
              <w:rPr>
                <w:sz w:val="24"/>
                <w:szCs w:val="24"/>
                <w:lang w:val="en-NZ"/>
              </w:rPr>
            </w:pPr>
            <w:r w:rsidRPr="00DE19D8">
              <w:rPr>
                <w:sz w:val="24"/>
                <w:szCs w:val="24"/>
              </w:rPr>
              <w:t>Domoic acid</w:t>
            </w:r>
          </w:p>
        </w:tc>
      </w:tr>
    </w:tbl>
    <w:p w14:paraId="7B40E619" w14:textId="77777777" w:rsidR="00447185" w:rsidRPr="00447185" w:rsidRDefault="00447185" w:rsidP="008E1F64">
      <w:pPr>
        <w:rPr>
          <w:sz w:val="24"/>
          <w:szCs w:val="24"/>
          <w:lang w:val="en-NZ"/>
        </w:rPr>
      </w:pPr>
    </w:p>
    <w:p w14:paraId="01C06EDA" w14:textId="22262855" w:rsidR="00BB418A" w:rsidRDefault="00496185" w:rsidP="006B5FB5">
      <w:pPr>
        <w:pStyle w:val="Heading1"/>
        <w:rPr>
          <w:lang w:val="en-NZ"/>
        </w:rPr>
      </w:pPr>
      <w:bookmarkStart w:id="52" w:name="_Toc181101797"/>
      <w:r w:rsidRPr="006B5FB5">
        <w:rPr>
          <w:lang w:val="en-NZ"/>
        </w:rPr>
        <w:lastRenderedPageBreak/>
        <w:t xml:space="preserve">Appendix </w:t>
      </w:r>
      <w:r w:rsidR="008E1F64" w:rsidRPr="006B5FB5">
        <w:rPr>
          <w:lang w:val="en-NZ"/>
        </w:rPr>
        <w:t>D</w:t>
      </w:r>
      <w:r w:rsidR="001F4C72" w:rsidRPr="006B5FB5">
        <w:rPr>
          <w:lang w:val="en-NZ"/>
        </w:rPr>
        <w:t xml:space="preserve">: </w:t>
      </w:r>
      <w:r w:rsidRPr="006B5FB5">
        <w:rPr>
          <w:lang w:val="en-NZ"/>
        </w:rPr>
        <w:t xml:space="preserve">Work </w:t>
      </w:r>
      <w:r w:rsidR="000A25E6" w:rsidRPr="006B5FB5">
        <w:rPr>
          <w:lang w:val="en-NZ"/>
        </w:rPr>
        <w:t>i</w:t>
      </w:r>
      <w:r w:rsidRPr="006B5FB5">
        <w:rPr>
          <w:lang w:val="en-NZ"/>
        </w:rPr>
        <w:t xml:space="preserve">njury </w:t>
      </w:r>
      <w:r w:rsidR="000A25E6" w:rsidRPr="006B5FB5">
        <w:rPr>
          <w:lang w:val="en-NZ"/>
        </w:rPr>
        <w:t>n</w:t>
      </w:r>
      <w:r w:rsidRPr="006B5FB5">
        <w:rPr>
          <w:lang w:val="en-NZ"/>
        </w:rPr>
        <w:t xml:space="preserve">otification </w:t>
      </w:r>
      <w:r w:rsidR="000A25E6" w:rsidRPr="006B5FB5">
        <w:rPr>
          <w:lang w:val="en-NZ"/>
        </w:rPr>
        <w:t>f</w:t>
      </w:r>
      <w:r w:rsidRPr="006B5FB5">
        <w:rPr>
          <w:lang w:val="en-NZ"/>
        </w:rPr>
        <w:t>orm</w:t>
      </w:r>
      <w:r w:rsidR="00BB418A">
        <w:rPr>
          <w:noProof/>
        </w:rPr>
        <w:drawing>
          <wp:inline distT="0" distB="0" distL="0" distR="0" wp14:anchorId="1A374BB7" wp14:editId="09C463EC">
            <wp:extent cx="5818960" cy="8106521"/>
            <wp:effectExtent l="0" t="0" r="0" b="8890"/>
            <wp:docPr id="1358286548" name="Picture 1" descr="Work injury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86548" name="Picture 1" descr="Work injury notification form"/>
                    <pic:cNvPicPr/>
                  </pic:nvPicPr>
                  <pic:blipFill rotWithShape="1">
                    <a:blip r:embed="rId16"/>
                    <a:srcRect l="1166" b="2013"/>
                    <a:stretch/>
                  </pic:blipFill>
                  <pic:spPr bwMode="auto">
                    <a:xfrm>
                      <a:off x="0" y="0"/>
                      <a:ext cx="5818960" cy="8106521"/>
                    </a:xfrm>
                    <a:prstGeom prst="rect">
                      <a:avLst/>
                    </a:prstGeom>
                    <a:ln>
                      <a:noFill/>
                    </a:ln>
                    <a:extLst>
                      <a:ext uri="{53640926-AAD7-44D8-BBD7-CCE9431645EC}">
                        <a14:shadowObscured xmlns:a14="http://schemas.microsoft.com/office/drawing/2010/main"/>
                      </a:ext>
                    </a:extLst>
                  </pic:spPr>
                </pic:pic>
              </a:graphicData>
            </a:graphic>
          </wp:inline>
        </w:drawing>
      </w:r>
      <w:bookmarkEnd w:id="52"/>
      <w:r w:rsidR="00BB418A">
        <w:rPr>
          <w:lang w:val="en-NZ"/>
        </w:rPr>
        <w:br w:type="page"/>
      </w:r>
    </w:p>
    <w:p w14:paraId="5BE9CCB6" w14:textId="77777777" w:rsidR="00E653DD" w:rsidRDefault="002A0D65">
      <w:pPr>
        <w:rPr>
          <w:lang w:val="en-NZ"/>
        </w:rPr>
      </w:pPr>
      <w:r w:rsidRPr="002A0D65">
        <w:rPr>
          <w:noProof/>
        </w:rPr>
        <w:lastRenderedPageBreak/>
        <w:drawing>
          <wp:inline distT="0" distB="0" distL="0" distR="0" wp14:anchorId="6C538C5A" wp14:editId="1E9704DD">
            <wp:extent cx="6175155" cy="8649047"/>
            <wp:effectExtent l="0" t="0" r="0" b="0"/>
            <wp:docPr id="1318904708" name="Picture 1" descr="Work injury no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04708" name="Picture 1" descr="Work injury notification form"/>
                    <pic:cNvPicPr/>
                  </pic:nvPicPr>
                  <pic:blipFill>
                    <a:blip r:embed="rId17"/>
                    <a:stretch>
                      <a:fillRect/>
                    </a:stretch>
                  </pic:blipFill>
                  <pic:spPr>
                    <a:xfrm>
                      <a:off x="0" y="0"/>
                      <a:ext cx="6186774" cy="8665320"/>
                    </a:xfrm>
                    <a:prstGeom prst="rect">
                      <a:avLst/>
                    </a:prstGeom>
                  </pic:spPr>
                </pic:pic>
              </a:graphicData>
            </a:graphic>
          </wp:inline>
        </w:drawing>
      </w:r>
    </w:p>
    <w:p w14:paraId="20CFFC7C" w14:textId="77777777" w:rsidR="00FD1885" w:rsidRDefault="00227EA4" w:rsidP="00227EA4">
      <w:pPr>
        <w:pStyle w:val="Heading1"/>
        <w:rPr>
          <w:lang w:val="en-NZ"/>
        </w:rPr>
      </w:pPr>
      <w:bookmarkStart w:id="53" w:name="_Toc181101798"/>
      <w:r>
        <w:rPr>
          <w:lang w:val="en-NZ"/>
        </w:rPr>
        <w:lastRenderedPageBreak/>
        <w:t xml:space="preserve">Appendix E: </w:t>
      </w:r>
      <w:r w:rsidR="001C5A16">
        <w:rPr>
          <w:lang w:val="en-NZ"/>
        </w:rPr>
        <w:t>Photographs of Planktonic Blooms</w:t>
      </w:r>
      <w:bookmarkEnd w:id="53"/>
    </w:p>
    <w:p w14:paraId="373F6854" w14:textId="77777777" w:rsidR="001D025F" w:rsidRDefault="002F04FA" w:rsidP="00FD1885">
      <w:pPr>
        <w:pStyle w:val="ListParagraph"/>
        <w:ind w:left="0"/>
        <w:rPr>
          <w:lang w:val="en-NZ"/>
        </w:rPr>
      </w:pPr>
      <w:r>
        <w:rPr>
          <w:lang w:val="en-NZ"/>
        </w:rPr>
        <w:t xml:space="preserve">Images in this section are from the </w:t>
      </w:r>
      <w:r w:rsidRPr="00BD7E7F">
        <w:rPr>
          <w:i/>
          <w:iCs/>
          <w:lang w:val="en-NZ"/>
        </w:rPr>
        <w:t>New Zealand Guidelines for Cyanobacteria in Recreational Fresh Waters – Interim Guidelines</w:t>
      </w:r>
      <w:r>
        <w:rPr>
          <w:lang w:val="en-NZ"/>
        </w:rPr>
        <w:t xml:space="preserve"> (MfE</w:t>
      </w:r>
      <w:r w:rsidR="001D025F">
        <w:rPr>
          <w:lang w:val="en-NZ"/>
        </w:rPr>
        <w:t>, 2009)</w:t>
      </w:r>
    </w:p>
    <w:p w14:paraId="2FE31162" w14:textId="77777777" w:rsidR="00907CBA" w:rsidRDefault="00907CBA" w:rsidP="00FD1885">
      <w:pPr>
        <w:pStyle w:val="ListParagraph"/>
        <w:ind w:left="0"/>
        <w:rPr>
          <w:lang w:val="en-NZ"/>
        </w:rPr>
      </w:pPr>
      <w:r>
        <w:rPr>
          <w:noProof/>
        </w:rPr>
        <w:drawing>
          <wp:inline distT="0" distB="0" distL="0" distR="0" wp14:anchorId="07230464" wp14:editId="1A4BB8A6">
            <wp:extent cx="5610225" cy="7248525"/>
            <wp:effectExtent l="0" t="0" r="9525" b="9525"/>
            <wp:docPr id="1400661456" name="Picture 1" descr="Planktonic bl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61456" name="Picture 1" descr="Planktonic blooms"/>
                    <pic:cNvPicPr/>
                  </pic:nvPicPr>
                  <pic:blipFill>
                    <a:blip r:embed="rId18"/>
                    <a:stretch>
                      <a:fillRect/>
                    </a:stretch>
                  </pic:blipFill>
                  <pic:spPr>
                    <a:xfrm>
                      <a:off x="0" y="0"/>
                      <a:ext cx="5610225" cy="7248525"/>
                    </a:xfrm>
                    <a:prstGeom prst="rect">
                      <a:avLst/>
                    </a:prstGeom>
                  </pic:spPr>
                </pic:pic>
              </a:graphicData>
            </a:graphic>
          </wp:inline>
        </w:drawing>
      </w:r>
    </w:p>
    <w:p w14:paraId="5BB75380" w14:textId="77777777" w:rsidR="00907CBA" w:rsidRDefault="00907CBA" w:rsidP="00FD1885">
      <w:pPr>
        <w:pStyle w:val="ListParagraph"/>
        <w:ind w:left="0"/>
        <w:rPr>
          <w:lang w:val="en-NZ"/>
        </w:rPr>
      </w:pPr>
    </w:p>
    <w:p w14:paraId="56BE76C9" w14:textId="77777777" w:rsidR="00CF1986" w:rsidRDefault="002B63F5" w:rsidP="00FD1885">
      <w:pPr>
        <w:pStyle w:val="ListParagraph"/>
        <w:ind w:left="0"/>
        <w:rPr>
          <w:lang w:val="en-NZ"/>
        </w:rPr>
      </w:pPr>
      <w:r>
        <w:rPr>
          <w:noProof/>
        </w:rPr>
        <w:lastRenderedPageBreak/>
        <w:drawing>
          <wp:inline distT="0" distB="0" distL="0" distR="0" wp14:anchorId="5704A4B1" wp14:editId="24F75010">
            <wp:extent cx="5686425" cy="7915275"/>
            <wp:effectExtent l="0" t="0" r="9525" b="9525"/>
            <wp:docPr id="843696132" name="Picture 1" descr="Planktonic bl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696132" name="Picture 1" descr="Planktonic blooms"/>
                    <pic:cNvPicPr/>
                  </pic:nvPicPr>
                  <pic:blipFill>
                    <a:blip r:embed="rId19"/>
                    <a:stretch>
                      <a:fillRect/>
                    </a:stretch>
                  </pic:blipFill>
                  <pic:spPr>
                    <a:xfrm>
                      <a:off x="0" y="0"/>
                      <a:ext cx="5686425" cy="7915275"/>
                    </a:xfrm>
                    <a:prstGeom prst="rect">
                      <a:avLst/>
                    </a:prstGeom>
                  </pic:spPr>
                </pic:pic>
              </a:graphicData>
            </a:graphic>
          </wp:inline>
        </w:drawing>
      </w:r>
    </w:p>
    <w:p w14:paraId="01C398AF" w14:textId="795BD881" w:rsidR="00473553" w:rsidRPr="00CC0F9B" w:rsidRDefault="00CF1986" w:rsidP="00BD7E7F">
      <w:pPr>
        <w:pStyle w:val="ListParagraph"/>
        <w:ind w:left="0"/>
        <w:rPr>
          <w:b/>
          <w:bCs/>
          <w:lang w:val="en-NZ"/>
        </w:rPr>
      </w:pPr>
      <w:r>
        <w:rPr>
          <w:noProof/>
        </w:rPr>
        <w:lastRenderedPageBreak/>
        <w:drawing>
          <wp:inline distT="0" distB="0" distL="0" distR="0" wp14:anchorId="538DCFFD" wp14:editId="046FFFD9">
            <wp:extent cx="5514975" cy="7753350"/>
            <wp:effectExtent l="0" t="0" r="9525" b="0"/>
            <wp:docPr id="787774635" name="Picture 1" descr="Planktonic bl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774635" name="Picture 1" descr="Planktonic blooms"/>
                    <pic:cNvPicPr/>
                  </pic:nvPicPr>
                  <pic:blipFill>
                    <a:blip r:embed="rId20"/>
                    <a:stretch>
                      <a:fillRect/>
                    </a:stretch>
                  </pic:blipFill>
                  <pic:spPr>
                    <a:xfrm>
                      <a:off x="0" y="0"/>
                      <a:ext cx="5514975" cy="7753350"/>
                    </a:xfrm>
                    <a:prstGeom prst="rect">
                      <a:avLst/>
                    </a:prstGeom>
                  </pic:spPr>
                </pic:pic>
              </a:graphicData>
            </a:graphic>
          </wp:inline>
        </w:drawing>
      </w:r>
      <w:r w:rsidR="00473553" w:rsidRPr="00CC0F9B">
        <w:rPr>
          <w:lang w:val="en-NZ"/>
        </w:rPr>
        <w:br w:type="page"/>
      </w:r>
    </w:p>
    <w:p w14:paraId="5B9EF184" w14:textId="71E83902" w:rsidR="0081517F" w:rsidRPr="002E5353" w:rsidRDefault="00496185" w:rsidP="001F4C72">
      <w:pPr>
        <w:pStyle w:val="Heading1"/>
        <w:rPr>
          <w:sz w:val="44"/>
          <w:szCs w:val="44"/>
          <w:lang w:val="en-NZ"/>
        </w:rPr>
      </w:pPr>
      <w:bookmarkStart w:id="54" w:name="_Toc181101799"/>
      <w:r w:rsidRPr="002E5353">
        <w:rPr>
          <w:sz w:val="44"/>
          <w:szCs w:val="44"/>
          <w:lang w:val="en-NZ"/>
        </w:rPr>
        <w:lastRenderedPageBreak/>
        <w:t>References</w:t>
      </w:r>
      <w:bookmarkEnd w:id="54"/>
    </w:p>
    <w:p w14:paraId="3B05A250" w14:textId="77777777" w:rsidR="0049069E" w:rsidRPr="00D91268" w:rsidRDefault="0049069E" w:rsidP="0049069E">
      <w:pPr>
        <w:rPr>
          <w:sz w:val="24"/>
          <w:szCs w:val="24"/>
          <w:lang w:val="en-NZ"/>
        </w:rPr>
      </w:pPr>
      <w:r w:rsidRPr="00D91268">
        <w:rPr>
          <w:sz w:val="24"/>
          <w:szCs w:val="24"/>
          <w:lang w:val="en-NZ"/>
        </w:rPr>
        <w:t xml:space="preserve">Abdullah L, Ferguson S, Niedospial D, Patterson D, Oberlin S, Nkiliza A, Bartenfelder G, Hahn-Townsend C, Parks M, Crawford F, Reich A, Keegan A, Kirkpatrick B, &amp; Mullan M. 2022. Exposure-response relationship between K. brevis blooms and reporting of upper respiratory and neurotoxin-associated symptoms. </w:t>
      </w:r>
      <w:r w:rsidRPr="00311BA7">
        <w:rPr>
          <w:i/>
          <w:iCs/>
          <w:sz w:val="24"/>
          <w:szCs w:val="24"/>
          <w:lang w:val="en-NZ"/>
        </w:rPr>
        <w:t>Harmful Algae</w:t>
      </w:r>
      <w:r w:rsidRPr="00D91268">
        <w:rPr>
          <w:sz w:val="24"/>
          <w:szCs w:val="24"/>
          <w:lang w:val="en-NZ"/>
        </w:rPr>
        <w:t xml:space="preserve">, 117, 102286. </w:t>
      </w:r>
      <w:hyperlink r:id="rId21" w:history="1">
        <w:r w:rsidRPr="00D91268">
          <w:rPr>
            <w:rStyle w:val="Hyperlink"/>
            <w:sz w:val="24"/>
            <w:szCs w:val="24"/>
            <w:lang w:val="en-NZ"/>
          </w:rPr>
          <w:t>https://doi.org/10.1016/j.hal.2022.102286</w:t>
        </w:r>
      </w:hyperlink>
      <w:r w:rsidRPr="00D91268">
        <w:rPr>
          <w:sz w:val="24"/>
          <w:szCs w:val="24"/>
          <w:lang w:val="en-NZ"/>
        </w:rPr>
        <w:t xml:space="preserve"> </w:t>
      </w:r>
    </w:p>
    <w:p w14:paraId="6230A403" w14:textId="77777777" w:rsidR="0049069E" w:rsidRDefault="0049069E" w:rsidP="0049069E">
      <w:pPr>
        <w:rPr>
          <w:sz w:val="24"/>
          <w:szCs w:val="24"/>
          <w:lang w:val="en-NZ"/>
        </w:rPr>
      </w:pPr>
      <w:r w:rsidRPr="00D91268">
        <w:rPr>
          <w:sz w:val="24"/>
          <w:szCs w:val="24"/>
          <w:lang w:val="en-NZ"/>
        </w:rPr>
        <w:t>Australian Government</w:t>
      </w:r>
      <w:r>
        <w:rPr>
          <w:sz w:val="24"/>
          <w:szCs w:val="24"/>
          <w:lang w:val="en-NZ"/>
        </w:rPr>
        <w:t xml:space="preserve"> National Health and Medical Research Council</w:t>
      </w:r>
      <w:r w:rsidRPr="00D91268">
        <w:rPr>
          <w:sz w:val="24"/>
          <w:szCs w:val="24"/>
          <w:lang w:val="en-NZ"/>
        </w:rPr>
        <w:t xml:space="preserve">. 2008. </w:t>
      </w:r>
      <w:r w:rsidRPr="00DE2A42">
        <w:rPr>
          <w:i/>
          <w:iCs/>
          <w:sz w:val="24"/>
          <w:szCs w:val="24"/>
          <w:lang w:val="en-NZ"/>
        </w:rPr>
        <w:t>The Guidelines for Managing Risks in Recreational Water</w:t>
      </w:r>
      <w:r w:rsidRPr="00D91268">
        <w:rPr>
          <w:sz w:val="24"/>
          <w:szCs w:val="24"/>
          <w:lang w:val="en-NZ"/>
        </w:rPr>
        <w:t xml:space="preserve">. </w:t>
      </w:r>
      <w:hyperlink r:id="rId22" w:history="1">
        <w:r w:rsidRPr="00390DE6">
          <w:rPr>
            <w:rStyle w:val="Hyperlink"/>
            <w:sz w:val="24"/>
            <w:szCs w:val="24"/>
            <w:lang w:val="en-NZ"/>
          </w:rPr>
          <w:t>https://www.nhmrc.gov.au/about-us/publications/guidelines-managing-risks-recreational-water</w:t>
        </w:r>
      </w:hyperlink>
      <w:r>
        <w:rPr>
          <w:sz w:val="24"/>
          <w:szCs w:val="24"/>
          <w:lang w:val="en-NZ"/>
        </w:rPr>
        <w:t xml:space="preserve"> </w:t>
      </w:r>
    </w:p>
    <w:p w14:paraId="7F10F5D5" w14:textId="77777777" w:rsidR="0049069E" w:rsidRPr="00D91268" w:rsidRDefault="0049069E" w:rsidP="0049069E">
      <w:pPr>
        <w:rPr>
          <w:sz w:val="24"/>
          <w:szCs w:val="24"/>
          <w:lang w:val="en-NZ"/>
        </w:rPr>
      </w:pPr>
      <w:r w:rsidRPr="00D91268">
        <w:rPr>
          <w:sz w:val="24"/>
          <w:szCs w:val="24"/>
          <w:lang w:val="en-NZ"/>
        </w:rPr>
        <w:t>Azevedo SMFO, Carmichael WW, Jochimsen EM, Rinehart KL, Lau S, Shaw</w:t>
      </w:r>
      <w:r>
        <w:rPr>
          <w:sz w:val="24"/>
          <w:szCs w:val="24"/>
          <w:lang w:val="en-NZ"/>
        </w:rPr>
        <w:t xml:space="preserve"> </w:t>
      </w:r>
      <w:r w:rsidRPr="00D91268">
        <w:rPr>
          <w:sz w:val="24"/>
          <w:szCs w:val="24"/>
          <w:lang w:val="en-NZ"/>
        </w:rPr>
        <w:t xml:space="preserve">GR, &amp; Eaglesham GK. 2002. Human intoxication by microcystins during renal dialysis treatment in Caruaru/ Brazil. </w:t>
      </w:r>
      <w:r w:rsidRPr="00B12CB0">
        <w:rPr>
          <w:i/>
          <w:iCs/>
          <w:sz w:val="24"/>
          <w:szCs w:val="24"/>
          <w:lang w:val="en-NZ"/>
        </w:rPr>
        <w:t>Toxicology</w:t>
      </w:r>
      <w:r w:rsidRPr="00D91268">
        <w:rPr>
          <w:sz w:val="24"/>
          <w:szCs w:val="24"/>
          <w:lang w:val="en-NZ"/>
        </w:rPr>
        <w:t xml:space="preserve"> 181, 441–446. </w:t>
      </w:r>
    </w:p>
    <w:p w14:paraId="48B3D80D" w14:textId="77777777" w:rsidR="0049069E" w:rsidRPr="00D91268" w:rsidRDefault="0049069E" w:rsidP="0049069E">
      <w:pPr>
        <w:rPr>
          <w:sz w:val="24"/>
          <w:szCs w:val="24"/>
          <w:lang w:val="en-NZ"/>
        </w:rPr>
      </w:pPr>
      <w:r w:rsidRPr="00D91268">
        <w:rPr>
          <w:sz w:val="24"/>
          <w:szCs w:val="24"/>
          <w:lang w:val="en-NZ"/>
        </w:rPr>
        <w:t xml:space="preserve">Backer LC, Kirkpatrick B, Fleming LE, Cheng YS, Pierce R, Bean JA, Clark R, Johnson D, Wanner A, Tamer R, Zhou Y, &amp; Baden DG. 2005. Occupational exposure to aerosolized brevetoxins during Florida red tide events: effects on a healthy worker population. </w:t>
      </w:r>
      <w:r w:rsidRPr="00924FAA">
        <w:rPr>
          <w:i/>
          <w:iCs/>
          <w:sz w:val="24"/>
          <w:szCs w:val="24"/>
          <w:lang w:val="en-NZ"/>
        </w:rPr>
        <w:t>Environ</w:t>
      </w:r>
      <w:r>
        <w:rPr>
          <w:i/>
          <w:iCs/>
          <w:sz w:val="24"/>
          <w:szCs w:val="24"/>
          <w:lang w:val="en-NZ"/>
        </w:rPr>
        <w:t xml:space="preserve">mental </w:t>
      </w:r>
      <w:r w:rsidRPr="00924FAA">
        <w:rPr>
          <w:i/>
          <w:iCs/>
          <w:sz w:val="24"/>
          <w:szCs w:val="24"/>
          <w:lang w:val="en-NZ"/>
        </w:rPr>
        <w:t>Health Perspect</w:t>
      </w:r>
      <w:r>
        <w:rPr>
          <w:i/>
          <w:iCs/>
          <w:sz w:val="24"/>
          <w:szCs w:val="24"/>
          <w:lang w:val="en-NZ"/>
        </w:rPr>
        <w:t>ives</w:t>
      </w:r>
      <w:r w:rsidRPr="00D91268">
        <w:rPr>
          <w:sz w:val="24"/>
          <w:szCs w:val="24"/>
          <w:lang w:val="en-NZ"/>
        </w:rPr>
        <w:t xml:space="preserve">, 113(5), 644-649. </w:t>
      </w:r>
      <w:hyperlink r:id="rId23" w:history="1">
        <w:r w:rsidRPr="00D91268">
          <w:rPr>
            <w:rStyle w:val="Hyperlink"/>
            <w:sz w:val="24"/>
            <w:szCs w:val="24"/>
            <w:lang w:val="en-NZ"/>
          </w:rPr>
          <w:t>https://doi.org/10.1289/ehp.7502</w:t>
        </w:r>
      </w:hyperlink>
      <w:r w:rsidRPr="00D91268">
        <w:rPr>
          <w:sz w:val="24"/>
          <w:szCs w:val="24"/>
          <w:lang w:val="en-NZ"/>
        </w:rPr>
        <w:t xml:space="preserve"> </w:t>
      </w:r>
    </w:p>
    <w:p w14:paraId="36744550" w14:textId="77777777" w:rsidR="0049069E" w:rsidRPr="00D91268" w:rsidRDefault="0049069E" w:rsidP="0049069E">
      <w:pPr>
        <w:rPr>
          <w:sz w:val="24"/>
          <w:szCs w:val="24"/>
          <w:lang w:val="en-NZ"/>
        </w:rPr>
      </w:pPr>
      <w:r w:rsidRPr="00D91268">
        <w:rPr>
          <w:sz w:val="24"/>
          <w:szCs w:val="24"/>
          <w:lang w:val="en-NZ"/>
        </w:rPr>
        <w:t xml:space="preserve">Berdalet E, Fleming LE, Gowen R, Davidson K, Hess P, Backer LC, Moore SK, Hoagland P, &amp; Enevoldsen H. 2015. Marine harmful algal blooms, human health and wellbeing: challenges and opportunities in the 21st century. </w:t>
      </w:r>
      <w:r w:rsidRPr="0099050E">
        <w:rPr>
          <w:i/>
          <w:iCs/>
          <w:sz w:val="24"/>
          <w:szCs w:val="24"/>
          <w:lang w:val="en-NZ"/>
        </w:rPr>
        <w:t>Journal of the Marine Biological Association of the United Kingdom.</w:t>
      </w:r>
      <w:r w:rsidRPr="00D91268">
        <w:rPr>
          <w:sz w:val="24"/>
          <w:szCs w:val="24"/>
          <w:lang w:val="en-NZ"/>
        </w:rPr>
        <w:t xml:space="preserve"> </w:t>
      </w:r>
      <w:hyperlink r:id="rId24" w:history="1">
        <w:r w:rsidRPr="00D91268">
          <w:rPr>
            <w:rStyle w:val="Hyperlink"/>
            <w:sz w:val="24"/>
            <w:szCs w:val="24"/>
            <w:lang w:val="en-NZ"/>
          </w:rPr>
          <w:t>https://doi.org/10.1017/S0025315415001733</w:t>
        </w:r>
      </w:hyperlink>
      <w:r w:rsidRPr="00D91268">
        <w:rPr>
          <w:sz w:val="24"/>
          <w:szCs w:val="24"/>
          <w:lang w:val="en-NZ"/>
        </w:rPr>
        <w:t xml:space="preserve"> </w:t>
      </w:r>
    </w:p>
    <w:p w14:paraId="2593D8B1" w14:textId="77777777" w:rsidR="0049069E" w:rsidRPr="00D91268" w:rsidRDefault="0049069E" w:rsidP="0049069E">
      <w:pPr>
        <w:rPr>
          <w:sz w:val="24"/>
          <w:szCs w:val="24"/>
          <w:lang w:val="en-NZ"/>
        </w:rPr>
      </w:pPr>
      <w:r w:rsidRPr="00051EE2">
        <w:rPr>
          <w:sz w:val="24"/>
          <w:szCs w:val="24"/>
          <w:lang w:val="en-NZ"/>
        </w:rPr>
        <w:t>Biessey L. 2023. Lyngbya majuscula in Aotearoa New Zealand. In.</w:t>
      </w:r>
    </w:p>
    <w:p w14:paraId="33ECD4D8" w14:textId="77777777" w:rsidR="0049069E" w:rsidRPr="00D91268" w:rsidRDefault="0049069E" w:rsidP="0049069E">
      <w:pPr>
        <w:rPr>
          <w:sz w:val="24"/>
          <w:szCs w:val="24"/>
          <w:lang w:val="en-NZ"/>
        </w:rPr>
      </w:pPr>
      <w:r w:rsidRPr="00D91268">
        <w:rPr>
          <w:sz w:val="24"/>
          <w:szCs w:val="24"/>
          <w:lang w:val="en-NZ"/>
        </w:rPr>
        <w:t>Bouaicha N, Miles CO, Beach DG, Labidi Z, Djabri A, Benayache NY, &amp; Nguyen- Quang T. 2019</w:t>
      </w:r>
      <w:r>
        <w:rPr>
          <w:sz w:val="24"/>
          <w:szCs w:val="24"/>
          <w:lang w:val="en-NZ"/>
        </w:rPr>
        <w:t>.</w:t>
      </w:r>
      <w:r w:rsidRPr="00D91268">
        <w:rPr>
          <w:sz w:val="24"/>
          <w:szCs w:val="24"/>
          <w:lang w:val="en-NZ"/>
        </w:rPr>
        <w:t xml:space="preserve"> </w:t>
      </w:r>
      <w:r w:rsidRPr="00B47D47">
        <w:rPr>
          <w:sz w:val="24"/>
          <w:szCs w:val="24"/>
          <w:lang w:val="en-NZ"/>
        </w:rPr>
        <w:t xml:space="preserve">Structural Diversity, Characterization and Toxicology of Microcystins. </w:t>
      </w:r>
      <w:r w:rsidRPr="00B47D47">
        <w:rPr>
          <w:i/>
          <w:iCs/>
          <w:sz w:val="24"/>
          <w:szCs w:val="24"/>
          <w:lang w:val="en-NZ"/>
        </w:rPr>
        <w:t>Toxins</w:t>
      </w:r>
      <w:r w:rsidRPr="00D91268">
        <w:rPr>
          <w:sz w:val="24"/>
          <w:szCs w:val="24"/>
          <w:lang w:val="en-NZ"/>
        </w:rPr>
        <w:t xml:space="preserve"> (Basel), 11(12). </w:t>
      </w:r>
      <w:hyperlink r:id="rId25" w:history="1">
        <w:r w:rsidRPr="00D91268">
          <w:rPr>
            <w:rStyle w:val="Hyperlink"/>
            <w:sz w:val="24"/>
            <w:szCs w:val="24"/>
            <w:lang w:val="en-NZ"/>
          </w:rPr>
          <w:t>https://doi.org/10.3390/toxins11120714</w:t>
        </w:r>
      </w:hyperlink>
      <w:r w:rsidRPr="00D91268">
        <w:rPr>
          <w:sz w:val="24"/>
          <w:szCs w:val="24"/>
          <w:lang w:val="en-NZ"/>
        </w:rPr>
        <w:t xml:space="preserve"> </w:t>
      </w:r>
    </w:p>
    <w:p w14:paraId="1FAE3471" w14:textId="77777777" w:rsidR="0049069E" w:rsidRPr="00D91268" w:rsidRDefault="0049069E" w:rsidP="0049069E">
      <w:pPr>
        <w:rPr>
          <w:sz w:val="24"/>
          <w:szCs w:val="24"/>
          <w:lang w:val="en-NZ"/>
        </w:rPr>
      </w:pPr>
      <w:r w:rsidRPr="00D91268">
        <w:rPr>
          <w:sz w:val="24"/>
          <w:szCs w:val="24"/>
          <w:lang w:val="en-NZ"/>
        </w:rPr>
        <w:t xml:space="preserve">Boudreaux G, Lupi F, Sohngen B, &amp; Xu A. 2023. Measuring beachgoer preferences for avoiding harmful algal blooms and bacterial warnings. </w:t>
      </w:r>
      <w:r w:rsidRPr="004777E4">
        <w:rPr>
          <w:i/>
          <w:iCs/>
          <w:sz w:val="24"/>
          <w:szCs w:val="24"/>
          <w:lang w:val="en-NZ"/>
        </w:rPr>
        <w:t>Ecological Economics</w:t>
      </w:r>
      <w:r w:rsidRPr="00D91268">
        <w:rPr>
          <w:sz w:val="24"/>
          <w:szCs w:val="24"/>
          <w:lang w:val="en-NZ"/>
        </w:rPr>
        <w:t xml:space="preserve">, 204. </w:t>
      </w:r>
      <w:hyperlink r:id="rId26" w:history="1">
        <w:r w:rsidRPr="00D91268">
          <w:rPr>
            <w:rStyle w:val="Hyperlink"/>
            <w:sz w:val="24"/>
            <w:szCs w:val="24"/>
            <w:lang w:val="en-NZ"/>
          </w:rPr>
          <w:t>https://doi.org/10.1016/j.ecolecon.2022.107653</w:t>
        </w:r>
      </w:hyperlink>
      <w:r w:rsidRPr="00D91268">
        <w:rPr>
          <w:sz w:val="24"/>
          <w:szCs w:val="24"/>
          <w:lang w:val="en-NZ"/>
        </w:rPr>
        <w:t xml:space="preserve"> </w:t>
      </w:r>
    </w:p>
    <w:p w14:paraId="791EA1F2" w14:textId="77777777" w:rsidR="0049069E" w:rsidRPr="00D91268" w:rsidRDefault="0049069E" w:rsidP="0049069E">
      <w:pPr>
        <w:rPr>
          <w:sz w:val="24"/>
          <w:szCs w:val="24"/>
          <w:lang w:val="en-NZ"/>
        </w:rPr>
      </w:pPr>
      <w:r w:rsidRPr="00D91268">
        <w:rPr>
          <w:sz w:val="24"/>
          <w:szCs w:val="24"/>
          <w:lang w:val="en-NZ"/>
        </w:rPr>
        <w:t xml:space="preserve">BPAC. 2020. </w:t>
      </w:r>
      <w:r w:rsidRPr="00B341C0">
        <w:rPr>
          <w:i/>
          <w:iCs/>
          <w:sz w:val="24"/>
          <w:szCs w:val="24"/>
          <w:lang w:val="en-NZ"/>
        </w:rPr>
        <w:t>Consider blue-green algal blooms this summer: Identifying and managing suspected cyanotoxin poisoning in primary care.</w:t>
      </w:r>
      <w:r>
        <w:rPr>
          <w:sz w:val="24"/>
          <w:szCs w:val="24"/>
          <w:lang w:val="en-NZ"/>
        </w:rPr>
        <w:t xml:space="preserve"> </w:t>
      </w:r>
      <w:hyperlink r:id="rId27" w:history="1">
        <w:r w:rsidRPr="00390DE6">
          <w:rPr>
            <w:rStyle w:val="Hyperlink"/>
            <w:sz w:val="24"/>
            <w:szCs w:val="24"/>
            <w:lang w:val="en-NZ"/>
          </w:rPr>
          <w:t>https://bpac.org.nz/2020/docs/cyanobacteria.pdf</w:t>
        </w:r>
      </w:hyperlink>
      <w:r>
        <w:rPr>
          <w:sz w:val="24"/>
          <w:szCs w:val="24"/>
          <w:lang w:val="en-NZ"/>
        </w:rPr>
        <w:t xml:space="preserve"> </w:t>
      </w:r>
    </w:p>
    <w:p w14:paraId="2737CB62" w14:textId="77777777" w:rsidR="0049069E" w:rsidRPr="00D91268" w:rsidRDefault="0049069E" w:rsidP="0049069E">
      <w:pPr>
        <w:rPr>
          <w:sz w:val="24"/>
          <w:szCs w:val="24"/>
          <w:lang w:val="en-NZ"/>
        </w:rPr>
      </w:pPr>
      <w:r w:rsidRPr="00D91268">
        <w:rPr>
          <w:sz w:val="24"/>
          <w:szCs w:val="24"/>
          <w:lang w:val="en-NZ"/>
        </w:rPr>
        <w:t xml:space="preserve">Carmichael WW &amp; Boyer GL. 2016. Health impacts from cyanobacteria harmful algae blooms: Implications for the North American Great Lakes. </w:t>
      </w:r>
      <w:r w:rsidRPr="00677B11">
        <w:rPr>
          <w:i/>
          <w:iCs/>
          <w:sz w:val="24"/>
          <w:szCs w:val="24"/>
          <w:lang w:val="en-NZ"/>
        </w:rPr>
        <w:t>Harmful Algae</w:t>
      </w:r>
      <w:r w:rsidRPr="00D91268">
        <w:rPr>
          <w:sz w:val="24"/>
          <w:szCs w:val="24"/>
          <w:lang w:val="en-NZ"/>
        </w:rPr>
        <w:t xml:space="preserve">, 54, 194- 212. </w:t>
      </w:r>
      <w:hyperlink r:id="rId28" w:history="1">
        <w:r w:rsidRPr="00D91268">
          <w:rPr>
            <w:rStyle w:val="Hyperlink"/>
            <w:sz w:val="24"/>
            <w:szCs w:val="24"/>
            <w:lang w:val="en-NZ"/>
          </w:rPr>
          <w:t>https://doi.org/10.1016/j.hal.2016.02.002</w:t>
        </w:r>
      </w:hyperlink>
      <w:r w:rsidRPr="00D91268">
        <w:rPr>
          <w:sz w:val="24"/>
          <w:szCs w:val="24"/>
          <w:lang w:val="en-NZ"/>
        </w:rPr>
        <w:t xml:space="preserve"> </w:t>
      </w:r>
    </w:p>
    <w:p w14:paraId="22823BDB" w14:textId="77777777" w:rsidR="0049069E" w:rsidRPr="00D91268" w:rsidRDefault="0049069E" w:rsidP="0049069E">
      <w:pPr>
        <w:rPr>
          <w:sz w:val="24"/>
          <w:szCs w:val="24"/>
          <w:lang w:val="en-NZ"/>
        </w:rPr>
      </w:pPr>
      <w:r w:rsidRPr="00D91268">
        <w:rPr>
          <w:sz w:val="24"/>
          <w:szCs w:val="24"/>
          <w:lang w:val="en-NZ"/>
        </w:rPr>
        <w:t xml:space="preserve">Carmichael WW &amp; Li R. 2006. Cyanobacteria toxins in the Salton Sea. </w:t>
      </w:r>
      <w:r w:rsidRPr="00677B11">
        <w:rPr>
          <w:i/>
          <w:iCs/>
          <w:sz w:val="24"/>
          <w:szCs w:val="24"/>
          <w:lang w:val="en-NZ"/>
        </w:rPr>
        <w:t>Saline Syst</w:t>
      </w:r>
      <w:r>
        <w:rPr>
          <w:i/>
          <w:iCs/>
          <w:sz w:val="24"/>
          <w:szCs w:val="24"/>
          <w:lang w:val="en-NZ"/>
        </w:rPr>
        <w:t>ems</w:t>
      </w:r>
      <w:r w:rsidRPr="00D91268">
        <w:rPr>
          <w:sz w:val="24"/>
          <w:szCs w:val="24"/>
          <w:lang w:val="en-NZ"/>
        </w:rPr>
        <w:t xml:space="preserve">, 2, 5. </w:t>
      </w:r>
      <w:hyperlink r:id="rId29" w:history="1">
        <w:r w:rsidRPr="00D91268">
          <w:rPr>
            <w:rStyle w:val="Hyperlink"/>
            <w:sz w:val="24"/>
            <w:szCs w:val="24"/>
            <w:lang w:val="en-NZ"/>
          </w:rPr>
          <w:t>https://doi.org/10.1186/1746-1448-2-5</w:t>
        </w:r>
      </w:hyperlink>
      <w:r w:rsidRPr="00D91268">
        <w:rPr>
          <w:sz w:val="24"/>
          <w:szCs w:val="24"/>
          <w:lang w:val="en-NZ"/>
        </w:rPr>
        <w:t xml:space="preserve"> </w:t>
      </w:r>
    </w:p>
    <w:p w14:paraId="793EFE72" w14:textId="77777777" w:rsidR="0049069E" w:rsidRPr="00D91268" w:rsidRDefault="0049069E" w:rsidP="0049069E">
      <w:pPr>
        <w:rPr>
          <w:sz w:val="24"/>
          <w:szCs w:val="24"/>
          <w:lang w:val="en-NZ"/>
        </w:rPr>
      </w:pPr>
      <w:r w:rsidRPr="0048013C">
        <w:rPr>
          <w:sz w:val="24"/>
          <w:szCs w:val="24"/>
          <w:lang w:val="en-NZ"/>
        </w:rPr>
        <w:lastRenderedPageBreak/>
        <w:t xml:space="preserve">Centers for Disease Control and Prevention. 2018. </w:t>
      </w:r>
      <w:r w:rsidRPr="0048013C">
        <w:rPr>
          <w:i/>
          <w:iCs/>
          <w:sz w:val="24"/>
          <w:szCs w:val="24"/>
          <w:lang w:val="en-NZ"/>
        </w:rPr>
        <w:t>Case Definition: Brevetoxin.</w:t>
      </w:r>
      <w:r w:rsidRPr="0048013C">
        <w:rPr>
          <w:sz w:val="24"/>
          <w:szCs w:val="24"/>
          <w:lang w:val="en-NZ"/>
        </w:rPr>
        <w:t xml:space="preserve"> </w:t>
      </w:r>
      <w:hyperlink r:id="rId30" w:history="1">
        <w:r w:rsidRPr="0048013C">
          <w:rPr>
            <w:rStyle w:val="Hyperlink"/>
            <w:sz w:val="24"/>
            <w:szCs w:val="24"/>
            <w:lang w:val="en-NZ"/>
          </w:rPr>
          <w:t>https://emergency.cdc.gov/agent/brevetoxin/casedef.asp</w:t>
        </w:r>
      </w:hyperlink>
      <w:r w:rsidRPr="0048013C">
        <w:rPr>
          <w:sz w:val="24"/>
          <w:szCs w:val="24"/>
          <w:lang w:val="en-NZ"/>
        </w:rPr>
        <w:t>.</w:t>
      </w:r>
      <w:r w:rsidRPr="00D91268">
        <w:rPr>
          <w:sz w:val="24"/>
          <w:szCs w:val="24"/>
          <w:lang w:val="en-NZ"/>
        </w:rPr>
        <w:t xml:space="preserve"> </w:t>
      </w:r>
    </w:p>
    <w:p w14:paraId="00B45CF8" w14:textId="77777777" w:rsidR="0049069E" w:rsidRPr="00D91268" w:rsidRDefault="0049069E" w:rsidP="0049069E">
      <w:pPr>
        <w:rPr>
          <w:sz w:val="24"/>
          <w:szCs w:val="24"/>
          <w:lang w:val="en-NZ"/>
        </w:rPr>
      </w:pPr>
      <w:r w:rsidRPr="00D91268">
        <w:rPr>
          <w:sz w:val="24"/>
          <w:szCs w:val="24"/>
          <w:lang w:val="en-NZ"/>
        </w:rPr>
        <w:t xml:space="preserve">Centers for Disease Control and Prevention. 2021. </w:t>
      </w:r>
      <w:r w:rsidRPr="00261A2D">
        <w:rPr>
          <w:i/>
          <w:iCs/>
          <w:sz w:val="24"/>
          <w:szCs w:val="24"/>
          <w:lang w:val="en-NZ"/>
        </w:rPr>
        <w:t>One Health Harmful Algal Bloom System (OHHABS).</w:t>
      </w:r>
      <w:r w:rsidRPr="00D91268">
        <w:rPr>
          <w:sz w:val="24"/>
          <w:szCs w:val="24"/>
          <w:lang w:val="en-NZ"/>
        </w:rPr>
        <w:t xml:space="preserve"> </w:t>
      </w:r>
      <w:hyperlink r:id="rId31" w:history="1">
        <w:r w:rsidRPr="00D91268">
          <w:rPr>
            <w:rStyle w:val="Hyperlink"/>
            <w:sz w:val="24"/>
            <w:szCs w:val="24"/>
            <w:lang w:val="en-NZ"/>
          </w:rPr>
          <w:t>https://www.cdc.gov/habs/ohhabs.html</w:t>
        </w:r>
      </w:hyperlink>
      <w:r w:rsidRPr="00D91268">
        <w:rPr>
          <w:sz w:val="24"/>
          <w:szCs w:val="24"/>
          <w:lang w:val="en-NZ"/>
        </w:rPr>
        <w:t xml:space="preserve"> </w:t>
      </w:r>
    </w:p>
    <w:p w14:paraId="225F4BD2" w14:textId="77777777" w:rsidR="0049069E" w:rsidRPr="00D91268" w:rsidRDefault="0049069E" w:rsidP="0049069E">
      <w:pPr>
        <w:rPr>
          <w:sz w:val="24"/>
          <w:szCs w:val="24"/>
          <w:lang w:val="en-NZ"/>
        </w:rPr>
      </w:pPr>
      <w:r w:rsidRPr="00D91268">
        <w:rPr>
          <w:sz w:val="24"/>
          <w:szCs w:val="24"/>
          <w:lang w:val="en-NZ"/>
        </w:rPr>
        <w:t xml:space="preserve">Centers for Disease Control and Prevention. 2022a. </w:t>
      </w:r>
      <w:r w:rsidRPr="00261A2D">
        <w:rPr>
          <w:i/>
          <w:iCs/>
          <w:sz w:val="24"/>
          <w:szCs w:val="24"/>
          <w:lang w:val="en-NZ"/>
        </w:rPr>
        <w:t>Cyanobacterial Blooms: Information for Healthcare Providers.</w:t>
      </w:r>
      <w:r w:rsidRPr="00D91268">
        <w:rPr>
          <w:sz w:val="24"/>
          <w:szCs w:val="24"/>
          <w:lang w:val="en-NZ"/>
        </w:rPr>
        <w:t xml:space="preserve"> </w:t>
      </w:r>
      <w:hyperlink r:id="rId32" w:history="1">
        <w:r w:rsidRPr="00D91268">
          <w:rPr>
            <w:rStyle w:val="Hyperlink"/>
            <w:sz w:val="24"/>
            <w:szCs w:val="24"/>
            <w:lang w:val="en-NZ"/>
          </w:rPr>
          <w:t>https://www.cdc.gov/habs/specific- groups/healthcare_providers.html</w:t>
        </w:r>
      </w:hyperlink>
      <w:r w:rsidRPr="00D91268">
        <w:rPr>
          <w:sz w:val="24"/>
          <w:szCs w:val="24"/>
          <w:lang w:val="en-NZ"/>
        </w:rPr>
        <w:t xml:space="preserve"> </w:t>
      </w:r>
    </w:p>
    <w:p w14:paraId="3CEC73D5" w14:textId="77777777" w:rsidR="0049069E" w:rsidRPr="00D91268" w:rsidRDefault="0049069E" w:rsidP="0049069E">
      <w:pPr>
        <w:rPr>
          <w:sz w:val="24"/>
          <w:szCs w:val="24"/>
          <w:lang w:val="en-NZ"/>
        </w:rPr>
      </w:pPr>
      <w:r w:rsidRPr="00D91268">
        <w:rPr>
          <w:sz w:val="24"/>
          <w:szCs w:val="24"/>
          <w:lang w:val="en-NZ"/>
        </w:rPr>
        <w:t xml:space="preserve">Centers for Disease Control and Prevention. 2022b. </w:t>
      </w:r>
      <w:r w:rsidRPr="009C0418">
        <w:rPr>
          <w:i/>
          <w:iCs/>
          <w:sz w:val="24"/>
          <w:szCs w:val="24"/>
          <w:lang w:val="en-NZ"/>
        </w:rPr>
        <w:t>Harmful Algal Bloom (HAB)- Associated Illness - Causes and Ecosystem Impacts.</w:t>
      </w:r>
      <w:r w:rsidRPr="00D91268">
        <w:rPr>
          <w:sz w:val="24"/>
          <w:szCs w:val="24"/>
          <w:lang w:val="en-NZ"/>
        </w:rPr>
        <w:t xml:space="preserve"> </w:t>
      </w:r>
      <w:hyperlink r:id="rId33" w:anchor="dino" w:history="1">
        <w:r w:rsidRPr="00D91268">
          <w:rPr>
            <w:rStyle w:val="Hyperlink"/>
            <w:sz w:val="24"/>
            <w:szCs w:val="24"/>
            <w:lang w:val="en-NZ"/>
          </w:rPr>
          <w:t>https://www.cdc.gov/habs/environment.html#dino</w:t>
        </w:r>
      </w:hyperlink>
      <w:r w:rsidRPr="00D91268">
        <w:rPr>
          <w:sz w:val="24"/>
          <w:szCs w:val="24"/>
          <w:lang w:val="en-NZ"/>
        </w:rPr>
        <w:t xml:space="preserve"> </w:t>
      </w:r>
    </w:p>
    <w:p w14:paraId="56248EBA" w14:textId="77777777" w:rsidR="0049069E" w:rsidRPr="00D91268" w:rsidRDefault="0049069E" w:rsidP="0049069E">
      <w:pPr>
        <w:rPr>
          <w:sz w:val="24"/>
          <w:szCs w:val="24"/>
          <w:lang w:val="en-NZ"/>
        </w:rPr>
      </w:pPr>
      <w:r w:rsidRPr="00D91268">
        <w:rPr>
          <w:sz w:val="24"/>
          <w:szCs w:val="24"/>
          <w:lang w:val="en-NZ"/>
        </w:rPr>
        <w:t xml:space="preserve">Centers for Disease Control and Prevention. 2022c. </w:t>
      </w:r>
      <w:r w:rsidRPr="009C0418">
        <w:rPr>
          <w:i/>
          <w:iCs/>
          <w:sz w:val="24"/>
          <w:szCs w:val="24"/>
          <w:lang w:val="en-NZ"/>
        </w:rPr>
        <w:t>Hierarchy of Controls.</w:t>
      </w:r>
      <w:r w:rsidRPr="00D91268">
        <w:rPr>
          <w:sz w:val="24"/>
          <w:szCs w:val="24"/>
          <w:lang w:val="en-NZ"/>
        </w:rPr>
        <w:t xml:space="preserve"> </w:t>
      </w:r>
      <w:hyperlink r:id="rId34" w:history="1">
        <w:r w:rsidRPr="00D91268">
          <w:rPr>
            <w:rStyle w:val="Hyperlink"/>
            <w:sz w:val="24"/>
            <w:szCs w:val="24"/>
            <w:lang w:val="en-NZ"/>
          </w:rPr>
          <w:t>https://www.cdc.gov/niosh/topics/hierarchy/default.html</w:t>
        </w:r>
      </w:hyperlink>
      <w:r w:rsidRPr="00D91268">
        <w:rPr>
          <w:sz w:val="24"/>
          <w:szCs w:val="24"/>
          <w:lang w:val="en-NZ"/>
        </w:rPr>
        <w:t xml:space="preserve"> </w:t>
      </w:r>
    </w:p>
    <w:p w14:paraId="53845DB8" w14:textId="77777777" w:rsidR="0049069E" w:rsidRPr="00D91268" w:rsidRDefault="0049069E" w:rsidP="0049069E">
      <w:pPr>
        <w:rPr>
          <w:sz w:val="24"/>
          <w:szCs w:val="24"/>
          <w:lang w:val="en-NZ"/>
        </w:rPr>
      </w:pPr>
      <w:r w:rsidRPr="00D91268">
        <w:rPr>
          <w:sz w:val="24"/>
          <w:szCs w:val="24"/>
          <w:lang w:val="en-NZ"/>
        </w:rPr>
        <w:t xml:space="preserve">Centers for Disease Control and Prevention. 2022d. </w:t>
      </w:r>
      <w:r w:rsidRPr="009C0418">
        <w:rPr>
          <w:i/>
          <w:iCs/>
          <w:sz w:val="24"/>
          <w:szCs w:val="24"/>
          <w:lang w:val="en-NZ"/>
        </w:rPr>
        <w:t xml:space="preserve">Illness and Symptoms: Cyanobacteria in Fresh Water. </w:t>
      </w:r>
      <w:hyperlink r:id="rId35" w:history="1">
        <w:r w:rsidRPr="00D91268">
          <w:rPr>
            <w:rStyle w:val="Hyperlink"/>
            <w:sz w:val="24"/>
            <w:szCs w:val="24"/>
            <w:lang w:val="en-NZ"/>
          </w:rPr>
          <w:t>https://www.cdc.gov/habs/illness-symptoms-freshwater.html</w:t>
        </w:r>
      </w:hyperlink>
      <w:r w:rsidRPr="00D91268">
        <w:rPr>
          <w:sz w:val="24"/>
          <w:szCs w:val="24"/>
          <w:lang w:val="en-NZ"/>
        </w:rPr>
        <w:t xml:space="preserve"> </w:t>
      </w:r>
    </w:p>
    <w:p w14:paraId="180C481E" w14:textId="77777777" w:rsidR="0049069E" w:rsidRPr="00D91268" w:rsidRDefault="0049069E" w:rsidP="0049069E">
      <w:pPr>
        <w:rPr>
          <w:sz w:val="24"/>
          <w:szCs w:val="24"/>
          <w:lang w:val="en-NZ"/>
        </w:rPr>
      </w:pPr>
      <w:r w:rsidRPr="00D91268">
        <w:rPr>
          <w:sz w:val="24"/>
          <w:szCs w:val="24"/>
          <w:lang w:val="en-NZ"/>
        </w:rPr>
        <w:t xml:space="preserve">Centers for Disease Control and Prevention. 2022e. </w:t>
      </w:r>
      <w:r w:rsidRPr="009C0418">
        <w:rPr>
          <w:i/>
          <w:iCs/>
          <w:sz w:val="24"/>
          <w:szCs w:val="24"/>
          <w:lang w:val="en-NZ"/>
        </w:rPr>
        <w:t>Illness and Symptoms: Marine (Saltwater) Algal Blooms.</w:t>
      </w:r>
      <w:r w:rsidRPr="00D91268">
        <w:rPr>
          <w:sz w:val="24"/>
          <w:szCs w:val="24"/>
          <w:lang w:val="en-NZ"/>
        </w:rPr>
        <w:t xml:space="preserve"> </w:t>
      </w:r>
      <w:hyperlink r:id="rId36" w:history="1">
        <w:r w:rsidRPr="00D91268">
          <w:rPr>
            <w:rStyle w:val="Hyperlink"/>
            <w:sz w:val="24"/>
            <w:szCs w:val="24"/>
            <w:lang w:val="en-NZ"/>
          </w:rPr>
          <w:t>https://www.cdc.gov/habs/illness-symptoms-marine.html</w:t>
        </w:r>
      </w:hyperlink>
      <w:r w:rsidRPr="00D91268">
        <w:rPr>
          <w:sz w:val="24"/>
          <w:szCs w:val="24"/>
          <w:lang w:val="en-NZ"/>
        </w:rPr>
        <w:t xml:space="preserve">  </w:t>
      </w:r>
    </w:p>
    <w:p w14:paraId="2A376C6F" w14:textId="77777777" w:rsidR="0049069E" w:rsidRPr="00D91268" w:rsidRDefault="0049069E" w:rsidP="0049069E">
      <w:pPr>
        <w:rPr>
          <w:sz w:val="24"/>
          <w:szCs w:val="24"/>
          <w:lang w:val="en-NZ"/>
        </w:rPr>
      </w:pPr>
      <w:r w:rsidRPr="00D91268">
        <w:rPr>
          <w:sz w:val="24"/>
          <w:szCs w:val="24"/>
          <w:lang w:val="en-NZ"/>
        </w:rPr>
        <w:t xml:space="preserve">Chiswell RK, Shaw GR, Eaglesham G, Smith MJ, Norris RL, Seawright AA, &amp; Moore MR. 1999. Stability of cylindrospermopsin, the toxin from the cyanobacterium, Cylindrospermopsis raciborskii: Effect of pH, temperature, and sunlight on decomposition. </w:t>
      </w:r>
      <w:r w:rsidRPr="005D7389">
        <w:rPr>
          <w:i/>
          <w:iCs/>
          <w:sz w:val="24"/>
          <w:szCs w:val="24"/>
          <w:lang w:val="en-NZ"/>
        </w:rPr>
        <w:t>Environmental Toxicology</w:t>
      </w:r>
      <w:r w:rsidRPr="00D91268">
        <w:rPr>
          <w:sz w:val="24"/>
          <w:szCs w:val="24"/>
          <w:lang w:val="en-NZ"/>
        </w:rPr>
        <w:t xml:space="preserve">, 14(1), 155-161. </w:t>
      </w:r>
      <w:hyperlink r:id="rId37" w:history="1">
        <w:r w:rsidRPr="00D91268">
          <w:rPr>
            <w:rStyle w:val="Hyperlink"/>
            <w:sz w:val="24"/>
            <w:szCs w:val="24"/>
            <w:lang w:val="en-NZ"/>
          </w:rPr>
          <w:t>https://doi.org/10.1002/(SICI)1522-7278(199902)14:1&lt;155::AID- TOX20&gt;3.0.CO;2-Z</w:t>
        </w:r>
      </w:hyperlink>
      <w:r w:rsidRPr="00D91268">
        <w:rPr>
          <w:sz w:val="24"/>
          <w:szCs w:val="24"/>
          <w:lang w:val="en-NZ"/>
        </w:rPr>
        <w:t xml:space="preserve">  </w:t>
      </w:r>
    </w:p>
    <w:p w14:paraId="2B47A762" w14:textId="77777777" w:rsidR="0049069E" w:rsidRPr="00D91268" w:rsidRDefault="0049069E" w:rsidP="0049069E">
      <w:pPr>
        <w:rPr>
          <w:sz w:val="24"/>
          <w:szCs w:val="24"/>
          <w:lang w:val="en-NZ"/>
        </w:rPr>
      </w:pPr>
      <w:r w:rsidRPr="00D91268">
        <w:rPr>
          <w:sz w:val="24"/>
          <w:szCs w:val="24"/>
          <w:lang w:val="en-NZ"/>
        </w:rPr>
        <w:t xml:space="preserve">Chorus I, Fastner J, &amp; Welker M. 2021. Cyanobacteria and Cyanotoxins in a Changing Environment: Concepts, Controversies, Challenges. </w:t>
      </w:r>
      <w:r w:rsidRPr="00CA6040">
        <w:rPr>
          <w:i/>
          <w:iCs/>
          <w:sz w:val="24"/>
          <w:szCs w:val="24"/>
          <w:lang w:val="en-NZ"/>
        </w:rPr>
        <w:t>Water</w:t>
      </w:r>
      <w:r w:rsidRPr="00D91268">
        <w:rPr>
          <w:sz w:val="24"/>
          <w:szCs w:val="24"/>
          <w:lang w:val="en-NZ"/>
        </w:rPr>
        <w:t xml:space="preserve">, 13(18). </w:t>
      </w:r>
      <w:hyperlink r:id="rId38" w:history="1">
        <w:r w:rsidRPr="00D91268">
          <w:rPr>
            <w:rStyle w:val="Hyperlink"/>
            <w:sz w:val="24"/>
            <w:szCs w:val="24"/>
            <w:lang w:val="en-NZ"/>
          </w:rPr>
          <w:t>https://doi.org/10.3390/w13182463</w:t>
        </w:r>
      </w:hyperlink>
      <w:r w:rsidRPr="00D91268">
        <w:rPr>
          <w:sz w:val="24"/>
          <w:szCs w:val="24"/>
          <w:lang w:val="en-NZ"/>
        </w:rPr>
        <w:t xml:space="preserve"> </w:t>
      </w:r>
    </w:p>
    <w:p w14:paraId="76ED11E5" w14:textId="77777777" w:rsidR="0049069E" w:rsidRPr="00D91268" w:rsidRDefault="0049069E" w:rsidP="0049069E">
      <w:pPr>
        <w:rPr>
          <w:sz w:val="24"/>
          <w:szCs w:val="24"/>
          <w:lang w:val="en-NZ"/>
        </w:rPr>
      </w:pPr>
      <w:r w:rsidRPr="00D91268">
        <w:rPr>
          <w:sz w:val="24"/>
          <w:szCs w:val="24"/>
          <w:lang w:val="en-NZ"/>
        </w:rPr>
        <w:t xml:space="preserve">Chorus I &amp; Welker M. 2021. Toxic Cyanobacteria in Water: </w:t>
      </w:r>
      <w:r w:rsidRPr="006E4400">
        <w:rPr>
          <w:i/>
          <w:iCs/>
          <w:sz w:val="24"/>
          <w:szCs w:val="24"/>
          <w:lang w:val="en-NZ"/>
        </w:rPr>
        <w:t>A Guide to Their Public Health Consequences, Monitoring and Management</w:t>
      </w:r>
      <w:r w:rsidRPr="00D91268">
        <w:rPr>
          <w:sz w:val="24"/>
          <w:szCs w:val="24"/>
          <w:lang w:val="en-NZ"/>
        </w:rPr>
        <w:t>. B. R. F. CRC Press, on behalf of the World Health Organization, Geneva, CH.</w:t>
      </w:r>
    </w:p>
    <w:p w14:paraId="7FD48057" w14:textId="77777777" w:rsidR="0049069E" w:rsidRPr="00D91268" w:rsidRDefault="0049069E" w:rsidP="0049069E">
      <w:pPr>
        <w:rPr>
          <w:sz w:val="24"/>
          <w:szCs w:val="24"/>
          <w:lang w:val="en-NZ"/>
        </w:rPr>
      </w:pPr>
      <w:r w:rsidRPr="00D91268">
        <w:rPr>
          <w:sz w:val="24"/>
          <w:szCs w:val="24"/>
          <w:lang w:val="en-NZ"/>
        </w:rPr>
        <w:t>Cressey PHB. 2016</w:t>
      </w:r>
      <w:r w:rsidRPr="007F228C">
        <w:rPr>
          <w:i/>
          <w:iCs/>
          <w:sz w:val="24"/>
          <w:szCs w:val="24"/>
          <w:lang w:val="en-NZ"/>
        </w:rPr>
        <w:t>. Exposure Factors Handbook: Recommended values for use by the Institute of Environmental Science and Research Ltd.</w:t>
      </w:r>
    </w:p>
    <w:p w14:paraId="164C7714" w14:textId="77777777" w:rsidR="0049069E" w:rsidRPr="00D91268" w:rsidRDefault="0049069E" w:rsidP="0049069E">
      <w:pPr>
        <w:rPr>
          <w:sz w:val="24"/>
          <w:szCs w:val="24"/>
          <w:lang w:val="en-NZ"/>
        </w:rPr>
      </w:pPr>
      <w:r w:rsidRPr="00D91268">
        <w:rPr>
          <w:sz w:val="24"/>
          <w:szCs w:val="24"/>
          <w:lang w:val="en-NZ"/>
        </w:rPr>
        <w:t xml:space="preserve">David K, Joel T, Paul E, John L, Richard L, Edward LL, Margaret Q, Ruthann R, Ted, S &amp; Michael S. 2001. The Precautionary Principle in Environmental Science. </w:t>
      </w:r>
      <w:r w:rsidRPr="00BF64B6">
        <w:rPr>
          <w:i/>
          <w:iCs/>
          <w:sz w:val="24"/>
          <w:szCs w:val="24"/>
          <w:lang w:val="en-NZ"/>
        </w:rPr>
        <w:t>Environ</w:t>
      </w:r>
      <w:r>
        <w:rPr>
          <w:i/>
          <w:iCs/>
          <w:sz w:val="24"/>
          <w:szCs w:val="24"/>
          <w:lang w:val="en-NZ"/>
        </w:rPr>
        <w:t xml:space="preserve">mental </w:t>
      </w:r>
      <w:r w:rsidRPr="00BF64B6">
        <w:rPr>
          <w:i/>
          <w:iCs/>
          <w:sz w:val="24"/>
          <w:szCs w:val="24"/>
          <w:lang w:val="en-NZ"/>
        </w:rPr>
        <w:t>Health Perspect</w:t>
      </w:r>
      <w:r>
        <w:rPr>
          <w:i/>
          <w:iCs/>
          <w:sz w:val="24"/>
          <w:szCs w:val="24"/>
          <w:lang w:val="en-NZ"/>
        </w:rPr>
        <w:t>ives</w:t>
      </w:r>
      <w:r w:rsidRPr="00BF64B6">
        <w:rPr>
          <w:i/>
          <w:iCs/>
          <w:sz w:val="24"/>
          <w:szCs w:val="24"/>
          <w:lang w:val="en-NZ"/>
        </w:rPr>
        <w:t>,</w:t>
      </w:r>
      <w:r w:rsidRPr="00D91268">
        <w:rPr>
          <w:sz w:val="24"/>
          <w:szCs w:val="24"/>
          <w:lang w:val="en-NZ"/>
        </w:rPr>
        <w:t xml:space="preserve"> 109, 871-876. </w:t>
      </w:r>
    </w:p>
    <w:p w14:paraId="0E80FC48" w14:textId="77777777" w:rsidR="0049069E" w:rsidRPr="00D91268" w:rsidRDefault="0049069E" w:rsidP="0049069E">
      <w:pPr>
        <w:rPr>
          <w:sz w:val="24"/>
          <w:szCs w:val="24"/>
          <w:lang w:val="en-NZ"/>
        </w:rPr>
      </w:pPr>
      <w:r w:rsidRPr="00D91268">
        <w:rPr>
          <w:sz w:val="24"/>
          <w:szCs w:val="24"/>
          <w:lang w:val="en-NZ"/>
        </w:rPr>
        <w:t>Deeds JR &amp; Schwartz MD</w:t>
      </w:r>
      <w:r>
        <w:rPr>
          <w:sz w:val="24"/>
          <w:szCs w:val="24"/>
          <w:lang w:val="en-NZ"/>
        </w:rPr>
        <w:t xml:space="preserve"> </w:t>
      </w:r>
      <w:r w:rsidRPr="00D91268">
        <w:rPr>
          <w:sz w:val="24"/>
          <w:szCs w:val="24"/>
          <w:lang w:val="en-NZ"/>
        </w:rPr>
        <w:t>2010. Human risk associated with palytoxin exposure.</w:t>
      </w:r>
      <w:r>
        <w:rPr>
          <w:sz w:val="24"/>
          <w:szCs w:val="24"/>
          <w:lang w:val="en-NZ"/>
        </w:rPr>
        <w:t xml:space="preserve"> </w:t>
      </w:r>
      <w:r w:rsidRPr="00440E96">
        <w:rPr>
          <w:i/>
          <w:iCs/>
          <w:sz w:val="24"/>
          <w:szCs w:val="24"/>
          <w:lang w:val="en-NZ"/>
        </w:rPr>
        <w:t>Toxicon</w:t>
      </w:r>
      <w:r w:rsidRPr="00D91268">
        <w:rPr>
          <w:sz w:val="24"/>
          <w:szCs w:val="24"/>
          <w:lang w:val="en-NZ"/>
        </w:rPr>
        <w:t xml:space="preserve">, 56(2), 150-162. </w:t>
      </w:r>
      <w:hyperlink r:id="rId39" w:history="1">
        <w:r w:rsidRPr="00D91268">
          <w:rPr>
            <w:rStyle w:val="Hyperlink"/>
            <w:sz w:val="24"/>
            <w:szCs w:val="24"/>
            <w:lang w:val="en-NZ"/>
          </w:rPr>
          <w:t>https://doi.org/10.1016/j.toxicon.2009.05.035</w:t>
        </w:r>
      </w:hyperlink>
      <w:r w:rsidRPr="00D91268">
        <w:rPr>
          <w:sz w:val="24"/>
          <w:szCs w:val="24"/>
          <w:lang w:val="en-NZ"/>
        </w:rPr>
        <w:t xml:space="preserve"> </w:t>
      </w:r>
    </w:p>
    <w:p w14:paraId="055B0A9C" w14:textId="77777777" w:rsidR="0049069E" w:rsidRPr="00D91268" w:rsidRDefault="0049069E" w:rsidP="0049069E">
      <w:pPr>
        <w:rPr>
          <w:sz w:val="24"/>
          <w:szCs w:val="24"/>
          <w:lang w:val="en-NZ"/>
        </w:rPr>
      </w:pPr>
      <w:r w:rsidRPr="00D91268">
        <w:rPr>
          <w:sz w:val="24"/>
          <w:szCs w:val="24"/>
          <w:lang w:val="en-NZ"/>
        </w:rPr>
        <w:t xml:space="preserve">Durando P, Ansaldi F, Oreste P, Moscatelli P, Marensi L, Grillo C, Gasparini R, Icardi G &amp; </w:t>
      </w:r>
      <w:r w:rsidRPr="00CE0DD1">
        <w:rPr>
          <w:sz w:val="24"/>
          <w:szCs w:val="24"/>
        </w:rPr>
        <w:t>the Collaborative Group for the Ligurian Syndromic Algal Surveillance</w:t>
      </w:r>
      <w:r w:rsidRPr="00D91268">
        <w:rPr>
          <w:sz w:val="24"/>
          <w:szCs w:val="24"/>
          <w:lang w:val="en-NZ"/>
        </w:rPr>
        <w:t xml:space="preserve">. 2007. Ostreopsis ovata and human health: epidemiological and clinical features of respiratory syndrome outbreaks from a two-year syndromic surveillance, 2005-06, in </w:t>
      </w:r>
      <w:r w:rsidRPr="00D91268">
        <w:rPr>
          <w:sz w:val="24"/>
          <w:szCs w:val="24"/>
          <w:lang w:val="en-NZ"/>
        </w:rPr>
        <w:lastRenderedPageBreak/>
        <w:t xml:space="preserve">north-west Italy. </w:t>
      </w:r>
      <w:r w:rsidRPr="00067A71">
        <w:rPr>
          <w:i/>
          <w:iCs/>
          <w:sz w:val="24"/>
          <w:szCs w:val="24"/>
          <w:lang w:val="en-NZ"/>
        </w:rPr>
        <w:t>Weekly releases</w:t>
      </w:r>
      <w:r w:rsidRPr="00D91268">
        <w:rPr>
          <w:sz w:val="24"/>
          <w:szCs w:val="24"/>
          <w:lang w:val="en-NZ"/>
        </w:rPr>
        <w:t xml:space="preserve"> (1997–2007), 12(23), 3212. </w:t>
      </w:r>
      <w:hyperlink r:id="rId40" w:history="1">
        <w:r w:rsidRPr="00D91268">
          <w:rPr>
            <w:rStyle w:val="Hyperlink"/>
            <w:sz w:val="24"/>
            <w:szCs w:val="24"/>
            <w:lang w:val="en-NZ"/>
          </w:rPr>
          <w:t>https://doi.org/10.2807/esw.12.23.03212-en</w:t>
        </w:r>
      </w:hyperlink>
      <w:r w:rsidRPr="00D91268">
        <w:rPr>
          <w:sz w:val="24"/>
          <w:szCs w:val="24"/>
          <w:lang w:val="en-NZ"/>
        </w:rPr>
        <w:t xml:space="preserve">   </w:t>
      </w:r>
    </w:p>
    <w:p w14:paraId="10B2BBD8" w14:textId="77777777" w:rsidR="0049069E" w:rsidRPr="003530F7" w:rsidRDefault="0049069E" w:rsidP="0049069E">
      <w:pPr>
        <w:rPr>
          <w:i/>
          <w:iCs/>
          <w:sz w:val="24"/>
          <w:szCs w:val="24"/>
          <w:lang w:val="en-NZ"/>
        </w:rPr>
      </w:pPr>
      <w:r w:rsidRPr="00D91268">
        <w:rPr>
          <w:sz w:val="24"/>
          <w:szCs w:val="24"/>
          <w:lang w:val="en-NZ"/>
        </w:rPr>
        <w:t>Durie, M. 1999</w:t>
      </w:r>
      <w:r>
        <w:rPr>
          <w:sz w:val="24"/>
          <w:szCs w:val="24"/>
          <w:lang w:val="en-NZ"/>
        </w:rPr>
        <w:t>.</w:t>
      </w:r>
      <w:r w:rsidRPr="00D91268">
        <w:rPr>
          <w:sz w:val="24"/>
          <w:szCs w:val="24"/>
          <w:lang w:val="en-NZ"/>
        </w:rPr>
        <w:t xml:space="preserve"> Te Pae Mahutonga: a model for Māori health promotion</w:t>
      </w:r>
      <w:r>
        <w:rPr>
          <w:sz w:val="24"/>
          <w:szCs w:val="24"/>
          <w:lang w:val="en-NZ"/>
        </w:rPr>
        <w:t xml:space="preserve">. </w:t>
      </w:r>
      <w:r w:rsidRPr="003530F7">
        <w:rPr>
          <w:i/>
          <w:iCs/>
          <w:sz w:val="24"/>
          <w:szCs w:val="24"/>
          <w:lang w:val="en-NZ"/>
        </w:rPr>
        <w:t>Health Promotion Forum of New Zealand Newsletter.</w:t>
      </w:r>
    </w:p>
    <w:p w14:paraId="33DD17A6" w14:textId="77777777" w:rsidR="0049069E" w:rsidRPr="00D91268" w:rsidRDefault="0049069E" w:rsidP="0049069E">
      <w:pPr>
        <w:rPr>
          <w:sz w:val="24"/>
          <w:szCs w:val="24"/>
          <w:lang w:val="en-NZ"/>
        </w:rPr>
      </w:pPr>
      <w:r w:rsidRPr="00D91268">
        <w:rPr>
          <w:sz w:val="24"/>
          <w:szCs w:val="24"/>
          <w:lang w:val="en-NZ"/>
        </w:rPr>
        <w:t xml:space="preserve">Environmental Health Intelligence New Zealand. 2021a. Hazardous </w:t>
      </w:r>
      <w:r w:rsidRPr="007A742B">
        <w:rPr>
          <w:i/>
          <w:iCs/>
          <w:sz w:val="24"/>
          <w:szCs w:val="24"/>
          <w:lang w:val="en-NZ"/>
        </w:rPr>
        <w:t>Substances Disease and Injury Reporting Tool A User’s Guide for Public Health Units</w:t>
      </w:r>
      <w:r w:rsidRPr="00D91268">
        <w:rPr>
          <w:sz w:val="24"/>
          <w:szCs w:val="24"/>
          <w:lang w:val="en-NZ"/>
        </w:rPr>
        <w:t>.</w:t>
      </w:r>
      <w:r>
        <w:rPr>
          <w:sz w:val="24"/>
          <w:szCs w:val="24"/>
          <w:lang w:val="en-NZ"/>
        </w:rPr>
        <w:t xml:space="preserve"> </w:t>
      </w:r>
      <w:hyperlink r:id="rId41" w:history="1">
        <w:r w:rsidRPr="00390DE6">
          <w:rPr>
            <w:rStyle w:val="Hyperlink"/>
            <w:sz w:val="24"/>
            <w:szCs w:val="24"/>
            <w:lang w:val="en-NZ"/>
          </w:rPr>
          <w:t>https://www.ehinz.ac.nz/assets/Other/HSDIRT-Users-Guide-2021.pdf</w:t>
        </w:r>
      </w:hyperlink>
      <w:r>
        <w:rPr>
          <w:sz w:val="24"/>
          <w:szCs w:val="24"/>
          <w:lang w:val="en-NZ"/>
        </w:rPr>
        <w:t xml:space="preserve"> </w:t>
      </w:r>
    </w:p>
    <w:p w14:paraId="43E10E66" w14:textId="77777777" w:rsidR="0049069E" w:rsidRPr="00D91268" w:rsidRDefault="0049069E" w:rsidP="0049069E">
      <w:pPr>
        <w:rPr>
          <w:sz w:val="24"/>
          <w:szCs w:val="24"/>
          <w:lang w:val="en-NZ"/>
        </w:rPr>
      </w:pPr>
      <w:r w:rsidRPr="00D91268">
        <w:rPr>
          <w:sz w:val="24"/>
          <w:szCs w:val="24"/>
          <w:lang w:val="en-NZ"/>
        </w:rPr>
        <w:t>Environmental Health Intelligence New Zealand. 2021b. HSDIRT Frequently Asked Questions.</w:t>
      </w:r>
      <w:r>
        <w:rPr>
          <w:sz w:val="24"/>
          <w:szCs w:val="24"/>
          <w:lang w:val="en-NZ"/>
        </w:rPr>
        <w:t xml:space="preserve"> </w:t>
      </w:r>
      <w:hyperlink r:id="rId42" w:history="1">
        <w:r w:rsidRPr="00390DE6">
          <w:rPr>
            <w:rStyle w:val="Hyperlink"/>
            <w:sz w:val="24"/>
            <w:szCs w:val="24"/>
            <w:lang w:val="en-NZ"/>
          </w:rPr>
          <w:t>https://www.ehinz.ac.nz/assets/Supporting-documents/Hazardous-substances/Frequently-asked-questions-2024.pdf</w:t>
        </w:r>
      </w:hyperlink>
      <w:r>
        <w:rPr>
          <w:sz w:val="24"/>
          <w:szCs w:val="24"/>
          <w:lang w:val="en-NZ"/>
        </w:rPr>
        <w:t xml:space="preserve"> </w:t>
      </w:r>
    </w:p>
    <w:p w14:paraId="2BF249C1" w14:textId="77777777" w:rsidR="0049069E" w:rsidRPr="00D91268" w:rsidRDefault="0049069E" w:rsidP="0049069E">
      <w:pPr>
        <w:rPr>
          <w:sz w:val="24"/>
          <w:szCs w:val="24"/>
          <w:lang w:val="en-NZ"/>
        </w:rPr>
      </w:pPr>
      <w:r w:rsidRPr="00051EE2">
        <w:rPr>
          <w:sz w:val="24"/>
          <w:szCs w:val="24"/>
          <w:lang w:val="en-NZ"/>
        </w:rPr>
        <w:t>Environmental Health Intelligence New Zealand. 2022. Email exchange with EHINZ. In.</w:t>
      </w:r>
    </w:p>
    <w:p w14:paraId="09043DC5" w14:textId="77777777" w:rsidR="0049069E" w:rsidRPr="00D91268" w:rsidRDefault="0049069E" w:rsidP="0049069E">
      <w:pPr>
        <w:rPr>
          <w:sz w:val="24"/>
          <w:szCs w:val="24"/>
          <w:lang w:val="en-NZ"/>
        </w:rPr>
      </w:pPr>
      <w:r w:rsidRPr="00D91268">
        <w:rPr>
          <w:sz w:val="24"/>
          <w:szCs w:val="24"/>
          <w:lang w:val="en-NZ"/>
        </w:rPr>
        <w:t xml:space="preserve">European Centre for Disease Prevention and Control. 2021. </w:t>
      </w:r>
      <w:r w:rsidRPr="000A1C48">
        <w:rPr>
          <w:i/>
          <w:iCs/>
          <w:sz w:val="24"/>
          <w:szCs w:val="24"/>
          <w:lang w:val="en-NZ"/>
        </w:rPr>
        <w:t>Facts on ciguatera fish poisoning.</w:t>
      </w:r>
      <w:r w:rsidRPr="00D91268">
        <w:rPr>
          <w:sz w:val="24"/>
          <w:szCs w:val="24"/>
          <w:lang w:val="en-NZ"/>
        </w:rPr>
        <w:t xml:space="preserve"> </w:t>
      </w:r>
      <w:hyperlink r:id="rId43" w:history="1">
        <w:r w:rsidRPr="00D91268">
          <w:rPr>
            <w:rStyle w:val="Hyperlink"/>
            <w:sz w:val="24"/>
            <w:szCs w:val="24"/>
            <w:lang w:val="en-NZ"/>
          </w:rPr>
          <w:t>https://www.ecdc.europa.eu/en/all-topics-z/ciguatera-fish-poisoning/facts- ciguatera-fish-poisoning</w:t>
        </w:r>
      </w:hyperlink>
      <w:r w:rsidRPr="00D91268">
        <w:rPr>
          <w:sz w:val="24"/>
          <w:szCs w:val="24"/>
          <w:lang w:val="en-NZ"/>
        </w:rPr>
        <w:t xml:space="preserve"> </w:t>
      </w:r>
    </w:p>
    <w:p w14:paraId="02C25B14" w14:textId="77777777" w:rsidR="0049069E" w:rsidRPr="00D91268" w:rsidRDefault="0049069E" w:rsidP="0049069E">
      <w:pPr>
        <w:rPr>
          <w:sz w:val="24"/>
          <w:szCs w:val="24"/>
          <w:lang w:val="en-NZ"/>
        </w:rPr>
      </w:pPr>
      <w:r w:rsidRPr="00D91268">
        <w:rPr>
          <w:sz w:val="24"/>
          <w:szCs w:val="24"/>
          <w:lang w:val="en-NZ"/>
        </w:rPr>
        <w:t xml:space="preserve">European Food Safety Authority. 2009. Scientific Opinion: Marine Biotoxins in Shellfish – Saxitoxin Group. </w:t>
      </w:r>
      <w:r w:rsidRPr="000A1C48">
        <w:rPr>
          <w:i/>
          <w:iCs/>
          <w:sz w:val="24"/>
          <w:szCs w:val="24"/>
          <w:lang w:val="en-NZ"/>
        </w:rPr>
        <w:t>The EFSA Journal</w:t>
      </w:r>
      <w:r w:rsidRPr="00D91268">
        <w:rPr>
          <w:sz w:val="24"/>
          <w:szCs w:val="24"/>
          <w:lang w:val="en-NZ"/>
        </w:rPr>
        <w:t>, 1019, 1-76.</w:t>
      </w:r>
    </w:p>
    <w:p w14:paraId="752CBDB1" w14:textId="77777777" w:rsidR="0049069E" w:rsidRPr="00D91268" w:rsidRDefault="0049069E" w:rsidP="0049069E">
      <w:pPr>
        <w:rPr>
          <w:sz w:val="24"/>
          <w:szCs w:val="24"/>
          <w:lang w:val="en-NZ"/>
        </w:rPr>
      </w:pPr>
      <w:r w:rsidRPr="00D91268">
        <w:rPr>
          <w:sz w:val="24"/>
          <w:szCs w:val="24"/>
          <w:lang w:val="en-NZ"/>
        </w:rPr>
        <w:t xml:space="preserve">Fleming LE, Bean JA, Kirkpatrick B, Cheng YS, Pierce R, Naar J, Nierenberg K, Backer LC, Wanner A, Reich A, Zhou Y, Watkins S, Henry M, Zaias J, Abraham WM, Benson J, Cassedy A, Hollenbeck J, Kirkpatrick, G, . . . Baden DG. 2009. Exposure and effect assessment of aerosolized red tide toxins (brevetoxins) and asthma. </w:t>
      </w:r>
      <w:r w:rsidRPr="001768E7">
        <w:rPr>
          <w:i/>
          <w:iCs/>
          <w:sz w:val="24"/>
          <w:szCs w:val="24"/>
          <w:lang w:val="en-NZ"/>
        </w:rPr>
        <w:t>Environmental Health Perspectives</w:t>
      </w:r>
      <w:r w:rsidRPr="00D91268">
        <w:rPr>
          <w:sz w:val="24"/>
          <w:szCs w:val="24"/>
          <w:lang w:val="en-NZ"/>
        </w:rPr>
        <w:t xml:space="preserve">, 117(7), 1095-1100. </w:t>
      </w:r>
      <w:hyperlink r:id="rId44" w:history="1">
        <w:r w:rsidRPr="00D91268">
          <w:rPr>
            <w:rStyle w:val="Hyperlink"/>
            <w:sz w:val="24"/>
            <w:szCs w:val="24"/>
            <w:lang w:val="en-NZ"/>
          </w:rPr>
          <w:t>https://doi.org/10.1289/ehp.0900673</w:t>
        </w:r>
      </w:hyperlink>
      <w:r w:rsidRPr="00D91268">
        <w:rPr>
          <w:sz w:val="24"/>
          <w:szCs w:val="24"/>
          <w:lang w:val="en-NZ"/>
        </w:rPr>
        <w:t xml:space="preserve"> </w:t>
      </w:r>
    </w:p>
    <w:p w14:paraId="50762EAE" w14:textId="77777777" w:rsidR="0049069E" w:rsidRPr="00D91268" w:rsidRDefault="0049069E" w:rsidP="0049069E">
      <w:pPr>
        <w:rPr>
          <w:sz w:val="24"/>
          <w:szCs w:val="24"/>
          <w:lang w:val="en-NZ"/>
        </w:rPr>
      </w:pPr>
      <w:r w:rsidRPr="00D91268">
        <w:rPr>
          <w:sz w:val="24"/>
          <w:szCs w:val="24"/>
          <w:lang w:val="en-NZ"/>
        </w:rPr>
        <w:t xml:space="preserve">Genitsaris S, Kormas KA, &amp; Moustaka-Gouni M. 2011. Airborne algae and cyanobacteria: occurrence and related health effects. </w:t>
      </w:r>
      <w:r w:rsidRPr="00526856">
        <w:rPr>
          <w:i/>
          <w:iCs/>
          <w:sz w:val="24"/>
          <w:szCs w:val="24"/>
        </w:rPr>
        <w:t>Frontiers in Bioscience</w:t>
      </w:r>
      <w:r w:rsidRPr="00D91268">
        <w:rPr>
          <w:sz w:val="24"/>
          <w:szCs w:val="24"/>
          <w:lang w:val="en-NZ"/>
        </w:rPr>
        <w:t xml:space="preserve"> (Elite Ed), 3(2), 772-787. </w:t>
      </w:r>
      <w:hyperlink r:id="rId45" w:history="1">
        <w:r w:rsidRPr="00D91268">
          <w:rPr>
            <w:rStyle w:val="Hyperlink"/>
            <w:sz w:val="24"/>
            <w:szCs w:val="24"/>
            <w:lang w:val="en-NZ"/>
          </w:rPr>
          <w:t>https://doi.org/10.2741/e285</w:t>
        </w:r>
      </w:hyperlink>
      <w:r w:rsidRPr="00D91268">
        <w:rPr>
          <w:sz w:val="24"/>
          <w:szCs w:val="24"/>
          <w:lang w:val="en-NZ"/>
        </w:rPr>
        <w:t xml:space="preserve"> </w:t>
      </w:r>
    </w:p>
    <w:p w14:paraId="60E9B209" w14:textId="77777777" w:rsidR="0049069E" w:rsidRPr="00D91268" w:rsidRDefault="0049069E" w:rsidP="0049069E">
      <w:pPr>
        <w:rPr>
          <w:sz w:val="24"/>
          <w:szCs w:val="24"/>
          <w:lang w:val="en-NZ"/>
        </w:rPr>
      </w:pPr>
      <w:r w:rsidRPr="00D91268">
        <w:rPr>
          <w:sz w:val="24"/>
          <w:szCs w:val="24"/>
          <w:lang w:val="en-NZ"/>
        </w:rPr>
        <w:t>Gobler CJ</w:t>
      </w:r>
      <w:r>
        <w:rPr>
          <w:sz w:val="24"/>
          <w:szCs w:val="24"/>
          <w:lang w:val="en-NZ"/>
        </w:rPr>
        <w:t>.</w:t>
      </w:r>
      <w:r w:rsidRPr="00D91268">
        <w:rPr>
          <w:sz w:val="24"/>
          <w:szCs w:val="24"/>
          <w:lang w:val="en-NZ"/>
        </w:rPr>
        <w:t xml:space="preserve"> 2020. Climate Change and Harmful Algal Blooms: Insights and perspective. </w:t>
      </w:r>
      <w:r w:rsidRPr="00526856">
        <w:rPr>
          <w:i/>
          <w:iCs/>
          <w:sz w:val="24"/>
          <w:szCs w:val="24"/>
          <w:lang w:val="en-NZ"/>
        </w:rPr>
        <w:t>Harmful Algae</w:t>
      </w:r>
      <w:r w:rsidRPr="00D91268">
        <w:rPr>
          <w:sz w:val="24"/>
          <w:szCs w:val="24"/>
          <w:lang w:val="en-NZ"/>
        </w:rPr>
        <w:t xml:space="preserve">, 91, 101731. </w:t>
      </w:r>
      <w:hyperlink r:id="rId46" w:history="1">
        <w:r w:rsidRPr="00D91268">
          <w:rPr>
            <w:rStyle w:val="Hyperlink"/>
            <w:sz w:val="24"/>
            <w:szCs w:val="24"/>
            <w:lang w:val="en-NZ"/>
          </w:rPr>
          <w:t>https://doi.org/10.1016/j.hal.2019.101731</w:t>
        </w:r>
      </w:hyperlink>
      <w:r w:rsidRPr="00D91268">
        <w:rPr>
          <w:sz w:val="24"/>
          <w:szCs w:val="24"/>
          <w:lang w:val="en-NZ"/>
        </w:rPr>
        <w:t xml:space="preserve"> </w:t>
      </w:r>
    </w:p>
    <w:p w14:paraId="005FE189" w14:textId="77777777" w:rsidR="0049069E" w:rsidRPr="00D91268" w:rsidRDefault="0049069E" w:rsidP="0049069E">
      <w:pPr>
        <w:rPr>
          <w:sz w:val="24"/>
          <w:szCs w:val="24"/>
          <w:lang w:val="en-NZ"/>
        </w:rPr>
      </w:pPr>
      <w:r w:rsidRPr="00D91268">
        <w:rPr>
          <w:sz w:val="24"/>
          <w:szCs w:val="24"/>
          <w:lang w:val="en-NZ"/>
        </w:rPr>
        <w:t xml:space="preserve">Griffith AW &amp; Gobler CJ. 2020. Harmful algal blooms: A climate change co-stressor in marine and freshwater ecosystems. </w:t>
      </w:r>
      <w:r w:rsidRPr="00526856">
        <w:rPr>
          <w:i/>
          <w:iCs/>
          <w:sz w:val="24"/>
          <w:szCs w:val="24"/>
          <w:lang w:val="en-NZ"/>
        </w:rPr>
        <w:t>Harmful Algae</w:t>
      </w:r>
      <w:r w:rsidRPr="00D91268">
        <w:rPr>
          <w:sz w:val="24"/>
          <w:szCs w:val="24"/>
          <w:lang w:val="en-NZ"/>
        </w:rPr>
        <w:t xml:space="preserve">, 91, 101590. </w:t>
      </w:r>
      <w:hyperlink r:id="rId47" w:history="1">
        <w:r w:rsidRPr="00D91268">
          <w:rPr>
            <w:rStyle w:val="Hyperlink"/>
            <w:sz w:val="24"/>
            <w:szCs w:val="24"/>
            <w:lang w:val="en-NZ"/>
          </w:rPr>
          <w:t>https://doi.org/10.1016/j.hal.2019.03.008</w:t>
        </w:r>
      </w:hyperlink>
      <w:r w:rsidRPr="00D91268">
        <w:rPr>
          <w:sz w:val="24"/>
          <w:szCs w:val="24"/>
          <w:lang w:val="en-NZ"/>
        </w:rPr>
        <w:t xml:space="preserve">  </w:t>
      </w:r>
    </w:p>
    <w:p w14:paraId="795BE536" w14:textId="77777777" w:rsidR="0049069E" w:rsidRPr="00D91268" w:rsidRDefault="0049069E" w:rsidP="0049069E">
      <w:pPr>
        <w:rPr>
          <w:sz w:val="24"/>
          <w:szCs w:val="24"/>
          <w:lang w:val="en-NZ"/>
        </w:rPr>
      </w:pPr>
      <w:r w:rsidRPr="00D91268">
        <w:rPr>
          <w:sz w:val="24"/>
          <w:szCs w:val="24"/>
          <w:lang w:val="en-NZ"/>
        </w:rPr>
        <w:t xml:space="preserve">Gurney J, Stanley J &amp; Sarfati D. 2020. The inequity of morbidity: Disparities in the prevalence of morbidity between ethnic groups in New Zealand. </w:t>
      </w:r>
      <w:r w:rsidRPr="00413CA0">
        <w:rPr>
          <w:i/>
          <w:iCs/>
          <w:sz w:val="24"/>
          <w:szCs w:val="24"/>
          <w:lang w:val="en-NZ"/>
        </w:rPr>
        <w:t xml:space="preserve">Journal </w:t>
      </w:r>
      <w:r w:rsidRPr="00B54796">
        <w:rPr>
          <w:i/>
          <w:iCs/>
          <w:sz w:val="24"/>
          <w:szCs w:val="24"/>
          <w:lang w:val="en-NZ"/>
        </w:rPr>
        <w:t>of Multimorbidity and Comorbidit</w:t>
      </w:r>
      <w:r w:rsidRPr="00B54796">
        <w:rPr>
          <w:lang w:val="en-NZ"/>
        </w:rPr>
        <w:t>y</w:t>
      </w:r>
      <w:r w:rsidRPr="00D91268">
        <w:rPr>
          <w:sz w:val="24"/>
          <w:szCs w:val="24"/>
          <w:lang w:val="en-NZ"/>
        </w:rPr>
        <w:t xml:space="preserve">, 10, 2235042X20971168. </w:t>
      </w:r>
      <w:hyperlink r:id="rId48" w:history="1">
        <w:r w:rsidRPr="00D91268">
          <w:rPr>
            <w:rStyle w:val="Hyperlink"/>
            <w:sz w:val="24"/>
            <w:szCs w:val="24"/>
            <w:lang w:val="en-NZ"/>
          </w:rPr>
          <w:t>https://doi.org/10.1177/2235042X20971168</w:t>
        </w:r>
      </w:hyperlink>
      <w:r w:rsidRPr="00D91268">
        <w:rPr>
          <w:sz w:val="24"/>
          <w:szCs w:val="24"/>
          <w:lang w:val="en-NZ"/>
        </w:rPr>
        <w:t xml:space="preserve"> </w:t>
      </w:r>
    </w:p>
    <w:p w14:paraId="55753B68" w14:textId="77777777" w:rsidR="0049069E" w:rsidRPr="00D91268" w:rsidRDefault="0049069E" w:rsidP="0049069E">
      <w:pPr>
        <w:rPr>
          <w:sz w:val="24"/>
          <w:szCs w:val="24"/>
          <w:lang w:val="en-NZ"/>
        </w:rPr>
      </w:pPr>
      <w:r w:rsidRPr="00D91268">
        <w:rPr>
          <w:sz w:val="24"/>
          <w:szCs w:val="24"/>
          <w:lang w:val="en-NZ"/>
        </w:rPr>
        <w:t>Harmsworth GR &amp; Awatere S</w:t>
      </w:r>
      <w:r>
        <w:rPr>
          <w:sz w:val="24"/>
          <w:szCs w:val="24"/>
          <w:lang w:val="en-NZ"/>
        </w:rPr>
        <w:t xml:space="preserve">. </w:t>
      </w:r>
      <w:r w:rsidRPr="00D91268">
        <w:rPr>
          <w:sz w:val="24"/>
          <w:szCs w:val="24"/>
          <w:lang w:val="en-NZ"/>
        </w:rPr>
        <w:t xml:space="preserve">2013. Indigenous Māori knowledge and perspectives of ecosystems. </w:t>
      </w:r>
      <w:r w:rsidRPr="00FF03B2">
        <w:rPr>
          <w:i/>
          <w:iCs/>
          <w:sz w:val="24"/>
          <w:szCs w:val="24"/>
          <w:lang w:val="en-NZ"/>
        </w:rPr>
        <w:t>Ecosystem Services in New Zealand—conditions and trends</w:t>
      </w:r>
      <w:r w:rsidRPr="00D91268">
        <w:rPr>
          <w:sz w:val="24"/>
          <w:szCs w:val="24"/>
          <w:lang w:val="en-NZ"/>
        </w:rPr>
        <w:t>. Manaaki Whenua Press, Lincoln, New Zealand, 274-286.</w:t>
      </w:r>
    </w:p>
    <w:p w14:paraId="0D74F780" w14:textId="77777777" w:rsidR="0049069E" w:rsidRPr="00D91268" w:rsidRDefault="0049069E" w:rsidP="0049069E">
      <w:pPr>
        <w:rPr>
          <w:sz w:val="24"/>
          <w:szCs w:val="24"/>
          <w:lang w:val="en-NZ"/>
        </w:rPr>
      </w:pPr>
      <w:r w:rsidRPr="00D91268">
        <w:rPr>
          <w:sz w:val="24"/>
          <w:szCs w:val="24"/>
          <w:lang w:val="en-NZ"/>
        </w:rPr>
        <w:lastRenderedPageBreak/>
        <w:t xml:space="preserve">Hilborn ED &amp; Beasley VR. 2015. One health and cyanobacteria in freshwater systems: animal illnesses and deaths are sentinel events for human health risks. </w:t>
      </w:r>
      <w:r w:rsidRPr="00FF03B2">
        <w:rPr>
          <w:i/>
          <w:iCs/>
          <w:sz w:val="24"/>
          <w:szCs w:val="24"/>
          <w:lang w:val="en-NZ"/>
        </w:rPr>
        <w:t>Toxins (Basel)</w:t>
      </w:r>
      <w:r w:rsidRPr="00D91268">
        <w:rPr>
          <w:sz w:val="24"/>
          <w:szCs w:val="24"/>
          <w:lang w:val="en-NZ"/>
        </w:rPr>
        <w:t xml:space="preserve">, 7(4), 1374-1395. </w:t>
      </w:r>
      <w:hyperlink r:id="rId49" w:history="1">
        <w:r w:rsidRPr="00D91268">
          <w:rPr>
            <w:rStyle w:val="Hyperlink"/>
            <w:sz w:val="24"/>
            <w:szCs w:val="24"/>
            <w:lang w:val="en-NZ"/>
          </w:rPr>
          <w:t>https://doi.org/10.3390/toxins7041374</w:t>
        </w:r>
      </w:hyperlink>
      <w:r w:rsidRPr="00D91268">
        <w:rPr>
          <w:sz w:val="24"/>
          <w:szCs w:val="24"/>
          <w:lang w:val="en-NZ"/>
        </w:rPr>
        <w:t xml:space="preserve"> </w:t>
      </w:r>
    </w:p>
    <w:p w14:paraId="5B47A07F" w14:textId="77777777" w:rsidR="0049069E" w:rsidRPr="00D91268" w:rsidRDefault="0049069E" w:rsidP="0049069E">
      <w:pPr>
        <w:rPr>
          <w:sz w:val="24"/>
          <w:szCs w:val="24"/>
          <w:lang w:val="en-NZ"/>
        </w:rPr>
      </w:pPr>
      <w:r w:rsidRPr="00D91268">
        <w:rPr>
          <w:sz w:val="24"/>
          <w:szCs w:val="24"/>
          <w:lang w:val="en-NZ"/>
        </w:rPr>
        <w:t xml:space="preserve">Hilborn ED, Roberts VA, Backer L, DeConno E, Egan JS, Hyde JB, Nicholas DC, Wiegert EJ, Billing LM, DiOrio M, Mohr MC, Hardy FJ, Wade TJ, Yoder JS &amp; Hlavsa MC. 2014. </w:t>
      </w:r>
      <w:r w:rsidRPr="00A323A8">
        <w:rPr>
          <w:i/>
          <w:iCs/>
          <w:sz w:val="24"/>
          <w:szCs w:val="24"/>
          <w:lang w:val="en-NZ"/>
        </w:rPr>
        <w:t>Algal Bloom–Associated Disease Outbreaks Among Users of Freshwater Lakes — United States, 2009–2010.</w:t>
      </w:r>
    </w:p>
    <w:p w14:paraId="65E50E69" w14:textId="77777777" w:rsidR="0049069E" w:rsidRPr="00D91268" w:rsidRDefault="0049069E" w:rsidP="0049069E">
      <w:pPr>
        <w:rPr>
          <w:sz w:val="24"/>
          <w:szCs w:val="24"/>
          <w:lang w:val="en-NZ"/>
        </w:rPr>
      </w:pPr>
      <w:r w:rsidRPr="00D91268">
        <w:rPr>
          <w:sz w:val="24"/>
          <w:szCs w:val="24"/>
          <w:lang w:val="en-NZ"/>
        </w:rPr>
        <w:t xml:space="preserve">Jiang L, Kiselova N, Rosen J &amp; Ilag LL. 2014. Quantification of neurotoxin BMAA (beta-N-methylamino-L-alanine) in seafood from Swedish markets. </w:t>
      </w:r>
      <w:r w:rsidRPr="000F7E12">
        <w:rPr>
          <w:i/>
          <w:iCs/>
          <w:sz w:val="24"/>
          <w:szCs w:val="24"/>
          <w:lang w:val="en-NZ"/>
        </w:rPr>
        <w:t xml:space="preserve">Scientific Reports, </w:t>
      </w:r>
      <w:r w:rsidRPr="006A3E18">
        <w:rPr>
          <w:sz w:val="24"/>
          <w:szCs w:val="24"/>
          <w:lang w:val="en-NZ"/>
        </w:rPr>
        <w:t>4,</w:t>
      </w:r>
      <w:r w:rsidRPr="00D91268">
        <w:rPr>
          <w:sz w:val="24"/>
          <w:szCs w:val="24"/>
          <w:lang w:val="en-NZ"/>
        </w:rPr>
        <w:t xml:space="preserve"> 6931. </w:t>
      </w:r>
      <w:hyperlink r:id="rId50" w:history="1">
        <w:r w:rsidRPr="00D91268">
          <w:rPr>
            <w:rStyle w:val="Hyperlink"/>
            <w:sz w:val="24"/>
            <w:szCs w:val="24"/>
            <w:lang w:val="en-NZ"/>
          </w:rPr>
          <w:t>https://doi.org/10.1038/srep06931</w:t>
        </w:r>
      </w:hyperlink>
      <w:r w:rsidRPr="00D91268">
        <w:rPr>
          <w:sz w:val="24"/>
          <w:szCs w:val="24"/>
          <w:lang w:val="en-NZ"/>
        </w:rPr>
        <w:t xml:space="preserve"> </w:t>
      </w:r>
    </w:p>
    <w:p w14:paraId="1F66D007" w14:textId="77777777" w:rsidR="0049069E" w:rsidRPr="00D91268" w:rsidRDefault="0049069E" w:rsidP="0049069E">
      <w:pPr>
        <w:rPr>
          <w:sz w:val="24"/>
          <w:szCs w:val="24"/>
          <w:lang w:val="en-NZ"/>
        </w:rPr>
      </w:pPr>
      <w:r w:rsidRPr="00D91268">
        <w:rPr>
          <w:sz w:val="24"/>
          <w:szCs w:val="24"/>
          <w:lang w:val="en-NZ"/>
        </w:rPr>
        <w:t>Keleti G &amp; Sykora JL. 1982. Production and properties of cyanobacterial endotoxins.</w:t>
      </w:r>
      <w:r>
        <w:rPr>
          <w:sz w:val="24"/>
          <w:szCs w:val="24"/>
          <w:lang w:val="en-NZ"/>
        </w:rPr>
        <w:t xml:space="preserve"> </w:t>
      </w:r>
      <w:r w:rsidRPr="006A3E18">
        <w:rPr>
          <w:i/>
          <w:iCs/>
          <w:sz w:val="24"/>
          <w:szCs w:val="24"/>
          <w:lang w:val="en-NZ"/>
        </w:rPr>
        <w:t xml:space="preserve">Applied </w:t>
      </w:r>
      <w:r>
        <w:rPr>
          <w:i/>
          <w:iCs/>
          <w:sz w:val="24"/>
          <w:szCs w:val="24"/>
          <w:lang w:val="en-NZ"/>
        </w:rPr>
        <w:t xml:space="preserve">and </w:t>
      </w:r>
      <w:r w:rsidRPr="006A3E18">
        <w:rPr>
          <w:i/>
          <w:iCs/>
          <w:sz w:val="24"/>
          <w:szCs w:val="24"/>
          <w:lang w:val="en-NZ"/>
        </w:rPr>
        <w:t>Environmental Microbiology</w:t>
      </w:r>
      <w:r w:rsidRPr="00D91268">
        <w:rPr>
          <w:sz w:val="24"/>
          <w:szCs w:val="24"/>
          <w:lang w:val="en-NZ"/>
        </w:rPr>
        <w:t xml:space="preserve">, 43(1), 104-109. </w:t>
      </w:r>
      <w:hyperlink r:id="rId51" w:history="1">
        <w:r w:rsidRPr="00D91268">
          <w:rPr>
            <w:rStyle w:val="Hyperlink"/>
            <w:sz w:val="24"/>
            <w:szCs w:val="24"/>
            <w:lang w:val="en-NZ"/>
          </w:rPr>
          <w:t>https://doi.org/10.1128/aem.43.1.104-109.1982</w:t>
        </w:r>
      </w:hyperlink>
      <w:r w:rsidRPr="00D91268">
        <w:rPr>
          <w:sz w:val="24"/>
          <w:szCs w:val="24"/>
          <w:lang w:val="en-NZ"/>
        </w:rPr>
        <w:t xml:space="preserve"> </w:t>
      </w:r>
    </w:p>
    <w:p w14:paraId="46475603" w14:textId="77777777" w:rsidR="0049069E" w:rsidRPr="00D91268" w:rsidRDefault="0049069E" w:rsidP="0049069E">
      <w:pPr>
        <w:rPr>
          <w:sz w:val="24"/>
          <w:szCs w:val="24"/>
          <w:lang w:val="en-NZ"/>
        </w:rPr>
      </w:pPr>
      <w:r w:rsidRPr="00D91268">
        <w:rPr>
          <w:sz w:val="24"/>
          <w:szCs w:val="24"/>
          <w:lang w:val="en-NZ"/>
        </w:rPr>
        <w:t xml:space="preserve">Kelly LT, Bouma-Gregson K, Puddick J, Fadness R, Ryan KG, Davis TW &amp; Wood S A. 2019. Multiple cyanotoxin congeners produced by sub-dominant cyanobacterial taxa in riverine cyanobacterial and algal mats. </w:t>
      </w:r>
      <w:r w:rsidRPr="00A14847">
        <w:rPr>
          <w:i/>
          <w:iCs/>
          <w:sz w:val="24"/>
          <w:szCs w:val="24"/>
          <w:lang w:val="en-NZ"/>
        </w:rPr>
        <w:t>PLoS One</w:t>
      </w:r>
      <w:r w:rsidRPr="00D91268">
        <w:rPr>
          <w:sz w:val="24"/>
          <w:szCs w:val="24"/>
          <w:lang w:val="en-NZ"/>
        </w:rPr>
        <w:t xml:space="preserve">, 14(12), e0220422. </w:t>
      </w:r>
      <w:hyperlink r:id="rId52" w:history="1">
        <w:r w:rsidRPr="00D91268">
          <w:rPr>
            <w:rStyle w:val="Hyperlink"/>
            <w:sz w:val="24"/>
            <w:szCs w:val="24"/>
            <w:lang w:val="en-NZ"/>
          </w:rPr>
          <w:t>https://doi.org/10.1371/journal.pone.0220422</w:t>
        </w:r>
      </w:hyperlink>
      <w:r w:rsidRPr="00D91268">
        <w:rPr>
          <w:sz w:val="24"/>
          <w:szCs w:val="24"/>
          <w:lang w:val="en-NZ"/>
        </w:rPr>
        <w:t xml:space="preserve"> </w:t>
      </w:r>
    </w:p>
    <w:p w14:paraId="39BB9725" w14:textId="77777777" w:rsidR="0049069E" w:rsidRPr="00F52CF2" w:rsidRDefault="0049069E" w:rsidP="0049069E">
      <w:pPr>
        <w:shd w:val="clear" w:color="auto" w:fill="FFFFFF" w:themeFill="accent4"/>
        <w:rPr>
          <w:sz w:val="24"/>
          <w:szCs w:val="24"/>
          <w:lang w:val="en-NZ"/>
        </w:rPr>
      </w:pPr>
      <w:r w:rsidRPr="00D91268">
        <w:rPr>
          <w:sz w:val="24"/>
          <w:szCs w:val="24"/>
          <w:lang w:val="en-NZ"/>
        </w:rPr>
        <w:t xml:space="preserve">Kerbrat AS, Amzil Z, Pawlowiez R, Golubic S, Sibat M, Darius HT, Chinain M &amp; Laurent D. </w:t>
      </w:r>
      <w:r w:rsidRPr="00F52CF2">
        <w:rPr>
          <w:sz w:val="24"/>
          <w:szCs w:val="24"/>
          <w:lang w:val="en-NZ"/>
        </w:rPr>
        <w:t xml:space="preserve">2011. First evidence of palytoxin and 42-hydroxy-palytoxin in the marine cyanobacterium Trichodesmium. </w:t>
      </w:r>
      <w:r w:rsidRPr="00F52CF2">
        <w:rPr>
          <w:i/>
          <w:iCs/>
          <w:sz w:val="24"/>
          <w:szCs w:val="24"/>
          <w:lang w:val="en-NZ"/>
        </w:rPr>
        <w:t>Marine Drugs</w:t>
      </w:r>
      <w:r w:rsidRPr="00F52CF2">
        <w:rPr>
          <w:sz w:val="24"/>
          <w:szCs w:val="24"/>
          <w:lang w:val="en-NZ"/>
        </w:rPr>
        <w:t xml:space="preserve">, 9(4), 543-560. </w:t>
      </w:r>
      <w:hyperlink r:id="rId53" w:history="1">
        <w:r w:rsidRPr="00F52CF2">
          <w:rPr>
            <w:rStyle w:val="Hyperlink"/>
            <w:sz w:val="24"/>
            <w:szCs w:val="24"/>
            <w:lang w:val="en-NZ"/>
          </w:rPr>
          <w:t>https://doi.org/10.3390/md9040543</w:t>
        </w:r>
      </w:hyperlink>
      <w:r w:rsidRPr="00F52CF2">
        <w:rPr>
          <w:sz w:val="24"/>
          <w:szCs w:val="24"/>
          <w:lang w:val="en-NZ"/>
        </w:rPr>
        <w:t xml:space="preserve"> </w:t>
      </w:r>
    </w:p>
    <w:p w14:paraId="6CA2290D" w14:textId="77777777" w:rsidR="0049069E" w:rsidRPr="004972B9" w:rsidRDefault="0049069E" w:rsidP="0049069E">
      <w:pPr>
        <w:shd w:val="clear" w:color="auto" w:fill="FFFFFF" w:themeFill="accent4"/>
        <w:rPr>
          <w:rStyle w:val="Hyperlink"/>
        </w:rPr>
      </w:pPr>
      <w:r w:rsidRPr="004972B9">
        <w:rPr>
          <w:sz w:val="24"/>
          <w:szCs w:val="24"/>
          <w:lang w:val="en-NZ"/>
        </w:rPr>
        <w:t>Land, Air, Water Aotearoa. 2021. Factsheet: Algae and Cyanobacteria in Lakes.</w:t>
      </w:r>
      <w:r w:rsidRPr="004972B9">
        <w:rPr>
          <w:sz w:val="24"/>
          <w:szCs w:val="24"/>
          <w:shd w:val="clear" w:color="auto" w:fill="F6F4EC" w:themeFill="background1"/>
          <w:lang w:val="en-NZ"/>
        </w:rPr>
        <w:t xml:space="preserve"> </w:t>
      </w:r>
      <w:hyperlink r:id="rId54" w:history="1">
        <w:r w:rsidRPr="004972B9">
          <w:rPr>
            <w:rStyle w:val="Hyperlink"/>
            <w:sz w:val="24"/>
            <w:szCs w:val="24"/>
            <w:lang w:val="en-NZ"/>
          </w:rPr>
          <w:t>https://www.lawa.org.nz/learn/factsheets/algae-and-cyanobacteria-in-lakes/</w:t>
        </w:r>
      </w:hyperlink>
      <w:r w:rsidRPr="004972B9">
        <w:rPr>
          <w:rStyle w:val="Hyperlink"/>
          <w:sz w:val="24"/>
          <w:szCs w:val="24"/>
        </w:rPr>
        <w:t xml:space="preserve"> </w:t>
      </w:r>
      <w:r w:rsidRPr="004972B9">
        <w:rPr>
          <w:rStyle w:val="Hyperlink"/>
        </w:rPr>
        <w:t xml:space="preserve"> </w:t>
      </w:r>
    </w:p>
    <w:p w14:paraId="240DC3EC" w14:textId="77777777" w:rsidR="0049069E" w:rsidRPr="00D91268" w:rsidRDefault="0049069E" w:rsidP="0049069E">
      <w:pPr>
        <w:shd w:val="clear" w:color="auto" w:fill="FFFFFF" w:themeFill="accent4"/>
        <w:rPr>
          <w:sz w:val="24"/>
          <w:szCs w:val="24"/>
          <w:lang w:val="en-NZ"/>
        </w:rPr>
      </w:pPr>
      <w:r w:rsidRPr="00F52CF2">
        <w:rPr>
          <w:sz w:val="24"/>
          <w:szCs w:val="24"/>
          <w:lang w:val="en-NZ"/>
        </w:rPr>
        <w:t xml:space="preserve">Lee R, Lovatelli A &amp; Ababouch L. 2008. </w:t>
      </w:r>
      <w:r w:rsidRPr="00F52CF2">
        <w:rPr>
          <w:i/>
          <w:iCs/>
          <w:sz w:val="24"/>
          <w:szCs w:val="24"/>
          <w:lang w:val="en-NZ"/>
        </w:rPr>
        <w:t xml:space="preserve">Bivalve depuration: fundamental and practical aspects. </w:t>
      </w:r>
      <w:r w:rsidRPr="00F52CF2">
        <w:rPr>
          <w:sz w:val="24"/>
          <w:szCs w:val="24"/>
          <w:lang w:val="en-NZ"/>
        </w:rPr>
        <w:t>Fisheries Technical Paper, Food and Agriculture Organization of the United Nations,</w:t>
      </w:r>
      <w:r w:rsidRPr="00F52CF2">
        <w:rPr>
          <w:i/>
          <w:iCs/>
          <w:sz w:val="24"/>
          <w:szCs w:val="24"/>
          <w:lang w:val="en-NZ"/>
        </w:rPr>
        <w:t xml:space="preserve"> </w:t>
      </w:r>
      <w:r w:rsidRPr="00F52CF2">
        <w:rPr>
          <w:sz w:val="24"/>
          <w:szCs w:val="24"/>
          <w:lang w:val="en-NZ"/>
        </w:rPr>
        <w:t xml:space="preserve">511. </w:t>
      </w:r>
      <w:hyperlink r:id="rId55" w:history="1">
        <w:r w:rsidRPr="00F52CF2">
          <w:rPr>
            <w:rStyle w:val="Hyperlink"/>
            <w:sz w:val="24"/>
            <w:szCs w:val="24"/>
            <w:lang w:val="en-NZ"/>
          </w:rPr>
          <w:t>https://www.fao.org/3/i0201e/i0201e00.pdf</w:t>
        </w:r>
      </w:hyperlink>
      <w:r>
        <w:rPr>
          <w:sz w:val="24"/>
          <w:szCs w:val="24"/>
          <w:lang w:val="en-NZ"/>
        </w:rPr>
        <w:t xml:space="preserve"> </w:t>
      </w:r>
    </w:p>
    <w:p w14:paraId="3F21F34D" w14:textId="77777777" w:rsidR="0049069E" w:rsidRPr="00D91268" w:rsidRDefault="0049069E" w:rsidP="0049069E">
      <w:pPr>
        <w:rPr>
          <w:sz w:val="24"/>
          <w:szCs w:val="24"/>
          <w:lang w:val="en-NZ"/>
        </w:rPr>
      </w:pPr>
      <w:r w:rsidRPr="00D91268">
        <w:rPr>
          <w:sz w:val="24"/>
          <w:szCs w:val="24"/>
          <w:lang w:val="en-NZ"/>
        </w:rPr>
        <w:t xml:space="preserve">Levesque B, Gervais MC, Chevalier P, Gauvin D, Anassour-Laouan-Sidi E, Gingras S, Fortin N, Brisson G, Greer C &amp; Bird D. 2014. Prospective study of acute health effects in relation to exposure to cyanobacteria. </w:t>
      </w:r>
      <w:r w:rsidRPr="00FD4FD2">
        <w:rPr>
          <w:i/>
          <w:iCs/>
          <w:sz w:val="24"/>
          <w:szCs w:val="24"/>
          <w:lang w:val="en-NZ"/>
        </w:rPr>
        <w:t>Sci</w:t>
      </w:r>
      <w:r>
        <w:rPr>
          <w:i/>
          <w:iCs/>
          <w:sz w:val="24"/>
          <w:szCs w:val="24"/>
          <w:lang w:val="en-NZ"/>
        </w:rPr>
        <w:t xml:space="preserve">ence of the </w:t>
      </w:r>
      <w:r w:rsidRPr="00FD4FD2">
        <w:rPr>
          <w:i/>
          <w:iCs/>
          <w:sz w:val="24"/>
          <w:szCs w:val="24"/>
          <w:lang w:val="en-NZ"/>
        </w:rPr>
        <w:t>Total Environ</w:t>
      </w:r>
      <w:r>
        <w:rPr>
          <w:i/>
          <w:iCs/>
          <w:sz w:val="24"/>
          <w:szCs w:val="24"/>
          <w:lang w:val="en-NZ"/>
        </w:rPr>
        <w:t>ment</w:t>
      </w:r>
      <w:r w:rsidRPr="00D91268">
        <w:rPr>
          <w:sz w:val="24"/>
          <w:szCs w:val="24"/>
          <w:lang w:val="en-NZ"/>
        </w:rPr>
        <w:t xml:space="preserve">, 466-467, 397-403. </w:t>
      </w:r>
      <w:hyperlink r:id="rId56" w:history="1">
        <w:r w:rsidRPr="00D91268">
          <w:rPr>
            <w:rStyle w:val="Hyperlink"/>
            <w:sz w:val="24"/>
            <w:szCs w:val="24"/>
            <w:lang w:val="en-NZ"/>
          </w:rPr>
          <w:t>https://doi.org/10.1016/j.scitotenv.2013.07.045</w:t>
        </w:r>
      </w:hyperlink>
      <w:r w:rsidRPr="00D91268">
        <w:rPr>
          <w:sz w:val="24"/>
          <w:szCs w:val="24"/>
          <w:lang w:val="en-NZ"/>
        </w:rPr>
        <w:t xml:space="preserve"> </w:t>
      </w:r>
    </w:p>
    <w:p w14:paraId="147F9E27" w14:textId="77777777" w:rsidR="0049069E" w:rsidRPr="00D91268" w:rsidRDefault="0049069E" w:rsidP="0049069E">
      <w:pPr>
        <w:rPr>
          <w:sz w:val="24"/>
          <w:szCs w:val="24"/>
          <w:lang w:val="en-NZ"/>
        </w:rPr>
      </w:pPr>
      <w:r w:rsidRPr="00D91268">
        <w:rPr>
          <w:sz w:val="24"/>
          <w:szCs w:val="24"/>
          <w:lang w:val="en-NZ"/>
        </w:rPr>
        <w:t>Mackay M &amp; Taylor N. 2020. Understanding the Social Impacts of Freshwater Reform: A Review of Six Limit-Setting S</w:t>
      </w:r>
      <w:r>
        <w:rPr>
          <w:sz w:val="24"/>
          <w:szCs w:val="24"/>
          <w:lang w:val="en-NZ"/>
        </w:rPr>
        <w:t xml:space="preserve">ocial </w:t>
      </w:r>
      <w:r w:rsidRPr="00D91268">
        <w:rPr>
          <w:sz w:val="24"/>
          <w:szCs w:val="24"/>
          <w:lang w:val="en-NZ"/>
        </w:rPr>
        <w:t>I</w:t>
      </w:r>
      <w:r>
        <w:rPr>
          <w:sz w:val="24"/>
          <w:szCs w:val="24"/>
          <w:lang w:val="en-NZ"/>
        </w:rPr>
        <w:t xml:space="preserve">mpact </w:t>
      </w:r>
      <w:r w:rsidRPr="00D91268">
        <w:rPr>
          <w:sz w:val="24"/>
          <w:szCs w:val="24"/>
          <w:lang w:val="en-NZ"/>
        </w:rPr>
        <w:t>A</w:t>
      </w:r>
      <w:r>
        <w:rPr>
          <w:sz w:val="24"/>
          <w:szCs w:val="24"/>
          <w:lang w:val="en-NZ"/>
        </w:rPr>
        <w:t>ssessments</w:t>
      </w:r>
      <w:r w:rsidRPr="00D91268">
        <w:rPr>
          <w:sz w:val="24"/>
          <w:szCs w:val="24"/>
          <w:lang w:val="en-NZ"/>
        </w:rPr>
        <w:t>.</w:t>
      </w:r>
      <w:r>
        <w:rPr>
          <w:sz w:val="24"/>
          <w:szCs w:val="24"/>
          <w:lang w:val="en-NZ"/>
        </w:rPr>
        <w:t xml:space="preserve"> Report for the Ministry for the Environment:  </w:t>
      </w:r>
      <w:hyperlink r:id="rId57" w:history="1">
        <w:r w:rsidRPr="00390DE6">
          <w:rPr>
            <w:rStyle w:val="Hyperlink"/>
            <w:sz w:val="24"/>
            <w:szCs w:val="24"/>
            <w:lang w:val="en-NZ"/>
          </w:rPr>
          <w:t>https://environment.govt.nz/assets/Publications/Files/understanding-social-impacts-freshwater-reform.pdf</w:t>
        </w:r>
      </w:hyperlink>
      <w:r>
        <w:rPr>
          <w:sz w:val="24"/>
          <w:szCs w:val="24"/>
          <w:lang w:val="en-NZ"/>
        </w:rPr>
        <w:t xml:space="preserve"> </w:t>
      </w:r>
    </w:p>
    <w:p w14:paraId="7EE2F516" w14:textId="77777777" w:rsidR="0049069E" w:rsidRPr="00D91268" w:rsidRDefault="0049069E" w:rsidP="0049069E">
      <w:pPr>
        <w:rPr>
          <w:sz w:val="24"/>
          <w:szCs w:val="24"/>
          <w:lang w:val="en-NZ"/>
        </w:rPr>
      </w:pPr>
      <w:r w:rsidRPr="00D91268">
        <w:rPr>
          <w:sz w:val="24"/>
          <w:szCs w:val="24"/>
          <w:lang w:val="en-NZ"/>
        </w:rPr>
        <w:t xml:space="preserve">Martin L, White MP, Hunt A, Richardson M, Pahl S, &amp; Burt J. 2020. Nature contact, nature connectedness and associations with health, wellbeing and pro-environmental behaviours. </w:t>
      </w:r>
      <w:r w:rsidRPr="00066B03">
        <w:rPr>
          <w:i/>
          <w:iCs/>
          <w:sz w:val="24"/>
          <w:szCs w:val="24"/>
          <w:lang w:val="en-NZ"/>
        </w:rPr>
        <w:t>Journal of Environmental Psychology</w:t>
      </w:r>
      <w:r w:rsidRPr="00D91268">
        <w:rPr>
          <w:sz w:val="24"/>
          <w:szCs w:val="24"/>
          <w:lang w:val="en-NZ"/>
        </w:rPr>
        <w:t xml:space="preserve">, 68. </w:t>
      </w:r>
      <w:hyperlink r:id="rId58" w:history="1">
        <w:r w:rsidRPr="00D91268">
          <w:rPr>
            <w:rStyle w:val="Hyperlink"/>
            <w:sz w:val="24"/>
            <w:szCs w:val="24"/>
            <w:lang w:val="en-NZ"/>
          </w:rPr>
          <w:t>https://doi.org/10.1016/j.jenvp.2020.101389</w:t>
        </w:r>
      </w:hyperlink>
      <w:r w:rsidRPr="00D91268">
        <w:rPr>
          <w:sz w:val="24"/>
          <w:szCs w:val="24"/>
          <w:lang w:val="en-NZ"/>
        </w:rPr>
        <w:t xml:space="preserve"> </w:t>
      </w:r>
    </w:p>
    <w:p w14:paraId="63E152AA" w14:textId="77777777" w:rsidR="0049069E" w:rsidRPr="00D91268" w:rsidRDefault="0049069E" w:rsidP="0049069E">
      <w:pPr>
        <w:rPr>
          <w:sz w:val="24"/>
          <w:szCs w:val="24"/>
          <w:lang w:val="en-NZ"/>
        </w:rPr>
      </w:pPr>
      <w:r w:rsidRPr="00D91268">
        <w:rPr>
          <w:sz w:val="24"/>
          <w:szCs w:val="24"/>
          <w:lang w:val="en-NZ"/>
        </w:rPr>
        <w:t xml:space="preserve">McGregor GB &amp; Sendall BC. 2017. Iningainema pulvinus gen nov., sp nov. (Cyanobacteria, Scytonemataceae) a new nodularin producer from Edgbaston </w:t>
      </w:r>
      <w:r w:rsidRPr="00D91268">
        <w:rPr>
          <w:sz w:val="24"/>
          <w:szCs w:val="24"/>
          <w:lang w:val="en-NZ"/>
        </w:rPr>
        <w:lastRenderedPageBreak/>
        <w:t xml:space="preserve">Reserve, north-eastern Australia. </w:t>
      </w:r>
      <w:r w:rsidRPr="00066B03">
        <w:rPr>
          <w:i/>
          <w:iCs/>
          <w:sz w:val="24"/>
          <w:szCs w:val="24"/>
          <w:lang w:val="en-NZ"/>
        </w:rPr>
        <w:t>Harmful Algae</w:t>
      </w:r>
      <w:r w:rsidRPr="00D91268">
        <w:rPr>
          <w:sz w:val="24"/>
          <w:szCs w:val="24"/>
          <w:lang w:val="en-NZ"/>
        </w:rPr>
        <w:t xml:space="preserve">, 62, 10-19. </w:t>
      </w:r>
      <w:hyperlink r:id="rId59" w:history="1">
        <w:r w:rsidRPr="00D91268">
          <w:rPr>
            <w:rStyle w:val="Hyperlink"/>
            <w:sz w:val="24"/>
            <w:szCs w:val="24"/>
            <w:lang w:val="en-NZ"/>
          </w:rPr>
          <w:t>https://doi.org/10.1016/j.hal.2016.11.021</w:t>
        </w:r>
      </w:hyperlink>
      <w:r w:rsidRPr="00D91268">
        <w:rPr>
          <w:sz w:val="24"/>
          <w:szCs w:val="24"/>
          <w:lang w:val="en-NZ"/>
        </w:rPr>
        <w:t xml:space="preserve"> </w:t>
      </w:r>
    </w:p>
    <w:p w14:paraId="562D1F65" w14:textId="77777777" w:rsidR="0049069E" w:rsidRPr="00D91268" w:rsidRDefault="0049069E" w:rsidP="0049069E">
      <w:pPr>
        <w:rPr>
          <w:sz w:val="24"/>
          <w:szCs w:val="24"/>
          <w:lang w:val="en-NZ"/>
        </w:rPr>
      </w:pPr>
      <w:r w:rsidRPr="00D91268">
        <w:rPr>
          <w:sz w:val="24"/>
          <w:szCs w:val="24"/>
          <w:lang w:val="en-NZ"/>
        </w:rPr>
        <w:t xml:space="preserve">Metcalf JS, Tischbein M, Cox PA &amp; Stommel EW. 2021. Cyanotoxins and the Nervous System. </w:t>
      </w:r>
      <w:r w:rsidRPr="005A000A">
        <w:rPr>
          <w:i/>
          <w:iCs/>
          <w:sz w:val="24"/>
          <w:szCs w:val="24"/>
          <w:lang w:val="en-NZ"/>
        </w:rPr>
        <w:t>Toxins (Basel),</w:t>
      </w:r>
      <w:r w:rsidRPr="00D91268">
        <w:rPr>
          <w:sz w:val="24"/>
          <w:szCs w:val="24"/>
          <w:lang w:val="en-NZ"/>
        </w:rPr>
        <w:t xml:space="preserve"> 13(9). </w:t>
      </w:r>
      <w:hyperlink r:id="rId60" w:history="1">
        <w:r w:rsidRPr="00D91268">
          <w:rPr>
            <w:rStyle w:val="Hyperlink"/>
            <w:sz w:val="24"/>
            <w:szCs w:val="24"/>
            <w:lang w:val="en-NZ"/>
          </w:rPr>
          <w:t>https://doi.org/10.3390/toxins13090660</w:t>
        </w:r>
      </w:hyperlink>
      <w:r w:rsidRPr="00D91268">
        <w:rPr>
          <w:sz w:val="24"/>
          <w:szCs w:val="24"/>
          <w:lang w:val="en-NZ"/>
        </w:rPr>
        <w:t xml:space="preserve"> </w:t>
      </w:r>
    </w:p>
    <w:p w14:paraId="1C1A4527" w14:textId="77777777" w:rsidR="0049069E" w:rsidRPr="00D91268" w:rsidRDefault="0049069E" w:rsidP="0049069E">
      <w:pPr>
        <w:rPr>
          <w:sz w:val="24"/>
          <w:szCs w:val="24"/>
          <w:lang w:val="en-NZ"/>
        </w:rPr>
      </w:pPr>
      <w:r w:rsidRPr="00D91268">
        <w:rPr>
          <w:sz w:val="24"/>
          <w:szCs w:val="24"/>
          <w:lang w:val="en-NZ"/>
        </w:rPr>
        <w:t xml:space="preserve">Ministry for Primary Industries. 2022a. </w:t>
      </w:r>
      <w:r w:rsidRPr="00A45126">
        <w:rPr>
          <w:i/>
          <w:iCs/>
          <w:sz w:val="24"/>
          <w:szCs w:val="24"/>
          <w:lang w:val="en-NZ"/>
        </w:rPr>
        <w:t>Animal Products Notice: Regulated Control Scheme - Bivalve Molluscan Shellfish for Human Consumption</w:t>
      </w:r>
      <w:r w:rsidRPr="00D91268">
        <w:rPr>
          <w:sz w:val="24"/>
          <w:szCs w:val="24"/>
          <w:lang w:val="en-NZ"/>
        </w:rPr>
        <w:t>.</w:t>
      </w:r>
      <w:r>
        <w:rPr>
          <w:sz w:val="24"/>
          <w:szCs w:val="24"/>
          <w:lang w:val="en-NZ"/>
        </w:rPr>
        <w:t xml:space="preserve"> </w:t>
      </w:r>
      <w:r w:rsidRPr="0053160C">
        <w:rPr>
          <w:sz w:val="24"/>
          <w:szCs w:val="24"/>
        </w:rPr>
        <w:t xml:space="preserve">Wellington: Ministry </w:t>
      </w:r>
      <w:r w:rsidRPr="00D91268">
        <w:rPr>
          <w:sz w:val="24"/>
          <w:szCs w:val="24"/>
          <w:lang w:val="en-NZ"/>
        </w:rPr>
        <w:t>for Primary Industries</w:t>
      </w:r>
      <w:r>
        <w:rPr>
          <w:sz w:val="24"/>
          <w:szCs w:val="24"/>
          <w:lang w:val="en-NZ"/>
        </w:rPr>
        <w:t xml:space="preserve">: </w:t>
      </w:r>
      <w:hyperlink r:id="rId61" w:history="1">
        <w:r w:rsidRPr="00390DE6">
          <w:rPr>
            <w:rStyle w:val="Hyperlink"/>
            <w:sz w:val="24"/>
            <w:szCs w:val="24"/>
            <w:lang w:val="en-NZ"/>
          </w:rPr>
          <w:t>https://www.mpi.govt.nz/dmsdocument/30282-animal-products-notice-regulated-control-scheme-bivalve-molluscan-shellfish-for-human-consumption-2018</w:t>
        </w:r>
      </w:hyperlink>
      <w:r>
        <w:rPr>
          <w:sz w:val="24"/>
          <w:szCs w:val="24"/>
          <w:lang w:val="en-NZ"/>
        </w:rPr>
        <w:t xml:space="preserve"> </w:t>
      </w:r>
    </w:p>
    <w:p w14:paraId="36DBAC61" w14:textId="77777777" w:rsidR="0049069E" w:rsidRPr="00D91268" w:rsidRDefault="0049069E" w:rsidP="0049069E">
      <w:pPr>
        <w:rPr>
          <w:sz w:val="24"/>
          <w:szCs w:val="24"/>
          <w:lang w:val="en-NZ"/>
        </w:rPr>
      </w:pPr>
      <w:r w:rsidRPr="00D91268">
        <w:rPr>
          <w:sz w:val="24"/>
          <w:szCs w:val="24"/>
          <w:lang w:val="en-NZ"/>
        </w:rPr>
        <w:t xml:space="preserve">Ministry for Primary Industries. 2022b. </w:t>
      </w:r>
      <w:r w:rsidRPr="00A45126">
        <w:rPr>
          <w:i/>
          <w:iCs/>
          <w:sz w:val="24"/>
          <w:szCs w:val="24"/>
          <w:lang w:val="en-NZ"/>
        </w:rPr>
        <w:t>Shellfish biotoxin alerts.</w:t>
      </w:r>
      <w:r w:rsidRPr="00D91268">
        <w:rPr>
          <w:sz w:val="24"/>
          <w:szCs w:val="24"/>
          <w:lang w:val="en-NZ"/>
        </w:rPr>
        <w:t xml:space="preserve"> </w:t>
      </w:r>
      <w:r w:rsidRPr="0053160C">
        <w:rPr>
          <w:sz w:val="24"/>
          <w:szCs w:val="24"/>
        </w:rPr>
        <w:t xml:space="preserve">Wellington: Ministry </w:t>
      </w:r>
      <w:r w:rsidRPr="00D91268">
        <w:rPr>
          <w:sz w:val="24"/>
          <w:szCs w:val="24"/>
          <w:lang w:val="en-NZ"/>
        </w:rPr>
        <w:t>for Primary Industries</w:t>
      </w:r>
      <w:r>
        <w:rPr>
          <w:sz w:val="24"/>
          <w:szCs w:val="24"/>
          <w:lang w:val="en-NZ"/>
        </w:rPr>
        <w:t>:</w:t>
      </w:r>
      <w:r>
        <w:t xml:space="preserve"> </w:t>
      </w:r>
      <w:hyperlink r:id="rId62" w:history="1">
        <w:r w:rsidRPr="00D91268">
          <w:rPr>
            <w:rStyle w:val="Hyperlink"/>
            <w:sz w:val="24"/>
            <w:szCs w:val="24"/>
            <w:lang w:val="en-NZ"/>
          </w:rPr>
          <w:t>https://www.mpi.govt.nz/fishing-aquaculture/recreational-fishing/where-unsafe-to- collect-shellfish/shellfish-biotoxin-alerts/</w:t>
        </w:r>
      </w:hyperlink>
      <w:r w:rsidRPr="00D91268">
        <w:rPr>
          <w:sz w:val="24"/>
          <w:szCs w:val="24"/>
          <w:lang w:val="en-NZ"/>
        </w:rPr>
        <w:t xml:space="preserve">  </w:t>
      </w:r>
    </w:p>
    <w:p w14:paraId="2470DC75" w14:textId="77777777" w:rsidR="0049069E" w:rsidRPr="00D91268" w:rsidRDefault="0049069E" w:rsidP="0049069E">
      <w:pPr>
        <w:rPr>
          <w:sz w:val="24"/>
          <w:szCs w:val="24"/>
          <w:lang w:val="en-NZ"/>
        </w:rPr>
      </w:pPr>
      <w:r w:rsidRPr="00C87F7C">
        <w:rPr>
          <w:sz w:val="24"/>
          <w:szCs w:val="24"/>
          <w:lang w:val="en-NZ"/>
        </w:rPr>
        <w:t xml:space="preserve">Ministry for the Environment. 2020. </w:t>
      </w:r>
      <w:r w:rsidRPr="00C87F7C">
        <w:rPr>
          <w:i/>
          <w:iCs/>
          <w:sz w:val="24"/>
          <w:szCs w:val="24"/>
          <w:lang w:val="en-NZ"/>
        </w:rPr>
        <w:t>National Policy Statement for Freshwater Management 2020</w:t>
      </w:r>
      <w:r w:rsidRPr="00C87F7C">
        <w:rPr>
          <w:sz w:val="24"/>
          <w:szCs w:val="24"/>
          <w:lang w:val="en-NZ"/>
        </w:rPr>
        <w:t xml:space="preserve">.  </w:t>
      </w:r>
      <w:r w:rsidRPr="00C87F7C">
        <w:rPr>
          <w:sz w:val="24"/>
          <w:szCs w:val="24"/>
        </w:rPr>
        <w:t xml:space="preserve">Wellington: Ministry for the Environment. </w:t>
      </w:r>
      <w:r w:rsidRPr="00C87F7C">
        <w:rPr>
          <w:sz w:val="24"/>
          <w:szCs w:val="24"/>
          <w:lang w:val="en-NZ"/>
        </w:rPr>
        <w:t xml:space="preserve"> </w:t>
      </w:r>
      <w:hyperlink r:id="rId63" w:history="1">
        <w:r w:rsidRPr="00390DE6">
          <w:rPr>
            <w:rStyle w:val="Hyperlink"/>
            <w:sz w:val="24"/>
            <w:szCs w:val="24"/>
            <w:lang w:val="en-NZ"/>
          </w:rPr>
          <w:t>https://environment.govt.nz/publications/national-policy-statement-for-freshwater-management-2020/</w:t>
        </w:r>
      </w:hyperlink>
      <w:r>
        <w:rPr>
          <w:sz w:val="24"/>
          <w:szCs w:val="24"/>
          <w:lang w:val="en-NZ"/>
        </w:rPr>
        <w:t xml:space="preserve"> </w:t>
      </w:r>
    </w:p>
    <w:p w14:paraId="18C63877" w14:textId="77777777" w:rsidR="0049069E" w:rsidRPr="00D91268" w:rsidRDefault="0049069E" w:rsidP="0049069E">
      <w:pPr>
        <w:rPr>
          <w:sz w:val="24"/>
          <w:szCs w:val="24"/>
          <w:lang w:val="en-NZ"/>
        </w:rPr>
      </w:pPr>
      <w:r w:rsidRPr="00D91268">
        <w:rPr>
          <w:sz w:val="24"/>
          <w:szCs w:val="24"/>
          <w:lang w:val="en-NZ"/>
        </w:rPr>
        <w:t xml:space="preserve">Ministry for the Environment. 2021. Land and te ao Māori. </w:t>
      </w:r>
      <w:r w:rsidRPr="0053160C">
        <w:rPr>
          <w:sz w:val="24"/>
          <w:szCs w:val="24"/>
        </w:rPr>
        <w:t xml:space="preserve">Wellington: Ministry </w:t>
      </w:r>
      <w:r w:rsidRPr="00D91268">
        <w:rPr>
          <w:sz w:val="24"/>
          <w:szCs w:val="24"/>
          <w:lang w:val="en-NZ"/>
        </w:rPr>
        <w:t>for the Environment</w:t>
      </w:r>
      <w:r w:rsidRPr="0053160C">
        <w:rPr>
          <w:sz w:val="24"/>
          <w:szCs w:val="24"/>
        </w:rPr>
        <w:t>.</w:t>
      </w:r>
      <w:r>
        <w:rPr>
          <w:sz w:val="24"/>
          <w:szCs w:val="24"/>
        </w:rPr>
        <w:t xml:space="preserve"> </w:t>
      </w:r>
      <w:hyperlink r:id="rId64" w:anchor="ko-au-te- whenua-ko-te-whenua-ko-au-i-am-the-land-and-the-land-is-me" w:history="1">
        <w:r w:rsidRPr="00390DE6">
          <w:rPr>
            <w:rStyle w:val="Hyperlink"/>
            <w:sz w:val="24"/>
            <w:szCs w:val="24"/>
            <w:lang w:val="en-NZ"/>
          </w:rPr>
          <w:t>https://environment.govt.nz/facts-and-science/land/land-and-te-ao-maori/#ko-au-te- whenua-ko-te-whenua-ko-au-i-am-the-land-and-the-land-is-me</w:t>
        </w:r>
      </w:hyperlink>
    </w:p>
    <w:p w14:paraId="0770FD68" w14:textId="77777777" w:rsidR="0049069E" w:rsidRPr="00D91268" w:rsidRDefault="0049069E" w:rsidP="0049069E">
      <w:pPr>
        <w:rPr>
          <w:sz w:val="24"/>
          <w:szCs w:val="24"/>
          <w:lang w:val="en-NZ"/>
        </w:rPr>
      </w:pPr>
      <w:r w:rsidRPr="00EF0E94">
        <w:rPr>
          <w:sz w:val="24"/>
          <w:szCs w:val="24"/>
          <w:lang w:val="en-NZ"/>
        </w:rPr>
        <w:t xml:space="preserve">Ministry for the Environment &amp; Ministry of Health. 2009. </w:t>
      </w:r>
      <w:r w:rsidRPr="00EF0E94">
        <w:rPr>
          <w:i/>
          <w:iCs/>
          <w:sz w:val="24"/>
          <w:szCs w:val="24"/>
          <w:lang w:val="en-NZ"/>
        </w:rPr>
        <w:t>New Zealand Guidelines for Cyanobacteria in Recreational Fresh Waters – Interim Guidelines</w:t>
      </w:r>
      <w:r w:rsidRPr="00EF0E94">
        <w:rPr>
          <w:sz w:val="24"/>
          <w:szCs w:val="24"/>
          <w:lang w:val="en-NZ"/>
        </w:rPr>
        <w:t xml:space="preserve">. Prepared for the Ministry for the Environment and the Ministry of Health by SA Wood, DP Hamilton, WJ Paul, KA Safi and WM Williamson. </w:t>
      </w:r>
      <w:r w:rsidRPr="00EF0E94">
        <w:rPr>
          <w:sz w:val="24"/>
          <w:szCs w:val="24"/>
        </w:rPr>
        <w:t xml:space="preserve">Wellington: Ministry for the Environment. </w:t>
      </w:r>
      <w:hyperlink r:id="rId65" w:history="1">
        <w:r w:rsidRPr="00EF0E94">
          <w:rPr>
            <w:rStyle w:val="Hyperlink"/>
            <w:color w:val="auto"/>
            <w:sz w:val="24"/>
            <w:szCs w:val="24"/>
          </w:rPr>
          <w:t>https://environment.govt.nz/publications/new-zealand-guidelines-for-cyanobacteria-in-recreational-fresh-waters-interim-guidelines/</w:t>
        </w:r>
      </w:hyperlink>
      <w:r w:rsidRPr="00D91268">
        <w:rPr>
          <w:sz w:val="24"/>
          <w:szCs w:val="24"/>
        </w:rPr>
        <w:t xml:space="preserve">  </w:t>
      </w:r>
    </w:p>
    <w:p w14:paraId="14B63FE6" w14:textId="77777777" w:rsidR="0049069E" w:rsidRPr="00D91268" w:rsidRDefault="0049069E" w:rsidP="0049069E">
      <w:pPr>
        <w:rPr>
          <w:sz w:val="24"/>
          <w:szCs w:val="24"/>
          <w:lang w:val="en-NZ"/>
        </w:rPr>
      </w:pPr>
      <w:r w:rsidRPr="00D91268">
        <w:rPr>
          <w:sz w:val="24"/>
          <w:szCs w:val="24"/>
          <w:lang w:val="en-NZ"/>
        </w:rPr>
        <w:t>Ministry of Health. 2014. The Guide to He Korowai Oranga: Māori Health Strategy 2014.</w:t>
      </w:r>
      <w:r>
        <w:rPr>
          <w:sz w:val="24"/>
          <w:szCs w:val="24"/>
          <w:lang w:val="en-NZ"/>
        </w:rPr>
        <w:t xml:space="preserve"> </w:t>
      </w:r>
      <w:r w:rsidRPr="0053160C">
        <w:rPr>
          <w:sz w:val="24"/>
          <w:szCs w:val="24"/>
        </w:rPr>
        <w:t>Wellington: Ministry of Health.</w:t>
      </w:r>
      <w:r>
        <w:rPr>
          <w:sz w:val="24"/>
          <w:szCs w:val="24"/>
          <w:lang w:val="en-NZ"/>
        </w:rPr>
        <w:t xml:space="preserve"> </w:t>
      </w:r>
      <w:hyperlink r:id="rId66" w:history="1">
        <w:r w:rsidRPr="00390DE6">
          <w:rPr>
            <w:rStyle w:val="Hyperlink"/>
            <w:sz w:val="24"/>
            <w:szCs w:val="24"/>
            <w:lang w:val="en-NZ"/>
          </w:rPr>
          <w:t>https://www.health.govt.nz/publication/guide-he-korowai-oranga-maori-health-strategy</w:t>
        </w:r>
      </w:hyperlink>
      <w:r>
        <w:rPr>
          <w:sz w:val="24"/>
          <w:szCs w:val="24"/>
          <w:lang w:val="en-NZ"/>
        </w:rPr>
        <w:t xml:space="preserve"> </w:t>
      </w:r>
    </w:p>
    <w:p w14:paraId="2EBE081D" w14:textId="77777777" w:rsidR="0049069E" w:rsidRPr="00D91268" w:rsidRDefault="0049069E" w:rsidP="0049069E">
      <w:pPr>
        <w:rPr>
          <w:sz w:val="24"/>
          <w:szCs w:val="24"/>
          <w:lang w:val="en-NZ"/>
        </w:rPr>
      </w:pPr>
      <w:r w:rsidRPr="00D91268">
        <w:rPr>
          <w:sz w:val="24"/>
          <w:szCs w:val="24"/>
          <w:lang w:val="en-NZ"/>
        </w:rPr>
        <w:t>Ministry of Health. 2020. Whakamaua: Māori Health Action Plan 2020–2025.</w:t>
      </w:r>
      <w:r>
        <w:rPr>
          <w:sz w:val="24"/>
          <w:szCs w:val="24"/>
          <w:lang w:val="en-NZ"/>
        </w:rPr>
        <w:t xml:space="preserve"> </w:t>
      </w:r>
      <w:r w:rsidRPr="0053160C">
        <w:rPr>
          <w:sz w:val="24"/>
          <w:szCs w:val="24"/>
        </w:rPr>
        <w:t>Wellington: Ministry of Health</w:t>
      </w:r>
      <w:r>
        <w:rPr>
          <w:sz w:val="24"/>
          <w:szCs w:val="24"/>
        </w:rPr>
        <w:t xml:space="preserve">. </w:t>
      </w:r>
      <w:hyperlink r:id="rId67" w:history="1">
        <w:r w:rsidRPr="00390DE6">
          <w:rPr>
            <w:rStyle w:val="Hyperlink"/>
            <w:sz w:val="24"/>
            <w:szCs w:val="24"/>
          </w:rPr>
          <w:t>https://www.health.govt.nz/publication/whakamaua-maori-health-action-plan-2020-2025</w:t>
        </w:r>
      </w:hyperlink>
      <w:r>
        <w:rPr>
          <w:sz w:val="24"/>
          <w:szCs w:val="24"/>
        </w:rPr>
        <w:t xml:space="preserve"> </w:t>
      </w:r>
    </w:p>
    <w:p w14:paraId="4B4A04CB" w14:textId="77777777" w:rsidR="0049069E" w:rsidRPr="009F3640" w:rsidRDefault="0049069E" w:rsidP="0049069E">
      <w:pPr>
        <w:rPr>
          <w:sz w:val="24"/>
          <w:szCs w:val="24"/>
          <w:lang w:val="en-NZ"/>
        </w:rPr>
      </w:pPr>
      <w:r w:rsidRPr="009F3640">
        <w:rPr>
          <w:sz w:val="24"/>
          <w:szCs w:val="24"/>
          <w:lang w:val="en-NZ"/>
        </w:rPr>
        <w:t xml:space="preserve">Mohamed ZA &amp; Al-Shehri AM. 2015. Biodiversity and toxin production of cyanobacteria in mangrove swamps in the Red Sea off the southern coast of Saudi Arabia. </w:t>
      </w:r>
      <w:r w:rsidRPr="009F3640">
        <w:rPr>
          <w:i/>
          <w:iCs/>
          <w:sz w:val="24"/>
          <w:szCs w:val="24"/>
          <w:lang w:val="en-NZ"/>
        </w:rPr>
        <w:t>Botanica Marina</w:t>
      </w:r>
      <w:r w:rsidRPr="009F3640">
        <w:rPr>
          <w:sz w:val="24"/>
          <w:szCs w:val="24"/>
          <w:lang w:val="en-NZ"/>
        </w:rPr>
        <w:t xml:space="preserve">, 58(1), 23-34. </w:t>
      </w:r>
      <w:hyperlink r:id="rId68" w:history="1">
        <w:r w:rsidRPr="009F3640">
          <w:rPr>
            <w:rStyle w:val="Hyperlink"/>
            <w:sz w:val="24"/>
            <w:szCs w:val="24"/>
            <w:lang w:val="en-NZ"/>
          </w:rPr>
          <w:t>https://doi.org/doi:10.1515/bot-2014-0055</w:t>
        </w:r>
      </w:hyperlink>
      <w:r w:rsidRPr="009F3640">
        <w:rPr>
          <w:sz w:val="24"/>
          <w:szCs w:val="24"/>
          <w:lang w:val="en-NZ"/>
        </w:rPr>
        <w:t xml:space="preserve"> </w:t>
      </w:r>
    </w:p>
    <w:p w14:paraId="71A6CBCA" w14:textId="77777777" w:rsidR="0049069E" w:rsidRPr="00D91268" w:rsidRDefault="0049069E" w:rsidP="0049069E">
      <w:pPr>
        <w:rPr>
          <w:sz w:val="24"/>
          <w:szCs w:val="24"/>
          <w:lang w:val="en-NZ"/>
        </w:rPr>
      </w:pPr>
      <w:r w:rsidRPr="00D2438F">
        <w:rPr>
          <w:sz w:val="24"/>
          <w:szCs w:val="24"/>
          <w:lang w:val="en-NZ"/>
        </w:rPr>
        <w:t>Moreira-Gonzalez AR, Comas-Gonzalez A, Valle-Pombrol</w:t>
      </w:r>
      <w:r>
        <w:rPr>
          <w:sz w:val="24"/>
          <w:szCs w:val="24"/>
          <w:lang w:val="en-NZ"/>
        </w:rPr>
        <w:t xml:space="preserve"> </w:t>
      </w:r>
      <w:r w:rsidRPr="00D2438F">
        <w:rPr>
          <w:sz w:val="24"/>
          <w:szCs w:val="24"/>
          <w:lang w:val="en-NZ"/>
        </w:rPr>
        <w:t>A, Seisdedo-Losa</w:t>
      </w:r>
      <w:r w:rsidRPr="00D91268">
        <w:rPr>
          <w:sz w:val="24"/>
          <w:szCs w:val="24"/>
          <w:lang w:val="en-NZ"/>
        </w:rPr>
        <w:t xml:space="preserve"> M, Hernandez-Leyva O, Fernandes LF, Chomerat N, Bilien G, Herve F, Rovillon GA, Hess P, Alonso-Hernandez CM &amp; Mafra LL Jr. 2021. Summer bloom of Vulcanodinium rugosum in Cienfuegos Bay (Cuba) associated to dermatitis in swimmers. </w:t>
      </w:r>
      <w:r w:rsidRPr="00AD24E7">
        <w:rPr>
          <w:i/>
          <w:iCs/>
          <w:sz w:val="24"/>
          <w:szCs w:val="24"/>
          <w:lang w:val="en-NZ"/>
        </w:rPr>
        <w:t>Science of the Total Environment</w:t>
      </w:r>
      <w:r w:rsidRPr="00D91268">
        <w:rPr>
          <w:sz w:val="24"/>
          <w:szCs w:val="24"/>
          <w:lang w:val="en-NZ"/>
        </w:rPr>
        <w:t xml:space="preserve">, 757, 143782. </w:t>
      </w:r>
      <w:hyperlink r:id="rId69" w:history="1">
        <w:r w:rsidRPr="00D91268">
          <w:rPr>
            <w:rStyle w:val="Hyperlink"/>
            <w:sz w:val="24"/>
            <w:szCs w:val="24"/>
            <w:lang w:val="en-NZ"/>
          </w:rPr>
          <w:t>https://doi.org/10.1016/j.scitotenv.2020.143782</w:t>
        </w:r>
      </w:hyperlink>
      <w:r w:rsidRPr="00D91268">
        <w:rPr>
          <w:sz w:val="24"/>
          <w:szCs w:val="24"/>
          <w:lang w:val="en-NZ"/>
        </w:rPr>
        <w:t xml:space="preserve"> </w:t>
      </w:r>
    </w:p>
    <w:p w14:paraId="26E501BD" w14:textId="77777777" w:rsidR="0049069E" w:rsidRPr="00D91268" w:rsidRDefault="0049069E" w:rsidP="0049069E">
      <w:pPr>
        <w:rPr>
          <w:sz w:val="24"/>
          <w:szCs w:val="24"/>
          <w:lang w:val="en-NZ"/>
        </w:rPr>
      </w:pPr>
      <w:r w:rsidRPr="00D91268">
        <w:rPr>
          <w:sz w:val="24"/>
          <w:szCs w:val="24"/>
          <w:lang w:val="en-NZ"/>
        </w:rPr>
        <w:lastRenderedPageBreak/>
        <w:t xml:space="preserve">Nelson WA, Neill KF &amp; D'Archino R. 2015. When seaweeds go bad: an overview of outbreaks of nuisance quantities of marine macroalgae in New Zealand. </w:t>
      </w:r>
      <w:r w:rsidRPr="00D2438F">
        <w:rPr>
          <w:i/>
          <w:iCs/>
          <w:sz w:val="24"/>
          <w:szCs w:val="24"/>
          <w:lang w:val="en-NZ"/>
        </w:rPr>
        <w:t>New Zealand Journal of Marine and Freshwater Research</w:t>
      </w:r>
      <w:r w:rsidRPr="00D91268">
        <w:rPr>
          <w:sz w:val="24"/>
          <w:szCs w:val="24"/>
          <w:lang w:val="en-NZ"/>
        </w:rPr>
        <w:t xml:space="preserve">, 49(4), 472-491. </w:t>
      </w:r>
      <w:hyperlink r:id="rId70" w:history="1">
        <w:r w:rsidRPr="00D91268">
          <w:rPr>
            <w:rStyle w:val="Hyperlink"/>
            <w:sz w:val="24"/>
            <w:szCs w:val="24"/>
            <w:lang w:val="en-NZ"/>
          </w:rPr>
          <w:t>https://doi.org/10.1080/00288330.2015.1064975</w:t>
        </w:r>
      </w:hyperlink>
      <w:r w:rsidRPr="00D91268">
        <w:rPr>
          <w:sz w:val="24"/>
          <w:szCs w:val="24"/>
          <w:lang w:val="en-NZ"/>
        </w:rPr>
        <w:t xml:space="preserve"> </w:t>
      </w:r>
    </w:p>
    <w:p w14:paraId="3A808527" w14:textId="77777777" w:rsidR="0049069E" w:rsidRPr="00D91268" w:rsidRDefault="0049069E" w:rsidP="0049069E">
      <w:pPr>
        <w:rPr>
          <w:sz w:val="24"/>
          <w:szCs w:val="24"/>
          <w:lang w:val="en-NZ"/>
        </w:rPr>
      </w:pPr>
      <w:r w:rsidRPr="00D91268">
        <w:rPr>
          <w:sz w:val="24"/>
          <w:szCs w:val="24"/>
          <w:lang w:val="en-NZ"/>
        </w:rPr>
        <w:t>O’Keeffe JM, L. 2022. Red tides and health risks for recreational water users</w:t>
      </w:r>
      <w:r>
        <w:rPr>
          <w:sz w:val="24"/>
          <w:szCs w:val="24"/>
          <w:lang w:val="en-NZ"/>
        </w:rPr>
        <w:t xml:space="preserve">. </w:t>
      </w:r>
      <w:r w:rsidRPr="00D91268">
        <w:rPr>
          <w:sz w:val="24"/>
          <w:szCs w:val="24"/>
          <w:lang w:val="en-NZ"/>
        </w:rPr>
        <w:t xml:space="preserve">Vancouver, BC: National Collaboration Centre for Environmental Health. </w:t>
      </w:r>
      <w:hyperlink r:id="rId71" w:history="1">
        <w:r w:rsidRPr="00D91268">
          <w:rPr>
            <w:rStyle w:val="Hyperlink"/>
            <w:sz w:val="24"/>
            <w:szCs w:val="24"/>
            <w:lang w:val="en-NZ"/>
          </w:rPr>
          <w:t>https://ncceh.ca/content/blog/red-tides-and-health-risks-recreational-water-users</w:t>
        </w:r>
      </w:hyperlink>
      <w:r w:rsidRPr="00D91268">
        <w:rPr>
          <w:sz w:val="24"/>
          <w:szCs w:val="24"/>
          <w:lang w:val="en-NZ"/>
        </w:rPr>
        <w:t xml:space="preserve"> </w:t>
      </w:r>
    </w:p>
    <w:p w14:paraId="6F810CAC" w14:textId="77777777" w:rsidR="0049069E" w:rsidRPr="00D91268" w:rsidRDefault="0049069E" w:rsidP="0049069E">
      <w:pPr>
        <w:rPr>
          <w:sz w:val="24"/>
          <w:szCs w:val="24"/>
          <w:lang w:val="en-NZ"/>
        </w:rPr>
      </w:pPr>
      <w:r w:rsidRPr="00D91268">
        <w:rPr>
          <w:sz w:val="24"/>
          <w:szCs w:val="24"/>
          <w:lang w:val="en-NZ"/>
        </w:rPr>
        <w:t xml:space="preserve">Osborne NJ &amp; Shaw GR. 2008. Dermatitis associated with exposure to a marine cyanobacterium during recreational water exposure. BMC Dermatol, 8, 5. </w:t>
      </w:r>
      <w:hyperlink r:id="rId72" w:history="1">
        <w:r w:rsidRPr="00D91268">
          <w:rPr>
            <w:rStyle w:val="Hyperlink"/>
            <w:sz w:val="24"/>
            <w:szCs w:val="24"/>
            <w:lang w:val="en-NZ"/>
          </w:rPr>
          <w:t>https://doi.org/10.1186/1471-5945-8-5</w:t>
        </w:r>
      </w:hyperlink>
      <w:r w:rsidRPr="00D91268">
        <w:rPr>
          <w:sz w:val="24"/>
          <w:szCs w:val="24"/>
          <w:lang w:val="en-NZ"/>
        </w:rPr>
        <w:t xml:space="preserve"> </w:t>
      </w:r>
    </w:p>
    <w:p w14:paraId="44D004B7" w14:textId="77777777" w:rsidR="0049069E" w:rsidRPr="00D91268" w:rsidRDefault="0049069E" w:rsidP="0049069E">
      <w:pPr>
        <w:rPr>
          <w:sz w:val="24"/>
          <w:szCs w:val="24"/>
          <w:lang w:val="en-NZ"/>
        </w:rPr>
      </w:pPr>
      <w:r w:rsidRPr="00D91268">
        <w:rPr>
          <w:sz w:val="24"/>
          <w:szCs w:val="24"/>
          <w:lang w:val="en-NZ"/>
        </w:rPr>
        <w:t xml:space="preserve">Osborne NJ, Shaw GR &amp; Webb PM. 2007. Health effects of recreational exposure to Moreton Bay, Australia waters during a Lyngbya majuscula bloom. </w:t>
      </w:r>
      <w:r w:rsidRPr="00935AC6">
        <w:rPr>
          <w:i/>
          <w:iCs/>
          <w:sz w:val="24"/>
          <w:szCs w:val="24"/>
          <w:lang w:val="en-NZ"/>
        </w:rPr>
        <w:t>Environment International</w:t>
      </w:r>
      <w:r w:rsidRPr="00D91268">
        <w:rPr>
          <w:sz w:val="24"/>
          <w:szCs w:val="24"/>
          <w:lang w:val="en-NZ"/>
        </w:rPr>
        <w:t xml:space="preserve">, 33(3), 309-314. </w:t>
      </w:r>
      <w:hyperlink r:id="rId73" w:history="1">
        <w:r w:rsidRPr="00D91268">
          <w:rPr>
            <w:rStyle w:val="Hyperlink"/>
            <w:sz w:val="24"/>
            <w:szCs w:val="24"/>
            <w:lang w:val="en-NZ"/>
          </w:rPr>
          <w:t>https://doi.org/10.1016/j.envint.2006.10.011</w:t>
        </w:r>
      </w:hyperlink>
      <w:r w:rsidRPr="00D91268">
        <w:rPr>
          <w:sz w:val="24"/>
          <w:szCs w:val="24"/>
          <w:lang w:val="en-NZ"/>
        </w:rPr>
        <w:t xml:space="preserve"> </w:t>
      </w:r>
    </w:p>
    <w:p w14:paraId="7B51BF69" w14:textId="77777777" w:rsidR="0049069E" w:rsidRPr="00D91268" w:rsidRDefault="0049069E" w:rsidP="0049069E">
      <w:pPr>
        <w:rPr>
          <w:sz w:val="24"/>
          <w:szCs w:val="24"/>
          <w:lang w:val="en-NZ"/>
        </w:rPr>
      </w:pPr>
      <w:r w:rsidRPr="00D91268">
        <w:rPr>
          <w:sz w:val="24"/>
          <w:szCs w:val="24"/>
          <w:lang w:val="en-NZ"/>
        </w:rPr>
        <w:t xml:space="preserve">Osborne NJT, Webb PM &amp; Shaw GR. 2001. The toxins of Lyngbya majuscula and their human and ecological health effects. </w:t>
      </w:r>
      <w:r w:rsidRPr="00935AC6">
        <w:rPr>
          <w:i/>
          <w:iCs/>
          <w:sz w:val="24"/>
          <w:szCs w:val="24"/>
          <w:lang w:val="en-NZ"/>
        </w:rPr>
        <w:t>Environment International</w:t>
      </w:r>
      <w:r w:rsidRPr="00D91268">
        <w:rPr>
          <w:sz w:val="24"/>
          <w:szCs w:val="24"/>
          <w:lang w:val="en-NZ"/>
        </w:rPr>
        <w:t xml:space="preserve">, 27(5), 381-392. </w:t>
      </w:r>
      <w:hyperlink r:id="rId74" w:history="1">
        <w:r w:rsidRPr="009743B9">
          <w:rPr>
            <w:rStyle w:val="Hyperlink"/>
            <w:sz w:val="24"/>
            <w:szCs w:val="24"/>
            <w:lang w:val="en-NZ"/>
          </w:rPr>
          <w:t>https://pubmed.ncbi.nlm.nih.gov/11757852/</w:t>
        </w:r>
      </w:hyperlink>
      <w:r>
        <w:rPr>
          <w:sz w:val="24"/>
          <w:szCs w:val="24"/>
          <w:lang w:val="en-NZ"/>
        </w:rPr>
        <w:t xml:space="preserve">  </w:t>
      </w:r>
      <w:r w:rsidRPr="00D91268">
        <w:rPr>
          <w:sz w:val="24"/>
          <w:szCs w:val="24"/>
          <w:lang w:val="en-NZ"/>
        </w:rPr>
        <w:t xml:space="preserve"> </w:t>
      </w:r>
    </w:p>
    <w:p w14:paraId="0A2924AC" w14:textId="77777777" w:rsidR="0049069E" w:rsidRPr="00D91268" w:rsidRDefault="0049069E" w:rsidP="0049069E">
      <w:pPr>
        <w:rPr>
          <w:sz w:val="24"/>
          <w:szCs w:val="24"/>
          <w:lang w:val="en-NZ"/>
        </w:rPr>
      </w:pPr>
      <w:r w:rsidRPr="00D91268">
        <w:rPr>
          <w:sz w:val="24"/>
          <w:szCs w:val="24"/>
          <w:lang w:val="en-NZ"/>
        </w:rPr>
        <w:t>Pilotto LS, Douglas RM, Burch MD, Cameron S, Beers M</w:t>
      </w:r>
      <w:r>
        <w:rPr>
          <w:sz w:val="24"/>
          <w:szCs w:val="24"/>
          <w:lang w:val="en-NZ"/>
        </w:rPr>
        <w:t xml:space="preserve">, </w:t>
      </w:r>
      <w:r w:rsidRPr="00D91268">
        <w:rPr>
          <w:sz w:val="24"/>
          <w:szCs w:val="24"/>
          <w:lang w:val="en-NZ"/>
        </w:rPr>
        <w:t xml:space="preserve">Rouch GJ, Robinson P, Kirk M, Cowie CT, Hardiman S, Moore C &amp; Attewell RG. 1997. Health effects of exposure to cyanobacteria (blue-green algae) during recreational water- related activities. </w:t>
      </w:r>
      <w:r w:rsidRPr="00644778">
        <w:rPr>
          <w:i/>
          <w:iCs/>
          <w:sz w:val="24"/>
          <w:szCs w:val="24"/>
          <w:lang w:val="en-NZ"/>
        </w:rPr>
        <w:t>Australian and New Zealand Journal of Public Health</w:t>
      </w:r>
      <w:r w:rsidRPr="00D91268">
        <w:rPr>
          <w:sz w:val="24"/>
          <w:szCs w:val="24"/>
          <w:lang w:val="en-NZ"/>
        </w:rPr>
        <w:t xml:space="preserve">, 21(6), 562-566. </w:t>
      </w:r>
      <w:hyperlink r:id="rId75" w:history="1">
        <w:r w:rsidRPr="00D91268">
          <w:rPr>
            <w:rStyle w:val="Hyperlink"/>
            <w:sz w:val="24"/>
            <w:szCs w:val="24"/>
            <w:lang w:val="en-NZ"/>
          </w:rPr>
          <w:t>https://doi.org/10.1111/j.1467-842x.1997.tb01755.x</w:t>
        </w:r>
      </w:hyperlink>
      <w:r w:rsidRPr="00D91268">
        <w:rPr>
          <w:sz w:val="24"/>
          <w:szCs w:val="24"/>
          <w:lang w:val="en-NZ"/>
        </w:rPr>
        <w:t xml:space="preserve"> </w:t>
      </w:r>
    </w:p>
    <w:p w14:paraId="677081F8" w14:textId="77777777" w:rsidR="0049069E" w:rsidRPr="00D91268" w:rsidRDefault="0049069E" w:rsidP="0049069E">
      <w:pPr>
        <w:rPr>
          <w:sz w:val="24"/>
          <w:szCs w:val="24"/>
          <w:lang w:val="en-NZ"/>
        </w:rPr>
      </w:pPr>
      <w:r w:rsidRPr="00D91268">
        <w:rPr>
          <w:sz w:val="24"/>
          <w:szCs w:val="24"/>
          <w:lang w:val="en-NZ"/>
        </w:rPr>
        <w:t>Puddick J, Kelly L &amp; Wood S. 2022. Climate change and toxic freshwater cyanobacteria in Aotearoa New Zealand.</w:t>
      </w:r>
      <w:r>
        <w:rPr>
          <w:sz w:val="24"/>
          <w:szCs w:val="24"/>
          <w:lang w:val="en-NZ"/>
        </w:rPr>
        <w:t xml:space="preserve"> </w:t>
      </w:r>
      <w:r w:rsidRPr="00BB79EB">
        <w:rPr>
          <w:sz w:val="24"/>
          <w:szCs w:val="24"/>
        </w:rPr>
        <w:t>Prepared for New Zealand Ministry of Health. Cawthron Report No. 3765. 65 p.</w:t>
      </w:r>
      <w:r>
        <w:rPr>
          <w:sz w:val="24"/>
          <w:szCs w:val="24"/>
        </w:rPr>
        <w:t xml:space="preserve"> </w:t>
      </w:r>
      <w:hyperlink r:id="rId76" w:history="1">
        <w:r w:rsidRPr="001E6472">
          <w:rPr>
            <w:rStyle w:val="Hyperlink"/>
            <w:sz w:val="24"/>
            <w:szCs w:val="24"/>
          </w:rPr>
          <w:t>https://www.esr.cri.nz/media/oeybh4vn/esr-environmental-health-report-climate-change-toxic-freshwater-cyanobacteria.</w:t>
        </w:r>
        <w:r w:rsidRPr="001C13B6">
          <w:rPr>
            <w:rStyle w:val="Hyperlink"/>
            <w:b/>
            <w:bCs/>
            <w:sz w:val="24"/>
            <w:szCs w:val="24"/>
          </w:rPr>
          <w:t>pdf</w:t>
        </w:r>
      </w:hyperlink>
      <w:r w:rsidRPr="001C13B6">
        <w:rPr>
          <w:b/>
          <w:bCs/>
          <w:sz w:val="24"/>
          <w:szCs w:val="24"/>
        </w:rPr>
        <w:t xml:space="preserve"> </w:t>
      </w:r>
    </w:p>
    <w:p w14:paraId="6236FCBB" w14:textId="77777777" w:rsidR="0049069E" w:rsidRPr="00D91268" w:rsidRDefault="0049069E" w:rsidP="0049069E">
      <w:pPr>
        <w:rPr>
          <w:sz w:val="24"/>
          <w:szCs w:val="24"/>
          <w:lang w:val="en-NZ"/>
        </w:rPr>
      </w:pPr>
      <w:r w:rsidRPr="00D91268">
        <w:rPr>
          <w:sz w:val="24"/>
          <w:szCs w:val="24"/>
          <w:lang w:val="en-NZ"/>
        </w:rPr>
        <w:t>Puddick J, Wood S, Kelly L, Cridge B &amp; Cressey P. 2022. Revisions to the alert-level framework for planktonic cyanobacteria in the 'New Zealand Guidelines for Cyanobacteria in Recreational Fresh Waters'.</w:t>
      </w:r>
      <w:r>
        <w:rPr>
          <w:sz w:val="24"/>
          <w:szCs w:val="24"/>
          <w:lang w:val="en-NZ"/>
        </w:rPr>
        <w:t xml:space="preserve"> </w:t>
      </w:r>
      <w:r w:rsidRPr="001C13B6">
        <w:rPr>
          <w:sz w:val="24"/>
          <w:szCs w:val="24"/>
        </w:rPr>
        <w:t>Prepared for the New Zealand Ministry of Health | Manatū Hauora. Cawthron Report No. 3726. 30 p. plus appendices.</w:t>
      </w:r>
      <w:r>
        <w:rPr>
          <w:sz w:val="24"/>
          <w:szCs w:val="24"/>
        </w:rPr>
        <w:t xml:space="preserve"> </w:t>
      </w:r>
      <w:hyperlink r:id="rId77" w:history="1">
        <w:r w:rsidRPr="001E6472">
          <w:rPr>
            <w:rStyle w:val="Hyperlink"/>
            <w:sz w:val="24"/>
            <w:szCs w:val="24"/>
          </w:rPr>
          <w:t>https://sacnzs.org.nz/assets/1Reports/Environmental-reports/ESR-environmental-health-report-planktonic-cyanobacteria-ALF-for-recreational-guidelines.pdf</w:t>
        </w:r>
      </w:hyperlink>
      <w:r>
        <w:rPr>
          <w:sz w:val="24"/>
          <w:szCs w:val="24"/>
        </w:rPr>
        <w:t xml:space="preserve"> </w:t>
      </w:r>
    </w:p>
    <w:p w14:paraId="728A7283" w14:textId="77777777" w:rsidR="0049069E" w:rsidRPr="00D91268" w:rsidRDefault="0049069E" w:rsidP="0049069E">
      <w:pPr>
        <w:rPr>
          <w:sz w:val="24"/>
          <w:szCs w:val="24"/>
          <w:lang w:val="en-NZ"/>
        </w:rPr>
      </w:pPr>
      <w:r w:rsidRPr="00D91268">
        <w:rPr>
          <w:sz w:val="24"/>
          <w:szCs w:val="24"/>
          <w:lang w:val="en-NZ"/>
        </w:rPr>
        <w:t xml:space="preserve">Reckelhoff-Dangel C &amp; Petersen D. 2007. </w:t>
      </w:r>
      <w:r w:rsidRPr="00581BF5">
        <w:rPr>
          <w:i/>
          <w:iCs/>
          <w:sz w:val="24"/>
          <w:szCs w:val="24"/>
          <w:lang w:val="en-NZ"/>
        </w:rPr>
        <w:t>Risk Communication in Action: The risk communication workbook.</w:t>
      </w:r>
      <w:r w:rsidRPr="00D91268">
        <w:rPr>
          <w:sz w:val="24"/>
          <w:szCs w:val="24"/>
          <w:lang w:val="en-NZ"/>
        </w:rPr>
        <w:t xml:space="preserve"> U</w:t>
      </w:r>
      <w:r>
        <w:rPr>
          <w:sz w:val="24"/>
          <w:szCs w:val="24"/>
          <w:lang w:val="en-NZ"/>
        </w:rPr>
        <w:t>nited States Environmental Protection Agency</w:t>
      </w:r>
      <w:r w:rsidRPr="00D91268">
        <w:rPr>
          <w:sz w:val="24"/>
          <w:szCs w:val="24"/>
          <w:lang w:val="en-NZ"/>
        </w:rPr>
        <w:t xml:space="preserve">. Cincinnati: Office of Research and Development. </w:t>
      </w:r>
      <w:hyperlink r:id="rId78" w:history="1">
        <w:r w:rsidRPr="00D91268">
          <w:rPr>
            <w:rStyle w:val="Hyperlink"/>
            <w:sz w:val="24"/>
            <w:szCs w:val="24"/>
            <w:lang w:val="en-NZ"/>
          </w:rPr>
          <w:t>http://nepis.epa.gov/Adobe/PDF/60000I2U.pdf</w:t>
        </w:r>
      </w:hyperlink>
      <w:r w:rsidRPr="00D91268">
        <w:rPr>
          <w:sz w:val="24"/>
          <w:szCs w:val="24"/>
          <w:lang w:val="en-NZ"/>
        </w:rPr>
        <w:t xml:space="preserve"> </w:t>
      </w:r>
    </w:p>
    <w:p w14:paraId="445810F6" w14:textId="77777777" w:rsidR="0049069E" w:rsidRPr="00D91268" w:rsidRDefault="0049069E" w:rsidP="0049069E">
      <w:pPr>
        <w:rPr>
          <w:sz w:val="24"/>
          <w:szCs w:val="24"/>
          <w:lang w:val="en-NZ"/>
        </w:rPr>
      </w:pPr>
      <w:r w:rsidRPr="00D91268">
        <w:rPr>
          <w:sz w:val="24"/>
          <w:szCs w:val="24"/>
          <w:lang w:val="en-NZ"/>
        </w:rPr>
        <w:t xml:space="preserve">Rhodes L &amp; Smith K. 2022. Review of the potential effects of climate change on marine harmful algal blooms (HABs): implication for public health Aotearoa New Zealand.  </w:t>
      </w:r>
      <w:r w:rsidRPr="00F12F36">
        <w:rPr>
          <w:sz w:val="24"/>
          <w:szCs w:val="24"/>
        </w:rPr>
        <w:t>Prepared for the New Zealand Ministry of Health. Cawthron Report No. 3758. 36 p.</w:t>
      </w:r>
      <w:r>
        <w:rPr>
          <w:sz w:val="24"/>
          <w:szCs w:val="24"/>
        </w:rPr>
        <w:t xml:space="preserve"> </w:t>
      </w:r>
      <w:hyperlink r:id="rId79" w:history="1">
        <w:r w:rsidRPr="001E6472">
          <w:rPr>
            <w:rStyle w:val="Hyperlink"/>
            <w:sz w:val="24"/>
            <w:szCs w:val="24"/>
          </w:rPr>
          <w:t>https://www.esr.cri.nz/digital-library/environmental-health-report-climate-change-effects-on-marine-harmful-algal-blooms-in-aotearoa-nz/</w:t>
        </w:r>
      </w:hyperlink>
      <w:r>
        <w:rPr>
          <w:sz w:val="24"/>
          <w:szCs w:val="24"/>
        </w:rPr>
        <w:t xml:space="preserve"> </w:t>
      </w:r>
    </w:p>
    <w:p w14:paraId="018F9380" w14:textId="77777777" w:rsidR="0049069E" w:rsidRPr="00D91268" w:rsidRDefault="0049069E" w:rsidP="0049069E">
      <w:pPr>
        <w:rPr>
          <w:sz w:val="24"/>
          <w:szCs w:val="24"/>
          <w:lang w:val="en-NZ"/>
        </w:rPr>
      </w:pPr>
      <w:r w:rsidRPr="00D91268">
        <w:rPr>
          <w:sz w:val="24"/>
          <w:szCs w:val="24"/>
          <w:lang w:val="en-NZ"/>
        </w:rPr>
        <w:lastRenderedPageBreak/>
        <w:t>Stewart I, Webb PM, Schluter PJ, Fleming LE, Burns JW</w:t>
      </w:r>
      <w:r>
        <w:rPr>
          <w:sz w:val="24"/>
          <w:szCs w:val="24"/>
          <w:lang w:val="en-NZ"/>
        </w:rPr>
        <w:t xml:space="preserve"> </w:t>
      </w:r>
      <w:r w:rsidRPr="00D91268">
        <w:rPr>
          <w:sz w:val="24"/>
          <w:szCs w:val="24"/>
          <w:lang w:val="en-NZ"/>
        </w:rPr>
        <w:t xml:space="preserve">Jr, Gantar M, Backer LC &amp; Shaw GR. 2006. Epidemiology of recreational exposure to freshwater cyanobacteria--an international prospective cohort study. </w:t>
      </w:r>
      <w:r w:rsidRPr="009239D0">
        <w:rPr>
          <w:i/>
          <w:iCs/>
          <w:sz w:val="24"/>
          <w:szCs w:val="24"/>
          <w:lang w:val="en-NZ"/>
        </w:rPr>
        <w:t>BMC Public Health</w:t>
      </w:r>
      <w:r w:rsidRPr="00D91268">
        <w:rPr>
          <w:sz w:val="24"/>
          <w:szCs w:val="24"/>
          <w:lang w:val="en-NZ"/>
        </w:rPr>
        <w:t xml:space="preserve">, 6, 93. </w:t>
      </w:r>
      <w:hyperlink r:id="rId80" w:history="1">
        <w:r w:rsidRPr="00D91268">
          <w:rPr>
            <w:rStyle w:val="Hyperlink"/>
            <w:sz w:val="24"/>
            <w:szCs w:val="24"/>
            <w:lang w:val="en-NZ"/>
          </w:rPr>
          <w:t>https://doi.org/10.1186/1471-2458-6-93</w:t>
        </w:r>
      </w:hyperlink>
      <w:r w:rsidRPr="00D91268">
        <w:rPr>
          <w:sz w:val="24"/>
          <w:szCs w:val="24"/>
          <w:lang w:val="en-NZ"/>
        </w:rPr>
        <w:t xml:space="preserve"> </w:t>
      </w:r>
    </w:p>
    <w:p w14:paraId="7C1A38B7" w14:textId="77777777" w:rsidR="0049069E" w:rsidRPr="00D91268" w:rsidRDefault="0049069E" w:rsidP="0049069E">
      <w:pPr>
        <w:rPr>
          <w:sz w:val="24"/>
          <w:szCs w:val="24"/>
          <w:lang w:val="en-NZ"/>
        </w:rPr>
      </w:pPr>
      <w:r w:rsidRPr="00D91268">
        <w:rPr>
          <w:sz w:val="24"/>
          <w:szCs w:val="24"/>
          <w:lang w:val="en-NZ"/>
        </w:rPr>
        <w:t xml:space="preserve">Stewart I, Webb PM, Schluter PJ &amp; Shaw GR. 2006. Recreational and occupational field exposure to freshwater cyanobacteria--a review of anecdotal and case reports, epidemiological studies and the challenges for epidemiologic assessment. </w:t>
      </w:r>
      <w:r w:rsidRPr="00C95963">
        <w:rPr>
          <w:i/>
          <w:iCs/>
          <w:sz w:val="24"/>
          <w:szCs w:val="24"/>
          <w:lang w:val="en-NZ"/>
        </w:rPr>
        <w:t>Environmental Health,</w:t>
      </w:r>
      <w:r w:rsidRPr="00D91268">
        <w:rPr>
          <w:sz w:val="24"/>
          <w:szCs w:val="24"/>
          <w:lang w:val="en-NZ"/>
        </w:rPr>
        <w:t xml:space="preserve"> 5, 6. </w:t>
      </w:r>
      <w:hyperlink r:id="rId81" w:history="1">
        <w:r w:rsidRPr="00D91268">
          <w:rPr>
            <w:rStyle w:val="Hyperlink"/>
            <w:sz w:val="24"/>
            <w:szCs w:val="24"/>
            <w:lang w:val="en-NZ"/>
          </w:rPr>
          <w:t>https://doi.org/10.1186/1476-069X-5-6</w:t>
        </w:r>
      </w:hyperlink>
      <w:r w:rsidRPr="00D91268">
        <w:rPr>
          <w:sz w:val="24"/>
          <w:szCs w:val="24"/>
          <w:lang w:val="en-NZ"/>
        </w:rPr>
        <w:t xml:space="preserve"> </w:t>
      </w:r>
    </w:p>
    <w:p w14:paraId="14FEAC8F" w14:textId="77777777" w:rsidR="0049069E" w:rsidRPr="00D91268" w:rsidRDefault="0049069E" w:rsidP="0049069E">
      <w:pPr>
        <w:rPr>
          <w:sz w:val="24"/>
          <w:szCs w:val="24"/>
          <w:lang w:val="en-NZ"/>
        </w:rPr>
      </w:pPr>
      <w:r w:rsidRPr="00D91268">
        <w:rPr>
          <w:sz w:val="24"/>
          <w:szCs w:val="24"/>
          <w:lang w:val="en-NZ"/>
        </w:rPr>
        <w:t xml:space="preserve">Taumata Arowai. 2020. </w:t>
      </w:r>
      <w:r w:rsidRPr="00D91268">
        <w:rPr>
          <w:i/>
          <w:iCs/>
          <w:sz w:val="24"/>
          <w:szCs w:val="24"/>
          <w:lang w:val="en-NZ"/>
        </w:rPr>
        <w:t>Guidelines for drinking-water quality management for New Zealand Chapter 9: Cyanobacterial compliance</w:t>
      </w:r>
      <w:r w:rsidRPr="00D91268">
        <w:rPr>
          <w:sz w:val="24"/>
          <w:szCs w:val="24"/>
          <w:lang w:val="en-NZ"/>
        </w:rPr>
        <w:t xml:space="preserve">.  </w:t>
      </w:r>
      <w:hyperlink r:id="rId82" w:history="1">
        <w:r w:rsidRPr="00D91268">
          <w:rPr>
            <w:rStyle w:val="Hyperlink"/>
            <w:sz w:val="24"/>
            <w:szCs w:val="24"/>
          </w:rPr>
          <w:t>https://www.taumataarowai.govt.nz/assets/Uploads/Ministry-of-Health-drinking-water-guidelines/dwg-ch9-cyanobacterial-compliance-may20.docx</w:t>
        </w:r>
      </w:hyperlink>
    </w:p>
    <w:p w14:paraId="092EB482" w14:textId="77777777" w:rsidR="0049069E" w:rsidRPr="00D91268" w:rsidRDefault="0049069E" w:rsidP="0049069E">
      <w:pPr>
        <w:rPr>
          <w:sz w:val="24"/>
          <w:szCs w:val="24"/>
          <w:lang w:val="en-NZ"/>
        </w:rPr>
      </w:pPr>
      <w:r w:rsidRPr="00D91268">
        <w:rPr>
          <w:sz w:val="24"/>
          <w:szCs w:val="24"/>
          <w:lang w:val="en-NZ"/>
        </w:rPr>
        <w:t xml:space="preserve">Te Aho L. 2018. Te Mana o te Wai: An indigenous perspective on rivers and river management. </w:t>
      </w:r>
      <w:r w:rsidRPr="003B504E">
        <w:rPr>
          <w:i/>
          <w:iCs/>
          <w:sz w:val="24"/>
          <w:szCs w:val="24"/>
          <w:lang w:val="en-NZ"/>
        </w:rPr>
        <w:t>River Research and Applications</w:t>
      </w:r>
      <w:r w:rsidRPr="00D91268">
        <w:rPr>
          <w:sz w:val="24"/>
          <w:szCs w:val="24"/>
          <w:lang w:val="en-NZ"/>
        </w:rPr>
        <w:t xml:space="preserve">, 35(10), 1615-1621. </w:t>
      </w:r>
      <w:hyperlink r:id="rId83" w:history="1">
        <w:r w:rsidRPr="00D91268">
          <w:rPr>
            <w:rStyle w:val="Hyperlink"/>
            <w:sz w:val="24"/>
            <w:szCs w:val="24"/>
            <w:lang w:val="en-NZ"/>
          </w:rPr>
          <w:t>https://doi.org/10.1002/rra.3365</w:t>
        </w:r>
      </w:hyperlink>
      <w:r w:rsidRPr="00D91268">
        <w:rPr>
          <w:sz w:val="24"/>
          <w:szCs w:val="24"/>
          <w:lang w:val="en-NZ"/>
        </w:rPr>
        <w:t xml:space="preserve"> </w:t>
      </w:r>
    </w:p>
    <w:p w14:paraId="5FCF886F" w14:textId="77777777" w:rsidR="0049069E" w:rsidRPr="00D91268" w:rsidRDefault="0049069E" w:rsidP="0049069E">
      <w:pPr>
        <w:rPr>
          <w:sz w:val="24"/>
          <w:szCs w:val="24"/>
          <w:lang w:val="en-NZ"/>
        </w:rPr>
      </w:pPr>
      <w:r w:rsidRPr="00D91268">
        <w:rPr>
          <w:sz w:val="24"/>
          <w:szCs w:val="24"/>
          <w:lang w:val="en-NZ"/>
        </w:rPr>
        <w:t xml:space="preserve">Te Mana Raraunga. 2022. Our Data, Our Sovereignty, Our Future. </w:t>
      </w:r>
      <w:hyperlink r:id="rId84" w:history="1">
        <w:r w:rsidRPr="00D91268">
          <w:rPr>
            <w:rStyle w:val="Hyperlink"/>
            <w:sz w:val="24"/>
            <w:szCs w:val="24"/>
            <w:lang w:val="en-NZ"/>
          </w:rPr>
          <w:t>https://www.temanararaunga.maori.nz/</w:t>
        </w:r>
      </w:hyperlink>
      <w:r w:rsidRPr="00D91268">
        <w:rPr>
          <w:sz w:val="24"/>
          <w:szCs w:val="24"/>
          <w:lang w:val="en-NZ"/>
        </w:rPr>
        <w:t xml:space="preserve"> </w:t>
      </w:r>
    </w:p>
    <w:p w14:paraId="37B206C8" w14:textId="77777777" w:rsidR="0049069E" w:rsidRPr="00D91268" w:rsidRDefault="0049069E" w:rsidP="0049069E">
      <w:pPr>
        <w:rPr>
          <w:sz w:val="24"/>
          <w:szCs w:val="24"/>
          <w:lang w:val="en-NZ"/>
        </w:rPr>
      </w:pPr>
      <w:r w:rsidRPr="00D91268">
        <w:rPr>
          <w:sz w:val="24"/>
          <w:szCs w:val="24"/>
          <w:lang w:val="en-NZ"/>
        </w:rPr>
        <w:t xml:space="preserve">Thomson-Laing G, Puddick J &amp; Wood SA. 2020. Predicting cyanobacterial biovolumes from phycocyanin fluorescence using a handheld fluorometer in the field. </w:t>
      </w:r>
      <w:r w:rsidRPr="00E459CD">
        <w:rPr>
          <w:i/>
          <w:iCs/>
          <w:sz w:val="24"/>
          <w:szCs w:val="24"/>
          <w:lang w:val="en-NZ"/>
        </w:rPr>
        <w:t>Harmful Algae</w:t>
      </w:r>
      <w:r w:rsidRPr="00D91268">
        <w:rPr>
          <w:sz w:val="24"/>
          <w:szCs w:val="24"/>
          <w:lang w:val="en-NZ"/>
        </w:rPr>
        <w:t xml:space="preserve">, 97, 101869. </w:t>
      </w:r>
      <w:hyperlink r:id="rId85" w:history="1">
        <w:r w:rsidRPr="00D91268">
          <w:rPr>
            <w:rStyle w:val="Hyperlink"/>
            <w:sz w:val="24"/>
            <w:szCs w:val="24"/>
            <w:lang w:val="en-NZ"/>
          </w:rPr>
          <w:t>https://doi.org/10.1016/j.hal.2020.101869</w:t>
        </w:r>
      </w:hyperlink>
      <w:r w:rsidRPr="00D91268">
        <w:rPr>
          <w:sz w:val="24"/>
          <w:szCs w:val="24"/>
          <w:lang w:val="en-NZ"/>
        </w:rPr>
        <w:t xml:space="preserve"> </w:t>
      </w:r>
    </w:p>
    <w:p w14:paraId="43BAF52E" w14:textId="77777777" w:rsidR="0049069E" w:rsidRPr="00D91268" w:rsidRDefault="0049069E" w:rsidP="0049069E">
      <w:pPr>
        <w:rPr>
          <w:sz w:val="24"/>
          <w:szCs w:val="24"/>
          <w:lang w:val="en-NZ"/>
        </w:rPr>
      </w:pPr>
      <w:r w:rsidRPr="00D91268">
        <w:rPr>
          <w:sz w:val="24"/>
          <w:szCs w:val="24"/>
          <w:lang w:val="en-NZ"/>
        </w:rPr>
        <w:t>Tipa G &amp; Teirney L. 2006a. A Cultural Health Index for Streams and Waterways: A tool for nationwide use.</w:t>
      </w:r>
      <w:r>
        <w:rPr>
          <w:sz w:val="24"/>
          <w:szCs w:val="24"/>
          <w:lang w:val="en-NZ"/>
        </w:rPr>
        <w:t xml:space="preserve"> </w:t>
      </w:r>
      <w:hyperlink r:id="rId86" w:history="1">
        <w:r w:rsidRPr="001E6472">
          <w:rPr>
            <w:rStyle w:val="Hyperlink"/>
            <w:sz w:val="24"/>
            <w:szCs w:val="24"/>
            <w:lang w:val="en-NZ"/>
          </w:rPr>
          <w:t>https://environment.govt.nz/assets/Publications/Files/cultural-health-index-for-streams-and-waterways-tech-report-apr06.pdf</w:t>
        </w:r>
      </w:hyperlink>
      <w:r>
        <w:rPr>
          <w:sz w:val="24"/>
          <w:szCs w:val="24"/>
          <w:lang w:val="en-NZ"/>
        </w:rPr>
        <w:t xml:space="preserve"> </w:t>
      </w:r>
    </w:p>
    <w:p w14:paraId="765CCD55" w14:textId="14731C22" w:rsidR="0049069E" w:rsidRPr="00D91268" w:rsidRDefault="0049069E" w:rsidP="0049069E">
      <w:pPr>
        <w:rPr>
          <w:sz w:val="24"/>
          <w:szCs w:val="24"/>
          <w:lang w:val="en-NZ"/>
        </w:rPr>
      </w:pPr>
      <w:r w:rsidRPr="00D91268">
        <w:rPr>
          <w:sz w:val="24"/>
          <w:szCs w:val="24"/>
          <w:lang w:val="en-NZ"/>
        </w:rPr>
        <w:t>Tipa G &amp; Teirney L. 2006b. Using the Cultural Health Index: How to assess the health of streams and waterways.</w:t>
      </w:r>
      <w:r>
        <w:rPr>
          <w:sz w:val="24"/>
          <w:szCs w:val="24"/>
          <w:lang w:val="en-NZ"/>
        </w:rPr>
        <w:t xml:space="preserve"> </w:t>
      </w:r>
      <w:hyperlink r:id="rId87" w:history="1">
        <w:r w:rsidRPr="005E0CF4">
          <w:rPr>
            <w:rStyle w:val="Hyperlink"/>
            <w:sz w:val="24"/>
            <w:szCs w:val="24"/>
            <w:lang w:val="en-NZ"/>
          </w:rPr>
          <w:t>https://environment.govt.nz/assets/Publications/Files/chi-for-streams-and-waterways-feb06-full-colour.pdf</w:t>
        </w:r>
      </w:hyperlink>
    </w:p>
    <w:p w14:paraId="613E3E19" w14:textId="77777777" w:rsidR="0049069E" w:rsidRPr="00D91268" w:rsidRDefault="0049069E" w:rsidP="0049069E">
      <w:pPr>
        <w:rPr>
          <w:sz w:val="24"/>
          <w:szCs w:val="24"/>
          <w:lang w:val="en-NZ"/>
        </w:rPr>
      </w:pPr>
      <w:r w:rsidRPr="00D91268">
        <w:rPr>
          <w:sz w:val="24"/>
          <w:szCs w:val="24"/>
          <w:lang w:val="en-NZ"/>
        </w:rPr>
        <w:t xml:space="preserve">Todd K. 2002. A review of NSP monitoring in New Zealand in support of a new programme. </w:t>
      </w:r>
      <w:r w:rsidRPr="009A78B0">
        <w:rPr>
          <w:sz w:val="24"/>
          <w:szCs w:val="24"/>
        </w:rPr>
        <w:t>Report prepared for Marine Biotoxin Technical Committee. Cawthron Report No. 660. Nelson: Cawthorn.</w:t>
      </w:r>
      <w:r w:rsidRPr="009A78B0" w:rsidDel="009A78B0">
        <w:rPr>
          <w:sz w:val="24"/>
          <w:szCs w:val="24"/>
          <w:lang w:val="en-NZ"/>
        </w:rPr>
        <w:t xml:space="preserve"> </w:t>
      </w:r>
    </w:p>
    <w:p w14:paraId="2BE1279D" w14:textId="77777777" w:rsidR="0049069E" w:rsidRPr="00D91268" w:rsidRDefault="0049069E" w:rsidP="0049069E">
      <w:pPr>
        <w:rPr>
          <w:sz w:val="24"/>
          <w:szCs w:val="24"/>
          <w:lang w:val="en-NZ"/>
        </w:rPr>
      </w:pPr>
      <w:r w:rsidRPr="00D91268">
        <w:rPr>
          <w:sz w:val="24"/>
          <w:szCs w:val="24"/>
          <w:lang w:val="en-NZ"/>
        </w:rPr>
        <w:t xml:space="preserve">Torokne A, Palovics A &amp; Bankine M. 2001. Allergenic (sensitization, skin and eye irritation) effects of freshwater cyanobacteria—experimental evidence. </w:t>
      </w:r>
      <w:r w:rsidRPr="008B7AAC">
        <w:rPr>
          <w:i/>
          <w:iCs/>
          <w:sz w:val="24"/>
          <w:szCs w:val="24"/>
          <w:lang w:val="en-NZ"/>
        </w:rPr>
        <w:t>Environmental Toxicology</w:t>
      </w:r>
      <w:r w:rsidRPr="00D91268">
        <w:rPr>
          <w:sz w:val="24"/>
          <w:szCs w:val="24"/>
          <w:lang w:val="en-NZ"/>
        </w:rPr>
        <w:t xml:space="preserve">, 16(6), 512-516. </w:t>
      </w:r>
      <w:hyperlink r:id="rId88" w:history="1">
        <w:r w:rsidRPr="00D91268">
          <w:rPr>
            <w:rStyle w:val="Hyperlink"/>
            <w:sz w:val="24"/>
            <w:szCs w:val="24"/>
            <w:lang w:val="en-NZ"/>
          </w:rPr>
          <w:t>https://doi.org/https://doi.org/10.1002/tox.10011</w:t>
        </w:r>
      </w:hyperlink>
      <w:r w:rsidRPr="00D91268">
        <w:rPr>
          <w:sz w:val="24"/>
          <w:szCs w:val="24"/>
          <w:lang w:val="en-NZ"/>
        </w:rPr>
        <w:t xml:space="preserve"> </w:t>
      </w:r>
    </w:p>
    <w:p w14:paraId="77B98667" w14:textId="77777777" w:rsidR="0049069E" w:rsidRPr="00D91268" w:rsidRDefault="0049069E" w:rsidP="0049069E">
      <w:pPr>
        <w:rPr>
          <w:sz w:val="24"/>
          <w:szCs w:val="24"/>
          <w:lang w:val="en-NZ"/>
        </w:rPr>
      </w:pPr>
      <w:r w:rsidRPr="00D91268">
        <w:rPr>
          <w:sz w:val="24"/>
          <w:szCs w:val="24"/>
          <w:lang w:val="en-NZ"/>
        </w:rPr>
        <w:t>TOXINZ. 2011. Cyanotoxin Poisons Information</w:t>
      </w:r>
      <w:r>
        <w:rPr>
          <w:sz w:val="24"/>
          <w:szCs w:val="24"/>
          <w:lang w:val="en-NZ"/>
        </w:rPr>
        <w:t>.</w:t>
      </w:r>
    </w:p>
    <w:p w14:paraId="23660B7D" w14:textId="77777777" w:rsidR="0049069E" w:rsidRPr="00D91268" w:rsidRDefault="0049069E" w:rsidP="0049069E">
      <w:pPr>
        <w:rPr>
          <w:sz w:val="24"/>
          <w:szCs w:val="24"/>
          <w:lang w:val="en-NZ"/>
        </w:rPr>
      </w:pPr>
      <w:r w:rsidRPr="00D91268">
        <w:rPr>
          <w:sz w:val="24"/>
          <w:szCs w:val="24"/>
          <w:lang w:val="en-NZ"/>
        </w:rPr>
        <w:t>Tricklebank K &amp; Hay B.</w:t>
      </w:r>
      <w:r>
        <w:rPr>
          <w:sz w:val="24"/>
          <w:szCs w:val="24"/>
          <w:lang w:val="en-NZ"/>
        </w:rPr>
        <w:t xml:space="preserve"> </w:t>
      </w:r>
      <w:r w:rsidRPr="00D91268">
        <w:rPr>
          <w:sz w:val="24"/>
          <w:szCs w:val="24"/>
          <w:lang w:val="en-NZ"/>
        </w:rPr>
        <w:t xml:space="preserve">2007. Review of the monitoring of Lyngbya majuscula at Omana Beach. </w:t>
      </w:r>
      <w:r w:rsidRPr="00C55923">
        <w:rPr>
          <w:sz w:val="24"/>
          <w:szCs w:val="24"/>
        </w:rPr>
        <w:t>Working Report No. 127. Auckland, Auckland Regional Council.</w:t>
      </w:r>
    </w:p>
    <w:p w14:paraId="1CD38DCF" w14:textId="77777777" w:rsidR="0049069E" w:rsidRPr="00D91268" w:rsidRDefault="0049069E" w:rsidP="0049069E">
      <w:pPr>
        <w:rPr>
          <w:sz w:val="24"/>
          <w:szCs w:val="24"/>
          <w:lang w:val="en-NZ"/>
        </w:rPr>
      </w:pPr>
      <w:r w:rsidRPr="00D91268">
        <w:rPr>
          <w:sz w:val="24"/>
          <w:szCs w:val="24"/>
          <w:lang w:val="en-NZ"/>
        </w:rPr>
        <w:t xml:space="preserve">United States Environmental Protection Agency. 2022a. Health Effects from Cyanotoxins. </w:t>
      </w:r>
      <w:hyperlink r:id="rId89" w:history="1">
        <w:r w:rsidRPr="00D91268">
          <w:rPr>
            <w:rStyle w:val="Hyperlink"/>
            <w:sz w:val="24"/>
            <w:szCs w:val="24"/>
            <w:lang w:val="en-NZ"/>
          </w:rPr>
          <w:t>https://www.epa.gov/cyanohabs/health-effects-cyanotoxins</w:t>
        </w:r>
      </w:hyperlink>
      <w:r w:rsidRPr="00D91268">
        <w:rPr>
          <w:sz w:val="24"/>
          <w:szCs w:val="24"/>
          <w:lang w:val="en-NZ"/>
        </w:rPr>
        <w:t xml:space="preserve"> </w:t>
      </w:r>
    </w:p>
    <w:p w14:paraId="7AF3F80A" w14:textId="77777777" w:rsidR="0049069E" w:rsidRDefault="0049069E" w:rsidP="0049069E">
      <w:pPr>
        <w:rPr>
          <w:sz w:val="24"/>
          <w:szCs w:val="24"/>
          <w:lang w:val="en-NZ"/>
        </w:rPr>
      </w:pPr>
      <w:r w:rsidRPr="00D91268">
        <w:rPr>
          <w:sz w:val="24"/>
          <w:szCs w:val="24"/>
          <w:lang w:val="en-NZ"/>
        </w:rPr>
        <w:lastRenderedPageBreak/>
        <w:t xml:space="preserve">United States Environmental Protection Agency. (2022b). Learn about Cyanobacteria and Cyanotoxins. </w:t>
      </w:r>
      <w:hyperlink r:id="rId90" w:history="1">
        <w:r w:rsidRPr="001E6472">
          <w:rPr>
            <w:rStyle w:val="Hyperlink"/>
            <w:sz w:val="24"/>
            <w:szCs w:val="24"/>
            <w:lang w:val="en-NZ"/>
          </w:rPr>
          <w:t>https://www.epa.gov/habs/learn-about-harmful-algae-cyanobacteria-and-cyanotoxins</w:t>
        </w:r>
      </w:hyperlink>
    </w:p>
    <w:p w14:paraId="7C7FA086" w14:textId="77777777" w:rsidR="0049069E" w:rsidRPr="00D91268" w:rsidRDefault="0049069E" w:rsidP="0049069E">
      <w:pPr>
        <w:rPr>
          <w:sz w:val="24"/>
          <w:szCs w:val="24"/>
          <w:lang w:val="en-NZ"/>
        </w:rPr>
      </w:pPr>
      <w:r w:rsidRPr="00D91268">
        <w:rPr>
          <w:sz w:val="24"/>
          <w:szCs w:val="24"/>
          <w:lang w:val="en-NZ"/>
        </w:rPr>
        <w:t xml:space="preserve">Vidal F, Sedan D, D'Agostino D, Cavalieri ML, Mullen E, Parot Varela MM, Flores C, Caixach J &amp; Andrinolo D. 2017. Recreational Exposure during Algal Bloom in Carrasco Beach, Uruguay: A Liver Failure Case Report. </w:t>
      </w:r>
      <w:r w:rsidRPr="001D702E">
        <w:rPr>
          <w:i/>
          <w:iCs/>
          <w:sz w:val="24"/>
          <w:szCs w:val="24"/>
          <w:lang w:val="en-NZ"/>
        </w:rPr>
        <w:t>Toxins</w:t>
      </w:r>
      <w:r w:rsidRPr="00D91268">
        <w:rPr>
          <w:sz w:val="24"/>
          <w:szCs w:val="24"/>
          <w:lang w:val="en-NZ"/>
        </w:rPr>
        <w:t xml:space="preserve"> (Basel), 9(9). </w:t>
      </w:r>
      <w:hyperlink r:id="rId91" w:history="1">
        <w:r w:rsidRPr="00D91268">
          <w:rPr>
            <w:rStyle w:val="Hyperlink"/>
            <w:sz w:val="24"/>
            <w:szCs w:val="24"/>
            <w:lang w:val="en-NZ"/>
          </w:rPr>
          <w:t>https://doi.org/10.3390/toxins9090267</w:t>
        </w:r>
      </w:hyperlink>
      <w:r w:rsidRPr="00D91268">
        <w:rPr>
          <w:sz w:val="24"/>
          <w:szCs w:val="24"/>
          <w:lang w:val="en-NZ"/>
        </w:rPr>
        <w:t xml:space="preserve"> </w:t>
      </w:r>
    </w:p>
    <w:p w14:paraId="473E2F7D" w14:textId="77777777" w:rsidR="0049069E" w:rsidRPr="00D91268" w:rsidRDefault="0049069E" w:rsidP="0049069E">
      <w:pPr>
        <w:rPr>
          <w:sz w:val="24"/>
          <w:szCs w:val="24"/>
          <w:lang w:val="en-NZ"/>
        </w:rPr>
      </w:pPr>
      <w:r w:rsidRPr="00D91268">
        <w:rPr>
          <w:sz w:val="24"/>
          <w:szCs w:val="24"/>
          <w:lang w:val="en-NZ"/>
        </w:rPr>
        <w:t xml:space="preserve">Von Tress N, Nelson N &amp; Young S. 2021. Supporting Cyanobacterial Bloom Monitoring with Satellite Imagery. Retrieved 10/07/2023 from </w:t>
      </w:r>
      <w:hyperlink r:id="rId92" w:history="1">
        <w:r w:rsidRPr="00D91268">
          <w:rPr>
            <w:rStyle w:val="Hyperlink"/>
            <w:sz w:val="24"/>
            <w:szCs w:val="24"/>
            <w:lang w:val="en-NZ"/>
          </w:rPr>
          <w:t>https://content.ces.ncsu.edu/supporting-cyanobacterial-bloom-monitoring-with-satellite-imagery</w:t>
        </w:r>
      </w:hyperlink>
      <w:r w:rsidRPr="00D91268">
        <w:rPr>
          <w:sz w:val="24"/>
          <w:szCs w:val="24"/>
          <w:lang w:val="en-NZ"/>
        </w:rPr>
        <w:t xml:space="preserve">  </w:t>
      </w:r>
    </w:p>
    <w:p w14:paraId="37B09D29" w14:textId="77777777" w:rsidR="0049069E" w:rsidRPr="00D91268" w:rsidRDefault="0049069E" w:rsidP="0049069E">
      <w:pPr>
        <w:rPr>
          <w:sz w:val="24"/>
          <w:szCs w:val="24"/>
          <w:lang w:val="en-NZ"/>
        </w:rPr>
      </w:pPr>
      <w:r w:rsidRPr="00D91268">
        <w:rPr>
          <w:sz w:val="24"/>
          <w:szCs w:val="24"/>
          <w:lang w:val="en-NZ"/>
        </w:rPr>
        <w:t xml:space="preserve">Water NSW 2022. Water quality - prevention and control. Retrieved 22/11/2022 from </w:t>
      </w:r>
      <w:hyperlink r:id="rId93" w:anchor=":~:text=Catchment%20management%20is%20a%20long,be%20able%20to%20enter%20waterways" w:history="1">
        <w:r w:rsidRPr="00D91268">
          <w:rPr>
            <w:rStyle w:val="Hyperlink"/>
            <w:sz w:val="24"/>
            <w:szCs w:val="24"/>
            <w:lang w:val="en-NZ"/>
          </w:rPr>
          <w:t>https://www.waternsw.com.au/water-quality/algae/prevention-and-control#:~:text=Catchment%20management%20is%20a%20long,be%20able%20to%20enter%20waterways</w:t>
        </w:r>
      </w:hyperlink>
      <w:r w:rsidRPr="00D91268">
        <w:rPr>
          <w:sz w:val="24"/>
          <w:szCs w:val="24"/>
          <w:lang w:val="en-NZ"/>
        </w:rPr>
        <w:t>.</w:t>
      </w:r>
    </w:p>
    <w:p w14:paraId="0D8A0411" w14:textId="77777777" w:rsidR="0049069E" w:rsidRPr="00D91268" w:rsidRDefault="0049069E" w:rsidP="0049069E">
      <w:pPr>
        <w:rPr>
          <w:sz w:val="24"/>
          <w:szCs w:val="24"/>
          <w:lang w:val="en-NZ"/>
        </w:rPr>
      </w:pPr>
      <w:r w:rsidRPr="00D91268">
        <w:rPr>
          <w:sz w:val="24"/>
          <w:szCs w:val="24"/>
          <w:lang w:val="en-NZ"/>
        </w:rPr>
        <w:t xml:space="preserve">Weirich CA &amp; Miller TR. 2014. Freshwater harmful algal blooms: toxins and children's health. </w:t>
      </w:r>
      <w:r w:rsidRPr="000958C1">
        <w:rPr>
          <w:i/>
          <w:iCs/>
          <w:sz w:val="24"/>
          <w:szCs w:val="24"/>
          <w:lang w:val="en-NZ"/>
        </w:rPr>
        <w:t>Current Problems in Paediatric and Adolescent Health Care</w:t>
      </w:r>
      <w:r w:rsidRPr="00D91268">
        <w:rPr>
          <w:sz w:val="24"/>
          <w:szCs w:val="24"/>
          <w:lang w:val="en-NZ"/>
        </w:rPr>
        <w:t xml:space="preserve">, 44(1), 2-24. </w:t>
      </w:r>
      <w:hyperlink r:id="rId94" w:history="1">
        <w:r w:rsidRPr="00D91268">
          <w:rPr>
            <w:rStyle w:val="Hyperlink"/>
            <w:sz w:val="24"/>
            <w:szCs w:val="24"/>
            <w:lang w:val="en-NZ"/>
          </w:rPr>
          <w:t>https://doi.org/10.1016/j.cppeds.2013.10.007</w:t>
        </w:r>
      </w:hyperlink>
      <w:r w:rsidRPr="00D91268">
        <w:rPr>
          <w:sz w:val="24"/>
          <w:szCs w:val="24"/>
          <w:lang w:val="en-NZ"/>
        </w:rPr>
        <w:t xml:space="preserve"> </w:t>
      </w:r>
    </w:p>
    <w:p w14:paraId="02CAAF4F" w14:textId="77777777" w:rsidR="0049069E" w:rsidRPr="00D91268" w:rsidRDefault="0049069E" w:rsidP="0049069E">
      <w:pPr>
        <w:rPr>
          <w:sz w:val="24"/>
          <w:szCs w:val="24"/>
          <w:lang w:val="en-NZ"/>
        </w:rPr>
      </w:pPr>
      <w:r w:rsidRPr="00D91268">
        <w:rPr>
          <w:sz w:val="24"/>
          <w:szCs w:val="24"/>
          <w:lang w:val="en-NZ"/>
        </w:rPr>
        <w:t xml:space="preserve">Whitman P, Schaeffer B, Salls W, Coffer M, Mishra S, Seegers B, Loftin K, Stumpf R &amp; Werdell PJ. 2022. A validation of satellite derived cyanobacteria detections with state reported events and recreation advisories across U.S. lakes. </w:t>
      </w:r>
      <w:r w:rsidRPr="005151E8">
        <w:rPr>
          <w:i/>
          <w:iCs/>
          <w:sz w:val="24"/>
          <w:szCs w:val="24"/>
          <w:lang w:val="en-NZ"/>
        </w:rPr>
        <w:t>Harmful Algae</w:t>
      </w:r>
      <w:r w:rsidRPr="00D91268">
        <w:rPr>
          <w:sz w:val="24"/>
          <w:szCs w:val="24"/>
          <w:lang w:val="en-NZ"/>
        </w:rPr>
        <w:t xml:space="preserve">, 115, 102191. </w:t>
      </w:r>
      <w:hyperlink r:id="rId95" w:history="1">
        <w:r w:rsidRPr="00D91268">
          <w:rPr>
            <w:rStyle w:val="Hyperlink"/>
            <w:sz w:val="24"/>
            <w:szCs w:val="24"/>
            <w:lang w:val="en-NZ"/>
          </w:rPr>
          <w:t>https://doi.org/10.1016/j.hal.2022.102191</w:t>
        </w:r>
      </w:hyperlink>
      <w:r w:rsidRPr="00D91268">
        <w:rPr>
          <w:sz w:val="24"/>
          <w:szCs w:val="24"/>
          <w:lang w:val="en-NZ"/>
        </w:rPr>
        <w:t xml:space="preserve"> </w:t>
      </w:r>
    </w:p>
    <w:p w14:paraId="34B426D7" w14:textId="77777777" w:rsidR="0049069E" w:rsidRPr="00D91268" w:rsidRDefault="0049069E" w:rsidP="0049069E">
      <w:pPr>
        <w:rPr>
          <w:sz w:val="24"/>
          <w:szCs w:val="24"/>
          <w:lang w:val="en-NZ"/>
        </w:rPr>
      </w:pPr>
      <w:r w:rsidRPr="00D91268">
        <w:rPr>
          <w:sz w:val="24"/>
          <w:szCs w:val="24"/>
          <w:lang w:val="en-NZ"/>
        </w:rPr>
        <w:t>Wisconsin Department of Health Services Division of Public Health. 2018. Communicable Disease Case Reporting and Investigation Protocol Blue-green algae (cyanobacteria) and cyanotoxin poisoning.</w:t>
      </w:r>
      <w:r>
        <w:rPr>
          <w:sz w:val="24"/>
          <w:szCs w:val="24"/>
          <w:lang w:val="en-NZ"/>
        </w:rPr>
        <w:t xml:space="preserve"> </w:t>
      </w:r>
      <w:hyperlink r:id="rId96" w:history="1">
        <w:r w:rsidRPr="001E6472">
          <w:rPr>
            <w:rStyle w:val="Hyperlink"/>
            <w:sz w:val="24"/>
            <w:szCs w:val="24"/>
            <w:lang w:val="en-NZ"/>
          </w:rPr>
          <w:t>https://www.dhs.wisconsin.gov/publications/p02198.pdf</w:t>
        </w:r>
      </w:hyperlink>
      <w:r>
        <w:rPr>
          <w:sz w:val="24"/>
          <w:szCs w:val="24"/>
          <w:lang w:val="en-NZ"/>
        </w:rPr>
        <w:t xml:space="preserve"> </w:t>
      </w:r>
    </w:p>
    <w:p w14:paraId="7E42E856" w14:textId="77777777" w:rsidR="0049069E" w:rsidRPr="00D91268" w:rsidRDefault="0049069E" w:rsidP="0049069E">
      <w:pPr>
        <w:rPr>
          <w:sz w:val="24"/>
          <w:szCs w:val="24"/>
          <w:lang w:val="en-NZ"/>
        </w:rPr>
      </w:pPr>
      <w:r w:rsidRPr="00D91268">
        <w:rPr>
          <w:sz w:val="24"/>
          <w:szCs w:val="24"/>
          <w:lang w:val="en-NZ"/>
        </w:rPr>
        <w:t xml:space="preserve">Wisniewska KA, Sliwinska-Wilczewska S &amp; Lewandowska AU. 2020. The first characterization of airborne cyanobacteria and microalgae in the Adriatic Sea region. </w:t>
      </w:r>
      <w:r w:rsidRPr="0015186B">
        <w:rPr>
          <w:i/>
          <w:iCs/>
          <w:sz w:val="24"/>
          <w:szCs w:val="24"/>
          <w:lang w:val="en-NZ"/>
        </w:rPr>
        <w:t>PLOS One</w:t>
      </w:r>
      <w:r w:rsidRPr="00D91268">
        <w:rPr>
          <w:sz w:val="24"/>
          <w:szCs w:val="24"/>
          <w:lang w:val="en-NZ"/>
        </w:rPr>
        <w:t xml:space="preserve">, 15(9), e0238808. </w:t>
      </w:r>
      <w:hyperlink r:id="rId97" w:history="1">
        <w:r w:rsidRPr="00D91268">
          <w:rPr>
            <w:rStyle w:val="Hyperlink"/>
            <w:sz w:val="24"/>
            <w:szCs w:val="24"/>
            <w:lang w:val="en-NZ"/>
          </w:rPr>
          <w:t>https://doi.org/10.1371/journal.pone.0238808</w:t>
        </w:r>
      </w:hyperlink>
      <w:r w:rsidRPr="00D91268">
        <w:rPr>
          <w:sz w:val="24"/>
          <w:szCs w:val="24"/>
          <w:lang w:val="en-NZ"/>
        </w:rPr>
        <w:t xml:space="preserve"> </w:t>
      </w:r>
    </w:p>
    <w:p w14:paraId="67D8211A" w14:textId="77777777" w:rsidR="0049069E" w:rsidRPr="00D91268" w:rsidRDefault="0049069E" w:rsidP="0049069E">
      <w:pPr>
        <w:rPr>
          <w:sz w:val="24"/>
          <w:szCs w:val="24"/>
          <w:lang w:val="en-NZ"/>
        </w:rPr>
      </w:pPr>
      <w:r w:rsidRPr="00D91268">
        <w:rPr>
          <w:sz w:val="24"/>
          <w:szCs w:val="24"/>
          <w:lang w:val="en-NZ"/>
        </w:rPr>
        <w:t>Wood S, Puddick J, Thomson-Laing G, Hawes I, Safi K, McBride G &amp; Hamilton D. 2018. Review of the 'New Zealand Guidelines for Cyanobacteria in Recreational Fresh Waters' - 2018.</w:t>
      </w:r>
      <w:r w:rsidRPr="005E1D47">
        <w:t xml:space="preserve"> </w:t>
      </w:r>
      <w:r w:rsidRPr="005E1D47">
        <w:rPr>
          <w:sz w:val="24"/>
          <w:szCs w:val="24"/>
        </w:rPr>
        <w:t>Prepared for the New Zealand Ministry for the Environment. Cawthron Report No. 3233.</w:t>
      </w:r>
      <w:r>
        <w:rPr>
          <w:sz w:val="24"/>
          <w:szCs w:val="24"/>
        </w:rPr>
        <w:t xml:space="preserve"> </w:t>
      </w:r>
      <w:hyperlink r:id="rId98" w:history="1">
        <w:r w:rsidRPr="001E6472">
          <w:rPr>
            <w:rStyle w:val="Hyperlink"/>
            <w:sz w:val="24"/>
            <w:szCs w:val="24"/>
            <w:lang w:val="en-NZ"/>
          </w:rPr>
          <w:t>https://environment.govt.nz/assets/Publications/Files/review-of-cyanobacteria-guidelines.pdf</w:t>
        </w:r>
      </w:hyperlink>
      <w:r>
        <w:rPr>
          <w:sz w:val="24"/>
          <w:szCs w:val="24"/>
          <w:lang w:val="en-NZ"/>
        </w:rPr>
        <w:t xml:space="preserve"> </w:t>
      </w:r>
    </w:p>
    <w:p w14:paraId="697AD801" w14:textId="77777777" w:rsidR="0049069E" w:rsidRPr="00D91268" w:rsidRDefault="0049069E" w:rsidP="0049069E">
      <w:pPr>
        <w:rPr>
          <w:sz w:val="24"/>
          <w:szCs w:val="24"/>
          <w:lang w:val="en-NZ"/>
        </w:rPr>
      </w:pPr>
      <w:r w:rsidRPr="00D91268">
        <w:rPr>
          <w:sz w:val="24"/>
          <w:szCs w:val="24"/>
          <w:lang w:val="en-NZ"/>
        </w:rPr>
        <w:t xml:space="preserve">Wood SA, Biessy L &amp; Puddick J. 2018. Anatoxins are consistently released into the water of streams with Microcoleus autumnalis-dominated (cyanobacteria) proliferations. </w:t>
      </w:r>
      <w:r w:rsidRPr="00416A72">
        <w:rPr>
          <w:i/>
          <w:iCs/>
          <w:sz w:val="24"/>
          <w:szCs w:val="24"/>
          <w:lang w:val="en-NZ"/>
        </w:rPr>
        <w:t>Harmful Algae</w:t>
      </w:r>
      <w:r w:rsidRPr="00D91268">
        <w:rPr>
          <w:sz w:val="24"/>
          <w:szCs w:val="24"/>
          <w:lang w:val="en-NZ"/>
        </w:rPr>
        <w:t xml:space="preserve">, 80, 88-95. </w:t>
      </w:r>
      <w:hyperlink r:id="rId99" w:history="1">
        <w:r w:rsidRPr="00D91268">
          <w:rPr>
            <w:rStyle w:val="Hyperlink"/>
            <w:sz w:val="24"/>
            <w:szCs w:val="24"/>
            <w:lang w:val="en-NZ"/>
          </w:rPr>
          <w:t>https://doi.org/10.1016/j.hal.2018.10.001</w:t>
        </w:r>
      </w:hyperlink>
      <w:r w:rsidRPr="00D91268">
        <w:rPr>
          <w:sz w:val="24"/>
          <w:szCs w:val="24"/>
          <w:lang w:val="en-NZ"/>
        </w:rPr>
        <w:t xml:space="preserve"> </w:t>
      </w:r>
    </w:p>
    <w:p w14:paraId="28BD9E58" w14:textId="77777777" w:rsidR="0049069E" w:rsidRPr="00D91268" w:rsidRDefault="0049069E" w:rsidP="0049069E">
      <w:pPr>
        <w:rPr>
          <w:sz w:val="24"/>
          <w:szCs w:val="24"/>
          <w:lang w:val="en-NZ"/>
        </w:rPr>
      </w:pPr>
      <w:r w:rsidRPr="00D91268">
        <w:rPr>
          <w:sz w:val="24"/>
          <w:szCs w:val="24"/>
          <w:lang w:val="en-NZ"/>
        </w:rPr>
        <w:t xml:space="preserve">Wood SA, Holland PT, Stirling DJ, Briggs LR, Sprosen J, Ruck JG &amp; Wear RG. 2006. Survey of cyanotoxins in New Zealand water bodies between 2001 and 2004. </w:t>
      </w:r>
      <w:r w:rsidRPr="00416A72">
        <w:rPr>
          <w:i/>
          <w:iCs/>
          <w:sz w:val="24"/>
          <w:szCs w:val="24"/>
          <w:lang w:val="en-NZ"/>
        </w:rPr>
        <w:lastRenderedPageBreak/>
        <w:t>New Zealand Journal of Marine and Freshwater Research</w:t>
      </w:r>
      <w:r w:rsidRPr="00D91268">
        <w:rPr>
          <w:sz w:val="24"/>
          <w:szCs w:val="24"/>
          <w:lang w:val="en-NZ"/>
        </w:rPr>
        <w:t xml:space="preserve">, 40(4), 585-597. </w:t>
      </w:r>
      <w:hyperlink r:id="rId100" w:history="1">
        <w:r w:rsidRPr="00D91268">
          <w:rPr>
            <w:rStyle w:val="Hyperlink"/>
            <w:sz w:val="24"/>
            <w:szCs w:val="24"/>
            <w:lang w:val="en-NZ"/>
          </w:rPr>
          <w:t>https://doi.org/10.1080/00288330.2006.9517447</w:t>
        </w:r>
      </w:hyperlink>
      <w:r w:rsidRPr="00D91268">
        <w:rPr>
          <w:sz w:val="24"/>
          <w:szCs w:val="24"/>
          <w:lang w:val="en-NZ"/>
        </w:rPr>
        <w:t xml:space="preserve"> </w:t>
      </w:r>
    </w:p>
    <w:p w14:paraId="0D7052BD" w14:textId="77777777" w:rsidR="0049069E" w:rsidRPr="008D5C53" w:rsidRDefault="0049069E" w:rsidP="0049069E">
      <w:pPr>
        <w:rPr>
          <w:sz w:val="24"/>
          <w:szCs w:val="24"/>
          <w:lang w:val="en-NZ"/>
        </w:rPr>
      </w:pPr>
      <w:r w:rsidRPr="008D5C53">
        <w:rPr>
          <w:sz w:val="24"/>
          <w:szCs w:val="24"/>
          <w:lang w:val="en-NZ"/>
        </w:rPr>
        <w:t xml:space="preserve">Wood SA, Kuhajek JM, de Winton M &amp; Phillips NR 2012a. Species composition and cyanotoxin production in periphyton mats from three lakes of varying trophic status. </w:t>
      </w:r>
      <w:r w:rsidRPr="00907AF6">
        <w:rPr>
          <w:i/>
          <w:iCs/>
          <w:sz w:val="24"/>
          <w:szCs w:val="24"/>
          <w:lang w:val="en-NZ"/>
        </w:rPr>
        <w:t>FEMS Microbiological  Ecology</w:t>
      </w:r>
      <w:r w:rsidRPr="008D5C53">
        <w:rPr>
          <w:sz w:val="24"/>
          <w:szCs w:val="24"/>
          <w:lang w:val="en-NZ"/>
        </w:rPr>
        <w:t xml:space="preserve">, 79(2), 312-326. </w:t>
      </w:r>
      <w:hyperlink r:id="rId101" w:history="1">
        <w:r w:rsidRPr="00667894">
          <w:rPr>
            <w:rStyle w:val="Hyperlink"/>
            <w:sz w:val="24"/>
            <w:szCs w:val="24"/>
            <w:lang w:val="en-NZ"/>
          </w:rPr>
          <w:t>https://pubmed.ncbi.nlm.nih.gov/22092304/</w:t>
        </w:r>
      </w:hyperlink>
      <w:r>
        <w:rPr>
          <w:sz w:val="24"/>
          <w:szCs w:val="24"/>
          <w:lang w:val="en-NZ"/>
        </w:rPr>
        <w:t xml:space="preserve"> </w:t>
      </w:r>
      <w:r w:rsidRPr="008D5C53">
        <w:rPr>
          <w:sz w:val="24"/>
          <w:szCs w:val="24"/>
          <w:lang w:val="en-NZ"/>
        </w:rPr>
        <w:t xml:space="preserve"> </w:t>
      </w:r>
    </w:p>
    <w:p w14:paraId="2922DC0D" w14:textId="77777777" w:rsidR="0049069E" w:rsidRPr="00627989" w:rsidRDefault="0049069E" w:rsidP="0049069E">
      <w:pPr>
        <w:rPr>
          <w:sz w:val="24"/>
          <w:szCs w:val="24"/>
          <w:lang w:val="en-NZ"/>
        </w:rPr>
      </w:pPr>
      <w:r w:rsidRPr="00627989">
        <w:rPr>
          <w:sz w:val="24"/>
          <w:szCs w:val="24"/>
          <w:lang w:val="en-NZ"/>
        </w:rPr>
        <w:t xml:space="preserve">Wood, S. A., Phillips, N. R., de Winton, M., &amp; Gibbs, M. (2012b). Consumption of benthic cyanobacterial mats and nodularin-R accumulation in freshwater crayfish (Paranephrops planifrons) in Lake Tikitapu (Rotorua, New Zealand). </w:t>
      </w:r>
      <w:r w:rsidRPr="00627989">
        <w:rPr>
          <w:i/>
          <w:iCs/>
          <w:sz w:val="24"/>
          <w:szCs w:val="24"/>
          <w:lang w:val="en-NZ"/>
        </w:rPr>
        <w:t>Harmful Algae</w:t>
      </w:r>
      <w:r w:rsidRPr="00627989">
        <w:rPr>
          <w:sz w:val="24"/>
          <w:szCs w:val="24"/>
          <w:lang w:val="en-NZ"/>
        </w:rPr>
        <w:t>, 20, 175-179.</w:t>
      </w:r>
      <w:r>
        <w:rPr>
          <w:sz w:val="24"/>
          <w:szCs w:val="24"/>
          <w:lang w:val="en-NZ"/>
        </w:rPr>
        <w:t xml:space="preserve"> </w:t>
      </w:r>
      <w:hyperlink r:id="rId102" w:history="1">
        <w:r w:rsidRPr="00627989">
          <w:rPr>
            <w:rStyle w:val="Hyperlink"/>
            <w:sz w:val="24"/>
            <w:szCs w:val="24"/>
          </w:rPr>
          <w:t>https://www.sciencedirect.com/science/article/abs/pii/S1568988312001485?via%3Dihub</w:t>
        </w:r>
      </w:hyperlink>
      <w:r w:rsidRPr="00627989">
        <w:rPr>
          <w:sz w:val="24"/>
          <w:szCs w:val="24"/>
        </w:rPr>
        <w:t xml:space="preserve"> </w:t>
      </w:r>
      <w:r w:rsidRPr="00627989">
        <w:rPr>
          <w:sz w:val="24"/>
          <w:szCs w:val="24"/>
          <w:lang w:val="en-NZ"/>
        </w:rPr>
        <w:t xml:space="preserve"> </w:t>
      </w:r>
    </w:p>
    <w:p w14:paraId="3960ABD3" w14:textId="77777777" w:rsidR="0049069E" w:rsidRPr="00D91268" w:rsidRDefault="0049069E" w:rsidP="0049069E">
      <w:pPr>
        <w:rPr>
          <w:sz w:val="24"/>
          <w:szCs w:val="24"/>
          <w:lang w:val="en-NZ"/>
        </w:rPr>
      </w:pPr>
      <w:r w:rsidRPr="00D91268">
        <w:rPr>
          <w:sz w:val="24"/>
          <w:szCs w:val="24"/>
          <w:lang w:val="en-NZ"/>
        </w:rPr>
        <w:t xml:space="preserve">World Health Organization. 2003. </w:t>
      </w:r>
      <w:r w:rsidRPr="00F23161">
        <w:rPr>
          <w:i/>
          <w:iCs/>
          <w:sz w:val="24"/>
          <w:szCs w:val="24"/>
          <w:lang w:val="en-NZ"/>
        </w:rPr>
        <w:t>Guidelines for safe recreational water environments Volume 1: Coastal and fresh waters</w:t>
      </w:r>
      <w:r w:rsidRPr="00D91268">
        <w:rPr>
          <w:sz w:val="24"/>
          <w:szCs w:val="24"/>
          <w:lang w:val="en-NZ"/>
        </w:rPr>
        <w:t>.</w:t>
      </w:r>
      <w:r>
        <w:rPr>
          <w:sz w:val="24"/>
          <w:szCs w:val="24"/>
          <w:lang w:val="en-NZ"/>
        </w:rPr>
        <w:t xml:space="preserve"> </w:t>
      </w:r>
      <w:hyperlink r:id="rId103" w:history="1">
        <w:r w:rsidRPr="001E6472">
          <w:rPr>
            <w:rStyle w:val="Hyperlink"/>
            <w:sz w:val="24"/>
            <w:szCs w:val="24"/>
            <w:lang w:val="en-NZ"/>
          </w:rPr>
          <w:t>https://www.who.int/publications/i/item/9241545801</w:t>
        </w:r>
      </w:hyperlink>
      <w:r>
        <w:rPr>
          <w:sz w:val="24"/>
          <w:szCs w:val="24"/>
          <w:lang w:val="en-NZ"/>
        </w:rPr>
        <w:t xml:space="preserve"> </w:t>
      </w:r>
    </w:p>
    <w:p w14:paraId="4CAC93F8" w14:textId="77777777" w:rsidR="0049069E" w:rsidRPr="00D91268" w:rsidRDefault="0049069E" w:rsidP="0049069E">
      <w:pPr>
        <w:rPr>
          <w:sz w:val="24"/>
          <w:szCs w:val="24"/>
          <w:lang w:val="en-NZ"/>
        </w:rPr>
      </w:pPr>
      <w:r w:rsidRPr="00D91268">
        <w:rPr>
          <w:sz w:val="24"/>
          <w:szCs w:val="24"/>
          <w:lang w:val="en-NZ"/>
        </w:rPr>
        <w:t>World Health Organization. 2020a. Cyanobacterial toxins: anatoxin-a and analogues. Background document for development of WHO Guidelines for drinking-water quality and Guidelines for safe recreational water environments.</w:t>
      </w:r>
      <w:r>
        <w:rPr>
          <w:sz w:val="24"/>
          <w:szCs w:val="24"/>
          <w:lang w:val="en-NZ"/>
        </w:rPr>
        <w:t xml:space="preserve"> </w:t>
      </w:r>
      <w:hyperlink r:id="rId104" w:history="1">
        <w:r w:rsidRPr="001E6472">
          <w:rPr>
            <w:rStyle w:val="Hyperlink"/>
            <w:sz w:val="24"/>
            <w:szCs w:val="24"/>
            <w:lang w:val="en-NZ"/>
          </w:rPr>
          <w:t>https://iris.who.int/bitstream/handle/10665/338060/WHO-HEP-ECH-WSH-2020.1-eng.pdf?isAllowed=y&amp;sequence=1</w:t>
        </w:r>
      </w:hyperlink>
      <w:r>
        <w:rPr>
          <w:sz w:val="24"/>
          <w:szCs w:val="24"/>
          <w:lang w:val="en-NZ"/>
        </w:rPr>
        <w:t xml:space="preserve"> </w:t>
      </w:r>
    </w:p>
    <w:p w14:paraId="13B57487" w14:textId="138B29E1" w:rsidR="0049069E" w:rsidRPr="00D91268" w:rsidRDefault="0049069E" w:rsidP="0049069E">
      <w:pPr>
        <w:rPr>
          <w:sz w:val="24"/>
          <w:szCs w:val="24"/>
          <w:lang w:val="en-NZ"/>
        </w:rPr>
      </w:pPr>
      <w:r w:rsidRPr="00D91268">
        <w:rPr>
          <w:sz w:val="24"/>
          <w:szCs w:val="24"/>
          <w:lang w:val="en-NZ"/>
        </w:rPr>
        <w:t>World Health Organization. 2020b. Cyanobacterial toxins: cylindrospermopsins. Background document for development of WHO Guidelines for drinking-water quality and Guidelines for safe recreational water environments.</w:t>
      </w:r>
      <w:r>
        <w:rPr>
          <w:sz w:val="24"/>
          <w:szCs w:val="24"/>
          <w:lang w:val="en-NZ"/>
        </w:rPr>
        <w:t xml:space="preserve"> </w:t>
      </w:r>
      <w:hyperlink r:id="rId105" w:history="1">
        <w:r w:rsidRPr="00B76D72">
          <w:rPr>
            <w:rStyle w:val="Hyperlink"/>
            <w:sz w:val="24"/>
            <w:szCs w:val="24"/>
            <w:lang w:val="en-NZ"/>
          </w:rPr>
          <w:t>https://iris.who.int/bitstream/handle/10665/338063/WHO-HEP-ECH-WSH-2020.4-eng.pdf?isAllowed=y&amp;sequence=1</w:t>
        </w:r>
      </w:hyperlink>
    </w:p>
    <w:p w14:paraId="334413F2" w14:textId="665F258D" w:rsidR="0049069E" w:rsidRPr="00D91268" w:rsidRDefault="0049069E" w:rsidP="0049069E">
      <w:pPr>
        <w:rPr>
          <w:sz w:val="24"/>
          <w:szCs w:val="24"/>
          <w:lang w:val="en-NZ"/>
        </w:rPr>
      </w:pPr>
      <w:r w:rsidRPr="00D91268">
        <w:rPr>
          <w:sz w:val="24"/>
          <w:szCs w:val="24"/>
          <w:lang w:val="en-NZ"/>
        </w:rPr>
        <w:t>World Health Organization. 2020c. Cyanobacterial toxins: microcystins. Background document for development of WHO Guidelines for drinking-water quality and Guidelines for safe recreational water environments.</w:t>
      </w:r>
      <w:r>
        <w:rPr>
          <w:sz w:val="24"/>
          <w:szCs w:val="24"/>
          <w:lang w:val="en-NZ"/>
        </w:rPr>
        <w:t xml:space="preserve"> </w:t>
      </w:r>
      <w:hyperlink r:id="rId106" w:history="1">
        <w:r w:rsidRPr="001D217A">
          <w:rPr>
            <w:rStyle w:val="Hyperlink"/>
            <w:sz w:val="24"/>
            <w:szCs w:val="24"/>
            <w:lang w:val="en-NZ"/>
          </w:rPr>
          <w:t>https://cdn.who.int/media/docs/default-source/wash-documents/wash-chemicals/microcystins-background-201223.pdf?sfvrsn=6d60aa6d_3</w:t>
        </w:r>
      </w:hyperlink>
    </w:p>
    <w:p w14:paraId="55BDE788" w14:textId="1F860873" w:rsidR="0049069E" w:rsidRPr="00D91268" w:rsidRDefault="0049069E" w:rsidP="0049069E">
      <w:pPr>
        <w:rPr>
          <w:sz w:val="24"/>
          <w:szCs w:val="24"/>
          <w:lang w:val="en-NZ"/>
        </w:rPr>
      </w:pPr>
      <w:r w:rsidRPr="00D91268">
        <w:rPr>
          <w:sz w:val="24"/>
          <w:szCs w:val="24"/>
          <w:lang w:val="en-NZ"/>
        </w:rPr>
        <w:t>World Health Organization. 2020d. Cyanobacterial toxins: saxitoxins. Background document for development of WHO Guidelines for drinking-water quality and Guidelines for safe recreational water environments.</w:t>
      </w:r>
      <w:r>
        <w:rPr>
          <w:sz w:val="24"/>
          <w:szCs w:val="24"/>
          <w:lang w:val="en-NZ"/>
        </w:rPr>
        <w:t xml:space="preserve"> </w:t>
      </w:r>
      <w:hyperlink r:id="rId107" w:history="1">
        <w:r w:rsidRPr="001D217A">
          <w:rPr>
            <w:rStyle w:val="Hyperlink"/>
            <w:sz w:val="24"/>
            <w:szCs w:val="24"/>
            <w:lang w:val="en-NZ"/>
          </w:rPr>
          <w:t>https://iris.who.int/bitstream/handle/10665/338069/WHO-HEP-ECH-WSH-2020.8-eng.pdf?sequence=1&amp;isAllowed=y</w:t>
        </w:r>
      </w:hyperlink>
    </w:p>
    <w:p w14:paraId="71682438" w14:textId="7F8B7200" w:rsidR="0049069E" w:rsidRPr="00D91268" w:rsidRDefault="0049069E" w:rsidP="0049069E">
      <w:pPr>
        <w:rPr>
          <w:sz w:val="24"/>
          <w:szCs w:val="24"/>
          <w:lang w:val="en-NZ"/>
        </w:rPr>
      </w:pPr>
      <w:r w:rsidRPr="00D91268">
        <w:rPr>
          <w:sz w:val="24"/>
          <w:szCs w:val="24"/>
          <w:lang w:val="en-NZ"/>
        </w:rPr>
        <w:t>World Health Organization. 2021. Guidelines on recreational water quality. Volume 1: coastal and fresh waters.</w:t>
      </w:r>
      <w:r>
        <w:rPr>
          <w:sz w:val="24"/>
          <w:szCs w:val="24"/>
          <w:lang w:val="en-NZ"/>
        </w:rPr>
        <w:t xml:space="preserve"> </w:t>
      </w:r>
      <w:r w:rsidRPr="002577FA">
        <w:rPr>
          <w:sz w:val="24"/>
          <w:szCs w:val="24"/>
        </w:rPr>
        <w:t>Geneva: World Health Organization</w:t>
      </w:r>
      <w:r>
        <w:rPr>
          <w:sz w:val="24"/>
          <w:szCs w:val="24"/>
        </w:rPr>
        <w:t>.</w:t>
      </w:r>
      <w:r w:rsidRPr="002577FA">
        <w:rPr>
          <w:sz w:val="24"/>
          <w:szCs w:val="24"/>
        </w:rPr>
        <w:t xml:space="preserve"> Licence: CC BY-NC-SA 3.0 IGO.</w:t>
      </w:r>
      <w:r>
        <w:rPr>
          <w:sz w:val="24"/>
          <w:szCs w:val="24"/>
          <w:lang w:val="en-NZ"/>
        </w:rPr>
        <w:t xml:space="preserve"> </w:t>
      </w:r>
      <w:hyperlink r:id="rId108" w:history="1">
        <w:r w:rsidRPr="005B769B">
          <w:rPr>
            <w:rStyle w:val="Hyperlink"/>
            <w:sz w:val="24"/>
            <w:szCs w:val="24"/>
            <w:lang w:val="en-NZ"/>
          </w:rPr>
          <w:t>https://www.who.int/publications/i/item/9789240031302</w:t>
        </w:r>
      </w:hyperlink>
    </w:p>
    <w:p w14:paraId="6E066D13" w14:textId="1161C9B8" w:rsidR="00CC17A1" w:rsidRPr="00D91268" w:rsidRDefault="0049069E" w:rsidP="001F4C72">
      <w:pPr>
        <w:rPr>
          <w:sz w:val="24"/>
          <w:szCs w:val="24"/>
          <w:lang w:val="en-NZ"/>
        </w:rPr>
      </w:pPr>
      <w:r w:rsidRPr="00D91268">
        <w:rPr>
          <w:sz w:val="24"/>
          <w:szCs w:val="24"/>
          <w:lang w:val="en-NZ"/>
        </w:rPr>
        <w:t>Young N</w:t>
      </w:r>
      <w:r>
        <w:rPr>
          <w:sz w:val="24"/>
          <w:szCs w:val="24"/>
          <w:lang w:val="en-NZ"/>
        </w:rPr>
        <w:t xml:space="preserve">, </w:t>
      </w:r>
      <w:r w:rsidRPr="00D91268">
        <w:rPr>
          <w:sz w:val="24"/>
          <w:szCs w:val="24"/>
          <w:lang w:val="en-NZ"/>
        </w:rPr>
        <w:t>Sharpe RA, Barciela R, Nichols G, Davidson K, Berdalet E &amp; Fleming LE</w:t>
      </w:r>
      <w:r>
        <w:rPr>
          <w:sz w:val="24"/>
          <w:szCs w:val="24"/>
          <w:lang w:val="en-NZ"/>
        </w:rPr>
        <w:t>.</w:t>
      </w:r>
      <w:r w:rsidRPr="00D91268">
        <w:rPr>
          <w:sz w:val="24"/>
          <w:szCs w:val="24"/>
          <w:lang w:val="en-NZ"/>
        </w:rPr>
        <w:t xml:space="preserve"> 2020. Marine harmful algal blooms and human health: A systematic scoping review. </w:t>
      </w:r>
      <w:r w:rsidRPr="00226AE4">
        <w:rPr>
          <w:i/>
          <w:iCs/>
          <w:sz w:val="24"/>
          <w:szCs w:val="24"/>
          <w:lang w:val="en-NZ"/>
        </w:rPr>
        <w:t>Harmful Algae</w:t>
      </w:r>
      <w:r w:rsidRPr="00D91268">
        <w:rPr>
          <w:sz w:val="24"/>
          <w:szCs w:val="24"/>
          <w:lang w:val="en-NZ"/>
        </w:rPr>
        <w:t xml:space="preserve">, 98, 101901. </w:t>
      </w:r>
      <w:hyperlink r:id="rId109" w:history="1">
        <w:r w:rsidRPr="00D91268">
          <w:rPr>
            <w:rStyle w:val="Hyperlink"/>
            <w:sz w:val="24"/>
            <w:szCs w:val="24"/>
            <w:lang w:val="en-NZ"/>
          </w:rPr>
          <w:t>https://doi.org/10.1016/j.hal.2020.101901</w:t>
        </w:r>
      </w:hyperlink>
      <w:r w:rsidRPr="00D91268">
        <w:rPr>
          <w:sz w:val="24"/>
          <w:szCs w:val="24"/>
          <w:lang w:val="en-NZ"/>
        </w:rPr>
        <w:t xml:space="preserve"> </w:t>
      </w:r>
    </w:p>
    <w:sectPr w:rsidR="00CC17A1" w:rsidRPr="00D91268" w:rsidSect="00DA71CE">
      <w:headerReference w:type="default" r:id="rId110"/>
      <w:footerReference w:type="default" r:id="rId111"/>
      <w:pgSz w:w="11906" w:h="16838"/>
      <w:pgMar w:top="1440" w:right="1440" w:bottom="1440" w:left="1440"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21124B" w14:textId="77777777" w:rsidR="00375F20" w:rsidRDefault="00375F20" w:rsidP="00EB3422">
      <w:r>
        <w:separator/>
      </w:r>
    </w:p>
  </w:endnote>
  <w:endnote w:type="continuationSeparator" w:id="0">
    <w:p w14:paraId="12202156" w14:textId="77777777" w:rsidR="00375F20" w:rsidRDefault="00375F20" w:rsidP="00EB3422">
      <w:r>
        <w:continuationSeparator/>
      </w:r>
    </w:p>
  </w:endnote>
  <w:endnote w:type="continuationNotice" w:id="1">
    <w:p w14:paraId="52ECE467" w14:textId="77777777" w:rsidR="00375F20" w:rsidRDefault="00375F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Franklin Gothic Book">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1762297"/>
      <w:docPartObj>
        <w:docPartGallery w:val="Page Numbers (Bottom of Page)"/>
        <w:docPartUnique/>
      </w:docPartObj>
    </w:sdtPr>
    <w:sdtEndPr>
      <w:rPr>
        <w:noProof/>
        <w:sz w:val="24"/>
        <w:szCs w:val="24"/>
      </w:rPr>
    </w:sdtEndPr>
    <w:sdtContent>
      <w:p w14:paraId="37BC7D46" w14:textId="6548834F" w:rsidR="002850E2" w:rsidRPr="00DA1068" w:rsidRDefault="002850E2">
        <w:pPr>
          <w:pStyle w:val="Footer"/>
          <w:jc w:val="right"/>
          <w:rPr>
            <w:sz w:val="24"/>
            <w:szCs w:val="24"/>
          </w:rPr>
        </w:pPr>
        <w:r w:rsidRPr="00DA1068">
          <w:rPr>
            <w:sz w:val="24"/>
            <w:szCs w:val="24"/>
          </w:rPr>
          <w:fldChar w:fldCharType="begin"/>
        </w:r>
        <w:r w:rsidRPr="00DA1068">
          <w:rPr>
            <w:sz w:val="24"/>
            <w:szCs w:val="24"/>
          </w:rPr>
          <w:instrText xml:space="preserve"> PAGE   \* MERGEFORMAT </w:instrText>
        </w:r>
        <w:r w:rsidRPr="00DA1068">
          <w:rPr>
            <w:sz w:val="24"/>
            <w:szCs w:val="24"/>
          </w:rPr>
          <w:fldChar w:fldCharType="separate"/>
        </w:r>
        <w:r w:rsidRPr="00DA1068">
          <w:rPr>
            <w:noProof/>
            <w:sz w:val="24"/>
            <w:szCs w:val="24"/>
          </w:rPr>
          <w:t>2</w:t>
        </w:r>
        <w:r w:rsidRPr="00DA1068">
          <w:rPr>
            <w:noProof/>
            <w:sz w:val="24"/>
            <w:szCs w:val="24"/>
          </w:rPr>
          <w:fldChar w:fldCharType="end"/>
        </w:r>
      </w:p>
    </w:sdtContent>
  </w:sdt>
  <w:p w14:paraId="72955D03" w14:textId="77777777" w:rsidR="006B7CB6" w:rsidRDefault="006B7C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336582" w14:textId="77777777" w:rsidR="00375F20" w:rsidRDefault="00375F20" w:rsidP="00EB3422">
      <w:r>
        <w:separator/>
      </w:r>
    </w:p>
  </w:footnote>
  <w:footnote w:type="continuationSeparator" w:id="0">
    <w:p w14:paraId="56A2CB04" w14:textId="77777777" w:rsidR="00375F20" w:rsidRDefault="00375F20" w:rsidP="00EB3422">
      <w:r>
        <w:continuationSeparator/>
      </w:r>
    </w:p>
  </w:footnote>
  <w:footnote w:type="continuationNotice" w:id="1">
    <w:p w14:paraId="18082111" w14:textId="77777777" w:rsidR="00375F20" w:rsidRDefault="00375F20">
      <w:pPr>
        <w:spacing w:after="0" w:line="240" w:lineRule="auto"/>
      </w:pPr>
    </w:p>
  </w:footnote>
  <w:footnote w:id="2">
    <w:p w14:paraId="4ACF5AA7" w14:textId="5B71B05D" w:rsidR="006E75E8" w:rsidRPr="00582CA3" w:rsidRDefault="006E75E8" w:rsidP="006E75E8">
      <w:pPr>
        <w:pStyle w:val="FootnoteText"/>
        <w:rPr>
          <w:lang w:val="en-NZ"/>
        </w:rPr>
      </w:pPr>
      <w:r w:rsidRPr="00582CA3">
        <w:rPr>
          <w:rStyle w:val="FootnoteReference"/>
        </w:rPr>
        <w:footnoteRef/>
      </w:r>
      <w:r w:rsidRPr="00582CA3">
        <w:t xml:space="preserve"> </w:t>
      </w:r>
      <w:hyperlink r:id="rId1" w:history="1">
        <w:r w:rsidR="00A916F9" w:rsidRPr="0021710A">
          <w:rPr>
            <w:rStyle w:val="Hyperlink"/>
          </w:rPr>
          <w:t xml:space="preserve">Refer to </w:t>
        </w:r>
        <w:r w:rsidR="00A916F9" w:rsidRPr="0021710A">
          <w:rPr>
            <w:rStyle w:val="Hyperlink"/>
            <w:lang w:val="en-NZ"/>
          </w:rPr>
          <w:t>Figure 5, page 32, of the guidelines</w:t>
        </w:r>
      </w:hyperlink>
      <w:r w:rsidR="00A916F9" w:rsidRPr="00582CA3">
        <w:rPr>
          <w:lang w:val="en-NZ"/>
        </w:rPr>
        <w:t xml:space="preserve">. </w:t>
      </w:r>
    </w:p>
  </w:footnote>
  <w:footnote w:id="3">
    <w:p w14:paraId="1A31D56F" w14:textId="7529B9FA" w:rsidR="0011042D" w:rsidRPr="000313FC" w:rsidRDefault="0011042D">
      <w:pPr>
        <w:pStyle w:val="FootnoteText"/>
        <w:rPr>
          <w:lang w:val="en-NZ"/>
        </w:rPr>
      </w:pPr>
      <w:r>
        <w:rPr>
          <w:rStyle w:val="FootnoteReference"/>
        </w:rPr>
        <w:footnoteRef/>
      </w:r>
      <w:r>
        <w:t xml:space="preserve"> </w:t>
      </w:r>
      <w:hyperlink r:id="rId2" w:history="1">
        <w:r w:rsidRPr="0021710A">
          <w:rPr>
            <w:rStyle w:val="Hyperlink"/>
          </w:rPr>
          <w:t xml:space="preserve">MPI </w:t>
        </w:r>
        <w:r w:rsidR="00296FA1" w:rsidRPr="0021710A">
          <w:rPr>
            <w:rStyle w:val="Hyperlink"/>
          </w:rPr>
          <w:t>posts alerts on its website</w:t>
        </w:r>
      </w:hyperlink>
      <w:r w:rsidR="00296FA1">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EE911" w14:textId="40E71E03" w:rsidR="00C76026" w:rsidRDefault="00594BA5">
    <w:pPr>
      <w:pStyle w:val="Header"/>
    </w:pPr>
    <w:r>
      <w:rPr>
        <w:noProof/>
      </w:rPr>
      <w:drawing>
        <wp:anchor distT="0" distB="0" distL="114300" distR="114300" simplePos="0" relativeHeight="251658240" behindDoc="1" locked="0" layoutInCell="1" allowOverlap="1" wp14:anchorId="7D772477" wp14:editId="7417340A">
          <wp:simplePos x="0" y="0"/>
          <wp:positionH relativeFrom="page">
            <wp:align>left</wp:align>
          </wp:positionH>
          <wp:positionV relativeFrom="paragraph">
            <wp:posOffset>-449580</wp:posOffset>
          </wp:positionV>
          <wp:extent cx="7543800" cy="936915"/>
          <wp:effectExtent l="0" t="0" r="0" b="0"/>
          <wp:wrapNone/>
          <wp:docPr id="723773446" name="Picture 723773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3446" name="Picture 7237734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93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343B5"/>
    <w:multiLevelType w:val="hybridMultilevel"/>
    <w:tmpl w:val="214CCA62"/>
    <w:lvl w:ilvl="0" w:tplc="1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D22D09"/>
    <w:multiLevelType w:val="hybridMultilevel"/>
    <w:tmpl w:val="3586D8A8"/>
    <w:lvl w:ilvl="0" w:tplc="FFFFFFFF">
      <w:start w:val="1"/>
      <w:numFmt w:val="decimal"/>
      <w:lvlText w:val="%1."/>
      <w:lvlJc w:val="left"/>
      <w:pPr>
        <w:ind w:left="1080" w:hanging="72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0844F2"/>
    <w:multiLevelType w:val="hybridMultilevel"/>
    <w:tmpl w:val="B43CD2C6"/>
    <w:lvl w:ilvl="0" w:tplc="38B6EE0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B1E2189"/>
    <w:multiLevelType w:val="hybridMultilevel"/>
    <w:tmpl w:val="620A9AA0"/>
    <w:lvl w:ilvl="0" w:tplc="38B6EE0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C4157E2"/>
    <w:multiLevelType w:val="multilevel"/>
    <w:tmpl w:val="5FACE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D5A58EC"/>
    <w:multiLevelType w:val="hybridMultilevel"/>
    <w:tmpl w:val="500EA1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F8C274C"/>
    <w:multiLevelType w:val="hybridMultilevel"/>
    <w:tmpl w:val="76563E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28771CA"/>
    <w:multiLevelType w:val="multilevel"/>
    <w:tmpl w:val="3BACC5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4676EE0"/>
    <w:multiLevelType w:val="multilevel"/>
    <w:tmpl w:val="9E9C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EB3E1E"/>
    <w:multiLevelType w:val="multilevel"/>
    <w:tmpl w:val="8D4C2D6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22C2163E"/>
    <w:multiLevelType w:val="hybridMultilevel"/>
    <w:tmpl w:val="E326A49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46A268F"/>
    <w:multiLevelType w:val="hybridMultilevel"/>
    <w:tmpl w:val="C6BEFB8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52524DE"/>
    <w:multiLevelType w:val="hybridMultilevel"/>
    <w:tmpl w:val="2FA4FDA4"/>
    <w:lvl w:ilvl="0" w:tplc="38B6EE0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265F493C"/>
    <w:multiLevelType w:val="hybridMultilevel"/>
    <w:tmpl w:val="6AFEEF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A7E5AA8"/>
    <w:multiLevelType w:val="hybridMultilevel"/>
    <w:tmpl w:val="C3E0F8D4"/>
    <w:lvl w:ilvl="0" w:tplc="FBCED3F4">
      <w:start w:val="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B703484"/>
    <w:multiLevelType w:val="multilevel"/>
    <w:tmpl w:val="D292B7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3D3725"/>
    <w:multiLevelType w:val="hybridMultilevel"/>
    <w:tmpl w:val="688ADB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0766DFD"/>
    <w:multiLevelType w:val="hybridMultilevel"/>
    <w:tmpl w:val="EE3E597A"/>
    <w:lvl w:ilvl="0" w:tplc="1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A952B27"/>
    <w:multiLevelType w:val="hybridMultilevel"/>
    <w:tmpl w:val="E5B284FA"/>
    <w:lvl w:ilvl="0" w:tplc="77706DAC">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DCF7B35"/>
    <w:multiLevelType w:val="hybridMultilevel"/>
    <w:tmpl w:val="05B8CA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F5A3240"/>
    <w:multiLevelType w:val="hybridMultilevel"/>
    <w:tmpl w:val="04C8B48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FF30825"/>
    <w:multiLevelType w:val="hybridMultilevel"/>
    <w:tmpl w:val="BA48F164"/>
    <w:lvl w:ilvl="0" w:tplc="06DECA0C">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43431222"/>
    <w:multiLevelType w:val="hybridMultilevel"/>
    <w:tmpl w:val="C1E4BF7E"/>
    <w:lvl w:ilvl="0" w:tplc="EC9A8D28">
      <w:start w:val="7"/>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850A22"/>
    <w:multiLevelType w:val="hybridMultilevel"/>
    <w:tmpl w:val="DE1A340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5" w15:restartNumberingAfterBreak="0">
    <w:nsid w:val="568A2F16"/>
    <w:multiLevelType w:val="hybridMultilevel"/>
    <w:tmpl w:val="836EB7DA"/>
    <w:lvl w:ilvl="0" w:tplc="FFFFFFFF">
      <w:start w:val="1"/>
      <w:numFmt w:val="decimal"/>
      <w:lvlText w:val="%1."/>
      <w:lvlJc w:val="left"/>
      <w:pPr>
        <w:ind w:left="1080" w:hanging="720"/>
      </w:pPr>
      <w:rPr>
        <w:rFonts w:hint="default"/>
      </w:rPr>
    </w:lvl>
    <w:lvl w:ilvl="1" w:tplc="1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9E73D0C"/>
    <w:multiLevelType w:val="hybridMultilevel"/>
    <w:tmpl w:val="141E1DCA"/>
    <w:lvl w:ilvl="0" w:tplc="38B6EE0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B1169C1"/>
    <w:multiLevelType w:val="hybridMultilevel"/>
    <w:tmpl w:val="C68C8A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C601046"/>
    <w:multiLevelType w:val="hybridMultilevel"/>
    <w:tmpl w:val="07D2624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61166597"/>
    <w:multiLevelType w:val="hybridMultilevel"/>
    <w:tmpl w:val="C5CA585A"/>
    <w:lvl w:ilvl="0" w:tplc="38B6EE06">
      <w:start w:val="1"/>
      <w:numFmt w:val="decimal"/>
      <w:lvlText w:val="%1."/>
      <w:lvlJc w:val="left"/>
      <w:pPr>
        <w:ind w:left="1080" w:hanging="720"/>
      </w:pPr>
      <w:rPr>
        <w:rFonts w:hint="default"/>
      </w:rPr>
    </w:lvl>
    <w:lvl w:ilvl="1" w:tplc="B92E9B42">
      <w:start w:val="7"/>
      <w:numFmt w:val="bullet"/>
      <w:lvlText w:val="•"/>
      <w:lvlJc w:val="left"/>
      <w:pPr>
        <w:ind w:left="1800" w:hanging="720"/>
      </w:pPr>
      <w:rPr>
        <w:rFonts w:ascii="Arial" w:eastAsiaTheme="minorHAnsi" w:hAnsi="Arial" w:cs="Arial" w:hint="default"/>
      </w:rPr>
    </w:lvl>
    <w:lvl w:ilvl="2" w:tplc="D4AA02EA">
      <w:start w:val="7"/>
      <w:numFmt w:val="bullet"/>
      <w:lvlText w:val="-"/>
      <w:lvlJc w:val="left"/>
      <w:pPr>
        <w:ind w:left="2700" w:hanging="720"/>
      </w:pPr>
      <w:rPr>
        <w:rFonts w:ascii="Arial" w:eastAsiaTheme="minorHAnsi" w:hAnsi="Arial" w:cs="Aria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27906BC"/>
    <w:multiLevelType w:val="hybridMultilevel"/>
    <w:tmpl w:val="31E474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62E407A5"/>
    <w:multiLevelType w:val="hybridMultilevel"/>
    <w:tmpl w:val="0F3010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3352E56"/>
    <w:multiLevelType w:val="hybridMultilevel"/>
    <w:tmpl w:val="8BC0D1B8"/>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3" w15:restartNumberingAfterBreak="0">
    <w:nsid w:val="6359076B"/>
    <w:multiLevelType w:val="multilevel"/>
    <w:tmpl w:val="0F5ED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76A081A"/>
    <w:multiLevelType w:val="hybridMultilevel"/>
    <w:tmpl w:val="EB802B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6D157DED"/>
    <w:multiLevelType w:val="hybridMultilevel"/>
    <w:tmpl w:val="6870E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0151531"/>
    <w:multiLevelType w:val="multilevel"/>
    <w:tmpl w:val="7994A6FC"/>
    <w:lvl w:ilvl="0">
      <w:start w:val="1"/>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7" w15:restartNumberingAfterBreak="0">
    <w:nsid w:val="746236EA"/>
    <w:multiLevelType w:val="hybridMultilevel"/>
    <w:tmpl w:val="4CB4F2A0"/>
    <w:lvl w:ilvl="0" w:tplc="8E90CA44">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773862A2"/>
    <w:multiLevelType w:val="hybridMultilevel"/>
    <w:tmpl w:val="797AAA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86512CE"/>
    <w:multiLevelType w:val="hybridMultilevel"/>
    <w:tmpl w:val="9DCE5E5A"/>
    <w:lvl w:ilvl="0" w:tplc="38B6EE0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15:restartNumberingAfterBreak="0">
    <w:nsid w:val="78C61F34"/>
    <w:multiLevelType w:val="hybridMultilevel"/>
    <w:tmpl w:val="A62A1C4C"/>
    <w:lvl w:ilvl="0" w:tplc="38B6EE06">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1" w15:restartNumberingAfterBreak="0">
    <w:nsid w:val="79DB1D1F"/>
    <w:multiLevelType w:val="hybridMultilevel"/>
    <w:tmpl w:val="DD56D6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7E4A2C31"/>
    <w:multiLevelType w:val="hybridMultilevel"/>
    <w:tmpl w:val="B0706764"/>
    <w:lvl w:ilvl="0" w:tplc="3132D67A">
      <w:start w:val="3"/>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702946172">
    <w:abstractNumId w:val="2"/>
  </w:num>
  <w:num w:numId="2" w16cid:durableId="1627807737">
    <w:abstractNumId w:val="10"/>
  </w:num>
  <w:num w:numId="3" w16cid:durableId="1459836169">
    <w:abstractNumId w:val="36"/>
  </w:num>
  <w:num w:numId="4" w16cid:durableId="445275101">
    <w:abstractNumId w:val="9"/>
  </w:num>
  <w:num w:numId="5" w16cid:durableId="1027487902">
    <w:abstractNumId w:val="16"/>
  </w:num>
  <w:num w:numId="6" w16cid:durableId="1483886246">
    <w:abstractNumId w:val="8"/>
  </w:num>
  <w:num w:numId="7" w16cid:durableId="2115468127">
    <w:abstractNumId w:val="5"/>
  </w:num>
  <w:num w:numId="8" w16cid:durableId="1757508068">
    <w:abstractNumId w:val="33"/>
  </w:num>
  <w:num w:numId="9" w16cid:durableId="1587497324">
    <w:abstractNumId w:val="34"/>
  </w:num>
  <w:num w:numId="10" w16cid:durableId="89664282">
    <w:abstractNumId w:val="37"/>
  </w:num>
  <w:num w:numId="11" w16cid:durableId="1733386807">
    <w:abstractNumId w:val="11"/>
  </w:num>
  <w:num w:numId="12" w16cid:durableId="1550527708">
    <w:abstractNumId w:val="19"/>
  </w:num>
  <w:num w:numId="13" w16cid:durableId="2128158006">
    <w:abstractNumId w:val="30"/>
  </w:num>
  <w:num w:numId="14" w16cid:durableId="2141681051">
    <w:abstractNumId w:val="15"/>
  </w:num>
  <w:num w:numId="15" w16cid:durableId="49504910">
    <w:abstractNumId w:val="12"/>
  </w:num>
  <w:num w:numId="16" w16cid:durableId="173300514">
    <w:abstractNumId w:val="22"/>
  </w:num>
  <w:num w:numId="17" w16cid:durableId="104346668">
    <w:abstractNumId w:val="21"/>
  </w:num>
  <w:num w:numId="18" w16cid:durableId="668799310">
    <w:abstractNumId w:val="26"/>
  </w:num>
  <w:num w:numId="19" w16cid:durableId="1061051972">
    <w:abstractNumId w:val="13"/>
  </w:num>
  <w:num w:numId="20" w16cid:durableId="1329870376">
    <w:abstractNumId w:val="3"/>
  </w:num>
  <w:num w:numId="21" w16cid:durableId="1560825561">
    <w:abstractNumId w:val="7"/>
  </w:num>
  <w:num w:numId="22" w16cid:durableId="117995454">
    <w:abstractNumId w:val="42"/>
  </w:num>
  <w:num w:numId="23" w16cid:durableId="1251045339">
    <w:abstractNumId w:val="18"/>
  </w:num>
  <w:num w:numId="24" w16cid:durableId="136993117">
    <w:abstractNumId w:val="4"/>
  </w:num>
  <w:num w:numId="25" w16cid:durableId="402604323">
    <w:abstractNumId w:val="29"/>
  </w:num>
  <w:num w:numId="26" w16cid:durableId="1325008082">
    <w:abstractNumId w:val="17"/>
  </w:num>
  <w:num w:numId="27" w16cid:durableId="1902406635">
    <w:abstractNumId w:val="23"/>
  </w:num>
  <w:num w:numId="28" w16cid:durableId="796220695">
    <w:abstractNumId w:val="0"/>
  </w:num>
  <w:num w:numId="29" w16cid:durableId="285814029">
    <w:abstractNumId w:val="6"/>
  </w:num>
  <w:num w:numId="30" w16cid:durableId="477456482">
    <w:abstractNumId w:val="25"/>
  </w:num>
  <w:num w:numId="31" w16cid:durableId="847018524">
    <w:abstractNumId w:val="31"/>
  </w:num>
  <w:num w:numId="32" w16cid:durableId="1613826625">
    <w:abstractNumId w:val="1"/>
  </w:num>
  <w:num w:numId="33" w16cid:durableId="1681348017">
    <w:abstractNumId w:val="20"/>
  </w:num>
  <w:num w:numId="34" w16cid:durableId="605309772">
    <w:abstractNumId w:val="35"/>
  </w:num>
  <w:num w:numId="35" w16cid:durableId="512915367">
    <w:abstractNumId w:val="14"/>
  </w:num>
  <w:num w:numId="36" w16cid:durableId="371536598">
    <w:abstractNumId w:val="38"/>
  </w:num>
  <w:num w:numId="37" w16cid:durableId="1681929898">
    <w:abstractNumId w:val="27"/>
  </w:num>
  <w:num w:numId="38" w16cid:durableId="1330135517">
    <w:abstractNumId w:val="40"/>
  </w:num>
  <w:num w:numId="39" w16cid:durableId="2027554230">
    <w:abstractNumId w:val="39"/>
  </w:num>
  <w:num w:numId="40" w16cid:durableId="2018843834">
    <w:abstractNumId w:val="41"/>
  </w:num>
  <w:num w:numId="41" w16cid:durableId="1014262594">
    <w:abstractNumId w:val="28"/>
  </w:num>
  <w:num w:numId="42" w16cid:durableId="923146049">
    <w:abstractNumId w:val="24"/>
  </w:num>
  <w:num w:numId="43" w16cid:durableId="121800707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defaultTableStyle w:val="List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06001"/>
    <w:rsid w:val="00007ED2"/>
    <w:rsid w:val="00010E43"/>
    <w:rsid w:val="00011768"/>
    <w:rsid w:val="0001358E"/>
    <w:rsid w:val="00014FC6"/>
    <w:rsid w:val="00020210"/>
    <w:rsid w:val="000207B7"/>
    <w:rsid w:val="000210D2"/>
    <w:rsid w:val="00022FC3"/>
    <w:rsid w:val="000234A7"/>
    <w:rsid w:val="00024B08"/>
    <w:rsid w:val="00025918"/>
    <w:rsid w:val="000277E7"/>
    <w:rsid w:val="00030F31"/>
    <w:rsid w:val="00031146"/>
    <w:rsid w:val="000313FC"/>
    <w:rsid w:val="00031D75"/>
    <w:rsid w:val="00032C06"/>
    <w:rsid w:val="000356F4"/>
    <w:rsid w:val="00036798"/>
    <w:rsid w:val="00037864"/>
    <w:rsid w:val="0004122B"/>
    <w:rsid w:val="0004351B"/>
    <w:rsid w:val="00044BD5"/>
    <w:rsid w:val="00045873"/>
    <w:rsid w:val="000463D4"/>
    <w:rsid w:val="0004655D"/>
    <w:rsid w:val="00046AB0"/>
    <w:rsid w:val="00046ADE"/>
    <w:rsid w:val="00051EE2"/>
    <w:rsid w:val="00055504"/>
    <w:rsid w:val="00055F6E"/>
    <w:rsid w:val="00057FCB"/>
    <w:rsid w:val="00063124"/>
    <w:rsid w:val="00064304"/>
    <w:rsid w:val="00065498"/>
    <w:rsid w:val="00066B03"/>
    <w:rsid w:val="00066E3F"/>
    <w:rsid w:val="00067A71"/>
    <w:rsid w:val="000726D5"/>
    <w:rsid w:val="00073F75"/>
    <w:rsid w:val="00076A17"/>
    <w:rsid w:val="00081FC9"/>
    <w:rsid w:val="00082D8B"/>
    <w:rsid w:val="00083433"/>
    <w:rsid w:val="0008344F"/>
    <w:rsid w:val="000841A1"/>
    <w:rsid w:val="00090217"/>
    <w:rsid w:val="00090B26"/>
    <w:rsid w:val="00090C64"/>
    <w:rsid w:val="00090D99"/>
    <w:rsid w:val="00094B44"/>
    <w:rsid w:val="000958C1"/>
    <w:rsid w:val="000973F8"/>
    <w:rsid w:val="000975AE"/>
    <w:rsid w:val="000A19BF"/>
    <w:rsid w:val="000A1C48"/>
    <w:rsid w:val="000A25E6"/>
    <w:rsid w:val="000A2709"/>
    <w:rsid w:val="000A7044"/>
    <w:rsid w:val="000A70CB"/>
    <w:rsid w:val="000B1A6D"/>
    <w:rsid w:val="000B219A"/>
    <w:rsid w:val="000B4121"/>
    <w:rsid w:val="000B5771"/>
    <w:rsid w:val="000B58B2"/>
    <w:rsid w:val="000C0ED5"/>
    <w:rsid w:val="000C1EDB"/>
    <w:rsid w:val="000C2274"/>
    <w:rsid w:val="000C78A5"/>
    <w:rsid w:val="000D2426"/>
    <w:rsid w:val="000D3AB0"/>
    <w:rsid w:val="000D4A33"/>
    <w:rsid w:val="000D4F4B"/>
    <w:rsid w:val="000D7202"/>
    <w:rsid w:val="000E0AC4"/>
    <w:rsid w:val="000E1733"/>
    <w:rsid w:val="000E1A04"/>
    <w:rsid w:val="000E1D5E"/>
    <w:rsid w:val="000E43B4"/>
    <w:rsid w:val="000E539E"/>
    <w:rsid w:val="000F4EFC"/>
    <w:rsid w:val="000F4F64"/>
    <w:rsid w:val="000F5283"/>
    <w:rsid w:val="000F7E12"/>
    <w:rsid w:val="00103CB0"/>
    <w:rsid w:val="00107E38"/>
    <w:rsid w:val="0011042D"/>
    <w:rsid w:val="00111EAB"/>
    <w:rsid w:val="00114475"/>
    <w:rsid w:val="00116702"/>
    <w:rsid w:val="00117322"/>
    <w:rsid w:val="001173B5"/>
    <w:rsid w:val="001176DB"/>
    <w:rsid w:val="001234F7"/>
    <w:rsid w:val="00123DAC"/>
    <w:rsid w:val="0012456A"/>
    <w:rsid w:val="00126701"/>
    <w:rsid w:val="00126B4B"/>
    <w:rsid w:val="00126DCC"/>
    <w:rsid w:val="00127266"/>
    <w:rsid w:val="00130B7D"/>
    <w:rsid w:val="001311ED"/>
    <w:rsid w:val="001321E4"/>
    <w:rsid w:val="00132862"/>
    <w:rsid w:val="0013578D"/>
    <w:rsid w:val="00135C7D"/>
    <w:rsid w:val="001406E2"/>
    <w:rsid w:val="00141602"/>
    <w:rsid w:val="00141B9B"/>
    <w:rsid w:val="00141EEE"/>
    <w:rsid w:val="00142210"/>
    <w:rsid w:val="00142C7B"/>
    <w:rsid w:val="001438C5"/>
    <w:rsid w:val="00144C6B"/>
    <w:rsid w:val="001452C7"/>
    <w:rsid w:val="001469AE"/>
    <w:rsid w:val="00147585"/>
    <w:rsid w:val="001475DF"/>
    <w:rsid w:val="0015186B"/>
    <w:rsid w:val="00151A9A"/>
    <w:rsid w:val="001559B5"/>
    <w:rsid w:val="00157299"/>
    <w:rsid w:val="0015766A"/>
    <w:rsid w:val="001647D7"/>
    <w:rsid w:val="00166F68"/>
    <w:rsid w:val="00167D77"/>
    <w:rsid w:val="00167EDB"/>
    <w:rsid w:val="00171330"/>
    <w:rsid w:val="001729FA"/>
    <w:rsid w:val="0017350D"/>
    <w:rsid w:val="00174E3F"/>
    <w:rsid w:val="001768E7"/>
    <w:rsid w:val="00182744"/>
    <w:rsid w:val="00185CF1"/>
    <w:rsid w:val="0019067F"/>
    <w:rsid w:val="00197125"/>
    <w:rsid w:val="001A0A2F"/>
    <w:rsid w:val="001A125E"/>
    <w:rsid w:val="001A4147"/>
    <w:rsid w:val="001A489B"/>
    <w:rsid w:val="001A74A2"/>
    <w:rsid w:val="001B12AE"/>
    <w:rsid w:val="001B2274"/>
    <w:rsid w:val="001B2E18"/>
    <w:rsid w:val="001B39DE"/>
    <w:rsid w:val="001B6B18"/>
    <w:rsid w:val="001C13B6"/>
    <w:rsid w:val="001C4183"/>
    <w:rsid w:val="001C5A16"/>
    <w:rsid w:val="001C679F"/>
    <w:rsid w:val="001C7E48"/>
    <w:rsid w:val="001D025F"/>
    <w:rsid w:val="001D1004"/>
    <w:rsid w:val="001D217A"/>
    <w:rsid w:val="001D35EC"/>
    <w:rsid w:val="001D4D8C"/>
    <w:rsid w:val="001D702E"/>
    <w:rsid w:val="001E32B2"/>
    <w:rsid w:val="001E350D"/>
    <w:rsid w:val="001E7584"/>
    <w:rsid w:val="001F13A7"/>
    <w:rsid w:val="001F16BF"/>
    <w:rsid w:val="001F26C6"/>
    <w:rsid w:val="001F4844"/>
    <w:rsid w:val="001F4C72"/>
    <w:rsid w:val="001F5B80"/>
    <w:rsid w:val="001F7048"/>
    <w:rsid w:val="00203623"/>
    <w:rsid w:val="00205CB7"/>
    <w:rsid w:val="0021710A"/>
    <w:rsid w:val="00221655"/>
    <w:rsid w:val="00222689"/>
    <w:rsid w:val="00222DA1"/>
    <w:rsid w:val="0022305B"/>
    <w:rsid w:val="00225FEE"/>
    <w:rsid w:val="00226AE4"/>
    <w:rsid w:val="00227C7D"/>
    <w:rsid w:val="00227EA4"/>
    <w:rsid w:val="0023397F"/>
    <w:rsid w:val="00235071"/>
    <w:rsid w:val="00236760"/>
    <w:rsid w:val="002420C3"/>
    <w:rsid w:val="002460DF"/>
    <w:rsid w:val="00247FF1"/>
    <w:rsid w:val="002508D1"/>
    <w:rsid w:val="00254B94"/>
    <w:rsid w:val="00256969"/>
    <w:rsid w:val="002577FA"/>
    <w:rsid w:val="00260010"/>
    <w:rsid w:val="00261A2D"/>
    <w:rsid w:val="00263B7C"/>
    <w:rsid w:val="00273647"/>
    <w:rsid w:val="00273AAD"/>
    <w:rsid w:val="0027585F"/>
    <w:rsid w:val="0027736C"/>
    <w:rsid w:val="0027773D"/>
    <w:rsid w:val="00283562"/>
    <w:rsid w:val="002846FB"/>
    <w:rsid w:val="002850E2"/>
    <w:rsid w:val="002856B3"/>
    <w:rsid w:val="002949AD"/>
    <w:rsid w:val="002968E0"/>
    <w:rsid w:val="00296A08"/>
    <w:rsid w:val="00296FA1"/>
    <w:rsid w:val="002976EF"/>
    <w:rsid w:val="002A0D65"/>
    <w:rsid w:val="002A2E3E"/>
    <w:rsid w:val="002A3D5D"/>
    <w:rsid w:val="002A49FB"/>
    <w:rsid w:val="002A5435"/>
    <w:rsid w:val="002A6B30"/>
    <w:rsid w:val="002B0FD7"/>
    <w:rsid w:val="002B1114"/>
    <w:rsid w:val="002B2621"/>
    <w:rsid w:val="002B63F5"/>
    <w:rsid w:val="002B7A82"/>
    <w:rsid w:val="002C06C0"/>
    <w:rsid w:val="002C16D5"/>
    <w:rsid w:val="002C2FC7"/>
    <w:rsid w:val="002C39D4"/>
    <w:rsid w:val="002C540A"/>
    <w:rsid w:val="002C6986"/>
    <w:rsid w:val="002D51EA"/>
    <w:rsid w:val="002D5E69"/>
    <w:rsid w:val="002D6280"/>
    <w:rsid w:val="002D77E7"/>
    <w:rsid w:val="002E5353"/>
    <w:rsid w:val="002F04FA"/>
    <w:rsid w:val="002F267C"/>
    <w:rsid w:val="002F552D"/>
    <w:rsid w:val="002F57C7"/>
    <w:rsid w:val="002F6B95"/>
    <w:rsid w:val="002F6EAF"/>
    <w:rsid w:val="002F7193"/>
    <w:rsid w:val="00300D9F"/>
    <w:rsid w:val="003038B5"/>
    <w:rsid w:val="003045AB"/>
    <w:rsid w:val="0030506B"/>
    <w:rsid w:val="00306794"/>
    <w:rsid w:val="00306B97"/>
    <w:rsid w:val="00310E27"/>
    <w:rsid w:val="00311BA7"/>
    <w:rsid w:val="00315CFC"/>
    <w:rsid w:val="00320D50"/>
    <w:rsid w:val="00321431"/>
    <w:rsid w:val="00324EB7"/>
    <w:rsid w:val="00327F89"/>
    <w:rsid w:val="003318F5"/>
    <w:rsid w:val="00334176"/>
    <w:rsid w:val="00334638"/>
    <w:rsid w:val="00336DD5"/>
    <w:rsid w:val="003374BE"/>
    <w:rsid w:val="00337A04"/>
    <w:rsid w:val="00341AB6"/>
    <w:rsid w:val="003425D9"/>
    <w:rsid w:val="00342D81"/>
    <w:rsid w:val="00343008"/>
    <w:rsid w:val="00345A62"/>
    <w:rsid w:val="003461F8"/>
    <w:rsid w:val="00346551"/>
    <w:rsid w:val="003530F7"/>
    <w:rsid w:val="00357C35"/>
    <w:rsid w:val="003628ED"/>
    <w:rsid w:val="00367088"/>
    <w:rsid w:val="0036726A"/>
    <w:rsid w:val="0037012A"/>
    <w:rsid w:val="00373A24"/>
    <w:rsid w:val="00374160"/>
    <w:rsid w:val="003746D1"/>
    <w:rsid w:val="00375F20"/>
    <w:rsid w:val="00376B38"/>
    <w:rsid w:val="00376EE1"/>
    <w:rsid w:val="00377612"/>
    <w:rsid w:val="00380FFD"/>
    <w:rsid w:val="0038155E"/>
    <w:rsid w:val="00381D2A"/>
    <w:rsid w:val="003860BC"/>
    <w:rsid w:val="003903D6"/>
    <w:rsid w:val="00391A79"/>
    <w:rsid w:val="00392EA9"/>
    <w:rsid w:val="00393CB6"/>
    <w:rsid w:val="00395079"/>
    <w:rsid w:val="003A08AE"/>
    <w:rsid w:val="003A638E"/>
    <w:rsid w:val="003A757D"/>
    <w:rsid w:val="003A7BAC"/>
    <w:rsid w:val="003B1791"/>
    <w:rsid w:val="003B249C"/>
    <w:rsid w:val="003B504E"/>
    <w:rsid w:val="003B6359"/>
    <w:rsid w:val="003C17C6"/>
    <w:rsid w:val="003C1905"/>
    <w:rsid w:val="003C1CED"/>
    <w:rsid w:val="003C248D"/>
    <w:rsid w:val="003C2EBA"/>
    <w:rsid w:val="003C6D56"/>
    <w:rsid w:val="003D1DFE"/>
    <w:rsid w:val="003D393F"/>
    <w:rsid w:val="003D6169"/>
    <w:rsid w:val="003E063B"/>
    <w:rsid w:val="003E5586"/>
    <w:rsid w:val="003E5617"/>
    <w:rsid w:val="003F0241"/>
    <w:rsid w:val="003F07DA"/>
    <w:rsid w:val="003F1FE3"/>
    <w:rsid w:val="003F68C2"/>
    <w:rsid w:val="003F6A9C"/>
    <w:rsid w:val="00400293"/>
    <w:rsid w:val="0040290E"/>
    <w:rsid w:val="004046A5"/>
    <w:rsid w:val="00407854"/>
    <w:rsid w:val="00411539"/>
    <w:rsid w:val="00413CA0"/>
    <w:rsid w:val="00413F41"/>
    <w:rsid w:val="00416A72"/>
    <w:rsid w:val="00420590"/>
    <w:rsid w:val="00431525"/>
    <w:rsid w:val="00431A01"/>
    <w:rsid w:val="004329FC"/>
    <w:rsid w:val="00433F65"/>
    <w:rsid w:val="00434E46"/>
    <w:rsid w:val="00434E87"/>
    <w:rsid w:val="00435594"/>
    <w:rsid w:val="00437BBE"/>
    <w:rsid w:val="00440D5C"/>
    <w:rsid w:val="00440E96"/>
    <w:rsid w:val="00443D04"/>
    <w:rsid w:val="00446BA6"/>
    <w:rsid w:val="00447185"/>
    <w:rsid w:val="00447694"/>
    <w:rsid w:val="0045003D"/>
    <w:rsid w:val="00453C5E"/>
    <w:rsid w:val="00456EDA"/>
    <w:rsid w:val="00465C43"/>
    <w:rsid w:val="00470052"/>
    <w:rsid w:val="00472C58"/>
    <w:rsid w:val="00473553"/>
    <w:rsid w:val="00476679"/>
    <w:rsid w:val="004777E4"/>
    <w:rsid w:val="0048013C"/>
    <w:rsid w:val="0049069E"/>
    <w:rsid w:val="00490C33"/>
    <w:rsid w:val="00493A89"/>
    <w:rsid w:val="00495D87"/>
    <w:rsid w:val="00496185"/>
    <w:rsid w:val="004972B9"/>
    <w:rsid w:val="004978D4"/>
    <w:rsid w:val="00497F26"/>
    <w:rsid w:val="004A1BF5"/>
    <w:rsid w:val="004A39F5"/>
    <w:rsid w:val="004A3B81"/>
    <w:rsid w:val="004A3FBA"/>
    <w:rsid w:val="004A6C2D"/>
    <w:rsid w:val="004A7FEB"/>
    <w:rsid w:val="004B1C68"/>
    <w:rsid w:val="004B3B4C"/>
    <w:rsid w:val="004B70F2"/>
    <w:rsid w:val="004C4471"/>
    <w:rsid w:val="004C612B"/>
    <w:rsid w:val="004C673E"/>
    <w:rsid w:val="004C74EB"/>
    <w:rsid w:val="004D2497"/>
    <w:rsid w:val="004D2B97"/>
    <w:rsid w:val="004E0E98"/>
    <w:rsid w:val="004E2BF1"/>
    <w:rsid w:val="004E2FA7"/>
    <w:rsid w:val="004E3289"/>
    <w:rsid w:val="004E6D3F"/>
    <w:rsid w:val="004E71FD"/>
    <w:rsid w:val="004E7804"/>
    <w:rsid w:val="004F59C2"/>
    <w:rsid w:val="00500A83"/>
    <w:rsid w:val="005035E1"/>
    <w:rsid w:val="00503F05"/>
    <w:rsid w:val="00505B19"/>
    <w:rsid w:val="00505E74"/>
    <w:rsid w:val="005117F6"/>
    <w:rsid w:val="00512B5D"/>
    <w:rsid w:val="005151E8"/>
    <w:rsid w:val="00517E0B"/>
    <w:rsid w:val="00517EAE"/>
    <w:rsid w:val="00520127"/>
    <w:rsid w:val="00520C33"/>
    <w:rsid w:val="00526856"/>
    <w:rsid w:val="0053084A"/>
    <w:rsid w:val="0053160C"/>
    <w:rsid w:val="00532842"/>
    <w:rsid w:val="005331C2"/>
    <w:rsid w:val="00540435"/>
    <w:rsid w:val="00540A4B"/>
    <w:rsid w:val="005416BE"/>
    <w:rsid w:val="0054228E"/>
    <w:rsid w:val="00546065"/>
    <w:rsid w:val="00547909"/>
    <w:rsid w:val="00554E13"/>
    <w:rsid w:val="00560536"/>
    <w:rsid w:val="00562045"/>
    <w:rsid w:val="00571AC7"/>
    <w:rsid w:val="00571B21"/>
    <w:rsid w:val="005733B7"/>
    <w:rsid w:val="00574467"/>
    <w:rsid w:val="00575F34"/>
    <w:rsid w:val="005769BA"/>
    <w:rsid w:val="00576BA6"/>
    <w:rsid w:val="00581BF5"/>
    <w:rsid w:val="005820EA"/>
    <w:rsid w:val="00582340"/>
    <w:rsid w:val="0058255B"/>
    <w:rsid w:val="0058271E"/>
    <w:rsid w:val="00582CA3"/>
    <w:rsid w:val="00585D41"/>
    <w:rsid w:val="00593A05"/>
    <w:rsid w:val="00593FB1"/>
    <w:rsid w:val="00594BA5"/>
    <w:rsid w:val="00597C65"/>
    <w:rsid w:val="005A000A"/>
    <w:rsid w:val="005A07FF"/>
    <w:rsid w:val="005A3B89"/>
    <w:rsid w:val="005A4286"/>
    <w:rsid w:val="005B174A"/>
    <w:rsid w:val="005B1C5D"/>
    <w:rsid w:val="005B20CF"/>
    <w:rsid w:val="005B2C9E"/>
    <w:rsid w:val="005B2D4C"/>
    <w:rsid w:val="005B5C9D"/>
    <w:rsid w:val="005B6BA3"/>
    <w:rsid w:val="005B6F81"/>
    <w:rsid w:val="005B769B"/>
    <w:rsid w:val="005C2630"/>
    <w:rsid w:val="005C692D"/>
    <w:rsid w:val="005D109E"/>
    <w:rsid w:val="005D24F9"/>
    <w:rsid w:val="005D3880"/>
    <w:rsid w:val="005D59FF"/>
    <w:rsid w:val="005D65F7"/>
    <w:rsid w:val="005D6CCE"/>
    <w:rsid w:val="005D7389"/>
    <w:rsid w:val="005D7BA3"/>
    <w:rsid w:val="005E0CF4"/>
    <w:rsid w:val="005E1D47"/>
    <w:rsid w:val="005E2020"/>
    <w:rsid w:val="005E6340"/>
    <w:rsid w:val="005E7124"/>
    <w:rsid w:val="005F0E54"/>
    <w:rsid w:val="005F2EE2"/>
    <w:rsid w:val="005F672E"/>
    <w:rsid w:val="005F744C"/>
    <w:rsid w:val="00604F78"/>
    <w:rsid w:val="006119E6"/>
    <w:rsid w:val="00615C45"/>
    <w:rsid w:val="006160A6"/>
    <w:rsid w:val="006178F6"/>
    <w:rsid w:val="00617CD3"/>
    <w:rsid w:val="00623381"/>
    <w:rsid w:val="00625915"/>
    <w:rsid w:val="00625B47"/>
    <w:rsid w:val="00627601"/>
    <w:rsid w:val="00627989"/>
    <w:rsid w:val="00630C00"/>
    <w:rsid w:val="00632737"/>
    <w:rsid w:val="00633EFC"/>
    <w:rsid w:val="00633F20"/>
    <w:rsid w:val="006353CE"/>
    <w:rsid w:val="00635B8C"/>
    <w:rsid w:val="00635EF4"/>
    <w:rsid w:val="00635F59"/>
    <w:rsid w:val="006370B5"/>
    <w:rsid w:val="00637F66"/>
    <w:rsid w:val="00643AA1"/>
    <w:rsid w:val="00644778"/>
    <w:rsid w:val="006471BD"/>
    <w:rsid w:val="00647440"/>
    <w:rsid w:val="00652D4E"/>
    <w:rsid w:val="006530FF"/>
    <w:rsid w:val="00654BF4"/>
    <w:rsid w:val="00655E25"/>
    <w:rsid w:val="0065695C"/>
    <w:rsid w:val="0065719B"/>
    <w:rsid w:val="006576EA"/>
    <w:rsid w:val="00660E05"/>
    <w:rsid w:val="00663D2B"/>
    <w:rsid w:val="006658E4"/>
    <w:rsid w:val="00666811"/>
    <w:rsid w:val="00666A20"/>
    <w:rsid w:val="00674992"/>
    <w:rsid w:val="00677B11"/>
    <w:rsid w:val="00682652"/>
    <w:rsid w:val="00682E66"/>
    <w:rsid w:val="006836B9"/>
    <w:rsid w:val="00685243"/>
    <w:rsid w:val="0068615B"/>
    <w:rsid w:val="00686413"/>
    <w:rsid w:val="0068684B"/>
    <w:rsid w:val="0069184D"/>
    <w:rsid w:val="00691F8F"/>
    <w:rsid w:val="006933B6"/>
    <w:rsid w:val="00693ED5"/>
    <w:rsid w:val="0069524A"/>
    <w:rsid w:val="006A2D63"/>
    <w:rsid w:val="006A3E18"/>
    <w:rsid w:val="006A7AF2"/>
    <w:rsid w:val="006A7C24"/>
    <w:rsid w:val="006B21A3"/>
    <w:rsid w:val="006B282E"/>
    <w:rsid w:val="006B2D78"/>
    <w:rsid w:val="006B4004"/>
    <w:rsid w:val="006B546C"/>
    <w:rsid w:val="006B5FB5"/>
    <w:rsid w:val="006B6F8B"/>
    <w:rsid w:val="006B7CB6"/>
    <w:rsid w:val="006B7FDF"/>
    <w:rsid w:val="006C0ED7"/>
    <w:rsid w:val="006C177C"/>
    <w:rsid w:val="006C26C4"/>
    <w:rsid w:val="006C48A1"/>
    <w:rsid w:val="006C4C93"/>
    <w:rsid w:val="006D2ADD"/>
    <w:rsid w:val="006D48E1"/>
    <w:rsid w:val="006D4F0E"/>
    <w:rsid w:val="006D76C2"/>
    <w:rsid w:val="006E4400"/>
    <w:rsid w:val="006E4E85"/>
    <w:rsid w:val="006E4F9C"/>
    <w:rsid w:val="006E75E8"/>
    <w:rsid w:val="006F16B2"/>
    <w:rsid w:val="006F2FA1"/>
    <w:rsid w:val="006F3ACF"/>
    <w:rsid w:val="006F3D61"/>
    <w:rsid w:val="0070007F"/>
    <w:rsid w:val="0070081A"/>
    <w:rsid w:val="00702C74"/>
    <w:rsid w:val="00703BE6"/>
    <w:rsid w:val="00704928"/>
    <w:rsid w:val="0071065B"/>
    <w:rsid w:val="00711A94"/>
    <w:rsid w:val="00711BA6"/>
    <w:rsid w:val="00713897"/>
    <w:rsid w:val="00713F5A"/>
    <w:rsid w:val="007151EE"/>
    <w:rsid w:val="00715258"/>
    <w:rsid w:val="00721800"/>
    <w:rsid w:val="00721C40"/>
    <w:rsid w:val="0072235A"/>
    <w:rsid w:val="00723B38"/>
    <w:rsid w:val="00730144"/>
    <w:rsid w:val="00734D9A"/>
    <w:rsid w:val="00734F4C"/>
    <w:rsid w:val="00740AC1"/>
    <w:rsid w:val="00741DE1"/>
    <w:rsid w:val="00742B25"/>
    <w:rsid w:val="00742E90"/>
    <w:rsid w:val="00744701"/>
    <w:rsid w:val="00750D93"/>
    <w:rsid w:val="007524ED"/>
    <w:rsid w:val="00752CEE"/>
    <w:rsid w:val="00753C9F"/>
    <w:rsid w:val="007543A9"/>
    <w:rsid w:val="007543F0"/>
    <w:rsid w:val="00755BAA"/>
    <w:rsid w:val="007564D3"/>
    <w:rsid w:val="007643FB"/>
    <w:rsid w:val="00764CBF"/>
    <w:rsid w:val="0076791D"/>
    <w:rsid w:val="0077191F"/>
    <w:rsid w:val="0077755F"/>
    <w:rsid w:val="007779FE"/>
    <w:rsid w:val="007814A2"/>
    <w:rsid w:val="00781C28"/>
    <w:rsid w:val="00783108"/>
    <w:rsid w:val="00791A86"/>
    <w:rsid w:val="007931D5"/>
    <w:rsid w:val="00793D1D"/>
    <w:rsid w:val="00794D7A"/>
    <w:rsid w:val="00795612"/>
    <w:rsid w:val="007A03D1"/>
    <w:rsid w:val="007A1F94"/>
    <w:rsid w:val="007A2CFC"/>
    <w:rsid w:val="007A5286"/>
    <w:rsid w:val="007A742B"/>
    <w:rsid w:val="007B0175"/>
    <w:rsid w:val="007B0EBA"/>
    <w:rsid w:val="007B1725"/>
    <w:rsid w:val="007B1CD7"/>
    <w:rsid w:val="007B2127"/>
    <w:rsid w:val="007B57BA"/>
    <w:rsid w:val="007B643A"/>
    <w:rsid w:val="007B7AFB"/>
    <w:rsid w:val="007C0B8C"/>
    <w:rsid w:val="007C2F3F"/>
    <w:rsid w:val="007D0B46"/>
    <w:rsid w:val="007E075D"/>
    <w:rsid w:val="007E4199"/>
    <w:rsid w:val="007F0656"/>
    <w:rsid w:val="007F09B0"/>
    <w:rsid w:val="007F196B"/>
    <w:rsid w:val="007F228C"/>
    <w:rsid w:val="007F329D"/>
    <w:rsid w:val="007F3756"/>
    <w:rsid w:val="007F38B0"/>
    <w:rsid w:val="008007C9"/>
    <w:rsid w:val="00800DDD"/>
    <w:rsid w:val="008032ED"/>
    <w:rsid w:val="00812687"/>
    <w:rsid w:val="0081517F"/>
    <w:rsid w:val="00815279"/>
    <w:rsid w:val="00815E53"/>
    <w:rsid w:val="0081704C"/>
    <w:rsid w:val="00817F27"/>
    <w:rsid w:val="00817F2C"/>
    <w:rsid w:val="008211ED"/>
    <w:rsid w:val="00821F51"/>
    <w:rsid w:val="008224D3"/>
    <w:rsid w:val="0082520A"/>
    <w:rsid w:val="00825997"/>
    <w:rsid w:val="008306DD"/>
    <w:rsid w:val="00830E42"/>
    <w:rsid w:val="00832C00"/>
    <w:rsid w:val="00835A70"/>
    <w:rsid w:val="00836EF3"/>
    <w:rsid w:val="008411F6"/>
    <w:rsid w:val="00842D1C"/>
    <w:rsid w:val="0084371D"/>
    <w:rsid w:val="00854FD0"/>
    <w:rsid w:val="0085587A"/>
    <w:rsid w:val="00855AE1"/>
    <w:rsid w:val="008567E0"/>
    <w:rsid w:val="0086177A"/>
    <w:rsid w:val="008619E7"/>
    <w:rsid w:val="0086242C"/>
    <w:rsid w:val="008632CF"/>
    <w:rsid w:val="008642DC"/>
    <w:rsid w:val="00865F6D"/>
    <w:rsid w:val="008661D1"/>
    <w:rsid w:val="00866A2E"/>
    <w:rsid w:val="0087193E"/>
    <w:rsid w:val="00874792"/>
    <w:rsid w:val="00876C37"/>
    <w:rsid w:val="008777A9"/>
    <w:rsid w:val="00877B7E"/>
    <w:rsid w:val="008820AE"/>
    <w:rsid w:val="008832C5"/>
    <w:rsid w:val="00883B2F"/>
    <w:rsid w:val="008861DC"/>
    <w:rsid w:val="00890301"/>
    <w:rsid w:val="00892F83"/>
    <w:rsid w:val="00893A04"/>
    <w:rsid w:val="00894718"/>
    <w:rsid w:val="00894AE6"/>
    <w:rsid w:val="008A46D3"/>
    <w:rsid w:val="008A6162"/>
    <w:rsid w:val="008A6BFF"/>
    <w:rsid w:val="008A7B26"/>
    <w:rsid w:val="008B1883"/>
    <w:rsid w:val="008B211E"/>
    <w:rsid w:val="008B3025"/>
    <w:rsid w:val="008B3FD6"/>
    <w:rsid w:val="008B6C1E"/>
    <w:rsid w:val="008B70CE"/>
    <w:rsid w:val="008B7AAC"/>
    <w:rsid w:val="008D45CF"/>
    <w:rsid w:val="008D4CDB"/>
    <w:rsid w:val="008D5C53"/>
    <w:rsid w:val="008D6AEF"/>
    <w:rsid w:val="008E041E"/>
    <w:rsid w:val="008E1F64"/>
    <w:rsid w:val="008E21D6"/>
    <w:rsid w:val="008E4294"/>
    <w:rsid w:val="008E6B95"/>
    <w:rsid w:val="008E7039"/>
    <w:rsid w:val="008E734C"/>
    <w:rsid w:val="008F1A80"/>
    <w:rsid w:val="008F2977"/>
    <w:rsid w:val="008F2DFB"/>
    <w:rsid w:val="009001B9"/>
    <w:rsid w:val="0090254F"/>
    <w:rsid w:val="00902A4C"/>
    <w:rsid w:val="00902BEE"/>
    <w:rsid w:val="00903577"/>
    <w:rsid w:val="00905B8D"/>
    <w:rsid w:val="00907AF6"/>
    <w:rsid w:val="00907CBA"/>
    <w:rsid w:val="00910674"/>
    <w:rsid w:val="009239D0"/>
    <w:rsid w:val="00923D28"/>
    <w:rsid w:val="00924905"/>
    <w:rsid w:val="00924FAA"/>
    <w:rsid w:val="00925021"/>
    <w:rsid w:val="00925F13"/>
    <w:rsid w:val="009279B5"/>
    <w:rsid w:val="00927C52"/>
    <w:rsid w:val="00927CDA"/>
    <w:rsid w:val="00930D5B"/>
    <w:rsid w:val="00932AB3"/>
    <w:rsid w:val="00935AC6"/>
    <w:rsid w:val="009361DF"/>
    <w:rsid w:val="00936EF2"/>
    <w:rsid w:val="009372E3"/>
    <w:rsid w:val="00941DD4"/>
    <w:rsid w:val="00942D3C"/>
    <w:rsid w:val="009433F6"/>
    <w:rsid w:val="00945E2D"/>
    <w:rsid w:val="0095101A"/>
    <w:rsid w:val="00952D7C"/>
    <w:rsid w:val="0095425E"/>
    <w:rsid w:val="00955E44"/>
    <w:rsid w:val="00960A9A"/>
    <w:rsid w:val="00962924"/>
    <w:rsid w:val="0096370C"/>
    <w:rsid w:val="00965608"/>
    <w:rsid w:val="0096624E"/>
    <w:rsid w:val="009672CF"/>
    <w:rsid w:val="00974E54"/>
    <w:rsid w:val="00974E78"/>
    <w:rsid w:val="00977A60"/>
    <w:rsid w:val="00985F9F"/>
    <w:rsid w:val="009869A1"/>
    <w:rsid w:val="0099050E"/>
    <w:rsid w:val="00990C28"/>
    <w:rsid w:val="00991EBB"/>
    <w:rsid w:val="009934F9"/>
    <w:rsid w:val="00993A00"/>
    <w:rsid w:val="009940F8"/>
    <w:rsid w:val="009950BA"/>
    <w:rsid w:val="00995EC9"/>
    <w:rsid w:val="009962A2"/>
    <w:rsid w:val="00996BCE"/>
    <w:rsid w:val="00997A66"/>
    <w:rsid w:val="009A0312"/>
    <w:rsid w:val="009A1BFA"/>
    <w:rsid w:val="009A4850"/>
    <w:rsid w:val="009A4C0D"/>
    <w:rsid w:val="009A63BA"/>
    <w:rsid w:val="009A78B0"/>
    <w:rsid w:val="009B1852"/>
    <w:rsid w:val="009B366D"/>
    <w:rsid w:val="009B3DDB"/>
    <w:rsid w:val="009B478E"/>
    <w:rsid w:val="009B6737"/>
    <w:rsid w:val="009B7127"/>
    <w:rsid w:val="009C0418"/>
    <w:rsid w:val="009C2A63"/>
    <w:rsid w:val="009C2BAD"/>
    <w:rsid w:val="009C30D4"/>
    <w:rsid w:val="009C3505"/>
    <w:rsid w:val="009C39BD"/>
    <w:rsid w:val="009D036F"/>
    <w:rsid w:val="009D0C46"/>
    <w:rsid w:val="009D3B17"/>
    <w:rsid w:val="009D56EE"/>
    <w:rsid w:val="009D5CE5"/>
    <w:rsid w:val="009E45A0"/>
    <w:rsid w:val="009E55ED"/>
    <w:rsid w:val="009F3640"/>
    <w:rsid w:val="009F4A72"/>
    <w:rsid w:val="009F55A9"/>
    <w:rsid w:val="009F5B6A"/>
    <w:rsid w:val="009F5E4E"/>
    <w:rsid w:val="009F6278"/>
    <w:rsid w:val="009F6D53"/>
    <w:rsid w:val="00A04B9E"/>
    <w:rsid w:val="00A10577"/>
    <w:rsid w:val="00A10E57"/>
    <w:rsid w:val="00A113CF"/>
    <w:rsid w:val="00A12025"/>
    <w:rsid w:val="00A14847"/>
    <w:rsid w:val="00A16A30"/>
    <w:rsid w:val="00A22F18"/>
    <w:rsid w:val="00A24AD0"/>
    <w:rsid w:val="00A25A9D"/>
    <w:rsid w:val="00A323A8"/>
    <w:rsid w:val="00A33F0F"/>
    <w:rsid w:val="00A34A68"/>
    <w:rsid w:val="00A35ADE"/>
    <w:rsid w:val="00A37139"/>
    <w:rsid w:val="00A37356"/>
    <w:rsid w:val="00A42B43"/>
    <w:rsid w:val="00A45126"/>
    <w:rsid w:val="00A46B71"/>
    <w:rsid w:val="00A47862"/>
    <w:rsid w:val="00A47F16"/>
    <w:rsid w:val="00A50376"/>
    <w:rsid w:val="00A5088B"/>
    <w:rsid w:val="00A50B2E"/>
    <w:rsid w:val="00A5250B"/>
    <w:rsid w:val="00A61FF9"/>
    <w:rsid w:val="00A628E6"/>
    <w:rsid w:val="00A67ADC"/>
    <w:rsid w:val="00A70369"/>
    <w:rsid w:val="00A730B6"/>
    <w:rsid w:val="00A80372"/>
    <w:rsid w:val="00A803D5"/>
    <w:rsid w:val="00A81658"/>
    <w:rsid w:val="00A81972"/>
    <w:rsid w:val="00A8218B"/>
    <w:rsid w:val="00A824F9"/>
    <w:rsid w:val="00A83CCA"/>
    <w:rsid w:val="00A847DE"/>
    <w:rsid w:val="00A865A2"/>
    <w:rsid w:val="00A86CC9"/>
    <w:rsid w:val="00A916F9"/>
    <w:rsid w:val="00A94141"/>
    <w:rsid w:val="00A95BC4"/>
    <w:rsid w:val="00AA0383"/>
    <w:rsid w:val="00AA0995"/>
    <w:rsid w:val="00AA4443"/>
    <w:rsid w:val="00AA7CFB"/>
    <w:rsid w:val="00AA7EE0"/>
    <w:rsid w:val="00AB0CEB"/>
    <w:rsid w:val="00AB2C63"/>
    <w:rsid w:val="00AB61A5"/>
    <w:rsid w:val="00AB6EAA"/>
    <w:rsid w:val="00AB7BAD"/>
    <w:rsid w:val="00AC0F7B"/>
    <w:rsid w:val="00AC29EF"/>
    <w:rsid w:val="00AC337C"/>
    <w:rsid w:val="00AD0D6F"/>
    <w:rsid w:val="00AD13EE"/>
    <w:rsid w:val="00AD24E7"/>
    <w:rsid w:val="00AD41D8"/>
    <w:rsid w:val="00AD4F8F"/>
    <w:rsid w:val="00AD6816"/>
    <w:rsid w:val="00AD79DC"/>
    <w:rsid w:val="00AE0333"/>
    <w:rsid w:val="00AE2430"/>
    <w:rsid w:val="00AE3519"/>
    <w:rsid w:val="00AE64B9"/>
    <w:rsid w:val="00AF154B"/>
    <w:rsid w:val="00AF5741"/>
    <w:rsid w:val="00AF749F"/>
    <w:rsid w:val="00AF7522"/>
    <w:rsid w:val="00AF7D70"/>
    <w:rsid w:val="00B0160B"/>
    <w:rsid w:val="00B01F16"/>
    <w:rsid w:val="00B0429C"/>
    <w:rsid w:val="00B05C69"/>
    <w:rsid w:val="00B07773"/>
    <w:rsid w:val="00B07907"/>
    <w:rsid w:val="00B07A80"/>
    <w:rsid w:val="00B12BEE"/>
    <w:rsid w:val="00B12CB0"/>
    <w:rsid w:val="00B12FB9"/>
    <w:rsid w:val="00B1469C"/>
    <w:rsid w:val="00B16524"/>
    <w:rsid w:val="00B20F7C"/>
    <w:rsid w:val="00B25141"/>
    <w:rsid w:val="00B30BE7"/>
    <w:rsid w:val="00B30C1B"/>
    <w:rsid w:val="00B32DC7"/>
    <w:rsid w:val="00B33779"/>
    <w:rsid w:val="00B341C0"/>
    <w:rsid w:val="00B35F8A"/>
    <w:rsid w:val="00B36F7C"/>
    <w:rsid w:val="00B4082B"/>
    <w:rsid w:val="00B44FDE"/>
    <w:rsid w:val="00B46F56"/>
    <w:rsid w:val="00B47D47"/>
    <w:rsid w:val="00B5009B"/>
    <w:rsid w:val="00B50700"/>
    <w:rsid w:val="00B51C66"/>
    <w:rsid w:val="00B536A9"/>
    <w:rsid w:val="00B54796"/>
    <w:rsid w:val="00B61EF4"/>
    <w:rsid w:val="00B63811"/>
    <w:rsid w:val="00B675F9"/>
    <w:rsid w:val="00B67758"/>
    <w:rsid w:val="00B67D26"/>
    <w:rsid w:val="00B71402"/>
    <w:rsid w:val="00B736EA"/>
    <w:rsid w:val="00B74C97"/>
    <w:rsid w:val="00B76D72"/>
    <w:rsid w:val="00B770A1"/>
    <w:rsid w:val="00B779F2"/>
    <w:rsid w:val="00B916C9"/>
    <w:rsid w:val="00B91BDF"/>
    <w:rsid w:val="00B93D7E"/>
    <w:rsid w:val="00B95376"/>
    <w:rsid w:val="00B96B4F"/>
    <w:rsid w:val="00BA0D11"/>
    <w:rsid w:val="00BA22EC"/>
    <w:rsid w:val="00BA4A38"/>
    <w:rsid w:val="00BA4DAF"/>
    <w:rsid w:val="00BA6B97"/>
    <w:rsid w:val="00BB2127"/>
    <w:rsid w:val="00BB36F5"/>
    <w:rsid w:val="00BB418A"/>
    <w:rsid w:val="00BB67AE"/>
    <w:rsid w:val="00BB79EB"/>
    <w:rsid w:val="00BC0470"/>
    <w:rsid w:val="00BC0BD3"/>
    <w:rsid w:val="00BC0FB9"/>
    <w:rsid w:val="00BC26AE"/>
    <w:rsid w:val="00BC516D"/>
    <w:rsid w:val="00BC757D"/>
    <w:rsid w:val="00BD12A1"/>
    <w:rsid w:val="00BD27FE"/>
    <w:rsid w:val="00BD353C"/>
    <w:rsid w:val="00BD3C13"/>
    <w:rsid w:val="00BD7E7F"/>
    <w:rsid w:val="00BE08A1"/>
    <w:rsid w:val="00BE08B8"/>
    <w:rsid w:val="00BE0B20"/>
    <w:rsid w:val="00BE240A"/>
    <w:rsid w:val="00BE363E"/>
    <w:rsid w:val="00BE6996"/>
    <w:rsid w:val="00BE6A14"/>
    <w:rsid w:val="00BE6F03"/>
    <w:rsid w:val="00BF1631"/>
    <w:rsid w:val="00BF55E9"/>
    <w:rsid w:val="00BF64B6"/>
    <w:rsid w:val="00C03336"/>
    <w:rsid w:val="00C05BCE"/>
    <w:rsid w:val="00C07199"/>
    <w:rsid w:val="00C07505"/>
    <w:rsid w:val="00C104FC"/>
    <w:rsid w:val="00C11104"/>
    <w:rsid w:val="00C157F3"/>
    <w:rsid w:val="00C17699"/>
    <w:rsid w:val="00C176D6"/>
    <w:rsid w:val="00C206FC"/>
    <w:rsid w:val="00C24AD3"/>
    <w:rsid w:val="00C25B2F"/>
    <w:rsid w:val="00C25CA7"/>
    <w:rsid w:val="00C2622E"/>
    <w:rsid w:val="00C26A5A"/>
    <w:rsid w:val="00C27237"/>
    <w:rsid w:val="00C31D64"/>
    <w:rsid w:val="00C32A6F"/>
    <w:rsid w:val="00C32A72"/>
    <w:rsid w:val="00C32C63"/>
    <w:rsid w:val="00C35296"/>
    <w:rsid w:val="00C3653A"/>
    <w:rsid w:val="00C365DF"/>
    <w:rsid w:val="00C40770"/>
    <w:rsid w:val="00C40810"/>
    <w:rsid w:val="00C41AEF"/>
    <w:rsid w:val="00C42373"/>
    <w:rsid w:val="00C436AE"/>
    <w:rsid w:val="00C43842"/>
    <w:rsid w:val="00C44E57"/>
    <w:rsid w:val="00C4570C"/>
    <w:rsid w:val="00C52063"/>
    <w:rsid w:val="00C52E52"/>
    <w:rsid w:val="00C5352E"/>
    <w:rsid w:val="00C54488"/>
    <w:rsid w:val="00C547B9"/>
    <w:rsid w:val="00C55923"/>
    <w:rsid w:val="00C571F0"/>
    <w:rsid w:val="00C57F9B"/>
    <w:rsid w:val="00C64DEF"/>
    <w:rsid w:val="00C6512C"/>
    <w:rsid w:val="00C6651C"/>
    <w:rsid w:val="00C73763"/>
    <w:rsid w:val="00C757EF"/>
    <w:rsid w:val="00C7580C"/>
    <w:rsid w:val="00C76026"/>
    <w:rsid w:val="00C773ED"/>
    <w:rsid w:val="00C77B22"/>
    <w:rsid w:val="00C8019C"/>
    <w:rsid w:val="00C83688"/>
    <w:rsid w:val="00C83C91"/>
    <w:rsid w:val="00C84105"/>
    <w:rsid w:val="00C84BF4"/>
    <w:rsid w:val="00C87F7C"/>
    <w:rsid w:val="00C91E78"/>
    <w:rsid w:val="00C93479"/>
    <w:rsid w:val="00C95963"/>
    <w:rsid w:val="00C97BC7"/>
    <w:rsid w:val="00CA1346"/>
    <w:rsid w:val="00CA5B9F"/>
    <w:rsid w:val="00CA6040"/>
    <w:rsid w:val="00CA6912"/>
    <w:rsid w:val="00CB0C77"/>
    <w:rsid w:val="00CB154E"/>
    <w:rsid w:val="00CB21AC"/>
    <w:rsid w:val="00CB3F4D"/>
    <w:rsid w:val="00CB5140"/>
    <w:rsid w:val="00CB5857"/>
    <w:rsid w:val="00CB7A95"/>
    <w:rsid w:val="00CC078B"/>
    <w:rsid w:val="00CC0F9B"/>
    <w:rsid w:val="00CC17A1"/>
    <w:rsid w:val="00CC2C41"/>
    <w:rsid w:val="00CC2F39"/>
    <w:rsid w:val="00CC3C24"/>
    <w:rsid w:val="00CC5AFA"/>
    <w:rsid w:val="00CC5E7C"/>
    <w:rsid w:val="00CC5F74"/>
    <w:rsid w:val="00CC6CB3"/>
    <w:rsid w:val="00CD1CD0"/>
    <w:rsid w:val="00CD2B49"/>
    <w:rsid w:val="00CD73C4"/>
    <w:rsid w:val="00CD79FC"/>
    <w:rsid w:val="00CE0DD1"/>
    <w:rsid w:val="00CE43CC"/>
    <w:rsid w:val="00CF0790"/>
    <w:rsid w:val="00CF099F"/>
    <w:rsid w:val="00CF1986"/>
    <w:rsid w:val="00CF1AFF"/>
    <w:rsid w:val="00D008F1"/>
    <w:rsid w:val="00D02837"/>
    <w:rsid w:val="00D03499"/>
    <w:rsid w:val="00D11711"/>
    <w:rsid w:val="00D12101"/>
    <w:rsid w:val="00D12803"/>
    <w:rsid w:val="00D14337"/>
    <w:rsid w:val="00D165F2"/>
    <w:rsid w:val="00D20262"/>
    <w:rsid w:val="00D21045"/>
    <w:rsid w:val="00D22A76"/>
    <w:rsid w:val="00D22AE5"/>
    <w:rsid w:val="00D2304B"/>
    <w:rsid w:val="00D2438F"/>
    <w:rsid w:val="00D27B30"/>
    <w:rsid w:val="00D30918"/>
    <w:rsid w:val="00D3196F"/>
    <w:rsid w:val="00D31C5E"/>
    <w:rsid w:val="00D31EF2"/>
    <w:rsid w:val="00D325C7"/>
    <w:rsid w:val="00D325FC"/>
    <w:rsid w:val="00D333F6"/>
    <w:rsid w:val="00D35E88"/>
    <w:rsid w:val="00D4667F"/>
    <w:rsid w:val="00D50744"/>
    <w:rsid w:val="00D50BA1"/>
    <w:rsid w:val="00D514F6"/>
    <w:rsid w:val="00D51CA0"/>
    <w:rsid w:val="00D542C0"/>
    <w:rsid w:val="00D5442B"/>
    <w:rsid w:val="00D563E6"/>
    <w:rsid w:val="00D57E9D"/>
    <w:rsid w:val="00D62E94"/>
    <w:rsid w:val="00D646DD"/>
    <w:rsid w:val="00D669AF"/>
    <w:rsid w:val="00D6740D"/>
    <w:rsid w:val="00D715AF"/>
    <w:rsid w:val="00D7165F"/>
    <w:rsid w:val="00D75CCE"/>
    <w:rsid w:val="00D764ED"/>
    <w:rsid w:val="00D76A94"/>
    <w:rsid w:val="00D776B1"/>
    <w:rsid w:val="00D8092E"/>
    <w:rsid w:val="00D8112C"/>
    <w:rsid w:val="00D81382"/>
    <w:rsid w:val="00D82B7D"/>
    <w:rsid w:val="00D837E8"/>
    <w:rsid w:val="00D856A2"/>
    <w:rsid w:val="00D86167"/>
    <w:rsid w:val="00D86B99"/>
    <w:rsid w:val="00D91268"/>
    <w:rsid w:val="00D92D50"/>
    <w:rsid w:val="00D935FA"/>
    <w:rsid w:val="00D94C53"/>
    <w:rsid w:val="00D94FC3"/>
    <w:rsid w:val="00D95202"/>
    <w:rsid w:val="00D963E8"/>
    <w:rsid w:val="00D972FE"/>
    <w:rsid w:val="00DA1068"/>
    <w:rsid w:val="00DA224D"/>
    <w:rsid w:val="00DA49C4"/>
    <w:rsid w:val="00DA6545"/>
    <w:rsid w:val="00DA71CE"/>
    <w:rsid w:val="00DB08D8"/>
    <w:rsid w:val="00DB2CF7"/>
    <w:rsid w:val="00DB336C"/>
    <w:rsid w:val="00DB4D60"/>
    <w:rsid w:val="00DC00C9"/>
    <w:rsid w:val="00DC20AA"/>
    <w:rsid w:val="00DC34DA"/>
    <w:rsid w:val="00DD1D47"/>
    <w:rsid w:val="00DD2300"/>
    <w:rsid w:val="00DD250E"/>
    <w:rsid w:val="00DD664D"/>
    <w:rsid w:val="00DD68B9"/>
    <w:rsid w:val="00DE00BC"/>
    <w:rsid w:val="00DE0B88"/>
    <w:rsid w:val="00DE0E56"/>
    <w:rsid w:val="00DE0FEE"/>
    <w:rsid w:val="00DE19D8"/>
    <w:rsid w:val="00DE2A42"/>
    <w:rsid w:val="00DE2F29"/>
    <w:rsid w:val="00DE4243"/>
    <w:rsid w:val="00DE5419"/>
    <w:rsid w:val="00DE64C8"/>
    <w:rsid w:val="00DF0CCF"/>
    <w:rsid w:val="00DF5F21"/>
    <w:rsid w:val="00DF6276"/>
    <w:rsid w:val="00DF632D"/>
    <w:rsid w:val="00DF6F35"/>
    <w:rsid w:val="00E03095"/>
    <w:rsid w:val="00E04C1E"/>
    <w:rsid w:val="00E06FA6"/>
    <w:rsid w:val="00E079C7"/>
    <w:rsid w:val="00E131FE"/>
    <w:rsid w:val="00E173ED"/>
    <w:rsid w:val="00E20845"/>
    <w:rsid w:val="00E20A94"/>
    <w:rsid w:val="00E22353"/>
    <w:rsid w:val="00E26A3A"/>
    <w:rsid w:val="00E318C0"/>
    <w:rsid w:val="00E32CA3"/>
    <w:rsid w:val="00E40424"/>
    <w:rsid w:val="00E40FAE"/>
    <w:rsid w:val="00E459CD"/>
    <w:rsid w:val="00E46AA4"/>
    <w:rsid w:val="00E502C3"/>
    <w:rsid w:val="00E523D5"/>
    <w:rsid w:val="00E524F5"/>
    <w:rsid w:val="00E54955"/>
    <w:rsid w:val="00E57169"/>
    <w:rsid w:val="00E5721E"/>
    <w:rsid w:val="00E60C6F"/>
    <w:rsid w:val="00E61CCD"/>
    <w:rsid w:val="00E651BD"/>
    <w:rsid w:val="00E653DD"/>
    <w:rsid w:val="00E66933"/>
    <w:rsid w:val="00E67BB4"/>
    <w:rsid w:val="00E700B6"/>
    <w:rsid w:val="00E70CFA"/>
    <w:rsid w:val="00E71255"/>
    <w:rsid w:val="00E72761"/>
    <w:rsid w:val="00E73700"/>
    <w:rsid w:val="00E7447E"/>
    <w:rsid w:val="00E74686"/>
    <w:rsid w:val="00E75D48"/>
    <w:rsid w:val="00E85087"/>
    <w:rsid w:val="00E86A1A"/>
    <w:rsid w:val="00E8775D"/>
    <w:rsid w:val="00E87F14"/>
    <w:rsid w:val="00E90E1A"/>
    <w:rsid w:val="00E94E92"/>
    <w:rsid w:val="00E969A8"/>
    <w:rsid w:val="00E96A4C"/>
    <w:rsid w:val="00E97653"/>
    <w:rsid w:val="00EA025D"/>
    <w:rsid w:val="00EA07C6"/>
    <w:rsid w:val="00EA09CB"/>
    <w:rsid w:val="00EA12BC"/>
    <w:rsid w:val="00EA1833"/>
    <w:rsid w:val="00EA21FC"/>
    <w:rsid w:val="00EA42FA"/>
    <w:rsid w:val="00EA4CDC"/>
    <w:rsid w:val="00EB20C0"/>
    <w:rsid w:val="00EB3422"/>
    <w:rsid w:val="00EB766B"/>
    <w:rsid w:val="00EC108C"/>
    <w:rsid w:val="00EC4607"/>
    <w:rsid w:val="00EC5113"/>
    <w:rsid w:val="00EC7022"/>
    <w:rsid w:val="00ED1099"/>
    <w:rsid w:val="00ED48B4"/>
    <w:rsid w:val="00EE02FE"/>
    <w:rsid w:val="00EE1FFD"/>
    <w:rsid w:val="00EE2203"/>
    <w:rsid w:val="00EE2A42"/>
    <w:rsid w:val="00EE4E2B"/>
    <w:rsid w:val="00EE6058"/>
    <w:rsid w:val="00EF04FF"/>
    <w:rsid w:val="00EF0E94"/>
    <w:rsid w:val="00EF1477"/>
    <w:rsid w:val="00EF3DEE"/>
    <w:rsid w:val="00EF4B5E"/>
    <w:rsid w:val="00EF7E8E"/>
    <w:rsid w:val="00F0295D"/>
    <w:rsid w:val="00F03BAA"/>
    <w:rsid w:val="00F04123"/>
    <w:rsid w:val="00F04907"/>
    <w:rsid w:val="00F066A6"/>
    <w:rsid w:val="00F066E7"/>
    <w:rsid w:val="00F11598"/>
    <w:rsid w:val="00F12F36"/>
    <w:rsid w:val="00F132E9"/>
    <w:rsid w:val="00F15ED4"/>
    <w:rsid w:val="00F169ED"/>
    <w:rsid w:val="00F16D1A"/>
    <w:rsid w:val="00F21363"/>
    <w:rsid w:val="00F23161"/>
    <w:rsid w:val="00F259CD"/>
    <w:rsid w:val="00F25DAE"/>
    <w:rsid w:val="00F26450"/>
    <w:rsid w:val="00F26E24"/>
    <w:rsid w:val="00F37087"/>
    <w:rsid w:val="00F37ADE"/>
    <w:rsid w:val="00F42BD5"/>
    <w:rsid w:val="00F51549"/>
    <w:rsid w:val="00F52CF2"/>
    <w:rsid w:val="00F53502"/>
    <w:rsid w:val="00F5413C"/>
    <w:rsid w:val="00F56227"/>
    <w:rsid w:val="00F56A58"/>
    <w:rsid w:val="00F57C98"/>
    <w:rsid w:val="00F64621"/>
    <w:rsid w:val="00F66294"/>
    <w:rsid w:val="00F66642"/>
    <w:rsid w:val="00F67804"/>
    <w:rsid w:val="00F7288F"/>
    <w:rsid w:val="00F87A07"/>
    <w:rsid w:val="00F94818"/>
    <w:rsid w:val="00F96955"/>
    <w:rsid w:val="00F96D07"/>
    <w:rsid w:val="00F979DD"/>
    <w:rsid w:val="00FA1317"/>
    <w:rsid w:val="00FA18CD"/>
    <w:rsid w:val="00FA1B3F"/>
    <w:rsid w:val="00FA4039"/>
    <w:rsid w:val="00FA4DBC"/>
    <w:rsid w:val="00FA4E9E"/>
    <w:rsid w:val="00FA66E7"/>
    <w:rsid w:val="00FA7A96"/>
    <w:rsid w:val="00FB043D"/>
    <w:rsid w:val="00FB1458"/>
    <w:rsid w:val="00FB1777"/>
    <w:rsid w:val="00FB1CBD"/>
    <w:rsid w:val="00FB297F"/>
    <w:rsid w:val="00FB2C2E"/>
    <w:rsid w:val="00FB30E1"/>
    <w:rsid w:val="00FB3CD9"/>
    <w:rsid w:val="00FB49EC"/>
    <w:rsid w:val="00FB594B"/>
    <w:rsid w:val="00FB5C49"/>
    <w:rsid w:val="00FB5EA4"/>
    <w:rsid w:val="00FB68DA"/>
    <w:rsid w:val="00FC24EC"/>
    <w:rsid w:val="00FC397E"/>
    <w:rsid w:val="00FC4381"/>
    <w:rsid w:val="00FC5A07"/>
    <w:rsid w:val="00FC5E4F"/>
    <w:rsid w:val="00FC67A4"/>
    <w:rsid w:val="00FC6C87"/>
    <w:rsid w:val="00FC7688"/>
    <w:rsid w:val="00FD0C7C"/>
    <w:rsid w:val="00FD1885"/>
    <w:rsid w:val="00FD4FD2"/>
    <w:rsid w:val="00FE0C17"/>
    <w:rsid w:val="00FE2C2F"/>
    <w:rsid w:val="00FE3DDD"/>
    <w:rsid w:val="00FF03B2"/>
    <w:rsid w:val="00FF0B41"/>
    <w:rsid w:val="00FF2AE7"/>
    <w:rsid w:val="00FF37C5"/>
    <w:rsid w:val="00FF3F80"/>
    <w:rsid w:val="00FF635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69E2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lang w:val="en-US"/>
    </w:rPr>
  </w:style>
  <w:style w:type="paragraph" w:styleId="Heading1">
    <w:name w:val="heading 1"/>
    <w:basedOn w:val="Normal"/>
    <w:next w:val="Normal"/>
    <w:link w:val="Heading1Char"/>
    <w:uiPriority w:val="9"/>
    <w:qFormat/>
    <w:rsid w:val="00EB3422"/>
    <w:pPr>
      <w:keepNext/>
      <w:keepLines/>
      <w:spacing w:before="360" w:after="120" w:line="360" w:lineRule="auto"/>
      <w:outlineLvl w:val="0"/>
    </w:pPr>
    <w:rPr>
      <w:rFonts w:ascii="Poppins" w:eastAsiaTheme="majorEastAsia" w:hAnsi="Poppins" w:cs="Poppins"/>
      <w:b/>
      <w:bCs/>
      <w:color w:val="30A1AC"/>
      <w:sz w:val="36"/>
      <w:szCs w:val="36"/>
    </w:rPr>
  </w:style>
  <w:style w:type="paragraph" w:styleId="Heading2">
    <w:name w:val="heading 2"/>
    <w:basedOn w:val="Normal"/>
    <w:next w:val="Normal"/>
    <w:link w:val="Heading2Char"/>
    <w:uiPriority w:val="9"/>
    <w:unhideWhenUsed/>
    <w:qFormat/>
    <w:rsid w:val="00EB3422"/>
    <w:pPr>
      <w:outlineLvl w:val="1"/>
    </w:pPr>
    <w:rPr>
      <w:rFonts w:ascii="Poppins" w:hAnsi="Poppins" w:cs="Poppins"/>
      <w:b/>
      <w:bCs/>
      <w:color w:val="15284C"/>
      <w:sz w:val="32"/>
      <w:szCs w:val="32"/>
    </w:rPr>
  </w:style>
  <w:style w:type="paragraph" w:styleId="Heading3">
    <w:name w:val="heading 3"/>
    <w:basedOn w:val="Normal"/>
    <w:next w:val="Normal"/>
    <w:link w:val="Heading3Char"/>
    <w:uiPriority w:val="9"/>
    <w:unhideWhenUsed/>
    <w:qFormat/>
    <w:rsid w:val="00EB3422"/>
    <w:pPr>
      <w:outlineLvl w:val="2"/>
    </w:pPr>
    <w:rPr>
      <w:rFonts w:ascii="Poppins" w:hAnsi="Poppins" w:cs="Poppins"/>
      <w:b/>
      <w:bCs/>
      <w:i/>
      <w:iCs/>
      <w:color w:val="15284C"/>
      <w:sz w:val="28"/>
      <w:szCs w:val="28"/>
    </w:rPr>
  </w:style>
  <w:style w:type="paragraph" w:styleId="Heading4">
    <w:name w:val="heading 4"/>
    <w:basedOn w:val="Normal"/>
    <w:next w:val="Normal"/>
    <w:link w:val="Heading4Char"/>
    <w:uiPriority w:val="9"/>
    <w:unhideWhenUsed/>
    <w:qFormat/>
    <w:rsid w:val="005F672E"/>
    <w:pPr>
      <w:keepNext/>
      <w:keepLines/>
      <w:spacing w:before="40" w:after="0"/>
      <w:outlineLvl w:val="3"/>
    </w:pPr>
    <w:rPr>
      <w:rFonts w:asciiTheme="majorHAnsi" w:eastAsiaTheme="majorEastAsia" w:hAnsiTheme="majorHAnsi" w:cstheme="majorBidi"/>
      <w:i/>
      <w:iCs/>
      <w:color w:val="391A5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Report title"/>
    <w:basedOn w:val="Normal"/>
    <w:link w:val="NoSpacingChar"/>
    <w:uiPriority w:val="1"/>
    <w:qFormat/>
    <w:rsid w:val="00EB3422"/>
    <w:rPr>
      <w:rFonts w:ascii="Poppins" w:hAnsi="Poppins" w:cs="Poppins"/>
      <w:b/>
      <w:bCs/>
      <w:color w:val="F6F4EC" w:themeColor="background1"/>
      <w:sz w:val="120"/>
      <w:szCs w:val="120"/>
    </w:rPr>
  </w:style>
  <w:style w:type="character" w:customStyle="1" w:styleId="NoSpacingChar">
    <w:name w:val="No Spacing Char"/>
    <w:aliases w:val="Report title Char"/>
    <w:basedOn w:val="DefaultParagraphFont"/>
    <w:link w:val="NoSpacing"/>
    <w:uiPriority w:val="1"/>
    <w:rsid w:val="00EB3422"/>
    <w:rPr>
      <w:rFonts w:ascii="Poppins" w:hAnsi="Poppins" w:cs="Poppins"/>
      <w:b/>
      <w:bCs/>
      <w:noProof/>
      <w:color w:val="F6F4EC" w:themeColor="background1"/>
      <w:sz w:val="120"/>
      <w:szCs w:val="120"/>
      <w:lang w:val="en-US"/>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EB3422"/>
    <w:rPr>
      <w:rFonts w:ascii="Poppins" w:eastAsiaTheme="majorEastAsia" w:hAnsi="Poppins" w:cs="Poppins"/>
      <w:b/>
      <w:bCs/>
      <w:noProof/>
      <w:color w:val="30A1AC"/>
      <w:sz w:val="36"/>
      <w:szCs w:val="36"/>
      <w:lang w:val="en-US"/>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EB3422"/>
    <w:rPr>
      <w:rFonts w:ascii="Poppins" w:hAnsi="Poppins" w:cs="Poppins"/>
      <w:b/>
      <w:bCs/>
      <w:noProof/>
      <w:color w:val="15284C"/>
      <w:sz w:val="32"/>
      <w:szCs w:val="32"/>
      <w:lang w:val="en-US"/>
    </w:rPr>
  </w:style>
  <w:style w:type="character" w:customStyle="1" w:styleId="Heading3Char">
    <w:name w:val="Heading 3 Char"/>
    <w:basedOn w:val="DefaultParagraphFont"/>
    <w:link w:val="Heading3"/>
    <w:uiPriority w:val="9"/>
    <w:rsid w:val="00EB3422"/>
    <w:rPr>
      <w:rFonts w:ascii="Poppins" w:hAnsi="Poppins" w:cs="Poppins"/>
      <w:b/>
      <w:bCs/>
      <w:i/>
      <w:iCs/>
      <w:noProof/>
      <w:color w:val="15284C"/>
      <w:sz w:val="28"/>
      <w:szCs w:val="28"/>
      <w:lang w:val="en-US"/>
    </w:rPr>
  </w:style>
  <w:style w:type="paragraph" w:styleId="TOC1">
    <w:name w:val="toc 1"/>
    <w:basedOn w:val="Normal"/>
    <w:next w:val="Normal"/>
    <w:autoRedefine/>
    <w:uiPriority w:val="39"/>
    <w:unhideWhenUsed/>
    <w:rsid w:val="00F11598"/>
    <w:pPr>
      <w:tabs>
        <w:tab w:val="right" w:leader="dot" w:pos="9016"/>
      </w:tabs>
      <w:spacing w:after="100"/>
    </w:pPr>
    <w:rPr>
      <w:b/>
      <w:sz w:val="24"/>
    </w:rPr>
  </w:style>
  <w:style w:type="paragraph" w:styleId="TOC2">
    <w:name w:val="toc 2"/>
    <w:basedOn w:val="Normal"/>
    <w:next w:val="Normal"/>
    <w:autoRedefine/>
    <w:uiPriority w:val="39"/>
    <w:unhideWhenUsed/>
    <w:rsid w:val="00F11598"/>
    <w:pPr>
      <w:tabs>
        <w:tab w:val="right" w:leader="dot" w:pos="9016"/>
      </w:tabs>
      <w:spacing w:after="100"/>
      <w:ind w:left="220"/>
    </w:pPr>
    <w:rPr>
      <w:sz w:val="24"/>
    </w:r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Poppins" w:hAnsi="Poppins"/>
        <w:b/>
        <w:color w:val="F6F4EC" w:themeColor="background1"/>
        <w:sz w:val="24"/>
      </w:rPr>
      <w:tblPr/>
      <w:tcPr>
        <w:shd w:val="clear" w:color="auto" w:fill="15284C"/>
      </w:tcPr>
    </w:tblStylePr>
  </w:style>
  <w:style w:type="table" w:styleId="TableGridLight">
    <w:name w:val="Grid Table Light"/>
    <w:basedOn w:val="TableNormal"/>
    <w:uiPriority w:val="40"/>
    <w:rsid w:val="00997A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GridTable6Colorful-Accent2">
    <w:name w:val="Grid Table 6 Colorful Accent 2"/>
    <w:basedOn w:val="TableNormal"/>
    <w:uiPriority w:val="51"/>
    <w:rsid w:val="00C176D6"/>
    <w:pPr>
      <w:spacing w:after="0" w:line="240" w:lineRule="auto"/>
    </w:pPr>
    <w:rPr>
      <w:color w:val="002672" w:themeColor="accent2" w:themeShade="BF"/>
    </w:r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insideV w:val="single" w:sz="4" w:space="0" w:color="2870FF" w:themeColor="accent2" w:themeTint="99"/>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3-Accent2">
    <w:name w:val="List Table 3 Accent 2"/>
    <w:basedOn w:val="TableNormal"/>
    <w:uiPriority w:val="48"/>
    <w:rsid w:val="00C176D6"/>
    <w:pPr>
      <w:spacing w:after="0" w:line="240" w:lineRule="auto"/>
    </w:pPr>
    <w:tblPr>
      <w:tblStyleRowBandSize w:val="1"/>
      <w:tblStyleColBandSize w:val="1"/>
      <w:tblBorders>
        <w:top w:val="single" w:sz="4" w:space="0" w:color="003399" w:themeColor="accent2"/>
        <w:left w:val="single" w:sz="4" w:space="0" w:color="003399" w:themeColor="accent2"/>
        <w:bottom w:val="single" w:sz="4" w:space="0" w:color="003399" w:themeColor="accent2"/>
        <w:right w:val="single" w:sz="4" w:space="0" w:color="003399" w:themeColor="accent2"/>
      </w:tblBorders>
    </w:tblPr>
    <w:tblStylePr w:type="firstRow">
      <w:rPr>
        <w:b/>
        <w:bCs/>
        <w:color w:val="F6F4EC" w:themeColor="background1"/>
      </w:rPr>
      <w:tblPr/>
      <w:tcPr>
        <w:shd w:val="clear" w:color="auto" w:fill="003399" w:themeFill="accent2"/>
      </w:tcPr>
    </w:tblStylePr>
    <w:tblStylePr w:type="lastRow">
      <w:rPr>
        <w:b/>
        <w:bCs/>
      </w:rPr>
      <w:tblPr/>
      <w:tcPr>
        <w:tcBorders>
          <w:top w:val="double" w:sz="4" w:space="0" w:color="003399" w:themeColor="accent2"/>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03399" w:themeColor="accent2"/>
          <w:right w:val="single" w:sz="4" w:space="0" w:color="003399" w:themeColor="accent2"/>
        </w:tcBorders>
      </w:tcPr>
    </w:tblStylePr>
    <w:tblStylePr w:type="band1Horz">
      <w:tblPr/>
      <w:tcPr>
        <w:tcBorders>
          <w:top w:val="single" w:sz="4" w:space="0" w:color="003399" w:themeColor="accent2"/>
          <w:bottom w:val="single" w:sz="4" w:space="0" w:color="00339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99" w:themeColor="accent2"/>
          <w:left w:val="nil"/>
        </w:tcBorders>
      </w:tcPr>
    </w:tblStylePr>
    <w:tblStylePr w:type="swCell">
      <w:tblPr/>
      <w:tcPr>
        <w:tcBorders>
          <w:top w:val="double" w:sz="4" w:space="0" w:color="003399" w:themeColor="accent2"/>
          <w:right w:val="nil"/>
        </w:tcBorders>
      </w:tcPr>
    </w:tblStylePr>
  </w:style>
  <w:style w:type="table" w:styleId="ListTable4-Accent2">
    <w:name w:val="List Table 4 Accent 2"/>
    <w:basedOn w:val="TableNormal"/>
    <w:uiPriority w:val="49"/>
    <w:rsid w:val="00721C40"/>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5">
    <w:name w:val="List Table 4 Accent 5"/>
    <w:basedOn w:val="TableNormal"/>
    <w:uiPriority w:val="49"/>
    <w:rsid w:val="006B546C"/>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ListTable4-Accent3">
    <w:name w:val="List Table 4 Accent 3"/>
    <w:basedOn w:val="TableNormal"/>
    <w:uiPriority w:val="49"/>
    <w:rsid w:val="00965608"/>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GridTable4-Accent5">
    <w:name w:val="Grid Table 4 Accent 5"/>
    <w:basedOn w:val="TableNormal"/>
    <w:uiPriority w:val="49"/>
    <w:rsid w:val="00965608"/>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paragraph" w:styleId="ListParagraph">
    <w:name w:val="List Paragraph"/>
    <w:basedOn w:val="Normal"/>
    <w:uiPriority w:val="34"/>
    <w:qFormat/>
    <w:rsid w:val="00F25DAE"/>
    <w:pPr>
      <w:ind w:left="720"/>
      <w:contextualSpacing/>
    </w:pPr>
  </w:style>
  <w:style w:type="paragraph" w:customStyle="1" w:styleId="paragraph">
    <w:name w:val="paragraph"/>
    <w:basedOn w:val="Normal"/>
    <w:rsid w:val="004B1C6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customStyle="1" w:styleId="normaltextrun">
    <w:name w:val="normaltextrun"/>
    <w:basedOn w:val="DefaultParagraphFont"/>
    <w:rsid w:val="004B1C68"/>
  </w:style>
  <w:style w:type="character" w:customStyle="1" w:styleId="eop">
    <w:name w:val="eop"/>
    <w:basedOn w:val="DefaultParagraphFont"/>
    <w:rsid w:val="004B1C68"/>
  </w:style>
  <w:style w:type="character" w:styleId="CommentReference">
    <w:name w:val="annotation reference"/>
    <w:basedOn w:val="DefaultParagraphFont"/>
    <w:uiPriority w:val="99"/>
    <w:semiHidden/>
    <w:unhideWhenUsed/>
    <w:rsid w:val="005C692D"/>
    <w:rPr>
      <w:sz w:val="16"/>
      <w:szCs w:val="16"/>
    </w:rPr>
  </w:style>
  <w:style w:type="paragraph" w:styleId="CommentText">
    <w:name w:val="annotation text"/>
    <w:basedOn w:val="Normal"/>
    <w:link w:val="CommentTextChar"/>
    <w:uiPriority w:val="99"/>
    <w:unhideWhenUsed/>
    <w:rsid w:val="005C692D"/>
    <w:pPr>
      <w:spacing w:line="240" w:lineRule="auto"/>
    </w:pPr>
    <w:rPr>
      <w:sz w:val="20"/>
      <w:szCs w:val="20"/>
    </w:rPr>
  </w:style>
  <w:style w:type="character" w:customStyle="1" w:styleId="CommentTextChar">
    <w:name w:val="Comment Text Char"/>
    <w:basedOn w:val="DefaultParagraphFont"/>
    <w:link w:val="CommentText"/>
    <w:uiPriority w:val="99"/>
    <w:rsid w:val="005C692D"/>
    <w:rPr>
      <w:rFonts w:ascii="Arial" w:hAnsi="Arial" w:cs="Arial"/>
      <w:sz w:val="20"/>
      <w:szCs w:val="20"/>
      <w:lang w:val="en-US"/>
    </w:rPr>
  </w:style>
  <w:style w:type="paragraph" w:styleId="CommentSubject">
    <w:name w:val="annotation subject"/>
    <w:basedOn w:val="CommentText"/>
    <w:next w:val="CommentText"/>
    <w:link w:val="CommentSubjectChar"/>
    <w:uiPriority w:val="99"/>
    <w:semiHidden/>
    <w:unhideWhenUsed/>
    <w:rsid w:val="005C692D"/>
    <w:rPr>
      <w:b/>
      <w:bCs/>
    </w:rPr>
  </w:style>
  <w:style w:type="character" w:customStyle="1" w:styleId="CommentSubjectChar">
    <w:name w:val="Comment Subject Char"/>
    <w:basedOn w:val="CommentTextChar"/>
    <w:link w:val="CommentSubject"/>
    <w:uiPriority w:val="99"/>
    <w:semiHidden/>
    <w:rsid w:val="005C692D"/>
    <w:rPr>
      <w:rFonts w:ascii="Arial" w:hAnsi="Arial" w:cs="Arial"/>
      <w:b/>
      <w:bCs/>
      <w:sz w:val="20"/>
      <w:szCs w:val="20"/>
      <w:lang w:val="en-US"/>
    </w:rPr>
  </w:style>
  <w:style w:type="character" w:customStyle="1" w:styleId="Heading4Char">
    <w:name w:val="Heading 4 Char"/>
    <w:basedOn w:val="DefaultParagraphFont"/>
    <w:link w:val="Heading4"/>
    <w:uiPriority w:val="9"/>
    <w:rsid w:val="005F672E"/>
    <w:rPr>
      <w:rFonts w:asciiTheme="majorHAnsi" w:eastAsiaTheme="majorEastAsia" w:hAnsiTheme="majorHAnsi" w:cstheme="majorBidi"/>
      <w:i/>
      <w:iCs/>
      <w:color w:val="391A5A" w:themeColor="accent1" w:themeShade="BF"/>
      <w:lang w:val="en-US"/>
    </w:rPr>
  </w:style>
  <w:style w:type="paragraph" w:styleId="Caption">
    <w:name w:val="caption"/>
    <w:basedOn w:val="Normal"/>
    <w:next w:val="Normal"/>
    <w:uiPriority w:val="35"/>
    <w:unhideWhenUsed/>
    <w:qFormat/>
    <w:rsid w:val="005F672E"/>
    <w:pPr>
      <w:spacing w:after="200" w:line="240" w:lineRule="auto"/>
    </w:pPr>
    <w:rPr>
      <w:i/>
      <w:iCs/>
      <w:color w:val="15284C" w:themeColor="text2"/>
      <w:sz w:val="18"/>
      <w:szCs w:val="18"/>
    </w:rPr>
  </w:style>
  <w:style w:type="paragraph" w:customStyle="1" w:styleId="TableParagraph">
    <w:name w:val="Table Paragraph"/>
    <w:basedOn w:val="Normal"/>
    <w:uiPriority w:val="1"/>
    <w:qFormat/>
    <w:rsid w:val="00932AB3"/>
    <w:pPr>
      <w:widowControl w:val="0"/>
      <w:autoSpaceDE w:val="0"/>
      <w:autoSpaceDN w:val="0"/>
      <w:spacing w:after="0" w:line="240" w:lineRule="auto"/>
    </w:pPr>
    <w:rPr>
      <w:rFonts w:eastAsia="Arial"/>
      <w:lang w:val="en-NZ" w:eastAsia="en-NZ" w:bidi="en-NZ"/>
    </w:rPr>
  </w:style>
  <w:style w:type="character" w:styleId="UnresolvedMention">
    <w:name w:val="Unresolved Mention"/>
    <w:basedOn w:val="DefaultParagraphFont"/>
    <w:uiPriority w:val="99"/>
    <w:semiHidden/>
    <w:unhideWhenUsed/>
    <w:rsid w:val="001F4C72"/>
    <w:rPr>
      <w:color w:val="605E5C"/>
      <w:shd w:val="clear" w:color="auto" w:fill="E1DFDD"/>
    </w:rPr>
  </w:style>
  <w:style w:type="paragraph" w:styleId="TOC4">
    <w:name w:val="toc 4"/>
    <w:basedOn w:val="Normal"/>
    <w:next w:val="Normal"/>
    <w:autoRedefine/>
    <w:uiPriority w:val="39"/>
    <w:unhideWhenUsed/>
    <w:rsid w:val="00CC17A1"/>
    <w:pPr>
      <w:spacing w:after="100" w:line="278" w:lineRule="auto"/>
      <w:ind w:left="720"/>
    </w:pPr>
    <w:rPr>
      <w:rFonts w:asciiTheme="minorHAnsi" w:eastAsiaTheme="minorEastAsia" w:hAnsiTheme="minorHAnsi" w:cstheme="minorBidi"/>
      <w:kern w:val="2"/>
      <w:sz w:val="24"/>
      <w:szCs w:val="24"/>
      <w:lang w:val="en-NZ" w:eastAsia="en-NZ"/>
      <w14:ligatures w14:val="standardContextual"/>
    </w:rPr>
  </w:style>
  <w:style w:type="paragraph" w:styleId="TOC5">
    <w:name w:val="toc 5"/>
    <w:basedOn w:val="Normal"/>
    <w:next w:val="Normal"/>
    <w:autoRedefine/>
    <w:uiPriority w:val="39"/>
    <w:unhideWhenUsed/>
    <w:rsid w:val="00CC17A1"/>
    <w:pPr>
      <w:spacing w:after="100" w:line="278" w:lineRule="auto"/>
      <w:ind w:left="960"/>
    </w:pPr>
    <w:rPr>
      <w:rFonts w:asciiTheme="minorHAnsi" w:eastAsiaTheme="minorEastAsia" w:hAnsiTheme="minorHAnsi" w:cstheme="minorBidi"/>
      <w:kern w:val="2"/>
      <w:sz w:val="24"/>
      <w:szCs w:val="24"/>
      <w:lang w:val="en-NZ" w:eastAsia="en-NZ"/>
      <w14:ligatures w14:val="standardContextual"/>
    </w:rPr>
  </w:style>
  <w:style w:type="paragraph" w:styleId="TOC6">
    <w:name w:val="toc 6"/>
    <w:basedOn w:val="Normal"/>
    <w:next w:val="Normal"/>
    <w:autoRedefine/>
    <w:uiPriority w:val="39"/>
    <w:unhideWhenUsed/>
    <w:rsid w:val="00CC17A1"/>
    <w:pPr>
      <w:spacing w:after="100" w:line="278" w:lineRule="auto"/>
      <w:ind w:left="1200"/>
    </w:pPr>
    <w:rPr>
      <w:rFonts w:asciiTheme="minorHAnsi" w:eastAsiaTheme="minorEastAsia" w:hAnsiTheme="minorHAnsi" w:cstheme="minorBidi"/>
      <w:kern w:val="2"/>
      <w:sz w:val="24"/>
      <w:szCs w:val="24"/>
      <w:lang w:val="en-NZ" w:eastAsia="en-NZ"/>
      <w14:ligatures w14:val="standardContextual"/>
    </w:rPr>
  </w:style>
  <w:style w:type="paragraph" w:styleId="TOC7">
    <w:name w:val="toc 7"/>
    <w:basedOn w:val="Normal"/>
    <w:next w:val="Normal"/>
    <w:autoRedefine/>
    <w:uiPriority w:val="39"/>
    <w:unhideWhenUsed/>
    <w:rsid w:val="00CC17A1"/>
    <w:pPr>
      <w:spacing w:after="100" w:line="278" w:lineRule="auto"/>
      <w:ind w:left="1440"/>
    </w:pPr>
    <w:rPr>
      <w:rFonts w:asciiTheme="minorHAnsi" w:eastAsiaTheme="minorEastAsia" w:hAnsiTheme="minorHAnsi" w:cstheme="minorBidi"/>
      <w:kern w:val="2"/>
      <w:sz w:val="24"/>
      <w:szCs w:val="24"/>
      <w:lang w:val="en-NZ" w:eastAsia="en-NZ"/>
      <w14:ligatures w14:val="standardContextual"/>
    </w:rPr>
  </w:style>
  <w:style w:type="paragraph" w:styleId="TOC8">
    <w:name w:val="toc 8"/>
    <w:basedOn w:val="Normal"/>
    <w:next w:val="Normal"/>
    <w:autoRedefine/>
    <w:uiPriority w:val="39"/>
    <w:unhideWhenUsed/>
    <w:rsid w:val="00CC17A1"/>
    <w:pPr>
      <w:spacing w:after="100" w:line="278" w:lineRule="auto"/>
      <w:ind w:left="1680"/>
    </w:pPr>
    <w:rPr>
      <w:rFonts w:asciiTheme="minorHAnsi" w:eastAsiaTheme="minorEastAsia" w:hAnsiTheme="minorHAnsi" w:cstheme="minorBidi"/>
      <w:kern w:val="2"/>
      <w:sz w:val="24"/>
      <w:szCs w:val="24"/>
      <w:lang w:val="en-NZ" w:eastAsia="en-NZ"/>
      <w14:ligatures w14:val="standardContextual"/>
    </w:rPr>
  </w:style>
  <w:style w:type="paragraph" w:styleId="TOC9">
    <w:name w:val="toc 9"/>
    <w:basedOn w:val="Normal"/>
    <w:next w:val="Normal"/>
    <w:autoRedefine/>
    <w:uiPriority w:val="39"/>
    <w:unhideWhenUsed/>
    <w:rsid w:val="00CC17A1"/>
    <w:pPr>
      <w:spacing w:after="100" w:line="278" w:lineRule="auto"/>
      <w:ind w:left="1920"/>
    </w:pPr>
    <w:rPr>
      <w:rFonts w:asciiTheme="minorHAnsi" w:eastAsiaTheme="minorEastAsia" w:hAnsiTheme="minorHAnsi" w:cstheme="minorBidi"/>
      <w:kern w:val="2"/>
      <w:sz w:val="24"/>
      <w:szCs w:val="24"/>
      <w:lang w:val="en-NZ" w:eastAsia="en-NZ"/>
      <w14:ligatures w14:val="standardContextual"/>
    </w:rPr>
  </w:style>
  <w:style w:type="paragraph" w:styleId="Revision">
    <w:name w:val="Revision"/>
    <w:hidden/>
    <w:uiPriority w:val="99"/>
    <w:semiHidden/>
    <w:rsid w:val="00DC20AA"/>
    <w:pPr>
      <w:spacing w:after="0" w:line="240" w:lineRule="auto"/>
    </w:pPr>
    <w:rPr>
      <w:rFonts w:ascii="Arial" w:hAnsi="Arial" w:cs="Arial"/>
      <w:lang w:val="en-US"/>
    </w:rPr>
  </w:style>
  <w:style w:type="table" w:customStyle="1" w:styleId="TableGrid1">
    <w:name w:val="Table Grid1"/>
    <w:basedOn w:val="TableNormal"/>
    <w:next w:val="TableGrid"/>
    <w:uiPriority w:val="59"/>
    <w:rsid w:val="00D20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32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F329D"/>
    <w:rPr>
      <w:rFonts w:ascii="Arial" w:hAnsi="Arial" w:cs="Arial"/>
      <w:sz w:val="20"/>
      <w:szCs w:val="20"/>
      <w:lang w:val="en-US"/>
    </w:rPr>
  </w:style>
  <w:style w:type="character" w:styleId="FootnoteReference">
    <w:name w:val="footnote reference"/>
    <w:basedOn w:val="DefaultParagraphFont"/>
    <w:uiPriority w:val="99"/>
    <w:semiHidden/>
    <w:unhideWhenUsed/>
    <w:rsid w:val="007F329D"/>
    <w:rPr>
      <w:vertAlign w:val="superscript"/>
    </w:rPr>
  </w:style>
  <w:style w:type="character" w:styleId="FollowedHyperlink">
    <w:name w:val="FollowedHyperlink"/>
    <w:basedOn w:val="DefaultParagraphFont"/>
    <w:uiPriority w:val="99"/>
    <w:semiHidden/>
    <w:unhideWhenUsed/>
    <w:rsid w:val="0048013C"/>
    <w:rPr>
      <w:color w:val="954F72" w:themeColor="followedHyperlink"/>
      <w:u w:val="single"/>
    </w:rPr>
  </w:style>
  <w:style w:type="paragraph" w:styleId="NormalWeb">
    <w:name w:val="Normal (Web)"/>
    <w:basedOn w:val="Normal"/>
    <w:uiPriority w:val="99"/>
    <w:semiHidden/>
    <w:unhideWhenUsed/>
    <w:rsid w:val="006576EA"/>
    <w:pPr>
      <w:spacing w:before="100" w:beforeAutospacing="1" w:after="100" w:afterAutospacing="1" w:line="240" w:lineRule="auto"/>
    </w:pPr>
    <w:rPr>
      <w:rFonts w:ascii="Times New Roman" w:eastAsia="Times New Roman" w:hAnsi="Times New Roman" w:cs="Times New Roman"/>
      <w:sz w:val="24"/>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993692">
      <w:bodyDiv w:val="1"/>
      <w:marLeft w:val="0"/>
      <w:marRight w:val="0"/>
      <w:marTop w:val="0"/>
      <w:marBottom w:val="0"/>
      <w:divBdr>
        <w:top w:val="none" w:sz="0" w:space="0" w:color="auto"/>
        <w:left w:val="none" w:sz="0" w:space="0" w:color="auto"/>
        <w:bottom w:val="none" w:sz="0" w:space="0" w:color="auto"/>
        <w:right w:val="none" w:sz="0" w:space="0" w:color="auto"/>
      </w:divBdr>
    </w:div>
    <w:div w:id="681587313">
      <w:bodyDiv w:val="1"/>
      <w:marLeft w:val="0"/>
      <w:marRight w:val="0"/>
      <w:marTop w:val="0"/>
      <w:marBottom w:val="0"/>
      <w:divBdr>
        <w:top w:val="none" w:sz="0" w:space="0" w:color="auto"/>
        <w:left w:val="none" w:sz="0" w:space="0" w:color="auto"/>
        <w:bottom w:val="none" w:sz="0" w:space="0" w:color="auto"/>
        <w:right w:val="none" w:sz="0" w:space="0" w:color="auto"/>
      </w:divBdr>
    </w:div>
    <w:div w:id="1740787567">
      <w:bodyDiv w:val="1"/>
      <w:marLeft w:val="0"/>
      <w:marRight w:val="0"/>
      <w:marTop w:val="0"/>
      <w:marBottom w:val="0"/>
      <w:divBdr>
        <w:top w:val="none" w:sz="0" w:space="0" w:color="auto"/>
        <w:left w:val="none" w:sz="0" w:space="0" w:color="auto"/>
        <w:bottom w:val="none" w:sz="0" w:space="0" w:color="auto"/>
        <w:right w:val="none" w:sz="0" w:space="0" w:color="auto"/>
      </w:divBdr>
    </w:div>
    <w:div w:id="198909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ecolecon.2022.107653" TargetMode="External"/><Relationship Id="rId21" Type="http://schemas.openxmlformats.org/officeDocument/2006/relationships/hyperlink" Target="https://doi.org/10.1016/j.hal.2022.102286" TargetMode="External"/><Relationship Id="rId42" Type="http://schemas.openxmlformats.org/officeDocument/2006/relationships/hyperlink" Target="https://www.ehinz.ac.nz/assets/Supporting-documents/Hazardous-substances/Frequently-asked-questions-2024.pdf" TargetMode="External"/><Relationship Id="rId47" Type="http://schemas.openxmlformats.org/officeDocument/2006/relationships/hyperlink" Target="https://doi.org/10.1016/j.hal.2019.03.008" TargetMode="External"/><Relationship Id="rId63" Type="http://schemas.openxmlformats.org/officeDocument/2006/relationships/hyperlink" Target="https://environment.govt.nz/publications/national-policy-statement-for-freshwater-management-2020/" TargetMode="External"/><Relationship Id="rId68" Type="http://schemas.openxmlformats.org/officeDocument/2006/relationships/hyperlink" Target="https://doi.org/doi:10.1515/bot-2014-0055" TargetMode="External"/><Relationship Id="rId84" Type="http://schemas.openxmlformats.org/officeDocument/2006/relationships/hyperlink" Target="https://www.temanararaunga.maori.nz/" TargetMode="External"/><Relationship Id="rId89" Type="http://schemas.openxmlformats.org/officeDocument/2006/relationships/hyperlink" Target="https://www.epa.gov/cyanohabs/health-effects-cyanotoxins" TargetMode="External"/><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yperlink" Target="https://iris.who.int/bitstream/handle/10665/338069/WHO-HEP-ECH-WSH-2020.8-eng.pdf?sequence=1&amp;isAllowed=y" TargetMode="External"/><Relationship Id="rId11" Type="http://schemas.openxmlformats.org/officeDocument/2006/relationships/image" Target="media/image3.png"/><Relationship Id="rId32" Type="http://schemas.openxmlformats.org/officeDocument/2006/relationships/hyperlink" Target="https://www.cdc.gov/habs/specific-%20groups/healthcare_providers.html" TargetMode="External"/><Relationship Id="rId37" Type="http://schemas.openxmlformats.org/officeDocument/2006/relationships/hyperlink" Target="https://doi.org/10.1002/(SICI)1522-7278(199902)14:1%3c155::AID-%20TOX20%3e3.0.CO;2-Z" TargetMode="External"/><Relationship Id="rId53" Type="http://schemas.openxmlformats.org/officeDocument/2006/relationships/hyperlink" Target="https://doi.org/10.3390/md9040543" TargetMode="External"/><Relationship Id="rId58" Type="http://schemas.openxmlformats.org/officeDocument/2006/relationships/hyperlink" Target="https://doi.org/10.1016/j.jenvp.2020.101389" TargetMode="External"/><Relationship Id="rId74" Type="http://schemas.openxmlformats.org/officeDocument/2006/relationships/hyperlink" Target="https://pubmed.ncbi.nlm.nih.gov/11757852/" TargetMode="External"/><Relationship Id="rId79" Type="http://schemas.openxmlformats.org/officeDocument/2006/relationships/hyperlink" Target="https://www.esr.cri.nz/digital-library/environmental-health-report-climate-change-effects-on-marine-harmful-algal-blooms-in-aotearoa-nz/" TargetMode="External"/><Relationship Id="rId102" Type="http://schemas.openxmlformats.org/officeDocument/2006/relationships/hyperlink" Target="https://www.sciencedirect.com/science/article/abs/pii/S1568988312001485?via%3Dihub" TargetMode="External"/><Relationship Id="rId5" Type="http://schemas.openxmlformats.org/officeDocument/2006/relationships/webSettings" Target="webSettings.xml"/><Relationship Id="rId90" Type="http://schemas.openxmlformats.org/officeDocument/2006/relationships/hyperlink" Target="https://www.epa.gov/habs/learn-about-harmful-algae-cyanobacteria-and-cyanotoxins" TargetMode="External"/><Relationship Id="rId95" Type="http://schemas.openxmlformats.org/officeDocument/2006/relationships/hyperlink" Target="https://doi.org/10.1016/j.hal.2022.102191" TargetMode="External"/><Relationship Id="rId22" Type="http://schemas.openxmlformats.org/officeDocument/2006/relationships/hyperlink" Target="https://www.nhmrc.gov.au/about-us/publications/guidelines-managing-risks-recreational-water" TargetMode="External"/><Relationship Id="rId27" Type="http://schemas.openxmlformats.org/officeDocument/2006/relationships/hyperlink" Target="https://bpac.org.nz/2020/docs/cyanobacteria.pdf" TargetMode="External"/><Relationship Id="rId43" Type="http://schemas.openxmlformats.org/officeDocument/2006/relationships/hyperlink" Target="https://www.ecdc.europa.eu/en/all-topics-z/ciguatera-fish-poisoning/facts-%20ciguatera-fish-poisoning%20" TargetMode="External"/><Relationship Id="rId48" Type="http://schemas.openxmlformats.org/officeDocument/2006/relationships/hyperlink" Target="https://doi.org/10.1177/2235042X20971168" TargetMode="External"/><Relationship Id="rId64" Type="http://schemas.openxmlformats.org/officeDocument/2006/relationships/hyperlink" Target="https://environment.govt.nz/facts-and-science/land/land-and-te-ao-maori/" TargetMode="External"/><Relationship Id="rId69" Type="http://schemas.openxmlformats.org/officeDocument/2006/relationships/hyperlink" Target="https://doi.org/10.1016/j.scitotenv.2020.143782" TargetMode="External"/><Relationship Id="rId113" Type="http://schemas.openxmlformats.org/officeDocument/2006/relationships/theme" Target="theme/theme1.xml"/><Relationship Id="rId80" Type="http://schemas.openxmlformats.org/officeDocument/2006/relationships/hyperlink" Target="https://doi.org/10.1186/1471-2458-6-93" TargetMode="External"/><Relationship Id="rId85" Type="http://schemas.openxmlformats.org/officeDocument/2006/relationships/hyperlink" Target="https://doi.org/10.1016/j.hal.2020.101869" TargetMode="External"/><Relationship Id="rId12" Type="http://schemas.openxmlformats.org/officeDocument/2006/relationships/hyperlink" Target="https://www.lawa.org.nz/learn/factsheets/toxic-algae" TargetMode="External"/><Relationship Id="rId17" Type="http://schemas.openxmlformats.org/officeDocument/2006/relationships/image" Target="media/image5.png"/><Relationship Id="rId33" Type="http://schemas.openxmlformats.org/officeDocument/2006/relationships/hyperlink" Target="https://www.cdc.gov/habs/environment.html" TargetMode="External"/><Relationship Id="rId38" Type="http://schemas.openxmlformats.org/officeDocument/2006/relationships/hyperlink" Target="https://doi.org/10.3390/w13182463" TargetMode="External"/><Relationship Id="rId59" Type="http://schemas.openxmlformats.org/officeDocument/2006/relationships/hyperlink" Target="https://doi.org/10.1016/j.hal.2016.11.021" TargetMode="External"/><Relationship Id="rId103" Type="http://schemas.openxmlformats.org/officeDocument/2006/relationships/hyperlink" Target="https://www.who.int/publications/i/item/9241545801" TargetMode="External"/><Relationship Id="rId108" Type="http://schemas.openxmlformats.org/officeDocument/2006/relationships/hyperlink" Target="https://www.who.int/publications/i/item/9789240031302" TargetMode="External"/><Relationship Id="rId54" Type="http://schemas.openxmlformats.org/officeDocument/2006/relationships/hyperlink" Target="https://www.lawa.org.nz/learn/factsheets/algae-and-cyanobacteria-in-lakes/" TargetMode="External"/><Relationship Id="rId70" Type="http://schemas.openxmlformats.org/officeDocument/2006/relationships/hyperlink" Target="https://doi.org/10.1080/00288330.2015.1064975" TargetMode="External"/><Relationship Id="rId75" Type="http://schemas.openxmlformats.org/officeDocument/2006/relationships/hyperlink" Target="https://doi.org/10.1111/j.1467-842x.1997.tb01755.x" TargetMode="External"/><Relationship Id="rId91" Type="http://schemas.openxmlformats.org/officeDocument/2006/relationships/hyperlink" Target="https://doi.org/10.3390/toxins9090267" TargetMode="External"/><Relationship Id="rId96" Type="http://schemas.openxmlformats.org/officeDocument/2006/relationships/hyperlink" Target="https://www.dhs.wisconsin.gov/publications/p02198.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govt.nz/system/files/documents/publications/hiso_10001-2017_ethnicity_data_protocols_21_apr.pdf" TargetMode="External"/><Relationship Id="rId23" Type="http://schemas.openxmlformats.org/officeDocument/2006/relationships/hyperlink" Target="https://doi.org/10.1289/ehp.7502" TargetMode="External"/><Relationship Id="rId28" Type="http://schemas.openxmlformats.org/officeDocument/2006/relationships/hyperlink" Target="https://doi.org/10.1016/j.hal.2016.02.002" TargetMode="External"/><Relationship Id="rId36" Type="http://schemas.openxmlformats.org/officeDocument/2006/relationships/hyperlink" Target="https://www.cdc.gov/habs/illness-symptoms-marine.html" TargetMode="External"/><Relationship Id="rId49" Type="http://schemas.openxmlformats.org/officeDocument/2006/relationships/hyperlink" Target="https://doi.org/10.3390/toxins7041374" TargetMode="External"/><Relationship Id="rId57" Type="http://schemas.openxmlformats.org/officeDocument/2006/relationships/hyperlink" Target="https://environment.govt.nz/assets/Publications/Files/understanding-social-impacts-freshwater-reform.pdf" TargetMode="External"/><Relationship Id="rId106" Type="http://schemas.openxmlformats.org/officeDocument/2006/relationships/hyperlink" Target="https://cdn.who.int/media/docs/default-source/wash-documents/wash-chemicals/microcystins-background-201223.pdf?sfvrsn=6d60aa6d_3" TargetMode="External"/><Relationship Id="rId10" Type="http://schemas.openxmlformats.org/officeDocument/2006/relationships/hyperlink" Target="https://www.tewhatuora.govt.nz/" TargetMode="External"/><Relationship Id="rId31" Type="http://schemas.openxmlformats.org/officeDocument/2006/relationships/hyperlink" Target="https://www.cdc.gov/habs/ohhabs.html" TargetMode="External"/><Relationship Id="rId44" Type="http://schemas.openxmlformats.org/officeDocument/2006/relationships/hyperlink" Target="https://doi.org/10.1289/ehp.0900673" TargetMode="External"/><Relationship Id="rId52" Type="http://schemas.openxmlformats.org/officeDocument/2006/relationships/hyperlink" Target="https://doi.org/10.1371/journal.pone.0220422" TargetMode="External"/><Relationship Id="rId60" Type="http://schemas.openxmlformats.org/officeDocument/2006/relationships/hyperlink" Target="https://doi.org/10.3390/toxins13090660" TargetMode="External"/><Relationship Id="rId65" Type="http://schemas.openxmlformats.org/officeDocument/2006/relationships/hyperlink" Target="https://environment.govt.nz/publications/new-zealand-guidelines-for-cyanobacteria-in-recreational-fresh-waters-interim-guidelines/" TargetMode="External"/><Relationship Id="rId73" Type="http://schemas.openxmlformats.org/officeDocument/2006/relationships/hyperlink" Target="https://doi.org/10.1016/j.envint.2006.10.011" TargetMode="External"/><Relationship Id="rId78" Type="http://schemas.openxmlformats.org/officeDocument/2006/relationships/hyperlink" Target="http://nepis.epa.gov/Adobe/PDF/60000I2U.pdf" TargetMode="External"/><Relationship Id="rId81" Type="http://schemas.openxmlformats.org/officeDocument/2006/relationships/hyperlink" Target="https://doi.org/10.1186/1476-069X-5-6" TargetMode="External"/><Relationship Id="rId86" Type="http://schemas.openxmlformats.org/officeDocument/2006/relationships/hyperlink" Target="https://environment.govt.nz/assets/Publications/Files/cultural-health-index-for-streams-and-waterways-tech-report-apr06.pdf" TargetMode="External"/><Relationship Id="rId94" Type="http://schemas.openxmlformats.org/officeDocument/2006/relationships/hyperlink" Target="https://doi.org/10.1016/j.cppeds.2013.10.007" TargetMode="External"/><Relationship Id="rId99" Type="http://schemas.openxmlformats.org/officeDocument/2006/relationships/hyperlink" Target="https://doi.org/10.1016/j.hal.2018.10.001" TargetMode="External"/><Relationship Id="rId101" Type="http://schemas.openxmlformats.org/officeDocument/2006/relationships/hyperlink" Target="https://pubmed.ncbi.nlm.nih.gov/22092304/"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healthsafety.notification@worksafe.govt.nz" TargetMode="External"/><Relationship Id="rId18" Type="http://schemas.openxmlformats.org/officeDocument/2006/relationships/image" Target="media/image6.png"/><Relationship Id="rId39" Type="http://schemas.openxmlformats.org/officeDocument/2006/relationships/hyperlink" Target="https://doi.org/10.1016/j.toxicon.2009.05.035" TargetMode="External"/><Relationship Id="rId109" Type="http://schemas.openxmlformats.org/officeDocument/2006/relationships/hyperlink" Target="https://doi.org/10.1016/j.hal.2020.101901" TargetMode="External"/><Relationship Id="rId34" Type="http://schemas.openxmlformats.org/officeDocument/2006/relationships/hyperlink" Target="https://www.cdc.gov/niosh/topics/hierarchy/default.html" TargetMode="External"/><Relationship Id="rId50" Type="http://schemas.openxmlformats.org/officeDocument/2006/relationships/hyperlink" Target="https://doi.org/10.1038/srep06931" TargetMode="External"/><Relationship Id="rId55" Type="http://schemas.openxmlformats.org/officeDocument/2006/relationships/hyperlink" Target="https://www.fao.org/3/i0201e/i0201e00.pdf" TargetMode="External"/><Relationship Id="rId76" Type="http://schemas.openxmlformats.org/officeDocument/2006/relationships/hyperlink" Target="https://www.esr.cri.nz/media/oeybh4vn/esr-environmental-health-report-climate-change-toxic-freshwater-cyanobacteria.pdf" TargetMode="External"/><Relationship Id="rId97" Type="http://schemas.openxmlformats.org/officeDocument/2006/relationships/hyperlink" Target="https://doi.org/10.1371/journal.pone.0238808" TargetMode="External"/><Relationship Id="rId104" Type="http://schemas.openxmlformats.org/officeDocument/2006/relationships/hyperlink" Target="https://iris.who.int/bitstream/handle/10665/338060/WHO-HEP-ECH-WSH-2020.1-eng.pdf?isAllowed=y&amp;sequence=1" TargetMode="External"/><Relationship Id="rId7" Type="http://schemas.openxmlformats.org/officeDocument/2006/relationships/endnotes" Target="endnotes.xml"/><Relationship Id="rId71" Type="http://schemas.openxmlformats.org/officeDocument/2006/relationships/hyperlink" Target="https://ncceh.ca/content/blog/red-tides-and-health-risks-recreational-water-users" TargetMode="External"/><Relationship Id="rId92" Type="http://schemas.openxmlformats.org/officeDocument/2006/relationships/hyperlink" Target="https://content.ces.ncsu.edu/supporting-cyanobacterial-bloom-monitoring-with-satellite-imagery" TargetMode="External"/><Relationship Id="rId2" Type="http://schemas.openxmlformats.org/officeDocument/2006/relationships/numbering" Target="numbering.xml"/><Relationship Id="rId29" Type="http://schemas.openxmlformats.org/officeDocument/2006/relationships/hyperlink" Target="https://doi.org/10.1186/1746-1448-2-5" TargetMode="External"/><Relationship Id="rId24" Type="http://schemas.openxmlformats.org/officeDocument/2006/relationships/hyperlink" Target="https://doi.org/10.1017/S0025315415001733" TargetMode="External"/><Relationship Id="rId40" Type="http://schemas.openxmlformats.org/officeDocument/2006/relationships/hyperlink" Target="https://doi.org/10.2807/esw.12.23.03212-en" TargetMode="External"/><Relationship Id="rId45" Type="http://schemas.openxmlformats.org/officeDocument/2006/relationships/hyperlink" Target="https://doi.org/10.2741/e285" TargetMode="External"/><Relationship Id="rId66" Type="http://schemas.openxmlformats.org/officeDocument/2006/relationships/hyperlink" Target="https://www.health.govt.nz/publication/guide-he-korowai-oranga-maori-health-strategy" TargetMode="External"/><Relationship Id="rId87" Type="http://schemas.openxmlformats.org/officeDocument/2006/relationships/hyperlink" Target="https://environment.govt.nz/assets/Publications/Files/chi-for-streams-and-waterways-feb06-full-colour.pdf" TargetMode="External"/><Relationship Id="rId110" Type="http://schemas.openxmlformats.org/officeDocument/2006/relationships/header" Target="header1.xml"/><Relationship Id="rId61" Type="http://schemas.openxmlformats.org/officeDocument/2006/relationships/hyperlink" Target="https://www.mpi.govt.nz/dmsdocument/30282-animal-products-notice-regulated-control-scheme-bivalve-molluscan-shellfish-for-human-consumption-2018" TargetMode="External"/><Relationship Id="rId82" Type="http://schemas.openxmlformats.org/officeDocument/2006/relationships/hyperlink" Target="https://www.taumataarowai.govt.nz/assets/Uploads/Ministry-of-Health-drinking-water-guidelines/dwg-ch9-cyanobacterial-compliance-may20.docx" TargetMode="External"/><Relationship Id="rId19" Type="http://schemas.openxmlformats.org/officeDocument/2006/relationships/image" Target="media/image7.png"/><Relationship Id="rId14" Type="http://schemas.openxmlformats.org/officeDocument/2006/relationships/hyperlink" Target="http://www.lawa.org.nz" TargetMode="External"/><Relationship Id="rId30" Type="http://schemas.openxmlformats.org/officeDocument/2006/relationships/hyperlink" Target="https://emergency.cdc.gov/agent/brevetoxin/casedef.asp%23:~:text=Clinical%20descript%20ion,oral%20ingestion%20of%20contaminated%20shellfish" TargetMode="External"/><Relationship Id="rId35" Type="http://schemas.openxmlformats.org/officeDocument/2006/relationships/hyperlink" Target="https://www.cdc.gov/habs/illness-symptoms-freshwater.html" TargetMode="External"/><Relationship Id="rId56" Type="http://schemas.openxmlformats.org/officeDocument/2006/relationships/hyperlink" Target="https://doi.org/10.1016/j.scitotenv.2013.07.045" TargetMode="External"/><Relationship Id="rId77" Type="http://schemas.openxmlformats.org/officeDocument/2006/relationships/hyperlink" Target="https://sacnzs.org.nz/assets/1Reports/Environmental-reports/ESR-environmental-health-report-planktonic-cyanobacteria-ALF-for-recreational-guidelines.pdf" TargetMode="External"/><Relationship Id="rId100" Type="http://schemas.openxmlformats.org/officeDocument/2006/relationships/hyperlink" Target="https://doi.org/10.1080/00288330.2006.9517447" TargetMode="External"/><Relationship Id="rId105" Type="http://schemas.openxmlformats.org/officeDocument/2006/relationships/hyperlink" Target="https://iris.who.int/bitstream/handle/10665/338063/WHO-HEP-ECH-WSH-2020.4-eng.pdf?isAllowed=y&amp;sequence=1" TargetMode="External"/><Relationship Id="rId8" Type="http://schemas.openxmlformats.org/officeDocument/2006/relationships/image" Target="media/image1.jpg"/><Relationship Id="rId51" Type="http://schemas.openxmlformats.org/officeDocument/2006/relationships/hyperlink" Target="https://doi.org/10.1128/aem.43.1.104-109.1982" TargetMode="External"/><Relationship Id="rId72" Type="http://schemas.openxmlformats.org/officeDocument/2006/relationships/hyperlink" Target="https://doi.org/10.1186/1471-5945-8-5" TargetMode="External"/><Relationship Id="rId93" Type="http://schemas.openxmlformats.org/officeDocument/2006/relationships/hyperlink" Target="https://www.waternsw.com.au/water-quality/algae/prevention-and-control" TargetMode="External"/><Relationship Id="rId98" Type="http://schemas.openxmlformats.org/officeDocument/2006/relationships/hyperlink" Target="https://environment.govt.nz/assets/Publications/Files/review-of-cyanobacteria-guidelines.pdf" TargetMode="External"/><Relationship Id="rId3" Type="http://schemas.openxmlformats.org/officeDocument/2006/relationships/styles" Target="styles.xml"/><Relationship Id="rId25" Type="http://schemas.openxmlformats.org/officeDocument/2006/relationships/hyperlink" Target="https://doi.org/10.3390/toxins11120714" TargetMode="External"/><Relationship Id="rId46" Type="http://schemas.openxmlformats.org/officeDocument/2006/relationships/hyperlink" Target="https://doi.org/10.1016/j.hal.2019.101731" TargetMode="External"/><Relationship Id="rId67" Type="http://schemas.openxmlformats.org/officeDocument/2006/relationships/hyperlink" Target="https://www.health.govt.nz/publication/whakamaua-maori-health-action-plan-2020-2025" TargetMode="External"/><Relationship Id="rId20" Type="http://schemas.openxmlformats.org/officeDocument/2006/relationships/image" Target="media/image8.png"/><Relationship Id="rId41" Type="http://schemas.openxmlformats.org/officeDocument/2006/relationships/hyperlink" Target="https://www.ehinz.ac.nz/assets/Other/HSDIRT-Users-Guide-2021.pdf" TargetMode="External"/><Relationship Id="rId62" Type="http://schemas.openxmlformats.org/officeDocument/2006/relationships/hyperlink" Target="https://www.mpi.govt.nz/fishing-aquaculture/recreational-fishing/where-unsafe-to-%20collect-shellfish/shellfish-biotoxin-alerts/" TargetMode="External"/><Relationship Id="rId83" Type="http://schemas.openxmlformats.org/officeDocument/2006/relationships/hyperlink" Target="https://doi.org/10.1002/rra.3365" TargetMode="External"/><Relationship Id="rId88" Type="http://schemas.openxmlformats.org/officeDocument/2006/relationships/hyperlink" Target="https://doi.org/https://doi.org/10.1002/tox.10011" TargetMode="External"/><Relationship Id="rId11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pi.govt.nz/fishing-aquaculture/recreational-fishing/where-unsafe-to-collect-shellfish/shellfish-biotoxin-alerts/" TargetMode="External"/><Relationship Id="rId1" Type="http://schemas.openxmlformats.org/officeDocument/2006/relationships/hyperlink" Target="https://environment.govt.nz/assets/Publications/Files/nz-guidelines-cyanobacteria-recreational-fresh-water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23934</Words>
  <Characters>136426</Characters>
  <Application>Microsoft Office Word</Application>
  <DocSecurity>0</DocSecurity>
  <Lines>1136</Lines>
  <Paragraphs>320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160040</CharactersWithSpaces>
  <SharedDoc>false</SharedDoc>
  <HLinks>
    <vt:vector size="30" baseType="variant">
      <vt:variant>
        <vt:i4>1769520</vt:i4>
      </vt:variant>
      <vt:variant>
        <vt:i4>26</vt:i4>
      </vt:variant>
      <vt:variant>
        <vt:i4>0</vt:i4>
      </vt:variant>
      <vt:variant>
        <vt:i4>5</vt:i4>
      </vt:variant>
      <vt:variant>
        <vt:lpwstr/>
      </vt:variant>
      <vt:variant>
        <vt:lpwstr>_Toc152243788</vt:lpwstr>
      </vt:variant>
      <vt:variant>
        <vt:i4>1769520</vt:i4>
      </vt:variant>
      <vt:variant>
        <vt:i4>20</vt:i4>
      </vt:variant>
      <vt:variant>
        <vt:i4>0</vt:i4>
      </vt:variant>
      <vt:variant>
        <vt:i4>5</vt:i4>
      </vt:variant>
      <vt:variant>
        <vt:lpwstr/>
      </vt:variant>
      <vt:variant>
        <vt:lpwstr>_Toc152243787</vt:lpwstr>
      </vt:variant>
      <vt:variant>
        <vt:i4>1769520</vt:i4>
      </vt:variant>
      <vt:variant>
        <vt:i4>14</vt:i4>
      </vt:variant>
      <vt:variant>
        <vt:i4>0</vt:i4>
      </vt:variant>
      <vt:variant>
        <vt:i4>5</vt:i4>
      </vt:variant>
      <vt:variant>
        <vt:lpwstr/>
      </vt:variant>
      <vt:variant>
        <vt:lpwstr>_Toc152243786</vt:lpwstr>
      </vt:variant>
      <vt:variant>
        <vt:i4>1769520</vt:i4>
      </vt:variant>
      <vt:variant>
        <vt:i4>8</vt:i4>
      </vt:variant>
      <vt:variant>
        <vt:i4>0</vt:i4>
      </vt:variant>
      <vt:variant>
        <vt:i4>5</vt:i4>
      </vt:variant>
      <vt:variant>
        <vt:lpwstr/>
      </vt:variant>
      <vt:variant>
        <vt:lpwstr>_Toc152243785</vt:lpwstr>
      </vt:variant>
      <vt:variant>
        <vt:i4>1769520</vt:i4>
      </vt:variant>
      <vt:variant>
        <vt:i4>2</vt:i4>
      </vt:variant>
      <vt:variant>
        <vt:i4>0</vt:i4>
      </vt:variant>
      <vt:variant>
        <vt:i4>5</vt:i4>
      </vt:variant>
      <vt:variant>
        <vt:lpwstr/>
      </vt:variant>
      <vt:variant>
        <vt:lpwstr>_Toc152243784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2024-10-30T00:34:00Z</dcterms:created>
  <dcterms:modified xsi:type="dcterms:W3CDTF">2024-10-30T00:37:00Z</dcterms:modified>
</cp:coreProperties>
</file>